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宁都县第四幼儿园</w:t>
      </w:r>
      <w:r>
        <w:rPr>
          <w:rFonts w:hint="eastAsia"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r>
        <w:rPr>
          <w:rFonts w:hint="default" w:ascii="仿宋_GB2312" w:eastAsia="仿宋_GB2312" w:cs="仿宋_GB2312"/>
          <w:sz w:val="32"/>
          <w:szCs w:val="32"/>
          <w:bdr w:val="none" w:color="auto" w:sz="0" w:space="0"/>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numPr>
          <w:numId w:val="0"/>
        </w:numPr>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一、认真贯彻执行幼儿教育《纲要》和《幼儿园工作规程》精神</w:t>
      </w:r>
      <w:r>
        <w:rPr>
          <w:rFonts w:ascii="TimesNewRomanPSMT" w:hAnsi="TimesNewRomanPSMT" w:eastAsia="宋体" w:cs="宋体"/>
          <w:kern w:val="0"/>
          <w:sz w:val="24"/>
          <w:szCs w:val="24"/>
        </w:rPr>
        <w:t>,</w:t>
      </w:r>
      <w:r>
        <w:rPr>
          <w:rFonts w:hint="eastAsia" w:ascii="宋体" w:hAnsi="宋体" w:eastAsia="宋体" w:cs="宋体"/>
          <w:kern w:val="0"/>
          <w:sz w:val="24"/>
          <w:szCs w:val="24"/>
        </w:rPr>
        <w:t>从严治园</w:t>
      </w:r>
      <w:r>
        <w:rPr>
          <w:rFonts w:hint="default" w:ascii="TimesNewRomanPSMT" w:hAnsi="TimesNewRomanPSMT" w:eastAsia="宋体" w:cs="宋体"/>
          <w:kern w:val="0"/>
          <w:sz w:val="24"/>
          <w:szCs w:val="24"/>
        </w:rPr>
        <w:t>,</w:t>
      </w:r>
      <w:r>
        <w:rPr>
          <w:rFonts w:hint="eastAsia" w:ascii="宋体" w:hAnsi="宋体" w:eastAsia="宋体" w:cs="宋体"/>
          <w:kern w:val="0"/>
          <w:sz w:val="24"/>
          <w:szCs w:val="24"/>
        </w:rPr>
        <w:t>以促进幼儿体、智、德、美全面发展为各项工作的目标</w:t>
      </w:r>
      <w:r>
        <w:rPr>
          <w:rFonts w:hint="default" w:ascii="TimesNewRomanPSMT" w:hAnsi="TimesNewRomanPSMT" w:eastAsia="宋体" w:cs="宋体"/>
          <w:kern w:val="0"/>
          <w:sz w:val="24"/>
          <w:szCs w:val="24"/>
        </w:rPr>
        <w:t>,</w:t>
      </w:r>
      <w:r>
        <w:rPr>
          <w:rFonts w:hint="eastAsia" w:ascii="宋体" w:hAnsi="宋体" w:eastAsia="宋体" w:cs="宋体"/>
          <w:kern w:val="0"/>
          <w:sz w:val="24"/>
          <w:szCs w:val="24"/>
        </w:rPr>
        <w:t>坚持改革</w:t>
      </w:r>
      <w:r>
        <w:rPr>
          <w:rFonts w:hint="default" w:ascii="TimesNewRomanPSMT" w:hAnsi="TimesNewRomanPSMT" w:eastAsia="宋体" w:cs="宋体"/>
          <w:kern w:val="0"/>
          <w:sz w:val="24"/>
          <w:szCs w:val="24"/>
        </w:rPr>
        <w:t>,</w:t>
      </w:r>
      <w:r>
        <w:rPr>
          <w:rFonts w:hint="eastAsia" w:ascii="宋体" w:hAnsi="宋体" w:eastAsia="宋体" w:cs="宋体"/>
          <w:kern w:val="0"/>
          <w:sz w:val="24"/>
          <w:szCs w:val="24"/>
        </w:rPr>
        <w:t>不断提高教育质量。</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 二、严格执行幼儿安全、卫生、保健制度，制定年度工作目标、规划、学期工作任务，认真做好组织实施。</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三、建立和健全各项规章制度并认真组织和实施。</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 四、加强教职工的考核工作，检查、指导、评估工作质量，制定奖惩措施。</w:t>
      </w:r>
    </w:p>
    <w:p>
      <w:pPr>
        <w:pStyle w:val="2"/>
        <w:keepNext w:val="0"/>
        <w:keepLines w:val="0"/>
        <w:widowControl/>
        <w:suppressLineNumbers w:val="0"/>
        <w:spacing w:before="0" w:beforeAutospacing="0" w:after="0" w:afterAutospacing="0" w:line="480" w:lineRule="exact"/>
        <w:ind w:left="0" w:right="0" w:firstLine="508" w:firstLineChars="200"/>
      </w:pPr>
      <w:r>
        <w:rPr>
          <w:rFonts w:hint="eastAsia" w:ascii="宋体" w:hAnsi="宋体" w:eastAsia="宋体" w:cs="宋体"/>
          <w:spacing w:val="7"/>
          <w:kern w:val="0"/>
          <w:sz w:val="24"/>
          <w:szCs w:val="24"/>
        </w:rPr>
        <w:t>五、</w:t>
      </w:r>
      <w:r>
        <w:rPr>
          <w:rFonts w:hint="eastAsia" w:ascii="宋体" w:hAnsi="宋体" w:eastAsia="宋体" w:cs="宋体"/>
          <w:spacing w:val="-5"/>
          <w:kern w:val="0"/>
          <w:sz w:val="24"/>
          <w:szCs w:val="24"/>
        </w:rPr>
        <w:t>加强财务管理，</w:t>
      </w:r>
      <w:r>
        <w:rPr>
          <w:rFonts w:hint="eastAsia" w:ascii="宋体" w:hAnsi="宋体" w:eastAsia="宋体" w:cs="宋体"/>
          <w:spacing w:val="7"/>
          <w:kern w:val="0"/>
          <w:sz w:val="24"/>
          <w:szCs w:val="24"/>
        </w:rPr>
        <w:t>科学管理、合理使用学校的设施和经费，并积极筹措资金，</w:t>
      </w:r>
      <w:r>
        <w:rPr>
          <w:rFonts w:hint="eastAsia" w:ascii="宋体" w:hAnsi="宋体" w:eastAsia="宋体" w:cs="宋体"/>
          <w:spacing w:val="-5"/>
          <w:kern w:val="0"/>
          <w:sz w:val="24"/>
          <w:szCs w:val="24"/>
        </w:rPr>
        <w:t>改善办学条件。</w:t>
      </w:r>
    </w:p>
    <w:p>
      <w:pPr>
        <w:pStyle w:val="2"/>
        <w:keepNext w:val="0"/>
        <w:keepLines w:val="0"/>
        <w:widowControl/>
        <w:suppressLineNumbers w:val="0"/>
        <w:spacing w:before="0" w:beforeAutospacing="0" w:after="0" w:afterAutospacing="0" w:line="480" w:lineRule="exact"/>
        <w:ind w:left="0" w:right="0" w:firstLine="460" w:firstLineChars="200"/>
      </w:pPr>
      <w:r>
        <w:rPr>
          <w:rFonts w:hint="eastAsia" w:ascii="宋体" w:hAnsi="宋体" w:eastAsia="宋体" w:cs="宋体"/>
          <w:spacing w:val="-5"/>
          <w:kern w:val="0"/>
          <w:sz w:val="24"/>
          <w:szCs w:val="24"/>
        </w:rPr>
        <w:t>六、加强思想政治工作，组织文化业务学习，有计划开展业务培训，提高教师业务水平。</w:t>
      </w:r>
    </w:p>
    <w:p>
      <w:pPr>
        <w:pStyle w:val="2"/>
        <w:keepNext w:val="0"/>
        <w:keepLines w:val="0"/>
        <w:widowControl/>
        <w:suppressLineNumbers w:val="0"/>
        <w:spacing w:before="0" w:beforeAutospacing="0" w:after="0" w:afterAutospacing="0" w:line="480" w:lineRule="exact"/>
        <w:ind w:left="0" w:right="0" w:firstLine="480" w:firstLineChars="200"/>
      </w:pPr>
      <w:r>
        <w:rPr>
          <w:rFonts w:hint="eastAsia" w:ascii="宋体" w:hAnsi="宋体" w:eastAsia="宋体" w:cs="宋体"/>
          <w:kern w:val="0"/>
          <w:sz w:val="24"/>
          <w:szCs w:val="24"/>
        </w:rPr>
        <w:t>七、关心教职工业务和生活，加强职工道德教育。 </w:t>
      </w:r>
    </w:p>
    <w:p>
      <w:pPr>
        <w:pStyle w:val="2"/>
        <w:keepNext w:val="0"/>
        <w:keepLines w:val="0"/>
        <w:widowControl/>
        <w:suppressLineNumbers w:val="0"/>
        <w:spacing w:before="0" w:beforeAutospacing="0" w:after="0" w:afterAutospacing="0" w:line="480" w:lineRule="exact"/>
        <w:ind w:left="0" w:right="0" w:firstLine="444" w:firstLineChars="200"/>
      </w:pPr>
      <w:r>
        <w:rPr>
          <w:rFonts w:hint="eastAsia" w:ascii="宋体" w:hAnsi="宋体" w:eastAsia="宋体" w:cs="宋体"/>
          <w:spacing w:val="-9"/>
          <w:kern w:val="0"/>
          <w:sz w:val="24"/>
          <w:szCs w:val="24"/>
        </w:rPr>
        <w:t>八、依法接受各级教育行政单位的检查指导和人民群众的监督。</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2"/>
          <w:sz w:val="30"/>
          <w:szCs w:val="30"/>
          <w:lang w:val="en-US" w:eastAsia="zh-CN" w:bidi="ar"/>
        </w:rPr>
        <w:t>   </w:t>
      </w:r>
      <w:r>
        <w:rPr>
          <w:rFonts w:hint="eastAsia" w:ascii="黑体" w:hAnsi="宋体" w:eastAsia="黑体" w:cs="黑体"/>
          <w:kern w:val="0"/>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本单位2021年年末实有人数9人，其中在职人员9人，退休人员0人（含由养老保险基金发放养老金的离退休人员）；年末其他人员0人。年末学生人数480人，其中小学0人，初中  0人，幼儿园  480人。</w:t>
      </w: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bookmarkStart w:id="0" w:name="_GoBack"/>
      <w:bookmarkEnd w:id="0"/>
    </w:p>
    <w:p>
      <w:pPr>
        <w:keepNext w:val="0"/>
        <w:keepLines w:val="0"/>
        <w:widowControl/>
        <w:suppressLineNumbers w:val="0"/>
        <w:autoSpaceDE w:val="0"/>
        <w:autoSpaceDN w:val="0"/>
        <w:adjustRightInd w:val="0"/>
        <w:spacing w:before="0" w:beforeAutospacing="1" w:after="0" w:afterAutospacing="1" w:line="23" w:lineRule="atLeast"/>
        <w:ind w:left="0" w:right="0"/>
        <w:jc w:val="left"/>
      </w:pPr>
    </w:p>
    <w:tbl>
      <w:tblPr>
        <w:tblW w:w="109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08"/>
        <w:gridCol w:w="705"/>
        <w:gridCol w:w="1146"/>
        <w:gridCol w:w="3780"/>
        <w:gridCol w:w="705"/>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982"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9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3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3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4759"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6223"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1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73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73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2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11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3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173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jc w:val="center"/>
        </w:trPr>
        <w:tc>
          <w:tcPr>
            <w:tcW w:w="10982"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0982" w:type="dxa"/>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9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3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90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3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3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color w:val="0000FF"/>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10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35"/>
        <w:gridCol w:w="554"/>
        <w:gridCol w:w="792"/>
        <w:gridCol w:w="1671"/>
        <w:gridCol w:w="1250"/>
        <w:gridCol w:w="1080"/>
        <w:gridCol w:w="1095"/>
        <w:gridCol w:w="915"/>
        <w:gridCol w:w="990"/>
        <w:gridCol w:w="112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1007"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5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652"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12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52"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25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108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109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91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99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112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90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67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25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1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67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5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1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67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5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1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35"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55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79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6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2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35"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1007"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9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35"/>
        <w:gridCol w:w="436"/>
        <w:gridCol w:w="436"/>
        <w:gridCol w:w="1316"/>
        <w:gridCol w:w="974"/>
        <w:gridCol w:w="1125"/>
        <w:gridCol w:w="900"/>
        <w:gridCol w:w="825"/>
        <w:gridCol w:w="1326"/>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803"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5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2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3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723"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9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2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3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723"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97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12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0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82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132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93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7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2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7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2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7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2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5"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97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3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5"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89.71</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2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8803"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5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2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3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5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9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2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3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1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54"/>
        <w:gridCol w:w="810"/>
        <w:gridCol w:w="1200"/>
        <w:gridCol w:w="2288"/>
        <w:gridCol w:w="465"/>
        <w:gridCol w:w="810"/>
        <w:gridCol w:w="1005"/>
        <w:gridCol w:w="795"/>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1288"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864"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22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61"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486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6424"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2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228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4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81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7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106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854"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0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28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1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9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85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2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4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0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288"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5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2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79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20"/>
        <w:gridCol w:w="435"/>
        <w:gridCol w:w="465"/>
        <w:gridCol w:w="1335"/>
        <w:gridCol w:w="964"/>
        <w:gridCol w:w="1469"/>
        <w:gridCol w:w="2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791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4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6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6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65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96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46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2655"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96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46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2822"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6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6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132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6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6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6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6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420"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6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9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4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8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420"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79.71</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32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791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4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6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6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4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6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146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2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1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25"/>
        <w:gridCol w:w="1758"/>
        <w:gridCol w:w="884"/>
        <w:gridCol w:w="1127"/>
        <w:gridCol w:w="1681"/>
        <w:gridCol w:w="884"/>
        <w:gridCol w:w="1198"/>
        <w:gridCol w:w="1663"/>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039"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7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567"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11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82"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7472"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25"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7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1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6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19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52.83</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26.88</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24.10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18.80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2.64</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0.49</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0.16</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10.60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2.64</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3.50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2.50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16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2.08</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5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2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2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75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2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26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8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52.83</w:t>
            </w:r>
          </w:p>
        </w:tc>
        <w:tc>
          <w:tcPr>
            <w:tcW w:w="655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9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039"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36"/>
                <w:szCs w:val="36"/>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tbl>
      <w:tblPr>
        <w:tblW w:w="9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1"/>
        <w:gridCol w:w="511"/>
        <w:gridCol w:w="511"/>
        <w:gridCol w:w="1284"/>
        <w:gridCol w:w="941"/>
        <w:gridCol w:w="1284"/>
        <w:gridCol w:w="769"/>
        <w:gridCol w:w="1284"/>
        <w:gridCol w:w="1284"/>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9720"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17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0" w:type="auto"/>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0" w:type="auto"/>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0" w:type="auto"/>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说明：当此表数据为零时，即本部门无政府性基金预算财政拨款收入、支出。</w:t>
            </w:r>
          </w:p>
        </w:tc>
      </w:tr>
    </w:tbl>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tbl>
      <w:tblPr>
        <w:tblW w:w="8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436"/>
        <w:gridCol w:w="436"/>
        <w:gridCol w:w="1096"/>
        <w:gridCol w:w="1657"/>
        <w:gridCol w:w="849"/>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985"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84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6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8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8985"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说明：当此表数据为空时，即本部门无国有资本经营预算财政拨款支出。</w:t>
            </w:r>
          </w:p>
        </w:tc>
      </w:tr>
    </w:tbl>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说明：当此表数据为空时，即本部门（单位）无相关资产。</w:t>
            </w:r>
          </w:p>
        </w:tc>
      </w:tr>
    </w:tbl>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4"/>
        <w:gridCol w:w="1230"/>
        <w:gridCol w:w="1039"/>
        <w:gridCol w:w="1148"/>
        <w:gridCol w:w="1162"/>
        <w:gridCol w:w="481"/>
        <w:gridCol w:w="1350"/>
        <w:gridCol w:w="938"/>
        <w:gridCol w:w="258"/>
        <w:gridCol w:w="382"/>
        <w:gridCol w:w="502"/>
        <w:gridCol w:w="277"/>
        <w:gridCol w:w="39"/>
        <w:gridCol w:w="759"/>
        <w:gridCol w:w="29"/>
        <w:gridCol w:w="415"/>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项目名称</w:t>
            </w:r>
          </w:p>
        </w:tc>
        <w:tc>
          <w:tcPr>
            <w:tcW w:w="8842" w:type="dxa"/>
            <w:gridSpan w:val="14"/>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主管单位</w:t>
            </w:r>
          </w:p>
        </w:tc>
        <w:tc>
          <w:tcPr>
            <w:tcW w:w="4666"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宁都县财政局</w:t>
            </w:r>
          </w:p>
        </w:tc>
        <w:tc>
          <w:tcPr>
            <w:tcW w:w="148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实施单位</w:t>
            </w:r>
          </w:p>
        </w:tc>
        <w:tc>
          <w:tcPr>
            <w:tcW w:w="2689" w:type="dxa"/>
            <w:gridSpan w:val="7"/>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宁都县第四幼儿园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（万元）</w:t>
            </w: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年初预算数</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全年预算数（A&amp; #41;</w:t>
            </w:r>
          </w:p>
        </w:tc>
        <w:tc>
          <w:tcPr>
            <w:tcW w:w="148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全年执行数&amp; #40;B&amp; #41;</w:t>
            </w:r>
          </w:p>
        </w:tc>
        <w:tc>
          <w:tcPr>
            <w:tcW w:w="1175"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36" w:type="dxa"/>
            <w:gridSpan w:val="3"/>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执行率&amp; #40;B/A&amp; #41;</w:t>
            </w:r>
          </w:p>
        </w:tc>
        <w:tc>
          <w:tcPr>
            <w:tcW w:w="578"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 25</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 26.88</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26.88 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其中：当年财政拨款</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25 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26.88 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26.88 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      上年结转资金</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    其他资金</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5731"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预期目标</w:t>
            </w:r>
          </w:p>
        </w:tc>
        <w:tc>
          <w:tcPr>
            <w:tcW w:w="4176"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tcBorders>
            <w:shd w:val="clear"/>
            <w:vAlign w:val="center"/>
          </w:tcPr>
          <w:p>
            <w:pPr>
              <w:rPr>
                <w:rFonts w:hint="eastAsia" w:ascii="宋体"/>
                <w:sz w:val="24"/>
                <w:szCs w:val="24"/>
              </w:rPr>
            </w:pPr>
          </w:p>
        </w:tc>
        <w:tc>
          <w:tcPr>
            <w:tcW w:w="5731"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2813"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1097"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年度指标值（A&amp; #41;</w:t>
            </w:r>
          </w:p>
        </w:tc>
        <w:tc>
          <w:tcPr>
            <w:tcW w:w="104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实际完成值&amp; #40;B&amp; #41;</w:t>
            </w:r>
          </w:p>
        </w:tc>
        <w:tc>
          <w:tcPr>
            <w:tcW w:w="875"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50"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c>
          <w:tcPr>
            <w:tcW w:w="1307" w:type="dxa"/>
            <w:gridSpan w:val="4"/>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vMerge w:val="continue"/>
            <w:tcBorders>
              <w:left w:val="nil"/>
            </w:tcBorders>
            <w:shd w:val="clear"/>
            <w:vAlign w:val="center"/>
          </w:tcPr>
          <w:p>
            <w:pPr>
              <w:rPr>
                <w:rFonts w:hint="eastAsia" w:ascii="宋体"/>
                <w:sz w:val="24"/>
                <w:szCs w:val="24"/>
              </w:rPr>
            </w:pPr>
          </w:p>
        </w:tc>
        <w:tc>
          <w:tcPr>
            <w:tcW w:w="1097" w:type="dxa"/>
            <w:vMerge w:val="continue"/>
            <w:tcBorders>
              <w:left w:val="nil"/>
            </w:tcBorders>
            <w:shd w:val="clear"/>
            <w:vAlign w:val="center"/>
          </w:tcPr>
          <w:p>
            <w:pPr>
              <w:rPr>
                <w:rFonts w:hint="eastAsia" w:ascii="宋体"/>
                <w:sz w:val="24"/>
                <w:szCs w:val="24"/>
              </w:rPr>
            </w:pPr>
          </w:p>
        </w:tc>
        <w:tc>
          <w:tcPr>
            <w:tcW w:w="1044" w:type="dxa"/>
            <w:vMerge w:val="continue"/>
            <w:tcBorders>
              <w:left w:val="nil"/>
            </w:tcBorders>
            <w:shd w:val="clear"/>
            <w:vAlign w:val="center"/>
          </w:tcPr>
          <w:p>
            <w:pPr>
              <w:rPr>
                <w:rFonts w:hint="eastAsia" w:ascii="宋体"/>
                <w:sz w:val="24"/>
                <w:szCs w:val="24"/>
              </w:rPr>
            </w:pPr>
          </w:p>
        </w:tc>
        <w:tc>
          <w:tcPr>
            <w:tcW w:w="875" w:type="dxa"/>
            <w:gridSpan w:val="2"/>
            <w:vMerge w:val="continue"/>
            <w:tcBorders>
              <w:left w:val="nil"/>
            </w:tcBorders>
            <w:shd w:val="clear"/>
            <w:vAlign w:val="center"/>
          </w:tcPr>
          <w:p>
            <w:pPr>
              <w:rPr>
                <w:rFonts w:hint="eastAsia" w:ascii="宋体"/>
                <w:sz w:val="24"/>
                <w:szCs w:val="24"/>
              </w:rPr>
            </w:pPr>
          </w:p>
        </w:tc>
        <w:tc>
          <w:tcPr>
            <w:tcW w:w="950" w:type="dxa"/>
            <w:gridSpan w:val="2"/>
            <w:vMerge w:val="continue"/>
            <w:tcBorders>
              <w:left w:val="nil"/>
            </w:tcBorders>
            <w:shd w:val="clear"/>
            <w:vAlign w:val="center"/>
          </w:tcPr>
          <w:p>
            <w:pPr>
              <w:rPr>
                <w:rFonts w:hint="eastAsia" w:ascii="宋体"/>
                <w:sz w:val="24"/>
                <w:szCs w:val="24"/>
              </w:rPr>
            </w:pPr>
          </w:p>
        </w:tc>
        <w:tc>
          <w:tcPr>
            <w:tcW w:w="1307" w:type="dxa"/>
            <w:gridSpan w:val="4"/>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产出指标（50分）</w:t>
            </w:r>
          </w:p>
        </w:tc>
        <w:tc>
          <w:tcPr>
            <w:tcW w:w="756"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学前教育生均公用经费执行标准</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1044" w:type="dxa"/>
            <w:tcBorders>
              <w:top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875"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bottom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学前教育生均公用经费拨付到位率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bottom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学前教育生均公用经费拨付及时率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保障学前教育学校正常运行</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效益指标（30分）</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教学活动开展有序，办学水平不断提高</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教育教学质量</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（10分）</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服务对象满意度指标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总分</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99.6</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    2.评分标准：（1） 若为</w:t>
            </w:r>
            <w:r>
              <w:rPr>
                <w:rFonts w:hint="eastAsia" w:ascii="宋体" w:hAnsi="宋体" w:eastAsia="宋体" w:cs="宋体"/>
                <w:b/>
                <w:bCs/>
                <w:i w:val="0"/>
                <w:iCs w:val="0"/>
                <w:kern w:val="0"/>
                <w:sz w:val="20"/>
                <w:szCs w:val="20"/>
                <w:bdr w:val="none" w:color="auto" w:sz="0" w:space="0"/>
                <w:lang w:val="en-US" w:eastAsia="zh-CN" w:bidi="ar"/>
              </w:rPr>
              <w:t>定性指标</w:t>
            </w:r>
            <w:r>
              <w:rPr>
                <w:rFonts w:hint="eastAsia" w:ascii="宋体" w:hAnsi="宋体" w:eastAsia="宋体" w:cs="宋体"/>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   （2）若为</w:t>
            </w:r>
            <w:r>
              <w:rPr>
                <w:rFonts w:hint="eastAsia" w:ascii="宋体" w:hAnsi="宋体" w:eastAsia="宋体" w:cs="宋体"/>
                <w:b/>
                <w:bCs/>
                <w:i w:val="0"/>
                <w:iCs w:val="0"/>
                <w:kern w:val="0"/>
                <w:sz w:val="20"/>
                <w:szCs w:val="20"/>
                <w:bdr w:val="none" w:color="auto" w:sz="0" w:space="0"/>
                <w:lang w:val="en-US" w:eastAsia="zh-CN" w:bidi="ar"/>
              </w:rPr>
              <w:t>定量指标</w:t>
            </w:r>
            <w:r>
              <w:rPr>
                <w:rFonts w:hint="eastAsia" w:ascii="宋体" w:hAnsi="宋体" w:eastAsia="宋体" w:cs="宋体"/>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89.71万元，较2020年增加27.2万元，增长43.51 %，其中:年初结转和结余0万元，较2020年增加0万元，增长（下降）0%；本年收入合计89.71万元，较2020年增加27.2万元，增长43.51 %，主要原因是：教职工人数和学生数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本年收入的具体构成为：财政拨款收入79.71万元，占88.85%；事业收入10万元，占11.15%；经营收入0万元，占0%；其他收入0万元，占0%。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89.71万元，其中本年支出合计89.71万元，较2020年增加27.2万元，增加43.51 %，主要原因是：教职工人数和学生增加产生支出数增加；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本年支出的具体构成为：基本支出89.71万元，占100%；项目支出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本单位2021年度财政拨款本年支出年初预算数为27.92万元，决算数为89.71万元，完成年初预算的321.3%。其中：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支出年初预算数为27.72万元，决算数为79.71万元，完成年初预算的287.55%，主要原因是：年初预算数中不包含公用经费、边远山区特殊津贴、乡村教师补助、绩效奖等经费拨款。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本单位2021年度一般公共预算财政拨款基本支出89.71万元，其中：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（一）工资福利支出52.83万元，较2020年增加26.62 万元，增加101.56%。主要原因是：人员及绩效增加。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（二）商品和服务支出26.88万元，较2020年减少9.42万元，下降25.95 %。主要原因是：压缩了一般性支出。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（三）对个人和家庭补助支出0万元，较2020年减少0 万元，下降0%，主要原因是：刚开办的学校，人员少。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（四）资本性支出0万元，较2020年增加（减少）0万元，增长（下降）0 %。主要原因是：没有项目投入。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本单位2021年度一般公共预算财政拨款“三公”经费支出年初预算数为1万元，决算数为0万元，完成预算的0%，决算数较2020年减少0万元，下降%，其中：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（二）公务接待费支出年初预算数为1万元，决算数为 0万元，完成预算的0%，决算数较2020年减少0万元，下降0%，主要原因是没有公务接待活动。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学校生均公用经费绩效自评综述：根据年初设定的绩效目标，学校生均公用经费绩效自评得分为99.6分。项目全年预算为26.88万元，执行数为26.88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55E332-1CDF-4E35-8301-5077DC3E91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1AD1201-4CC4-41B1-AFF7-D0B42C0DAF9B}"/>
  </w:font>
  <w:font w:name="方正小标宋简体">
    <w:panose1 w:val="02000000000000000000"/>
    <w:charset w:val="86"/>
    <w:family w:val="auto"/>
    <w:pitch w:val="default"/>
    <w:sig w:usb0="00000001" w:usb1="08000000" w:usb2="00000000" w:usb3="00000000" w:csb0="00040000" w:csb1="00000000"/>
    <w:embedRegular r:id="rId3" w:fontKey="{E15B2A68-72D7-47A0-9276-975C64792AF4}"/>
  </w:font>
  <w:font w:name="仿宋_GB2312">
    <w:altName w:val="仿宋"/>
    <w:panose1 w:val="00000000000000000000"/>
    <w:charset w:val="00"/>
    <w:family w:val="auto"/>
    <w:pitch w:val="default"/>
    <w:sig w:usb0="00000000" w:usb1="00000000" w:usb2="00000000" w:usb3="00000000" w:csb0="00000000" w:csb1="00000000"/>
    <w:embedRegular r:id="rId4" w:fontKey="{A5C00EBA-4F0A-49DD-904F-A1A9138229C0}"/>
  </w:font>
  <w:font w:name="仿宋">
    <w:panose1 w:val="02010609060101010101"/>
    <w:charset w:val="86"/>
    <w:family w:val="auto"/>
    <w:pitch w:val="default"/>
    <w:sig w:usb0="800002BF" w:usb1="38CF7CFA" w:usb2="00000016" w:usb3="00000000" w:csb0="00040001" w:csb1="00000000"/>
    <w:embedRegular r:id="rId5" w:fontKey="{50C9F900-189E-4AFD-9695-53B0DF88D92B}"/>
  </w:font>
  <w:font w:name="TimesNewRomanPSMT">
    <w:altName w:val="Times New Roman"/>
    <w:panose1 w:val="00000000000000000000"/>
    <w:charset w:val="00"/>
    <w:family w:val="auto"/>
    <w:pitch w:val="default"/>
    <w:sig w:usb0="00000000" w:usb1="00000000" w:usb2="00000000" w:usb3="00000000" w:csb0="00000000" w:csb1="00000000"/>
    <w:embedRegular r:id="rId6" w:fontKey="{7D660FF6-B61C-4DFB-A981-80220190E0EF}"/>
  </w:font>
  <w:font w:name="Arial">
    <w:panose1 w:val="020B0604020202020204"/>
    <w:charset w:val="00"/>
    <w:family w:val="auto"/>
    <w:pitch w:val="default"/>
    <w:sig w:usb0="E0002EFF" w:usb1="C000785B" w:usb2="00000009" w:usb3="00000000" w:csb0="400001FF" w:csb1="FFFF0000"/>
    <w:embedRegular r:id="rId7" w:fontKey="{401AF6A9-2E18-4E93-BC67-004BDF0FF9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ABA11E4"/>
    <w:rsid w:val="1ABA1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2023-10-07T14:22:00Z</dcterms:created>
  <dc:creator>才东东</dc:creator>
  <cp:lastModifiedBy>才东东</cp:lastModifiedBy>
  <dcterms:modified xsi:type="dcterms:W3CDTF">2023-10-07T14:23:08Z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C5B2E27F698D4291A8D952E1B99A0703_11</vt:lpwstr>
  </property>
</Properties>
</file>