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宁都县对坊初级中学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 单位概况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w:t>
      </w:r>
      <w:r>
        <w:rPr>
          <w:rFonts w:hint="default" w:ascii="仿宋_GB2312" w:eastAsia="仿宋_GB2312" w:cs="仿宋_GB2312" w:hAnsiTheme="minorHAnsi"/>
          <w:kern w:val="0"/>
          <w:sz w:val="32"/>
          <w:szCs w:val="32"/>
          <w:lang w:val="en-US" w:eastAsia="zh-CN" w:bidi="ar"/>
        </w:rPr>
        <w:t>八、</w:t>
      </w:r>
      <w:r>
        <w:rPr>
          <w:rFonts w:ascii="仿宋" w:hAnsi="仿宋" w:eastAsia="仿宋" w:cs="仿宋"/>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640" w:firstLineChars="200"/>
        <w:jc w:val="left"/>
      </w:pPr>
      <w:r>
        <w:rPr>
          <w:rFonts w:hint="default" w:ascii="仿宋_GB2312" w:hAnsi="Calibri" w:eastAsia="仿宋_GB2312" w:cs="仿宋_GB2312"/>
          <w:kern w:val="2"/>
          <w:sz w:val="32"/>
          <w:szCs w:val="32"/>
          <w:lang w:val="en-US" w:eastAsia="zh-CN" w:bidi="ar"/>
        </w:rPr>
        <w:t>    九、国有资产占用情况说明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default" w:ascii="仿宋_GB2312" w:hAnsi="Calibri" w:eastAsia="仿宋_GB2312" w:cs="仿宋_GB2312"/>
          <w:kern w:val="2"/>
          <w:sz w:val="32"/>
          <w:szCs w:val="32"/>
          <w:shd w:val="clear" w:fill="FFFFFF"/>
        </w:rPr>
        <w:t>    十、预算绩效情况说明</w:t>
      </w:r>
      <w:r>
        <w:rPr>
          <w:rFonts w:hint="default" w:ascii="仿宋_GB2312" w:eastAsia="仿宋_GB2312" w:cs="仿宋_GB2312" w:hAnsiTheme="minorHAnsi"/>
          <w:kern w:val="2"/>
          <w:sz w:val="32"/>
          <w:szCs w:val="32"/>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left"/>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 名词解释</w:t>
      </w:r>
    </w:p>
    <w:p>
      <w:pPr>
        <w:keepNext w:val="0"/>
        <w:keepLines w:val="0"/>
        <w:widowControl/>
        <w:suppressLineNumbers w:val="0"/>
        <w:spacing w:before="0" w:beforeAutospacing="1" w:after="0" w:afterAutospacing="1" w:line="580" w:lineRule="exact"/>
        <w:ind w:left="0" w:right="0"/>
        <w:jc w:val="center"/>
        <w:rPr>
          <w:rFonts w:hint="default" w:ascii="方正小标宋简体" w:hAnsi="方正小标宋简体" w:eastAsia="方正小标宋简体" w:cs="方正小标宋简体"/>
          <w:b w:val="0"/>
          <w:bCs/>
          <w:kern w:val="2"/>
          <w:sz w:val="44"/>
          <w:szCs w:val="44"/>
          <w:lang w:val="en-US" w:eastAsia="zh-CN" w:bidi="ar"/>
        </w:rPr>
      </w:pPr>
    </w:p>
    <w:p>
      <w:pPr>
        <w:keepNext w:val="0"/>
        <w:keepLines w:val="0"/>
        <w:widowControl/>
        <w:suppressLineNumbers w:val="0"/>
        <w:spacing w:before="0" w:beforeAutospacing="1" w:after="0" w:afterAutospacing="1" w:line="580" w:lineRule="exact"/>
        <w:ind w:left="0" w:right="0"/>
        <w:jc w:val="center"/>
      </w:pPr>
      <w:bookmarkStart w:id="0" w:name="_GoBack"/>
      <w:bookmarkEnd w:id="0"/>
      <w:r>
        <w:rPr>
          <w:rFonts w:hint="default"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2" w:firstLineChars="200"/>
      </w:pPr>
      <w:r>
        <w:rPr>
          <w:rFonts w:hint="eastAsia" w:ascii="宋体" w:hAnsi="宋体" w:eastAsia="宋体" w:cs="宋体"/>
          <w:b/>
          <w:bCs/>
          <w:color w:val="000000"/>
          <w:kern w:val="0"/>
          <w:sz w:val="24"/>
          <w:szCs w:val="24"/>
          <w:shd w:val="clear" w:fill="FFFFFF"/>
        </w:rPr>
        <w:t> </w:t>
      </w: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、负责按照教育主管部门发布的指导性教学计划、教学大纲，组织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、负责依据国家主管部门有关教学计划、课程设置等方面的规定，决定和实施本校的教学计划，组织教学评比、集体备课，对学生进行考核、考试等。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、依法接受各级教育行政部门的检查指导和人民群众的监督。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color w:val="0000FF"/>
          <w:kern w:val="2"/>
          <w:sz w:val="30"/>
          <w:szCs w:val="30"/>
          <w:lang w:val="en-US" w:eastAsia="zh-CN" w:bidi="ar"/>
        </w:rPr>
        <w:t> </w:t>
      </w: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rPr>
          <w:rFonts w:hint="default" w:ascii="仿宋_GB2312" w:eastAsia="仿宋_GB2312" w:cs="仿宋_GB2312" w:hAnsiTheme="minorHAnsi"/>
          <w:kern w:val="2"/>
          <w:sz w:val="30"/>
          <w:szCs w:val="30"/>
          <w:lang w:val="en-US" w:eastAsia="zh-CN" w:bidi="ar"/>
        </w:rPr>
      </w:pPr>
      <w:r>
        <w:rPr>
          <w:rFonts w:hint="default" w:ascii="仿宋_GB2312" w:eastAsia="仿宋_GB2312" w:cs="仿宋_GB2312" w:hAnsiTheme="minorHAnsi"/>
          <w:kern w:val="2"/>
          <w:sz w:val="30"/>
          <w:szCs w:val="30"/>
          <w:lang w:val="en-US" w:eastAsia="zh-CN" w:bidi="ar"/>
        </w:rPr>
        <w:t>本单位2021年年末实有人数</w:t>
      </w:r>
      <w:r>
        <w:rPr>
          <w:rFonts w:hint="eastAsia" w:ascii="仿宋_GB2312" w:eastAsia="仿宋_GB2312" w:cs="仿宋_GB2312"/>
          <w:kern w:val="2"/>
          <w:sz w:val="30"/>
          <w:szCs w:val="30"/>
          <w:lang w:val="en-US" w:eastAsia="zh-CN" w:bidi="ar"/>
        </w:rPr>
        <w:t>92</w:t>
      </w:r>
      <w:r>
        <w:rPr>
          <w:rFonts w:hint="default" w:ascii="仿宋_GB2312" w:eastAsia="仿宋_GB2312" w:cs="仿宋_GB2312" w:hAnsiTheme="minorHAnsi"/>
          <w:kern w:val="2"/>
          <w:sz w:val="30"/>
          <w:szCs w:val="30"/>
          <w:lang w:val="en-US" w:eastAsia="zh-CN" w:bidi="ar"/>
        </w:rPr>
        <w:t> 人，其中在职人员 71 人，退休人员</w:t>
      </w:r>
      <w:r>
        <w:rPr>
          <w:rFonts w:hint="eastAsia" w:ascii="仿宋_GB2312" w:eastAsia="仿宋_GB2312" w:cs="仿宋_GB2312"/>
          <w:kern w:val="2"/>
          <w:sz w:val="30"/>
          <w:szCs w:val="30"/>
          <w:lang w:val="en-US" w:eastAsia="zh-CN" w:bidi="ar"/>
        </w:rPr>
        <w:t>14</w:t>
      </w:r>
      <w:r>
        <w:rPr>
          <w:rFonts w:hint="default" w:ascii="仿宋_GB2312" w:eastAsia="仿宋_GB2312" w:cs="仿宋_GB2312" w:hAnsiTheme="minorHAnsi"/>
          <w:kern w:val="2"/>
          <w:sz w:val="30"/>
          <w:szCs w:val="30"/>
          <w:lang w:val="en-US" w:eastAsia="zh-CN" w:bidi="ar"/>
        </w:rPr>
        <w:t>人（含由养老保险基金发放养老金的离退休人员）；年末其他人员 7  人。年末学生人数 1246  人，其中小学  0 人，初中1246  人，小学 0 人，幼儿园 0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tbl>
      <w:tblPr>
        <w:tblStyle w:val="3"/>
        <w:tblW w:w="231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4"/>
        <w:gridCol w:w="2852"/>
        <w:gridCol w:w="575"/>
        <w:gridCol w:w="1082"/>
        <w:gridCol w:w="2364"/>
        <w:gridCol w:w="575"/>
        <w:gridCol w:w="1358"/>
        <w:gridCol w:w="14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540" w:hRule="atLeast"/>
        </w:trPr>
        <w:tc>
          <w:tcPr>
            <w:tcW w:w="9042"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244" w:hRule="atLeast"/>
        </w:trPr>
        <w:tc>
          <w:tcPr>
            <w:tcW w:w="308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5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8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36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5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255" w:hRule="atLeast"/>
        </w:trPr>
        <w:tc>
          <w:tcPr>
            <w:tcW w:w="308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5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8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236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5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277" w:hRule="atLeast"/>
        </w:trPr>
        <w:tc>
          <w:tcPr>
            <w:tcW w:w="4745"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4297"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10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13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0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3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四、上级补助收入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五、事业收入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41.69</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六、经营收入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七、附属单位上缴收入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八、其他收入</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23"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  使用非财政拨款结余</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  结余分配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  年初结转和结余</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  年末结转和结余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308"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277" w:hRule="atLeast"/>
        </w:trPr>
        <w:tc>
          <w:tcPr>
            <w:tcW w:w="308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1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23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13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554" w:hRule="atLeast"/>
        </w:trPr>
        <w:tc>
          <w:tcPr>
            <w:tcW w:w="9042"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101" w:type="dxa"/>
          <w:trHeight w:val="415" w:hRule="atLeast"/>
        </w:trPr>
        <w:tc>
          <w:tcPr>
            <w:tcW w:w="9042"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34" w:type="dxa"/>
          <w:trHeight w:val="679" w:hRule="atLeast"/>
        </w:trPr>
        <w:tc>
          <w:tcPr>
            <w:tcW w:w="2305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收入决算表</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531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8"/>
        <w:gridCol w:w="333"/>
        <w:gridCol w:w="335"/>
        <w:gridCol w:w="804"/>
        <w:gridCol w:w="920"/>
        <w:gridCol w:w="920"/>
        <w:gridCol w:w="920"/>
        <w:gridCol w:w="775"/>
        <w:gridCol w:w="763"/>
        <w:gridCol w:w="737"/>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054"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33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0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6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3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4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9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33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0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7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6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3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4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70"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9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本年收入合计</w:t>
            </w:r>
          </w:p>
        </w:tc>
        <w:tc>
          <w:tcPr>
            <w:tcW w:w="9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财政拨款收入</w:t>
            </w:r>
          </w:p>
        </w:tc>
        <w:tc>
          <w:tcPr>
            <w:tcW w:w="9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上级补助收入</w:t>
            </w:r>
          </w:p>
        </w:tc>
        <w:tc>
          <w:tcPr>
            <w:tcW w:w="77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事业收入</w:t>
            </w:r>
          </w:p>
        </w:tc>
        <w:tc>
          <w:tcPr>
            <w:tcW w:w="763"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经营收入</w:t>
            </w:r>
          </w:p>
        </w:tc>
        <w:tc>
          <w:tcPr>
            <w:tcW w:w="73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附属单位上缴收入</w:t>
            </w:r>
          </w:p>
        </w:tc>
        <w:tc>
          <w:tcPr>
            <w:tcW w:w="104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6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80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7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4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0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7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4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0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7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3"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4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8"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33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3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8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9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9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9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7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7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7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10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8"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41.69</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41.69</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41.69</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41.69</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9054"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注：本表反映部门本年度取得的各项收入情况。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536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2"/>
        <w:gridCol w:w="315"/>
        <w:gridCol w:w="317"/>
        <w:gridCol w:w="749"/>
        <w:gridCol w:w="935"/>
        <w:gridCol w:w="989"/>
        <w:gridCol w:w="733"/>
        <w:gridCol w:w="638"/>
        <w:gridCol w:w="1099"/>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43"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131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31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1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4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8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3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3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0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1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31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1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4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8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73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3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0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3"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93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98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73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63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上缴上级支出</w:t>
            </w:r>
          </w:p>
        </w:tc>
        <w:tc>
          <w:tcPr>
            <w:tcW w:w="109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经营支出</w:t>
            </w:r>
          </w:p>
        </w:tc>
        <w:tc>
          <w:tcPr>
            <w:tcW w:w="20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74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9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3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0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4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3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0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4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3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0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31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31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7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9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9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73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63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10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20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312"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1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1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925.93</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0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bl>
    <w:p/>
    <w:tbl>
      <w:tblPr>
        <w:tblStyle w:val="3"/>
        <w:tblW w:w="536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83"/>
        <w:gridCol w:w="519"/>
        <w:gridCol w:w="926"/>
        <w:gridCol w:w="2360"/>
        <w:gridCol w:w="651"/>
        <w:gridCol w:w="530"/>
        <w:gridCol w:w="14"/>
        <w:gridCol w:w="329"/>
        <w:gridCol w:w="240"/>
        <w:gridCol w:w="175"/>
        <w:gridCol w:w="233"/>
        <w:gridCol w:w="748"/>
        <w:gridCol w:w="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9143"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44"/>
                <w:szCs w:val="44"/>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8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36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65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44"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2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15"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16"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8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 </w:t>
            </w:r>
          </w:p>
        </w:tc>
        <w:tc>
          <w:tcPr>
            <w:tcW w:w="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2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36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 </w:t>
            </w:r>
          </w:p>
        </w:tc>
        <w:tc>
          <w:tcPr>
            <w:tcW w:w="65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44"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2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15"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16"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3628"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5515" w:type="dxa"/>
            <w:gridSpan w:val="10"/>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7" w:hRule="atLeast"/>
        </w:trPr>
        <w:tc>
          <w:tcPr>
            <w:tcW w:w="2183"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51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92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236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6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54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569"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一般公共预算财政拨款</w:t>
            </w:r>
          </w:p>
        </w:tc>
        <w:tc>
          <w:tcPr>
            <w:tcW w:w="408"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政府性基金预算财政拨款</w:t>
            </w:r>
          </w:p>
        </w:tc>
        <w:tc>
          <w:tcPr>
            <w:tcW w:w="98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83"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2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36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5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0" w:type="dxa"/>
            <w:tcBorders>
              <w:top w:val="nil"/>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583" w:type="dxa"/>
            <w:gridSpan w:val="3"/>
            <w:tcBorders>
              <w:top w:val="nil"/>
              <w:left w:val="nil"/>
              <w:bottom w:val="nil"/>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408" w:type="dxa"/>
            <w:gridSpan w:val="2"/>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3" w:type="dxa"/>
            <w:gridSpan w:val="2"/>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9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5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58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4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98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8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本年收入合计</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本年支出合计</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年初财政拨款结转和结余</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年末财政拨款结转和结余</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63</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18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5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9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23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6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64</w:t>
            </w:r>
          </w:p>
        </w:tc>
        <w:tc>
          <w:tcPr>
            <w:tcW w:w="54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5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40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8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8908"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注：本表反映部门本年度一般公共预算财政拨款、政府性基金预算财政拨款和国有资本经营预算财政拨款的总收支和年末结转结余情况。</w:t>
            </w:r>
          </w:p>
        </w:tc>
        <w:tc>
          <w:tcPr>
            <w:tcW w:w="0" w:type="auto"/>
            <w:shd w:val="clear" w:color="auto" w:fill="auto"/>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89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6"/>
        <w:gridCol w:w="436"/>
        <w:gridCol w:w="436"/>
        <w:gridCol w:w="1316"/>
        <w:gridCol w:w="1536"/>
        <w:gridCol w:w="1096"/>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988"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1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31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480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153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109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1552"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5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3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5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5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15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2050203</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  初中教育</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884.23</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3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88"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注：本表反映部门本年度一般公共预算财政拨款支出情况。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535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6"/>
        <w:gridCol w:w="752"/>
        <w:gridCol w:w="969"/>
        <w:gridCol w:w="456"/>
        <w:gridCol w:w="860"/>
        <w:gridCol w:w="893"/>
        <w:gridCol w:w="695"/>
        <w:gridCol w:w="941"/>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22"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9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7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6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6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8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9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7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6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6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89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6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8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6"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w:t>
            </w:r>
          </w:p>
        </w:tc>
        <w:tc>
          <w:tcPr>
            <w:tcW w:w="5426"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75"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7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9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4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8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69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经济分类科目编码</w:t>
            </w:r>
          </w:p>
        </w:tc>
        <w:tc>
          <w:tcPr>
            <w:tcW w:w="9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15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301</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工资福利支出</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770.02</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302</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商品和服务支出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108.20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307</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债务利息及费用支出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30101</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  基本工资</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325.55</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30201</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6.89</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30701</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  国内债务付息</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30102</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  津贴补贴</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56.70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30202</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  印刷费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15.75</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30702</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  国外债务付息</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30103</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  奖金</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26.33</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30203</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  咨询费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30703</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  国内债务发行费用</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30106</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  伙食补助费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30204</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  手续费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30704</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  国外债务发行费用</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30107</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  绩效工资</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212.69</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30205</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  水费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8.72</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310</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资本性支出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30108</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  机关事业单位基本养老保险缴费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66.95</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30206</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  电费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5.74</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31001</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  房屋建筑物购建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30109</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  职业年金缴费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15.80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30207</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  邮电费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0.12</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31002</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  办公设备购置</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30110</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  职工基本医疗保险缴费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46.16</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30208</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  取暖费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31003</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  专用设备购置</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30111</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  公务员医疗补助缴款</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30209</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  物业管理费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14.44</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31005</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  基础设施建设</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30112</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  其他社会保障缴费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0.25</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30211</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  差旅费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2.29</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31006</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  大型修缮</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30113</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  住房公积金</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30212</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  因公出国（境）费用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31007</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  信息网络及软件购置更新</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30114</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30213</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  维修（护）费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20.17</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31008</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  物资储备</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30199</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  其他工资福利支出</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19.57</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30214</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  租赁费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31009</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  土地补偿</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303</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对个人和家庭的补助</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5.56</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30215</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  会议费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4.26</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31010</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  安置补助</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30301</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  离休费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30216</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  培训费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7.56</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310111</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  地上附着物和青苗补偿</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30302</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  退休费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30217</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  公务接待费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0.54</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31012</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  拆迁补偿</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30303</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  退职（役）费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30218</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  专用材料费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0.13</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31013</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  公务用车购置</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30304</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  抚恤金</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30224</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  被装购置费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31019</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  其他交通工具购置</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30305</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  生活补贴</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5.05</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30225</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  专用燃料费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31021</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  文物和陈列品购置</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30306</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  救济费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30226</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  劳务费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1.99</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31022</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  无形资产购置</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30307</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  医疗费补助</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30227</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  委托业务费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31099</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  其他资本性支出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30308</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  助学金</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30228</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  工会经费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6.81</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312</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对企业补助</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30309</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  奖励金</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0.51</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30229</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  福利费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31201</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  资本金注入</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30310</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  个人农业生产补贴</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30231</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  公务用车运行维护费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31203</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  政府投资基金股权投资</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30311</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代缴社会保险费</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30239</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  其他交通费用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31204</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  费用补贴</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30399</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  其他对个人和家庭的补助支出</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30240</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  税金及附加费用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31205</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  利息补贴</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30299</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  其他商品和服务支出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12.80</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31299</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  其他对企业补助</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399</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lang w:val="en-US" w:eastAsia="zh-CN" w:bidi="ar"/>
              </w:rPr>
              <w:t>其他支出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39906</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  赠与</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5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39907</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  国家赔偿费用支出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39908</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  对民间非营利组织和群众性自治组织补贴</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97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5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39999</w:t>
            </w:r>
          </w:p>
        </w:tc>
        <w:tc>
          <w:tcPr>
            <w:tcW w:w="94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  其他支出</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2727"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人员经费合计</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775.58</w:t>
            </w:r>
          </w:p>
        </w:tc>
        <w:tc>
          <w:tcPr>
            <w:tcW w:w="3845"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公用支出合计</w:t>
            </w:r>
          </w:p>
        </w:tc>
        <w:tc>
          <w:tcPr>
            <w:tcW w:w="15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108.66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9122"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lang w:val="en-US" w:eastAsia="zh-CN" w:bidi="ar"/>
              </w:rPr>
              <w:t>注：本表反映部门本年度一般公共预算财政拨款基本支出明细情况。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516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59"/>
        <w:gridCol w:w="702"/>
        <w:gridCol w:w="844"/>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97"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95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70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84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9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95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70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84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9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9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w:t>
            </w:r>
          </w:p>
        </w:tc>
        <w:tc>
          <w:tcPr>
            <w:tcW w:w="70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844"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年初预算数</w:t>
            </w:r>
          </w:p>
        </w:tc>
        <w:tc>
          <w:tcPr>
            <w:tcW w:w="129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8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29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一、“三公”经费支出</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0.54</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  2.公务用车购置及运行维护费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    （1）公务用车购置费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    （2）公务用车运行维护费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  3.公务接待费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0.54</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    （1）国内接待费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    （2）国（境）外接待费</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二、相关统计数</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  1.因公出国（境）团组数（个）</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  2.因公出国（境）人次数（人）</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  3.公务用车购置数（辆）</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  4.公务用车保有量（辆）</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  5.国内公务接待批次（个）</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    其中：外事接待批次（个）</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  6.国内公务接待人次（人）</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    其中：外事接待人次（人）</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  7.国（境）外公务接待批次（个）</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  8.国（境）外公务接待人次（人）</w:t>
            </w:r>
          </w:p>
        </w:tc>
        <w:tc>
          <w:tcPr>
            <w:tcW w:w="7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8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w:t>
            </w:r>
          </w:p>
        </w:tc>
        <w:tc>
          <w:tcPr>
            <w:tcW w:w="12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8797" w:type="dxa"/>
            <w:gridSpan w:val="4"/>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797" w:type="dxa"/>
            <w:gridSpan w:val="4"/>
            <w:vMerge w:val="continue"/>
            <w:tcBorders>
              <w:top w:val="nil"/>
              <w:left w:val="nil"/>
              <w:bottom w:val="nil"/>
              <w:right w:val="nil"/>
            </w:tcBorders>
            <w:shd w:val="clear" w:color="auto" w:fill="auto"/>
            <w:vAlign w:val="center"/>
          </w:tcPr>
          <w:p>
            <w:pPr>
              <w:rPr>
                <w:rFonts w:hint="eastAsia" w:ascii="宋体"/>
                <w:sz w:val="24"/>
                <w:szCs w:val="24"/>
              </w:rPr>
            </w:pPr>
          </w:p>
        </w:tc>
      </w:tr>
    </w:tbl>
    <w:p/>
    <w:p/>
    <w:tbl>
      <w:tblPr>
        <w:tblStyle w:val="3"/>
        <w:tblW w:w="516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8"/>
        <w:gridCol w:w="341"/>
        <w:gridCol w:w="343"/>
        <w:gridCol w:w="719"/>
        <w:gridCol w:w="341"/>
        <w:gridCol w:w="718"/>
        <w:gridCol w:w="468"/>
        <w:gridCol w:w="718"/>
        <w:gridCol w:w="723"/>
        <w:gridCol w:w="2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97"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8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3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4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1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1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46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1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2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83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8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3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4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1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34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1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46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1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72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83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991"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34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年初结转和结余</w:t>
            </w:r>
          </w:p>
        </w:tc>
        <w:tc>
          <w:tcPr>
            <w:tcW w:w="718"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本年收入</w:t>
            </w:r>
          </w:p>
        </w:tc>
        <w:tc>
          <w:tcPr>
            <w:tcW w:w="1909" w:type="dxa"/>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w:t>
            </w:r>
          </w:p>
        </w:tc>
        <w:tc>
          <w:tcPr>
            <w:tcW w:w="283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7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71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34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18"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小计</w:t>
            </w:r>
          </w:p>
        </w:tc>
        <w:tc>
          <w:tcPr>
            <w:tcW w:w="71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72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c>
          <w:tcPr>
            <w:tcW w:w="28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7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1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18"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1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7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1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18"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1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588"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34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34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7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3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7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4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7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7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283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88"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3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4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7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28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797"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8797"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说明：当此表数据为零时，即本部门无政府性基金预算财政拨款收入、支出。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436"/>
        <w:gridCol w:w="436"/>
        <w:gridCol w:w="1096"/>
        <w:gridCol w:w="1066"/>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lang w:val="en-US" w:eastAsia="zh-CN" w:bidi="ar"/>
              </w:rPr>
              <w:t>说明：当此表数据为空时，即本部门无国有资本经营预算财政拨款支出。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编制单位：宁都县对坊中学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说明：当此表数据为空时，即本部门（单位）无相关资产。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 %d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rPr>
          <w:rFonts w:hint="eastAsia" w:ascii="Calibri" w:hAnsi="Calibri" w:eastAsia="宋体" w:cs="宋体"/>
          <w:kern w:val="2"/>
          <w:sz w:val="21"/>
          <w:szCs w:val="21"/>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eastAsia" w:ascii="Calibri" w:hAnsi="Calibri" w:eastAsia="宋体" w:cs="宋体"/>
          <w:kern w:val="2"/>
          <w:sz w:val="21"/>
          <w:szCs w:val="21"/>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rPr>
          <w:rFonts w:hint="eastAsia" w:ascii="Calibri" w:hAnsi="Calibri" w:eastAsia="宋体" w:cs="宋体"/>
          <w:kern w:val="2"/>
          <w:sz w:val="21"/>
          <w:szCs w:val="21"/>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eastAsia" w:ascii="Calibri" w:hAnsi="Calibri" w:eastAsia="宋体" w:cs="宋体"/>
          <w:kern w:val="2"/>
          <w:sz w:val="21"/>
          <w:szCs w:val="21"/>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本单位2021年度收入总计925.93万元，较2020年增加42.04  万元，增长4.8  %，其中：年初结转和结余 0 万元，较2020年增加0万元；本年收入合计 925.93 万元，较2020年增加42.04  万元，增长4.8  %，主要原因是：教职工人数增加产生收入数增加。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本年收入的具体构成为：财政拨款收入884.23  万元，占 95.5 %；事业收入 41.69  万元，占 4.5 %；经营收入  0 万元，占 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925.93   万元，其中本年支出合计925.93 万元，较2020年增加42.04  万元，增长4.8 %，主要原因是：教职工人数增加产生支出数增加；年末结转和结余   0万元，较2020年增加0  万元，增长0  %。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本年支出的具体构成为：基本支出925.93   万元，占100  %；项目支出 0  万元，占 0  %；经营支出   0万元，占0  %；其他支出（对附属单位补助支出、上缴上级支出）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 634.55  万元，决算数为884.23  万元，完成年初预算的139.4  %。其中：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  634.55万元，决算数为884.23  万元，完成年初预算的139.4  %，主要原因是：年初预算数不包含公用经费、边远山区特殊津贴、乡村教师补助、绩效奖等经费拨款。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本部门2021年度一般公共预算财政拨款基本支出 884.23 万元，其中：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（一）工资福利支出770.02   万元，较2020年增加25.13 万元，增长3.3 %，主要原因是：教职工人数增加和乡镇工作补贴支出调整到工资福利支出。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 108.2  万元，较2020年增加3.56  万元，增长3.3  %，主要原因是：工会费支出增加。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 5.56  万元，较2020年减少）6.76 万元，下降55 %，主要原因是：乡镇工作补贴支出调整到工资福利支出。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0.46  万元，较2020年减少21.58 万元，下降98 %，主要原因是：工程项目支出减少。</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xml:space="preserve">本部门2021年度一般公共预算财政拨款“三公”经费支出年初预算数为 </w:t>
      </w:r>
      <w:r>
        <w:rPr>
          <w:rFonts w:hint="eastAsia" w:ascii="仿宋_GB2312" w:eastAsia="仿宋_GB2312" w:cs="仿宋_GB2312"/>
          <w:kern w:val="2"/>
          <w:sz w:val="30"/>
          <w:szCs w:val="30"/>
          <w:lang w:val="en-US" w:eastAsia="zh-CN" w:bidi="ar"/>
        </w:rPr>
        <w:t>0.54</w:t>
      </w:r>
      <w:r>
        <w:rPr>
          <w:rFonts w:hint="default" w:ascii="仿宋_GB2312" w:eastAsia="仿宋_GB2312" w:cs="仿宋_GB2312" w:hAnsiTheme="minorHAnsi"/>
          <w:kern w:val="2"/>
          <w:sz w:val="30"/>
          <w:szCs w:val="30"/>
          <w:lang w:val="en-US" w:eastAsia="zh-CN" w:bidi="ar"/>
        </w:rPr>
        <w:t> 万元，决算数为0.54  万元，完成预算的</w:t>
      </w:r>
      <w:r>
        <w:rPr>
          <w:rFonts w:hint="eastAsia" w:ascii="仿宋_GB2312" w:eastAsia="仿宋_GB2312" w:cs="仿宋_GB2312"/>
          <w:kern w:val="2"/>
          <w:sz w:val="30"/>
          <w:szCs w:val="30"/>
          <w:lang w:val="en-US" w:eastAsia="zh-CN" w:bidi="ar"/>
        </w:rPr>
        <w:t>100</w:t>
      </w:r>
      <w:r>
        <w:rPr>
          <w:rFonts w:hint="default" w:ascii="仿宋_GB2312" w:eastAsia="仿宋_GB2312" w:cs="仿宋_GB2312" w:hAnsiTheme="minorHAnsi"/>
          <w:kern w:val="2"/>
          <w:sz w:val="30"/>
          <w:szCs w:val="30"/>
          <w:lang w:val="en-US" w:eastAsia="zh-CN" w:bidi="ar"/>
        </w:rPr>
        <w:t> %，决算数较2020年减少1.05  万元，下降66  %，其中：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0 万元，完成预算的0%，决算数较2020年增加（减少）0万元，增长（下降）0 %。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w:t>
      </w:r>
      <w:r>
        <w:rPr>
          <w:rFonts w:hint="eastAsia" w:ascii="仿宋_GB2312" w:eastAsia="仿宋_GB2312" w:cs="仿宋_GB2312"/>
          <w:kern w:val="2"/>
          <w:sz w:val="30"/>
          <w:szCs w:val="30"/>
          <w:lang w:val="en-US" w:eastAsia="zh-CN" w:bidi="ar"/>
        </w:rPr>
        <w:t>0.54</w:t>
      </w:r>
      <w:r>
        <w:rPr>
          <w:rFonts w:hint="default" w:ascii="仿宋_GB2312" w:eastAsia="仿宋_GB2312" w:cs="仿宋_GB2312" w:hAnsiTheme="minorHAnsi"/>
          <w:kern w:val="2"/>
          <w:sz w:val="30"/>
          <w:szCs w:val="30"/>
          <w:lang w:val="en-US" w:eastAsia="zh-CN" w:bidi="ar"/>
        </w:rPr>
        <w:t> 万元，决算数为  0.54万元，完成预算的</w:t>
      </w:r>
      <w:r>
        <w:rPr>
          <w:rFonts w:hint="eastAsia" w:ascii="仿宋_GB2312" w:eastAsia="仿宋_GB2312" w:cs="仿宋_GB2312"/>
          <w:kern w:val="2"/>
          <w:sz w:val="30"/>
          <w:szCs w:val="30"/>
          <w:lang w:val="en-US" w:eastAsia="zh-CN" w:bidi="ar"/>
        </w:rPr>
        <w:t>100</w:t>
      </w:r>
      <w:r>
        <w:rPr>
          <w:rFonts w:hint="default" w:ascii="仿宋_GB2312" w:eastAsia="仿宋_GB2312" w:cs="仿宋_GB2312" w:hAnsiTheme="minorHAnsi"/>
          <w:kern w:val="2"/>
          <w:sz w:val="30"/>
          <w:szCs w:val="30"/>
          <w:lang w:val="en-US" w:eastAsia="zh-CN" w:bidi="ar"/>
        </w:rPr>
        <w:t> %，决算数较2020年减少1.05  万元，下降66  %，主要原因是认真执行八项规定，节约三公经费开支。决算数较年初预算数减少的主要原因是：厉行节俭。全年国内公务接待 56 批，累计接待 152 人次，主要为：部门上级主管工作人员来本校检查教育教学工作所产生的公务接待费用。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本部门2021年度政府采购支出总额 114.88 万元，其中：政府采购货物支出  0万元、政府采购工程支出 114.88 万元、政府采购服务支出 0 万元。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八、国有资产占用情况说明。</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截止2021年12月31日，本部门（单位）国有资产占用情况见公开10表《国有资产占用情况表》。本单位无其他用车。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黑体" w:hAnsi="宋体" w:eastAsia="黑体" w:cs="黑体"/>
          <w:b w:val="0"/>
          <w:bCs w:val="0"/>
          <w:i w:val="0"/>
          <w:iCs w:val="0"/>
          <w:caps w:val="0"/>
          <w:color w:val="000000"/>
          <w:spacing w:val="0"/>
          <w:kern w:val="0"/>
          <w:sz w:val="32"/>
          <w:szCs w:val="32"/>
          <w:shd w:val="clear" w:fill="FFFFFF"/>
        </w:rPr>
        <w:t>九、预算绩效情况说明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根据预算绩效管理要求，我单位组织对纳入2021年度部门预算范围的二级项目1个公用经费项目全面开展绩效自评。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（二）单位决算中项目绩效自评情况。</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主管部门</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宁都县对坊初级中学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150.63</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150.63</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150.63</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150.63</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150.63</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150.63</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一、财政拨款收入：指单位本年度从本级财政部门取得的财政拨款，包括一般公共预算财政拨款和政府性基金预算财政拨款。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二、上级补助收入：指事业单位从主管部门和上级单位取得的非财政补助收入。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5F27B67-2E0C-40F7-93E0-E2DBBF610DC8}"/>
  </w:font>
  <w:font w:name="黑体">
    <w:panose1 w:val="02010609060101010101"/>
    <w:charset w:val="86"/>
    <w:family w:val="auto"/>
    <w:pitch w:val="default"/>
    <w:sig w:usb0="800002BF" w:usb1="38CF7CFA" w:usb2="00000016" w:usb3="00000000" w:csb0="00040001" w:csb1="00000000"/>
    <w:embedRegular r:id="rId2" w:fontKey="{FAE15B3A-4B7D-4054-9BDE-679DE57984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209EE4C-8B72-4C58-B2F7-802E23F94B83}"/>
  </w:font>
  <w:font w:name="方正小标宋简体">
    <w:panose1 w:val="02000000000000000000"/>
    <w:charset w:val="86"/>
    <w:family w:val="auto"/>
    <w:pitch w:val="default"/>
    <w:sig w:usb0="00000001" w:usb1="08000000" w:usb2="00000000" w:usb3="00000000" w:csb0="00040000" w:csb1="00000000"/>
    <w:embedRegular r:id="rId4" w:fontKey="{53E46A35-098C-455C-8AB3-E51D28E85B5F}"/>
  </w:font>
  <w:font w:name="仿宋_GB2312">
    <w:altName w:val="仿宋"/>
    <w:panose1 w:val="00000000000000000000"/>
    <w:charset w:val="00"/>
    <w:family w:val="auto"/>
    <w:pitch w:val="default"/>
    <w:sig w:usb0="00000000" w:usb1="00000000" w:usb2="00000000" w:usb3="00000000" w:csb0="00000000" w:csb1="00000000"/>
    <w:embedRegular r:id="rId5" w:fontKey="{CC11E43B-FD33-4A0F-A792-B170F8C2D111}"/>
  </w:font>
  <w:font w:name="仿宋">
    <w:panose1 w:val="02010609060101010101"/>
    <w:charset w:val="86"/>
    <w:family w:val="auto"/>
    <w:pitch w:val="default"/>
    <w:sig w:usb0="800002BF" w:usb1="38CF7CFA" w:usb2="00000016" w:usb3="00000000" w:csb0="00040001" w:csb1="00000000"/>
    <w:embedRegular r:id="rId6" w:fontKey="{208CB0F2-8857-441A-AE01-6920E0BB042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AA5DA"/>
    <w:multiLevelType w:val="singleLevel"/>
    <w:tmpl w:val="100AA5DA"/>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55D7BE5"/>
    <w:rsid w:val="010F3B4F"/>
    <w:rsid w:val="19484788"/>
    <w:rsid w:val="255D7BE5"/>
    <w:rsid w:val="553D1037"/>
    <w:rsid w:val="69A1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2023-10-07T06:53:00Z</dcterms:created>
  <dc:creator>才东东</dc:creator>
  <cp:lastModifiedBy>才东东</cp:lastModifiedBy>
  <dcterms:modified xsi:type="dcterms:W3CDTF">2023-10-09T00:40:04Z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7F80613E467C40F997C7C3BD2B072960_11</vt:lpwstr>
  </property>
</Properties>
</file>