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left"/>
      </w:pPr>
      <w:r>
        <w:rPr>
          <w:rFonts w:ascii="楷体" w:hAnsi="楷体" w:eastAsia="楷体" w:cs="楷体"/>
          <w:kern w:val="2"/>
          <w:sz w:val="30"/>
          <w:szCs w:val="30"/>
          <w:lang w:val="en-US" w:eastAsia="zh-CN" w:bidi="ar"/>
        </w:rPr>
        <w:t> </w:t>
      </w:r>
      <w:r>
        <w:rPr>
          <w:rFonts w:ascii="方正小标宋简体" w:hAnsi="方正小标宋简体" w:eastAsia="方正小标宋简体" w:cs="方正小标宋简体"/>
          <w:b w:val="0"/>
          <w:bCs w:val="0"/>
          <w:kern w:val="2"/>
          <w:sz w:val="44"/>
          <w:szCs w:val="44"/>
          <w:lang w:val="en-US" w:eastAsia="zh-CN" w:bidi="ar"/>
        </w:rPr>
        <w:t>宁都县固厚</w:t>
      </w:r>
      <w:r>
        <w:rPr>
          <w:rFonts w:hint="default" w:ascii="方正小标宋简体" w:hAnsi="方正小标宋简体" w:eastAsia="方正小标宋简体" w:cs="方正小标宋简体"/>
          <w:b w:val="0"/>
          <w:bCs w:val="0"/>
          <w:kern w:val="2"/>
          <w:sz w:val="44"/>
          <w:szCs w:val="44"/>
          <w:lang w:val="en-US" w:eastAsia="zh-CN" w:bidi="ar"/>
        </w:rPr>
        <w:t>初级中学2021年度单位决算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ilvl w:val="0"/>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十、国有资产占用情况表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shd w:val="clear" w:fill="FFFFFF"/>
        </w:rPr>
        <w:t>十、预算绩效情况说明</w:t>
      </w:r>
      <w:r>
        <w:rPr>
          <w:rFonts w:hint="default" w:ascii="仿宋_GB2312" w:eastAsia="仿宋_GB2312" w:cs="仿宋_GB2312"/>
          <w:sz w:val="32"/>
          <w:szCs w:val="32"/>
          <w:shd w:val="clear" w:fill="FFFFFF"/>
        </w:rPr>
        <w:t> </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2"/>
          <w:sz w:val="36"/>
          <w:szCs w:val="36"/>
          <w:lang w:val="en-US" w:eastAsia="zh-CN" w:bidi="ar"/>
        </w:rPr>
        <w:t> </w:t>
      </w:r>
    </w:p>
    <w:p>
      <w:pPr>
        <w:keepNext w:val="0"/>
        <w:keepLines w:val="0"/>
        <w:widowControl/>
        <w:suppressLineNumbers w:val="0"/>
        <w:spacing w:before="0" w:beforeAutospacing="1" w:after="0" w:afterAutospacing="1" w:line="580" w:lineRule="exact"/>
        <w:ind w:left="0" w:right="0" w:firstLine="1760" w:firstLineChars="400"/>
        <w:jc w:val="both"/>
      </w:pPr>
      <w:r>
        <w:rPr>
          <w:rFonts w:hint="default" w:ascii="方正小标宋简体" w:hAnsi="方正小标宋简体" w:eastAsia="方正小标宋简体" w:cs="方正小标宋简体"/>
          <w:b w:val="0"/>
          <w:bCs/>
          <w:kern w:val="2"/>
          <w:sz w:val="44"/>
          <w:szCs w:val="44"/>
          <w:lang w:val="en-US" w:eastAsia="zh-CN" w:bidi="ar"/>
        </w:rPr>
        <w:t>第一部分  学校概况</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一、主要职能</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1</w:t>
      </w:r>
      <w:r>
        <w:rPr>
          <w:rFonts w:hint="eastAsia" w:ascii="宋体" w:hAnsi="宋体" w:eastAsia="宋体" w:cs="宋体"/>
          <w:color w:val="000000"/>
          <w:spacing w:val="7"/>
          <w:kern w:val="0"/>
          <w:sz w:val="24"/>
          <w:szCs w:val="24"/>
          <w:shd w:val="clear" w:fill="FFFFFF"/>
        </w:rPr>
        <w:t>、负责贯彻党的教育方针，坚持社会主义办学方向，对学生进行德</w:t>
      </w:r>
      <w:r>
        <w:rPr>
          <w:rFonts w:hint="eastAsia" w:ascii="宋体" w:hAnsi="宋体" w:eastAsia="宋体" w:cs="宋体"/>
          <w:color w:val="000000"/>
          <w:spacing w:val="-9"/>
          <w:kern w:val="0"/>
          <w:sz w:val="24"/>
          <w:szCs w:val="24"/>
          <w:shd w:val="clear" w:fill="FFFFFF"/>
        </w:rPr>
        <w:t>育、智育、体育、美育和劳动教育等方面的教育。</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2</w:t>
      </w:r>
      <w:r>
        <w:rPr>
          <w:rFonts w:hint="eastAsia" w:ascii="宋体" w:hAnsi="宋体" w:eastAsia="宋体" w:cs="宋体"/>
          <w:color w:val="000000"/>
          <w:spacing w:val="7"/>
          <w:kern w:val="0"/>
          <w:sz w:val="24"/>
          <w:szCs w:val="24"/>
          <w:shd w:val="clear" w:fill="FFFFFF"/>
        </w:rPr>
        <w:t>、负责配合各级人民政府依法动员适龄儿童、少年入学，严格控制</w:t>
      </w:r>
      <w:r>
        <w:rPr>
          <w:rFonts w:hint="eastAsia" w:ascii="宋体" w:hAnsi="宋体" w:eastAsia="宋体" w:cs="宋体"/>
          <w:color w:val="000000"/>
          <w:spacing w:val="-11"/>
          <w:kern w:val="0"/>
          <w:sz w:val="24"/>
          <w:szCs w:val="24"/>
          <w:shd w:val="clear" w:fill="FFFFFF"/>
        </w:rPr>
        <w:t>学生辍学，依法保证适龄儿童、少年接受九年义务教育。</w:t>
      </w:r>
      <w:r>
        <w:rPr>
          <w:rFonts w:hint="eastAsia" w:ascii="宋体" w:hAnsi="宋体" w:eastAsia="宋体" w:cs="宋体"/>
          <w:color w:val="000000"/>
          <w:kern w:val="0"/>
          <w:sz w:val="24"/>
          <w:szCs w:val="24"/>
          <w:shd w:val="clear" w:fill="FFFFFF"/>
        </w:rPr>
        <w:t> </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3</w:t>
      </w:r>
      <w:r>
        <w:rPr>
          <w:rFonts w:hint="eastAsia" w:ascii="宋体" w:hAnsi="宋体" w:eastAsia="宋体" w:cs="宋体"/>
          <w:color w:val="000000"/>
          <w:spacing w:val="-9"/>
          <w:kern w:val="0"/>
          <w:sz w:val="24"/>
          <w:szCs w:val="24"/>
          <w:shd w:val="clear" w:fill="FFFFFF"/>
        </w:rPr>
        <w:t>、负责制定学校教育发展规划，并抓好组织实施和落实工作。</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4</w:t>
      </w:r>
      <w:r>
        <w:rPr>
          <w:rFonts w:hint="eastAsia" w:ascii="宋体" w:hAnsi="宋体" w:eastAsia="宋体" w:cs="宋体"/>
          <w:color w:val="000000"/>
          <w:spacing w:val="7"/>
          <w:kern w:val="0"/>
          <w:sz w:val="24"/>
          <w:szCs w:val="24"/>
          <w:shd w:val="clear" w:fill="FFFFFF"/>
        </w:rPr>
        <w:t>、负责按照教育主管单位发布的指导性教学计划、教学大纲，组织</w:t>
      </w:r>
      <w:r>
        <w:rPr>
          <w:rFonts w:hint="eastAsia" w:ascii="宋体" w:hAnsi="宋体" w:eastAsia="宋体" w:cs="宋体"/>
          <w:color w:val="000000"/>
          <w:spacing w:val="-11"/>
          <w:kern w:val="0"/>
          <w:sz w:val="24"/>
          <w:szCs w:val="24"/>
          <w:shd w:val="clear" w:fill="FFFFFF"/>
        </w:rPr>
        <w:t>实施教育教学活动。</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5</w:t>
      </w:r>
      <w:r>
        <w:rPr>
          <w:rFonts w:hint="eastAsia" w:ascii="宋体" w:hAnsi="宋体" w:eastAsia="宋体" w:cs="宋体"/>
          <w:color w:val="000000"/>
          <w:spacing w:val="7"/>
          <w:kern w:val="0"/>
          <w:sz w:val="24"/>
          <w:szCs w:val="24"/>
          <w:shd w:val="clear" w:fill="FFFFFF"/>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6</w:t>
      </w:r>
      <w:r>
        <w:rPr>
          <w:rFonts w:hint="eastAsia" w:ascii="宋体" w:hAnsi="宋体" w:eastAsia="宋体" w:cs="宋体"/>
          <w:color w:val="000000"/>
          <w:spacing w:val="-4"/>
          <w:kern w:val="0"/>
          <w:sz w:val="24"/>
          <w:szCs w:val="24"/>
          <w:shd w:val="clear" w:fill="FFFFFF"/>
        </w:rPr>
        <w:t>、负责学籍管理。</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7</w:t>
      </w:r>
      <w:r>
        <w:rPr>
          <w:rFonts w:hint="eastAsia" w:ascii="宋体" w:hAnsi="宋体" w:eastAsia="宋体" w:cs="宋体"/>
          <w:color w:val="000000"/>
          <w:spacing w:val="-9"/>
          <w:kern w:val="0"/>
          <w:sz w:val="24"/>
          <w:szCs w:val="24"/>
          <w:shd w:val="clear" w:fill="FFFFFF"/>
        </w:rPr>
        <w:t>、负责聘任、培训、考核教师，依法奖励或处分有关教师和职工。</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8</w:t>
      </w:r>
      <w:r>
        <w:rPr>
          <w:rFonts w:hint="eastAsia" w:ascii="宋体" w:hAnsi="宋体" w:eastAsia="宋体" w:cs="宋体"/>
          <w:color w:val="000000"/>
          <w:spacing w:val="7"/>
          <w:kern w:val="0"/>
          <w:sz w:val="24"/>
          <w:szCs w:val="24"/>
          <w:shd w:val="clear" w:fill="FFFFFF"/>
        </w:rPr>
        <w:t>、负责科学管理、合理使用学校的设施和经费，并积极筹措资金，</w:t>
      </w:r>
      <w:r>
        <w:rPr>
          <w:rFonts w:hint="eastAsia" w:ascii="宋体" w:hAnsi="宋体" w:eastAsia="宋体" w:cs="宋体"/>
          <w:color w:val="000000"/>
          <w:spacing w:val="-5"/>
          <w:kern w:val="0"/>
          <w:sz w:val="24"/>
          <w:szCs w:val="24"/>
          <w:shd w:val="clear" w:fill="FFFFFF"/>
        </w:rPr>
        <w:t>改善办学条件。</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9</w:t>
      </w:r>
      <w:r>
        <w:rPr>
          <w:rFonts w:hint="eastAsia" w:ascii="宋体" w:hAnsi="宋体" w:eastAsia="宋体" w:cs="宋体"/>
          <w:color w:val="000000"/>
          <w:spacing w:val="7"/>
          <w:kern w:val="0"/>
          <w:sz w:val="24"/>
          <w:szCs w:val="24"/>
          <w:shd w:val="clear" w:fill="FFFFFF"/>
        </w:rPr>
        <w:t>、负责维护学校、师生的合法权益，有权拒绝任何组织和个人对教</w:t>
      </w:r>
      <w:r>
        <w:rPr>
          <w:rFonts w:hint="eastAsia" w:ascii="宋体" w:hAnsi="宋体" w:eastAsia="宋体" w:cs="宋体"/>
          <w:color w:val="000000"/>
          <w:spacing w:val="-8"/>
          <w:kern w:val="0"/>
          <w:sz w:val="24"/>
          <w:szCs w:val="24"/>
          <w:shd w:val="clear" w:fill="FFFFFF"/>
        </w:rPr>
        <w:t>育教学活动进行非法干涉。</w:t>
      </w:r>
    </w:p>
    <w:p>
      <w:pPr>
        <w:pStyle w:val="2"/>
        <w:keepNext w:val="0"/>
        <w:keepLines w:val="0"/>
        <w:widowControl/>
        <w:suppressLineNumbers w:val="0"/>
        <w:shd w:val="clear" w:fill="FFFFFF"/>
        <w:spacing w:before="0" w:beforeAutospacing="0" w:after="0" w:afterAutospacing="0" w:line="480" w:lineRule="exact"/>
        <w:ind w:left="0" w:right="0" w:firstLine="444" w:firstLineChars="200"/>
      </w:pPr>
      <w:r>
        <w:rPr>
          <w:rFonts w:hint="default" w:ascii="Calibri" w:hAnsi="Calibri" w:eastAsia="宋体" w:cs="Calibri"/>
          <w:color w:val="000000"/>
          <w:spacing w:val="-9"/>
          <w:kern w:val="0"/>
          <w:sz w:val="24"/>
          <w:szCs w:val="24"/>
          <w:shd w:val="clear" w:fill="FFFFFF"/>
        </w:rPr>
        <w:t>10</w:t>
      </w:r>
      <w:r>
        <w:rPr>
          <w:rFonts w:hint="eastAsia" w:ascii="宋体" w:hAnsi="宋体" w:eastAsia="宋体" w:cs="宋体"/>
          <w:color w:val="000000"/>
          <w:spacing w:val="-9"/>
          <w:kern w:val="0"/>
          <w:sz w:val="24"/>
          <w:szCs w:val="24"/>
          <w:shd w:val="clear" w:fill="FFFFFF"/>
        </w:rPr>
        <w:t>、依法接受各级教育行政单位的检查指导和人民群众的监督。</w:t>
      </w:r>
    </w:p>
    <w:p>
      <w:pPr>
        <w:keepNext w:val="0"/>
        <w:keepLines w:val="0"/>
        <w:widowControl/>
        <w:suppressLineNumbers w:val="0"/>
        <w:spacing w:before="0" w:beforeAutospacing="1" w:after="0" w:afterAutospacing="1"/>
        <w:ind w:left="0" w:right="0" w:firstLine="300" w:firstLineChars="100"/>
        <w:jc w:val="left"/>
      </w:pPr>
      <w:r>
        <w:rPr>
          <w:rFonts w:hint="eastAsia" w:ascii="黑体" w:hAnsi="宋体" w:eastAsia="黑体" w:cs="黑体"/>
          <w:kern w:val="2"/>
          <w:sz w:val="30"/>
          <w:szCs w:val="30"/>
          <w:lang w:val="en-US" w:eastAsia="zh-CN" w:bidi="ar"/>
        </w:rPr>
        <w:t>二、基本情况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 1  个。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本单位2021年年末实有人数87人，其中在职人员52人，离休人员 0 人，退休人员28 人（含由养老保险基金发放养老金的离退休人员）；年末其他人员7人；年末学生人数602 人。</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numPr>
          <w:ilvl w:val="0"/>
          <w:numId w:val="0"/>
        </w:numPr>
        <w:suppressLineNumbers w:val="0"/>
        <w:spacing w:before="0" w:beforeAutospacing="1" w:after="0" w:afterAutospacing="1" w:line="600" w:lineRule="exact"/>
        <w:ind w:left="0" w:right="0" w:firstLine="420" w:firstLineChars="200"/>
        <w:jc w:val="both"/>
      </w:pPr>
    </w:p>
    <w:p>
      <w:pPr>
        <w:keepNext w:val="0"/>
        <w:keepLines w:val="0"/>
        <w:widowControl/>
        <w:numPr>
          <w:ilvl w:val="0"/>
          <w:numId w:val="0"/>
        </w:numPr>
        <w:suppressLineNumbers w:val="0"/>
        <w:spacing w:before="0" w:beforeAutospacing="1" w:after="0" w:afterAutospacing="1" w:line="600" w:lineRule="exact"/>
        <w:ind w:left="0" w:right="0" w:firstLine="880" w:firstLineChars="200"/>
        <w:jc w:val="both"/>
      </w:pPr>
      <w:r>
        <w:rPr>
          <w:rFonts w:hint="default" w:ascii="方正小标宋简体" w:hAnsi="方正小标宋简体" w:eastAsia="方正小标宋简体" w:cs="方正小标宋简体"/>
          <w:b w:val="0"/>
          <w:bCs/>
          <w:kern w:val="2"/>
          <w:sz w:val="44"/>
          <w:szCs w:val="44"/>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jc w:val="both"/>
      </w:pPr>
      <w:r>
        <w:rPr>
          <w:rFonts w:hint="default"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仿宋_GB2312" w:eastAsia="仿宋_GB2312" w:cs="仿宋_GB2312" w:hAnsiTheme="minorHAnsi"/>
          <w:kern w:val="0"/>
          <w:sz w:val="30"/>
          <w:szCs w:val="30"/>
          <w:lang w:val="en-US" w:eastAsia="zh-CN" w:bidi="ar"/>
        </w:rPr>
        <w:t> </w:t>
      </w: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r>
        <w:drawing>
          <wp:inline distT="0" distB="0" distL="114300" distR="114300">
            <wp:extent cx="5271770" cy="5304790"/>
            <wp:effectExtent l="0" t="0" r="5080" b="10160"/>
            <wp:docPr id="1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pic:cNvPicPr>
                      <a:picLocks noChangeAspect="1"/>
                    </pic:cNvPicPr>
                  </pic:nvPicPr>
                  <pic:blipFill>
                    <a:blip r:embed="rId4"/>
                    <a:stretch>
                      <a:fillRect/>
                    </a:stretch>
                  </pic:blipFill>
                  <pic:spPr>
                    <a:xfrm>
                      <a:off x="0" y="0"/>
                      <a:ext cx="5271770" cy="5304790"/>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r>
        <w:drawing>
          <wp:inline distT="0" distB="0" distL="114300" distR="114300">
            <wp:extent cx="5268595" cy="1508125"/>
            <wp:effectExtent l="0" t="0" r="8255" b="15875"/>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pic:cNvPicPr>
                      <a:picLocks noChangeAspect="1"/>
                    </pic:cNvPicPr>
                  </pic:nvPicPr>
                  <pic:blipFill>
                    <a:blip r:embed="rId5"/>
                    <a:stretch>
                      <a:fillRect/>
                    </a:stretch>
                  </pic:blipFill>
                  <pic:spPr>
                    <a:xfrm>
                      <a:off x="0" y="0"/>
                      <a:ext cx="5268595" cy="1508125"/>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r>
        <w:drawing>
          <wp:inline distT="0" distB="0" distL="114300" distR="114300">
            <wp:extent cx="5265420" cy="1875155"/>
            <wp:effectExtent l="0" t="0" r="11430" b="10795"/>
            <wp:docPr id="2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pic:cNvPicPr>
                      <a:picLocks noChangeAspect="1"/>
                    </pic:cNvPicPr>
                  </pic:nvPicPr>
                  <pic:blipFill>
                    <a:blip r:embed="rId6"/>
                    <a:stretch>
                      <a:fillRect/>
                    </a:stretch>
                  </pic:blipFill>
                  <pic:spPr>
                    <a:xfrm>
                      <a:off x="0" y="0"/>
                      <a:ext cx="5265420" cy="1875155"/>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r>
        <w:drawing>
          <wp:inline distT="0" distB="0" distL="114300" distR="114300">
            <wp:extent cx="5274310" cy="3943985"/>
            <wp:effectExtent l="0" t="0" r="2540" b="18415"/>
            <wp:docPr id="1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4"/>
                    <pic:cNvPicPr>
                      <a:picLocks noChangeAspect="1"/>
                    </pic:cNvPicPr>
                  </pic:nvPicPr>
                  <pic:blipFill>
                    <a:blip r:embed="rId7"/>
                    <a:stretch>
                      <a:fillRect/>
                    </a:stretch>
                  </pic:blipFill>
                  <pic:spPr>
                    <a:xfrm>
                      <a:off x="0" y="0"/>
                      <a:ext cx="5274310" cy="3943985"/>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r>
        <w:drawing>
          <wp:inline distT="0" distB="0" distL="114300" distR="114300">
            <wp:extent cx="5269865" cy="2725420"/>
            <wp:effectExtent l="0" t="0" r="6985" b="17780"/>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8"/>
                    <a:stretch>
                      <a:fillRect/>
                    </a:stretch>
                  </pic:blipFill>
                  <pic:spPr>
                    <a:xfrm>
                      <a:off x="0" y="0"/>
                      <a:ext cx="5269865" cy="2725420"/>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r>
        <w:drawing>
          <wp:inline distT="0" distB="0" distL="114300" distR="114300">
            <wp:extent cx="5272405" cy="8189595"/>
            <wp:effectExtent l="0" t="0" r="4445" b="1905"/>
            <wp:docPr id="1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pic:cNvPicPr>
                      <a:picLocks noChangeAspect="1"/>
                    </pic:cNvPicPr>
                  </pic:nvPicPr>
                  <pic:blipFill>
                    <a:blip r:embed="rId9"/>
                    <a:stretch>
                      <a:fillRect/>
                    </a:stretch>
                  </pic:blipFill>
                  <pic:spPr>
                    <a:xfrm>
                      <a:off x="0" y="0"/>
                      <a:ext cx="5272405" cy="8189595"/>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r>
        <w:drawing>
          <wp:inline distT="0" distB="0" distL="114300" distR="114300">
            <wp:extent cx="5271135" cy="5233670"/>
            <wp:effectExtent l="0" t="0" r="5715" b="5080"/>
            <wp:docPr id="1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7"/>
                    <pic:cNvPicPr>
                      <a:picLocks noChangeAspect="1"/>
                    </pic:cNvPicPr>
                  </pic:nvPicPr>
                  <pic:blipFill>
                    <a:blip r:embed="rId10"/>
                    <a:stretch>
                      <a:fillRect/>
                    </a:stretch>
                  </pic:blipFill>
                  <pic:spPr>
                    <a:xfrm>
                      <a:off x="0" y="0"/>
                      <a:ext cx="5271135" cy="5233670"/>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r>
        <w:drawing>
          <wp:inline distT="0" distB="0" distL="114300" distR="114300">
            <wp:extent cx="5272405" cy="1836420"/>
            <wp:effectExtent l="0" t="0" r="4445" b="11430"/>
            <wp:docPr id="1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8"/>
                    <pic:cNvPicPr>
                      <a:picLocks noChangeAspect="1"/>
                    </pic:cNvPicPr>
                  </pic:nvPicPr>
                  <pic:blipFill>
                    <a:blip r:embed="rId11"/>
                    <a:stretch>
                      <a:fillRect/>
                    </a:stretch>
                  </pic:blipFill>
                  <pic:spPr>
                    <a:xfrm>
                      <a:off x="0" y="0"/>
                      <a:ext cx="5272405" cy="1836420"/>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r>
        <w:drawing>
          <wp:inline distT="0" distB="0" distL="114300" distR="114300">
            <wp:extent cx="5273675" cy="2753995"/>
            <wp:effectExtent l="0" t="0" r="3175" b="8255"/>
            <wp:docPr id="1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9"/>
                    <pic:cNvPicPr>
                      <a:picLocks noChangeAspect="1"/>
                    </pic:cNvPicPr>
                  </pic:nvPicPr>
                  <pic:blipFill>
                    <a:blip r:embed="rId12"/>
                    <a:stretch>
                      <a:fillRect/>
                    </a:stretch>
                  </pic:blipFill>
                  <pic:spPr>
                    <a:xfrm>
                      <a:off x="0" y="0"/>
                      <a:ext cx="5273675" cy="2753995"/>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w:t>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2405" cy="3233420"/>
            <wp:effectExtent l="0" t="0" r="4445" b="5080"/>
            <wp:docPr id="1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0"/>
                    <pic:cNvPicPr>
                      <a:picLocks noChangeAspect="1"/>
                    </pic:cNvPicPr>
                  </pic:nvPicPr>
                  <pic:blipFill>
                    <a:blip r:embed="rId13"/>
                    <a:stretch>
                      <a:fillRect/>
                    </a:stretch>
                  </pic:blipFill>
                  <pic:spPr>
                    <a:xfrm>
                      <a:off x="0" y="0"/>
                      <a:ext cx="5272405" cy="3233420"/>
                    </a:xfrm>
                    <a:prstGeom prst="rect">
                      <a:avLst/>
                    </a:prstGeom>
                    <a:noFill/>
                    <a:ln>
                      <a:noFill/>
                    </a:ln>
                  </pic:spPr>
                </pic:pic>
              </a:graphicData>
            </a:graphic>
          </wp:inline>
        </w:drawing>
      </w:r>
    </w:p>
    <w:p>
      <w:pPr>
        <w:autoSpaceDE w:val="0"/>
        <w:autoSpaceDN w:val="0"/>
        <w:adjustRightInd w:val="0"/>
        <w:spacing w:line="360" w:lineRule="auto"/>
        <w:jc w:val="left"/>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spacing w:before="0" w:beforeAutospacing="1" w:after="0" w:afterAutospacing="1" w:line="600" w:lineRule="exact"/>
        <w:ind w:left="0" w:right="0" w:firstLine="440" w:firstLineChars="100"/>
        <w:jc w:val="both"/>
      </w:pPr>
      <w:r>
        <w:rPr>
          <w:rFonts w:hint="default" w:ascii="方正小标宋简体" w:hAnsi="方正小标宋简体" w:eastAsia="方正小标宋简体" w:cs="方正小标宋简体"/>
          <w:b w:val="0"/>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本单位2021年度收入总计832.54 万元，较2020年增加121.77万元，增长17.1%；其中：年初结转和结余0 万元，与上年无变化。本年收入合计 832.54万元，较2020年增加121.77万元，增长17.1%，主要原因是：</w:t>
      </w:r>
      <w:r>
        <w:rPr>
          <w:rFonts w:hint="eastAsia" w:ascii="仿宋" w:hAnsi="仿宋" w:eastAsia="仿宋" w:cs="仿宋"/>
          <w:kern w:val="2"/>
          <w:sz w:val="30"/>
          <w:szCs w:val="30"/>
          <w:lang w:val="en-US" w:eastAsia="zh-CN" w:bidi="ar"/>
        </w:rPr>
        <w:t>财政拨款人员经费增加</w:t>
      </w:r>
      <w:r>
        <w:rPr>
          <w:rFonts w:hint="default" w:ascii="仿宋_GB2312" w:eastAsia="仿宋_GB2312" w:cs="仿宋_GB2312" w:hAnsiTheme="minorHAnsi"/>
          <w:kern w:val="2"/>
          <w:sz w:val="30"/>
          <w:szCs w:val="30"/>
          <w:lang w:val="en-US" w:eastAsia="zh-CN" w:bidi="ar"/>
        </w:rPr>
        <w:t>，事业收入增加。</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本年收入的具体构成为：财政拨款收入827.09 万元，占 99.3%；事业收入 5.44 万元，占 0.7%；经营收入  0 万元，占 0 %；其他收入  0 万元，占0  %。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本单位2021年度支出总计832.54万元，其中本年支出合计  832.54万元，较2020年增加121.77 万元，增长17.1%，主要原因是：</w:t>
      </w:r>
      <w:r>
        <w:rPr>
          <w:rFonts w:hint="eastAsia" w:ascii="仿宋" w:hAnsi="仿宋" w:eastAsia="仿宋" w:cs="仿宋"/>
          <w:kern w:val="2"/>
          <w:sz w:val="30"/>
          <w:szCs w:val="30"/>
          <w:lang w:val="en-US" w:eastAsia="zh-CN" w:bidi="ar"/>
        </w:rPr>
        <w:t>财政拨款人员经费增加</w:t>
      </w:r>
      <w:r>
        <w:rPr>
          <w:rFonts w:hint="default" w:ascii="仿宋_GB2312" w:eastAsia="仿宋_GB2312" w:cs="仿宋_GB2312" w:hAnsiTheme="minorHAnsi"/>
          <w:kern w:val="2"/>
          <w:sz w:val="30"/>
          <w:szCs w:val="30"/>
          <w:lang w:val="en-US" w:eastAsia="zh-CN" w:bidi="ar"/>
        </w:rPr>
        <w:t>；年末结转和结余  0 万元，较2020年增加0  万元，增长0 %。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 832.54 万元，占 100 %；项目支出 0  万元，占 0  %；经营支出 0  万元，占 0 %；其他支出（对附属单位补助支出、上缴上级支出） 0  万元，占 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本单位2021年度财政拨款本年支出年初预算数为552.84 万元，决算数为 827.09万元，完成年初预算的 149.6 %。其中：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教育支出年初预算数为 552.84万元，决算数为 827.09万元，完成年初预算的149.6%，主要原因是：增加了人员经费。</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本单位2021年度一般公共预算财政拨款基本支出827.09万元，其中：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  739.57万元，较2020年增加113.71万元，增长18.2%，主要原因是：人员经费支出增加。</w:t>
      </w:r>
    </w:p>
    <w:p>
      <w:pPr>
        <w:keepNext w:val="0"/>
        <w:keepLines w:val="0"/>
        <w:widowControl/>
        <w:suppressLineNumbers w:val="0"/>
        <w:spacing w:before="0" w:beforeAutospacing="1" w:after="0" w:afterAutospacing="1" w:line="500" w:lineRule="exact"/>
        <w:ind w:left="0" w:right="0" w:firstLine="585"/>
        <w:jc w:val="left"/>
      </w:pPr>
      <w:r>
        <w:rPr>
          <w:rFonts w:hint="default" w:ascii="仿宋_GB2312" w:eastAsia="仿宋_GB2312" w:cs="仿宋_GB2312" w:hAnsiTheme="minorHAnsi"/>
          <w:kern w:val="2"/>
          <w:sz w:val="30"/>
          <w:szCs w:val="30"/>
          <w:lang w:val="en-US" w:eastAsia="zh-CN" w:bidi="ar"/>
        </w:rPr>
        <w:t>（二）商品和服务支出  61.20 万元，较2020年减少5.88  万元，下降8.76  %，主要原因是：学生数减少，</w:t>
      </w:r>
      <w:r>
        <w:rPr>
          <w:rFonts w:hint="eastAsia" w:ascii="仿宋" w:hAnsi="仿宋" w:eastAsia="仿宋" w:cs="仿宋"/>
          <w:kern w:val="2"/>
          <w:sz w:val="30"/>
          <w:szCs w:val="30"/>
          <w:lang w:val="en-US" w:eastAsia="zh-CN" w:bidi="ar"/>
        </w:rPr>
        <w:t>公用经费拨款减少，办公费减少。</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2"/>
          <w:sz w:val="30"/>
          <w:szCs w:val="30"/>
          <w:lang w:val="en-US" w:eastAsia="zh-CN" w:bidi="ar"/>
        </w:rPr>
        <w:t>（三）对个人和家庭补助支出 15.93 万元，较2020年增加0.45万元，增长2.9%。主要原因是：生活补助增加。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 10.40  万元，较2020年增加8.05  万元，增长342.5 %，主要原因是：</w:t>
      </w:r>
      <w:r>
        <w:rPr>
          <w:rFonts w:hint="eastAsia" w:ascii="仿宋" w:hAnsi="仿宋" w:eastAsia="仿宋" w:cs="仿宋"/>
          <w:kern w:val="2"/>
          <w:sz w:val="30"/>
          <w:szCs w:val="30"/>
          <w:lang w:val="en-US" w:eastAsia="zh-CN" w:bidi="ar"/>
        </w:rPr>
        <w:t>办公及专用设备购置增加</w:t>
      </w:r>
      <w:r>
        <w:rPr>
          <w:rFonts w:hint="default" w:ascii="仿宋_GB2312" w:eastAsia="仿宋_GB2312" w:cs="仿宋_GB2312" w:hAnsiTheme="minorHAnsi"/>
          <w:kern w:val="2"/>
          <w:sz w:val="30"/>
          <w:szCs w:val="30"/>
          <w:lang w:val="en-US" w:eastAsia="zh-CN" w:bidi="ar"/>
        </w:rPr>
        <w:t>。</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 1 万元，决算数为1 万元，完成预算的 100%，决算数较2020年减少0.5万元，下降33.3 %，其中：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 0  万元，决算数为 0 万元，完成预算的0 %，决算数较2020年增加（减少）0  万元，增长（下降）0  %。</w:t>
      </w:r>
      <w:bookmarkStart w:id="0" w:name="_GoBack"/>
      <w:bookmarkEnd w:id="0"/>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（二）公务接待费支出年初预算数为1 万元，决算数为  1万元，完成预算的100%，决算数较2020年增减少 0.5 万元，下降 33.3%，主要原因是公务接待减少。决算数较年初预算数减少的主要原因是：认真执行八项规定，节约三公经费开支，公务接待减少。全年国内公务接待25批，累计接待 180人次主要为：上级主管单位工作人员来本学校检查教育教学工作或外校来本学校交流教学工作所产生的公务接待费用。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 0  万元，其中公务用车购置年初预算数为 0  万元，决算数为 0 万元，完成预算的 0%，决算数较2020年增加（减少） 0 万元，增长（下降） 0 %，全年购置公务用车 0  辆。公务用车运行维护费支出年初预算数为  0 万元，决算数为 0 万元，完成预算的0 %，决算数较2020年增加（减少） 0 万元，增长（下降） 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  0万元，其中：政府采购货物支出 0 万元、政府采购工程支出 0 万元、政府采购服务支出  0万元。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shd w:val="clear" w:fill="FFFFFF"/>
        </w:rPr>
        <w:t>根据预算绩效管理要求，我单位组织对纳入2021年度单位预算范围的二级项目1个公用经费项目全面开展绩效自评。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shd w:val="clear" w:fill="FFFFFF"/>
        </w:rPr>
        <w:t>（二）单位决算中项目绩效自评情况。</w:t>
      </w:r>
    </w:p>
    <w:tbl>
      <w:tblPr>
        <w:tblStyle w:val="3"/>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1"/>
        <w:gridCol w:w="1161"/>
        <w:gridCol w:w="954"/>
        <w:gridCol w:w="1035"/>
        <w:gridCol w:w="1232"/>
        <w:gridCol w:w="467"/>
        <w:gridCol w:w="1604"/>
        <w:gridCol w:w="1198"/>
        <w:gridCol w:w="87"/>
        <w:gridCol w:w="536"/>
        <w:gridCol w:w="170"/>
        <w:gridCol w:w="480"/>
        <w:gridCol w:w="352"/>
        <w:gridCol w:w="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主管单位</w:t>
            </w:r>
          </w:p>
        </w:tc>
        <w:tc>
          <w:tcPr>
            <w:tcW w:w="4857"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宁都县固厚初级中学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68.02</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68.02</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68.02</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68.02</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68.02</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68.02</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c>
          <w:tcPr>
            <w:tcW w:w="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标</w:t>
            </w: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一级指标</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产出指标（50分）</w:t>
            </w:r>
          </w:p>
        </w:tc>
        <w:tc>
          <w:tcPr>
            <w:tcW w:w="729" w:type="dxa"/>
            <w:vMerge w:val="restart"/>
            <w:tcBorders>
              <w:top w:val="nil"/>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（10分）</w:t>
            </w:r>
          </w:p>
        </w:tc>
        <w:tc>
          <w:tcPr>
            <w:tcW w:w="72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≥85%</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≥85%</w:t>
            </w:r>
          </w:p>
        </w:tc>
        <w:tc>
          <w:tcPr>
            <w:tcW w:w="13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lang w:val="en-US" w:eastAsia="zh-CN" w:bidi="ar"/>
              </w:rPr>
              <w:t>    2.评分标准：（1） 若为</w:t>
            </w:r>
            <w:r>
              <w:rPr>
                <w:rFonts w:hint="eastAsia" w:ascii="仿宋" w:hAnsi="仿宋" w:eastAsia="仿宋" w:cs="仿宋"/>
                <w:b/>
                <w:bCs/>
                <w:color w:val="000000"/>
                <w:kern w:val="0"/>
                <w:sz w:val="20"/>
                <w:szCs w:val="20"/>
                <w:lang w:val="en-US" w:eastAsia="zh-CN" w:bidi="ar"/>
              </w:rPr>
              <w:t>定性指标</w:t>
            </w:r>
            <w:r>
              <w:rPr>
                <w:rFonts w:hint="eastAsia" w:ascii="仿宋" w:hAnsi="仿宋" w:eastAsia="仿宋" w:cs="仿宋"/>
                <w:color w:val="000000"/>
                <w:kern w:val="0"/>
                <w:sz w:val="20"/>
                <w:szCs w:val="2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lang w:val="en-US" w:eastAsia="zh-CN" w:bidi="ar"/>
              </w:rPr>
              <w:t>   （2）若为</w:t>
            </w:r>
            <w:r>
              <w:rPr>
                <w:rFonts w:hint="eastAsia" w:ascii="仿宋" w:hAnsi="仿宋" w:eastAsia="仿宋" w:cs="仿宋"/>
                <w:b/>
                <w:bCs/>
                <w:color w:val="000000"/>
                <w:kern w:val="0"/>
                <w:sz w:val="20"/>
                <w:szCs w:val="20"/>
                <w:lang w:val="en-US" w:eastAsia="zh-CN" w:bidi="ar"/>
              </w:rPr>
              <w:t>定量指标</w:t>
            </w:r>
            <w:r>
              <w:rPr>
                <w:rFonts w:hint="eastAsia" w:ascii="仿宋" w:hAnsi="仿宋" w:eastAsia="仿宋" w:cs="仿宋"/>
                <w:color w:val="000000"/>
                <w:kern w:val="0"/>
                <w:sz w:val="20"/>
                <w:szCs w:val="2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c>
          <w:tcPr>
            <w:tcW w:w="0" w:type="auto"/>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pPr>
      <w:r>
        <w:rPr>
          <w:rFonts w:hint="default" w:ascii="仿宋_GB2312" w:hAnsi="Calibri" w:eastAsia="仿宋_GB2312" w:cs="仿宋_GB2312"/>
          <w:i w:val="0"/>
          <w:iCs w:val="0"/>
          <w:caps w:val="0"/>
          <w:color w:val="000000"/>
          <w:spacing w:val="0"/>
          <w:kern w:val="0"/>
          <w:sz w:val="32"/>
          <w:szCs w:val="32"/>
          <w:shd w:val="clear" w:fill="FFFFFF"/>
          <w:lang w:val="en-US" w:eastAsia="zh-CN" w:bidi="ar"/>
        </w:rPr>
        <w:t>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2200" w:firstLineChars="500"/>
        <w:jc w:val="both"/>
      </w:pP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E0F1B74-EF28-450E-8750-6CC05953266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007E1A7-6A02-410D-9AAB-9EBF6BD7453A}"/>
  </w:font>
  <w:font w:name="楷体">
    <w:panose1 w:val="02010609060101010101"/>
    <w:charset w:val="86"/>
    <w:family w:val="auto"/>
    <w:pitch w:val="default"/>
    <w:sig w:usb0="800002BF" w:usb1="38CF7CFA" w:usb2="00000016" w:usb3="00000000" w:csb0="00040001" w:csb1="00000000"/>
    <w:embedRegular r:id="rId3" w:fontKey="{F7E10E3F-DF3A-4F7C-B081-B7D4EC9B6E63}"/>
  </w:font>
  <w:font w:name="方正小标宋简体">
    <w:panose1 w:val="02000000000000000000"/>
    <w:charset w:val="86"/>
    <w:family w:val="auto"/>
    <w:pitch w:val="default"/>
    <w:sig w:usb0="00000001" w:usb1="08000000" w:usb2="00000000" w:usb3="00000000" w:csb0="00040000" w:csb1="00000000"/>
    <w:embedRegular r:id="rId4" w:fontKey="{3D87DE9E-D450-4A0E-AF22-C46D8ABC5866}"/>
  </w:font>
  <w:font w:name="仿宋_GB2312">
    <w:altName w:val="仿宋"/>
    <w:panose1 w:val="00000000000000000000"/>
    <w:charset w:val="00"/>
    <w:family w:val="auto"/>
    <w:pitch w:val="default"/>
    <w:sig w:usb0="00000000" w:usb1="00000000" w:usb2="00000000" w:usb3="00000000" w:csb0="00000000" w:csb1="00000000"/>
    <w:embedRegular r:id="rId5" w:fontKey="{DCCEDE29-B0FA-4EAB-BE61-BCBEC6863114}"/>
  </w:font>
  <w:font w:name="仿宋">
    <w:panose1 w:val="02010609060101010101"/>
    <w:charset w:val="86"/>
    <w:family w:val="auto"/>
    <w:pitch w:val="default"/>
    <w:sig w:usb0="800002BF" w:usb1="38CF7CFA" w:usb2="00000016" w:usb3="00000000" w:csb0="00040001" w:csb1="00000000"/>
    <w:embedRegular r:id="rId6" w:fontKey="{90D107AF-18FC-48E9-A200-849AFCC41BC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545F62B5"/>
    <w:rsid w:val="0B2D0D81"/>
    <w:rsid w:val="545F6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10.emf"/><Relationship Id="rId12" Type="http://schemas.openxmlformats.org/officeDocument/2006/relationships/image" Target="media/image9.emf"/><Relationship Id="rId11" Type="http://schemas.openxmlformats.org/officeDocument/2006/relationships/image" Target="media/image8.emf"/><Relationship Id="rId10" Type="http://schemas.openxmlformats.org/officeDocument/2006/relationships/image" Target="media/image7.e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2023-10-07T07:15:00Z</dcterms:created>
  <dc:creator>才东东</dc:creator>
  <cp:lastModifiedBy>才东东</cp:lastModifiedBy>
  <dcterms:modified xsi:type="dcterms:W3CDTF">2023-10-09T07:48:36Z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BFE5FEB2793D4905B60424BDD3388102_11</vt:lpwstr>
  </property>
</Properties>
</file>