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1" w:after="0" w:afterAutospacing="1" w:line="600" w:lineRule="exact"/>
        <w:ind w:left="0" w:right="0"/>
        <w:jc w:val="center"/>
        <w:rPr>
          <w:rFonts w:hint="eastAsia" w:ascii="方正小标宋简体" w:hAnsi="方正小标宋简体" w:eastAsia="方正小标宋简体" w:cs="方正小标宋简体"/>
          <w:b w:val="0"/>
          <w:bCs w:val="0"/>
          <w:kern w:val="2"/>
          <w:sz w:val="44"/>
          <w:szCs w:val="44"/>
          <w:lang w:val="en-US" w:eastAsia="zh-CN" w:bidi="ar"/>
        </w:rPr>
      </w:pPr>
      <w:r>
        <w:rPr>
          <w:rFonts w:hint="eastAsia" w:ascii="宋体" w:hAnsi="宋体" w:eastAsia="宋体" w:cs="宋体"/>
          <w:b/>
          <w:bCs/>
          <w:kern w:val="2"/>
          <w:sz w:val="44"/>
          <w:szCs w:val="44"/>
          <w:lang w:val="en-US" w:eastAsia="zh-CN" w:bidi="ar"/>
        </w:rPr>
        <w:t>宁都县长胜镇公立幼儿园</w:t>
      </w:r>
      <w:r>
        <w:rPr>
          <w:rFonts w:ascii="方正小标宋简体" w:hAnsi="方正小标宋简体" w:eastAsia="方正小标宋简体" w:cs="方正小标宋简体"/>
          <w:b w:val="0"/>
          <w:bCs w:val="0"/>
          <w:kern w:val="2"/>
          <w:sz w:val="44"/>
          <w:szCs w:val="44"/>
          <w:lang w:val="en-US" w:eastAsia="zh-CN" w:bidi="ar"/>
        </w:rPr>
        <w:t>202</w:t>
      </w:r>
      <w:r>
        <w:rPr>
          <w:rFonts w:hint="eastAsia" w:ascii="方正小标宋简体" w:hAnsi="方正小标宋简体" w:eastAsia="方正小标宋简体" w:cs="方正小标宋简体"/>
          <w:b w:val="0"/>
          <w:bCs w:val="0"/>
          <w:kern w:val="2"/>
          <w:sz w:val="44"/>
          <w:szCs w:val="44"/>
          <w:lang w:val="en-US" w:eastAsia="zh-CN" w:bidi="ar"/>
        </w:rPr>
        <w:t>1年度单位</w:t>
      </w:r>
    </w:p>
    <w:p>
      <w:pPr>
        <w:keepNext w:val="0"/>
        <w:keepLines w:val="0"/>
        <w:widowControl/>
        <w:suppressLineNumbers w:val="0"/>
        <w:spacing w:before="0" w:beforeAutospacing="1" w:after="0" w:afterAutospacing="1" w:line="600" w:lineRule="exact"/>
        <w:ind w:left="0" w:right="0"/>
        <w:jc w:val="center"/>
      </w:pPr>
      <w:r>
        <w:rPr>
          <w:rFonts w:hint="eastAsia" w:ascii="方正小标宋简体" w:hAnsi="方正小标宋简体" w:eastAsia="方正小标宋简体" w:cs="方正小标宋简体"/>
          <w:kern w:val="0"/>
          <w:sz w:val="44"/>
          <w:szCs w:val="44"/>
          <w:lang w:val="en-US" w:eastAsia="zh-CN" w:bidi="ar"/>
        </w:rPr>
        <w:t>决算</w:t>
      </w:r>
    </w:p>
    <w:p>
      <w:pPr>
        <w:keepNext w:val="0"/>
        <w:keepLines w:val="0"/>
        <w:widowControl/>
        <w:suppressLineNumbers w:val="0"/>
        <w:spacing w:before="0" w:beforeAutospacing="1" w:after="0" w:afterAutospacing="1" w:line="600" w:lineRule="exact"/>
        <w:ind w:left="0" w:right="0"/>
        <w:jc w:val="center"/>
      </w:pPr>
      <w:r>
        <w:rPr>
          <w:rFonts w:ascii="黑体" w:hAnsi="Calibri" w:eastAsia="黑体" w:cs="黑体"/>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jc w:val="center"/>
      </w:pPr>
      <w:r>
        <w:rPr>
          <w:rFonts w:hint="eastAsia" w:ascii="方正小标宋简体" w:hAnsi="方正小标宋简体" w:eastAsia="方正小标宋简体" w:cs="方正小标宋简体"/>
          <w:b w:val="0"/>
          <w:bCs w:val="0"/>
          <w:kern w:val="2"/>
          <w:sz w:val="40"/>
          <w:szCs w:val="40"/>
          <w:lang w:val="en-US" w:eastAsia="zh-CN" w:bidi="ar"/>
        </w:rPr>
        <w:t>目    录</w:t>
      </w:r>
    </w:p>
    <w:p>
      <w:pPr>
        <w:keepNext w:val="0"/>
        <w:keepLines w:val="0"/>
        <w:widowControl/>
        <w:suppressLineNumbers w:val="0"/>
        <w:spacing w:before="0" w:beforeAutospacing="1" w:after="0" w:afterAutospacing="1" w:line="600" w:lineRule="exact"/>
        <w:ind w:left="0" w:right="0" w:firstLine="640"/>
        <w:jc w:val="left"/>
      </w:pPr>
      <w:r>
        <w:rPr>
          <w:rFonts w:ascii="仿宋_GB2312" w:hAnsi="Calibri" w:eastAsia="仿宋_GB2312" w:cs="仿宋_GB2312"/>
          <w:kern w:val="2"/>
          <w:sz w:val="32"/>
          <w:szCs w:val="32"/>
          <w:lang w:val="en-US" w:eastAsia="zh-CN" w:bidi="ar"/>
        </w:rPr>
        <w:t> </w:t>
      </w:r>
      <w:r>
        <w:rPr>
          <w:rFonts w:hint="eastAsia" w:ascii="黑体" w:hAnsi="宋体" w:eastAsia="黑体" w:cs="黑体"/>
          <w:b/>
          <w:bCs w:val="0"/>
          <w:kern w:val="2"/>
          <w:sz w:val="32"/>
          <w:szCs w:val="32"/>
          <w:lang w:val="en-US" w:eastAsia="zh-CN" w:bidi="ar"/>
        </w:rPr>
        <w:t>第一部分  </w:t>
      </w:r>
      <w:r>
        <w:rPr>
          <w:rFonts w:hint="eastAsia" w:ascii="黑体" w:hAnsi="宋体" w:eastAsia="黑体" w:cs="黑体"/>
          <w:b/>
          <w:bCs/>
          <w:kern w:val="2"/>
          <w:sz w:val="32"/>
          <w:szCs w:val="32"/>
          <w:lang w:val="en-US" w:eastAsia="zh-CN" w:bidi="ar"/>
        </w:rPr>
        <w:t>学校</w:t>
      </w:r>
      <w:r>
        <w:rPr>
          <w:rFonts w:hint="eastAsia" w:ascii="黑体" w:hAnsi="宋体" w:eastAsia="黑体" w:cs="黑体"/>
          <w:b/>
          <w:bCs w:val="0"/>
          <w:kern w:val="2"/>
          <w:sz w:val="32"/>
          <w:szCs w:val="32"/>
          <w:lang w:val="en-US" w:eastAsia="zh-CN" w:bidi="ar"/>
        </w:rPr>
        <w:t>概况</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hAnsi="Calibri" w:eastAsia="仿宋_GB2312" w:cs="仿宋_GB2312"/>
          <w:b/>
          <w:bCs w:val="0"/>
          <w:kern w:val="2"/>
          <w:sz w:val="32"/>
          <w:szCs w:val="32"/>
          <w:lang w:val="en-US" w:eastAsia="zh-CN" w:bidi="ar"/>
        </w:rPr>
        <w:t>    </w:t>
      </w:r>
      <w:r>
        <w:rPr>
          <w:rFonts w:hint="eastAsia" w:ascii="仿宋_GB2312" w:eastAsia="仿宋_GB2312" w:cs="仿宋_GB2312" w:hAnsiTheme="minorHAnsi"/>
          <w:kern w:val="2"/>
          <w:sz w:val="32"/>
          <w:szCs w:val="32"/>
          <w:lang w:val="en-US" w:eastAsia="zh-CN" w:bidi="ar"/>
        </w:rPr>
        <w:t>一、单位主要职责</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宋体" w:hAnsiTheme="minorHAnsi"/>
          <w:kern w:val="0"/>
          <w:sz w:val="32"/>
          <w:szCs w:val="32"/>
          <w:lang w:val="en-US" w:eastAsia="zh-CN" w:bidi="ar"/>
        </w:rPr>
        <w:t>    </w:t>
      </w:r>
      <w:r>
        <w:rPr>
          <w:rFonts w:hint="eastAsia" w:ascii="仿宋_GB2312" w:eastAsia="仿宋_GB2312" w:cs="仿宋_GB2312" w:hAnsiTheme="minorHAnsi"/>
          <w:kern w:val="0"/>
          <w:sz w:val="32"/>
          <w:szCs w:val="32"/>
          <w:lang w:val="en-US" w:eastAsia="zh-CN" w:bidi="ar"/>
        </w:rPr>
        <w:t>二、单位基本情况</w:t>
      </w:r>
    </w:p>
    <w:p>
      <w:pPr>
        <w:keepNext w:val="0"/>
        <w:keepLines w:val="0"/>
        <w:widowControl/>
        <w:suppressLineNumbers w:val="0"/>
        <w:spacing w:before="0" w:beforeAutospacing="1" w:after="0" w:afterAutospacing="1" w:line="600" w:lineRule="exact"/>
        <w:ind w:left="0" w:right="0" w:firstLine="640"/>
        <w:jc w:val="left"/>
      </w:pPr>
      <w:r>
        <w:rPr>
          <w:rFonts w:hint="eastAsia" w:ascii="黑体" w:hAnsi="宋体" w:eastAsia="黑体" w:cs="黑体"/>
          <w:kern w:val="2"/>
          <w:sz w:val="32"/>
          <w:szCs w:val="32"/>
          <w:lang w:val="en-US" w:eastAsia="zh-CN" w:bidi="ar"/>
        </w:rPr>
        <w:t>第二部分  2021年度单位决算表</w:t>
      </w:r>
    </w:p>
    <w:p>
      <w:pPr>
        <w:keepNext w:val="0"/>
        <w:keepLines w:val="0"/>
        <w:widowControl/>
        <w:suppressLineNumbers w:val="0"/>
        <w:spacing w:before="0" w:beforeAutospacing="1" w:after="0" w:afterAutospacing="1" w:line="600" w:lineRule="exact"/>
        <w:ind w:left="0" w:right="0" w:firstLine="1280" w:firstLineChars="400"/>
        <w:jc w:val="left"/>
      </w:pPr>
      <w:r>
        <w:rPr>
          <w:rFonts w:hint="eastAsia" w:ascii="仿宋_GB2312" w:eastAsia="仿宋_GB2312" w:cs="仿宋_GB2312" w:hAnsiTheme="minorHAnsi"/>
          <w:kern w:val="2"/>
          <w:sz w:val="32"/>
          <w:szCs w:val="32"/>
          <w:lang w:val="en-US" w:eastAsia="zh-CN" w:bidi="ar"/>
        </w:rPr>
        <w:t>一、收入支出决算总表</w:t>
      </w:r>
    </w:p>
    <w:p>
      <w:pPr>
        <w:keepNext w:val="0"/>
        <w:keepLines w:val="0"/>
        <w:widowControl/>
        <w:suppressLineNumbers w:val="0"/>
        <w:spacing w:before="0" w:beforeAutospacing="1" w:after="0" w:afterAutospacing="1" w:line="600" w:lineRule="exact"/>
        <w:ind w:left="0" w:right="0" w:firstLine="1280" w:firstLineChars="400"/>
        <w:jc w:val="left"/>
      </w:pPr>
      <w:r>
        <w:rPr>
          <w:rFonts w:hint="eastAsia" w:ascii="仿宋_GB2312" w:eastAsia="仿宋_GB2312" w:cs="仿宋_GB2312" w:hAnsiTheme="minorHAnsi"/>
          <w:kern w:val="2"/>
          <w:sz w:val="32"/>
          <w:szCs w:val="32"/>
          <w:lang w:val="en-US" w:eastAsia="zh-CN" w:bidi="ar"/>
        </w:rPr>
        <w:t>二、收入决算表</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宋体" w:hAnsiTheme="minorHAnsi"/>
          <w:kern w:val="0"/>
          <w:sz w:val="32"/>
          <w:szCs w:val="32"/>
          <w:lang w:val="en-US" w:eastAsia="zh-CN" w:bidi="ar"/>
        </w:rPr>
        <w:t>    </w:t>
      </w:r>
      <w:r>
        <w:rPr>
          <w:rFonts w:hint="eastAsia" w:ascii="仿宋_GB2312" w:eastAsia="仿宋_GB2312" w:cs="仿宋_GB2312" w:hAnsiTheme="minorHAnsi"/>
          <w:kern w:val="0"/>
          <w:sz w:val="32"/>
          <w:szCs w:val="32"/>
          <w:lang w:val="en-US" w:eastAsia="zh-CN" w:bidi="ar"/>
        </w:rPr>
        <w:t>三、支出决算表</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宋体" w:hAnsiTheme="minorHAnsi"/>
          <w:kern w:val="0"/>
          <w:sz w:val="32"/>
          <w:szCs w:val="32"/>
          <w:lang w:val="en-US" w:eastAsia="zh-CN" w:bidi="ar"/>
        </w:rPr>
        <w:t>    </w:t>
      </w:r>
      <w:r>
        <w:rPr>
          <w:rFonts w:hint="eastAsia" w:ascii="仿宋_GB2312" w:eastAsia="仿宋_GB2312" w:cs="仿宋_GB2312" w:hAnsiTheme="minorHAnsi"/>
          <w:kern w:val="0"/>
          <w:sz w:val="32"/>
          <w:szCs w:val="32"/>
          <w:lang w:val="en-US" w:eastAsia="zh-CN" w:bidi="ar"/>
        </w:rPr>
        <w:t>四、财政拨款收入支出决算总表</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宋体" w:hAnsiTheme="minorHAnsi"/>
          <w:kern w:val="0"/>
          <w:sz w:val="32"/>
          <w:szCs w:val="32"/>
          <w:lang w:val="en-US" w:eastAsia="zh-CN" w:bidi="ar"/>
        </w:rPr>
        <w:t>    </w:t>
      </w:r>
      <w:r>
        <w:rPr>
          <w:rFonts w:hint="eastAsia" w:ascii="仿宋_GB2312" w:eastAsia="仿宋_GB2312" w:cs="仿宋_GB2312" w:hAnsiTheme="minorHAnsi"/>
          <w:kern w:val="0"/>
          <w:sz w:val="32"/>
          <w:szCs w:val="32"/>
          <w:lang w:val="en-US" w:eastAsia="zh-CN" w:bidi="ar"/>
        </w:rPr>
        <w:t>五、一般公共预算财政拨款支出决算表</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宋体" w:hAnsiTheme="minorHAnsi"/>
          <w:kern w:val="0"/>
          <w:sz w:val="32"/>
          <w:szCs w:val="32"/>
          <w:lang w:val="en-US" w:eastAsia="zh-CN" w:bidi="ar"/>
        </w:rPr>
        <w:t>    </w:t>
      </w:r>
      <w:r>
        <w:rPr>
          <w:rFonts w:hint="eastAsia" w:ascii="仿宋_GB2312" w:eastAsia="仿宋_GB2312" w:cs="仿宋_GB2312" w:hAnsiTheme="minorHAnsi"/>
          <w:kern w:val="0"/>
          <w:sz w:val="32"/>
          <w:szCs w:val="32"/>
          <w:lang w:val="en-US" w:eastAsia="zh-CN" w:bidi="ar"/>
        </w:rPr>
        <w:t>六、一般公共预算财政拨款基本支出决算表</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宋体" w:hAnsiTheme="minorHAnsi"/>
          <w:kern w:val="0"/>
          <w:sz w:val="32"/>
          <w:szCs w:val="32"/>
          <w:lang w:val="en-US" w:eastAsia="zh-CN" w:bidi="ar"/>
        </w:rPr>
        <w:t>    </w:t>
      </w:r>
      <w:r>
        <w:rPr>
          <w:rFonts w:hint="eastAsia" w:ascii="仿宋_GB2312" w:eastAsia="仿宋_GB2312" w:cs="仿宋_GB2312" w:hAnsiTheme="minorHAnsi"/>
          <w:kern w:val="0"/>
          <w:sz w:val="32"/>
          <w:szCs w:val="32"/>
          <w:lang w:val="en-US" w:eastAsia="zh-CN" w:bidi="ar"/>
        </w:rPr>
        <w:t>七、一般公共预算财政拨款“三公”经费支出决算</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仿宋_GB2312" w:hAnsiTheme="minorHAnsi"/>
          <w:kern w:val="0"/>
          <w:sz w:val="32"/>
          <w:szCs w:val="32"/>
          <w:lang w:val="en-US" w:eastAsia="zh-CN" w:bidi="ar"/>
        </w:rPr>
        <w:t>表</w:t>
      </w:r>
    </w:p>
    <w:p>
      <w:pPr>
        <w:keepNext w:val="0"/>
        <w:keepLines w:val="0"/>
        <w:widowControl/>
        <w:numPr>
          <w:numId w:val="0"/>
        </w:numPr>
        <w:suppressLineNumbers w:val="0"/>
        <w:spacing w:before="0" w:beforeAutospacing="1" w:after="0" w:afterAutospacing="1" w:line="600" w:lineRule="exact"/>
        <w:ind w:left="1280" w:leftChars="0" w:right="0" w:firstLine="0" w:firstLineChars="0"/>
        <w:jc w:val="left"/>
      </w:pPr>
      <w:r>
        <w:rPr>
          <w:rFonts w:hint="eastAsia" w:ascii="仿宋_GB2312" w:eastAsia="仿宋_GB2312" w:cs="宋体" w:hAnsiTheme="minorHAnsi"/>
          <w:kern w:val="0"/>
          <w:sz w:val="32"/>
          <w:szCs w:val="32"/>
          <w:lang w:val="en-US" w:eastAsia="zh-CN" w:bidi="ar"/>
        </w:rPr>
        <w:t>八、</w:t>
      </w:r>
      <w:r>
        <w:rPr>
          <w:rFonts w:hint="eastAsia" w:ascii="仿宋_GB2312" w:eastAsia="仿宋_GB2312" w:cs="仿宋_GB2312" w:hAnsiTheme="minorHAnsi"/>
          <w:kern w:val="0"/>
          <w:sz w:val="32"/>
          <w:szCs w:val="32"/>
          <w:lang w:val="en-US" w:eastAsia="zh-CN" w:bidi="ar"/>
        </w:rPr>
        <w:t>政府性基金预算财政拨款收入支出决算表</w:t>
      </w:r>
    </w:p>
    <w:p>
      <w:pPr>
        <w:keepNext w:val="0"/>
        <w:keepLines w:val="0"/>
        <w:widowControl/>
        <w:numPr>
          <w:numId w:val="0"/>
        </w:numPr>
        <w:suppressLineNumbers w:val="0"/>
        <w:spacing w:before="0" w:beforeAutospacing="1" w:after="0" w:afterAutospacing="1" w:line="600" w:lineRule="exact"/>
        <w:ind w:left="1280" w:leftChars="0" w:right="0" w:firstLine="0" w:firstLineChars="0"/>
        <w:jc w:val="left"/>
      </w:pPr>
      <w:r>
        <w:rPr>
          <w:rFonts w:hint="eastAsia" w:ascii="仿宋_GB2312" w:eastAsia="仿宋_GB2312" w:cs="宋体" w:hAnsiTheme="minorHAnsi"/>
          <w:kern w:val="0"/>
          <w:sz w:val="32"/>
          <w:szCs w:val="32"/>
          <w:lang w:val="en-US" w:eastAsia="zh-CN" w:bidi="ar"/>
        </w:rPr>
        <w:t>九、</w:t>
      </w:r>
      <w:r>
        <w:rPr>
          <w:rFonts w:hint="eastAsia" w:ascii="仿宋_GB2312" w:eastAsia="仿宋_GB2312" w:cs="仿宋_GB2312" w:hAnsiTheme="minorHAnsi"/>
          <w:kern w:val="0"/>
          <w:sz w:val="32"/>
          <w:szCs w:val="32"/>
          <w:lang w:val="en-US" w:eastAsia="zh-CN" w:bidi="ar"/>
        </w:rPr>
        <w:t>国有资本经营预算财政拨款支出决算表</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宋体" w:hAnsiTheme="minorHAnsi"/>
          <w:kern w:val="0"/>
          <w:sz w:val="32"/>
          <w:szCs w:val="32"/>
          <w:lang w:val="en-US" w:eastAsia="zh-CN" w:bidi="ar"/>
        </w:rPr>
        <w:t>    </w:t>
      </w:r>
      <w:r>
        <w:rPr>
          <w:rFonts w:hint="eastAsia" w:ascii="仿宋_GB2312" w:eastAsia="仿宋_GB2312" w:cs="仿宋_GB2312" w:hAnsiTheme="minorHAnsi"/>
          <w:kern w:val="0"/>
          <w:sz w:val="32"/>
          <w:szCs w:val="32"/>
          <w:lang w:val="en-US" w:eastAsia="zh-CN" w:bidi="ar"/>
        </w:rPr>
        <w:t>十、国有资产占用情况表</w:t>
      </w:r>
    </w:p>
    <w:p>
      <w:pPr>
        <w:keepNext w:val="0"/>
        <w:keepLines w:val="0"/>
        <w:widowControl/>
        <w:suppressLineNumbers w:val="0"/>
        <w:spacing w:before="0" w:beforeAutospacing="1" w:after="0" w:afterAutospacing="1" w:line="600" w:lineRule="exact"/>
        <w:ind w:left="0" w:right="0"/>
        <w:jc w:val="left"/>
      </w:pPr>
      <w:r>
        <w:rPr>
          <w:rFonts w:hint="eastAsia" w:ascii="仿宋_GB2312" w:eastAsia="仿宋_GB2312" w:cs="宋体" w:hAnsiTheme="minorHAnsi"/>
          <w:kern w:val="0"/>
          <w:sz w:val="32"/>
          <w:szCs w:val="32"/>
          <w:lang w:val="en-US" w:eastAsia="zh-CN" w:bidi="ar"/>
        </w:rPr>
        <w:t>    </w:t>
      </w:r>
      <w:r>
        <w:rPr>
          <w:rFonts w:hint="eastAsia" w:ascii="黑体" w:hAnsi="宋体" w:eastAsia="黑体" w:cs="黑体"/>
          <w:kern w:val="2"/>
          <w:sz w:val="32"/>
          <w:szCs w:val="32"/>
          <w:lang w:val="en-US" w:eastAsia="zh-CN" w:bidi="ar"/>
        </w:rPr>
        <w:t>第三部分  2021年度单位决算情况说明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eastAsia" w:ascii="仿宋_GB2312" w:eastAsia="仿宋_GB2312" w:cs="仿宋_GB2312" w:hAnsiTheme="minorHAnsi"/>
          <w:kern w:val="2"/>
          <w:sz w:val="32"/>
          <w:szCs w:val="32"/>
          <w:lang w:val="en-US" w:eastAsia="zh-CN" w:bidi="ar"/>
        </w:rPr>
        <w:t>一、收入决算情况说明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eastAsia" w:ascii="仿宋_GB2312" w:eastAsia="仿宋_GB2312" w:cs="仿宋_GB2312" w:hAnsiTheme="minorHAnsi"/>
          <w:kern w:val="2"/>
          <w:sz w:val="32"/>
          <w:szCs w:val="32"/>
          <w:lang w:val="en-US" w:eastAsia="zh-CN" w:bidi="ar"/>
        </w:rPr>
        <w:t>二、支出决算情况说明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eastAsia" w:ascii="仿宋_GB2312" w:eastAsia="仿宋_GB2312" w:cs="仿宋_GB2312" w:hAnsiTheme="minorHAnsi"/>
          <w:kern w:val="2"/>
          <w:sz w:val="32"/>
          <w:szCs w:val="32"/>
          <w:lang w:val="en-US" w:eastAsia="zh-CN" w:bidi="ar"/>
        </w:rPr>
        <w:t>三、财政拨款支出决算情况说明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eastAsia" w:ascii="仿宋_GB2312" w:eastAsia="仿宋_GB2312" w:cs="仿宋_GB2312" w:hAnsiTheme="minorHAnsi"/>
          <w:kern w:val="2"/>
          <w:sz w:val="32"/>
          <w:szCs w:val="32"/>
          <w:lang w:val="en-US" w:eastAsia="zh-CN" w:bidi="ar"/>
        </w:rPr>
        <w:t>四、一般公共预算财政拨款基本支出决算情况说明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eastAsia" w:ascii="仿宋_GB2312" w:eastAsia="仿宋_GB2312" w:cs="仿宋_GB2312" w:hAnsiTheme="minorHAnsi"/>
          <w:kern w:val="2"/>
          <w:sz w:val="32"/>
          <w:szCs w:val="32"/>
          <w:lang w:val="en-US" w:eastAsia="zh-CN" w:bidi="ar"/>
        </w:rPr>
        <w:t>五、一般公共预算财政拨款“三公”经费支出决算</w:t>
      </w:r>
    </w:p>
    <w:p>
      <w:pPr>
        <w:keepNext w:val="0"/>
        <w:keepLines w:val="0"/>
        <w:widowControl/>
        <w:suppressLineNumbers w:val="0"/>
        <w:spacing w:before="0" w:beforeAutospacing="1" w:after="0" w:afterAutospacing="1" w:line="600" w:lineRule="exact"/>
        <w:ind w:left="0" w:right="0"/>
        <w:jc w:val="left"/>
      </w:pPr>
      <w:r>
        <w:rPr>
          <w:rFonts w:hint="eastAsia" w:ascii="仿宋_GB2312" w:eastAsia="仿宋_GB2312" w:cs="仿宋_GB2312" w:hAnsiTheme="minorHAnsi"/>
          <w:kern w:val="2"/>
          <w:sz w:val="32"/>
          <w:szCs w:val="32"/>
          <w:lang w:val="en-US" w:eastAsia="zh-CN" w:bidi="ar"/>
        </w:rPr>
        <w:t>    情况说明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eastAsia" w:ascii="仿宋_GB2312" w:eastAsia="仿宋_GB2312" w:cs="仿宋_GB2312" w:hAnsiTheme="minorHAnsi"/>
          <w:kern w:val="2"/>
          <w:sz w:val="32"/>
          <w:szCs w:val="32"/>
          <w:lang w:val="en-US" w:eastAsia="zh-CN" w:bidi="ar"/>
        </w:rPr>
        <w:t>六、机关运行经费支出情况说明</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仿宋_GB2312" w:hAnsiTheme="minorHAnsi"/>
          <w:kern w:val="2"/>
          <w:sz w:val="32"/>
          <w:szCs w:val="32"/>
          <w:lang w:val="en-US" w:eastAsia="zh-CN" w:bidi="ar"/>
        </w:rPr>
        <w:t>    七、政府采购支出情况说明</w:t>
      </w:r>
    </w:p>
    <w:p>
      <w:pPr>
        <w:keepNext w:val="0"/>
        <w:keepLines w:val="0"/>
        <w:widowControl/>
        <w:suppressLineNumbers w:val="0"/>
        <w:spacing w:before="0" w:beforeAutospacing="1" w:after="0" w:afterAutospacing="1" w:line="600" w:lineRule="exact"/>
        <w:ind w:left="0" w:right="0" w:firstLine="640"/>
        <w:jc w:val="left"/>
      </w:pPr>
      <w:r>
        <w:rPr>
          <w:rFonts w:hint="eastAsia" w:ascii="仿宋_GB2312" w:eastAsia="仿宋_GB2312" w:cs="仿宋_GB2312" w:hAnsiTheme="minorHAnsi"/>
          <w:kern w:val="2"/>
          <w:sz w:val="32"/>
          <w:szCs w:val="32"/>
          <w:lang w:val="en-US" w:eastAsia="zh-CN" w:bidi="ar"/>
        </w:rPr>
        <w:t>    八、</w:t>
      </w:r>
      <w:r>
        <w:rPr>
          <w:rFonts w:ascii="仿宋" w:hAnsi="仿宋" w:eastAsia="仿宋" w:cs="仿宋"/>
          <w:i w:val="0"/>
          <w:iCs w:val="0"/>
          <w:kern w:val="0"/>
          <w:sz w:val="32"/>
          <w:szCs w:val="32"/>
          <w:lang w:val="en-US" w:eastAsia="zh-CN" w:bidi="ar"/>
        </w:rPr>
        <w:t>国有资本经营预算财政拨款支出情况说明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eastAsia" w:ascii="仿宋_GB2312" w:eastAsia="仿宋_GB2312" w:cs="仿宋_GB2312" w:hAnsiTheme="minorHAnsi"/>
          <w:kern w:val="2"/>
          <w:sz w:val="32"/>
          <w:szCs w:val="32"/>
          <w:lang w:val="en-US" w:eastAsia="zh-CN" w:bidi="ar"/>
        </w:rPr>
        <w:t>九、国有资产占用情况说明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firstLine="1280" w:firstLineChars="400"/>
        <w:jc w:val="both"/>
      </w:pPr>
      <w:r>
        <w:rPr>
          <w:rFonts w:hint="eastAsia" w:ascii="仿宋_GB2312" w:eastAsia="仿宋_GB2312" w:cs="仿宋_GB2312"/>
          <w:kern w:val="2"/>
          <w:sz w:val="32"/>
          <w:szCs w:val="32"/>
          <w:bdr w:val="none" w:color="auto" w:sz="0" w:space="0"/>
          <w:shd w:val="clear" w:fill="FFFFFF"/>
        </w:rPr>
        <w:t>十、预算绩效情况说明</w:t>
      </w:r>
      <w:r>
        <w:rPr>
          <w:rFonts w:hint="eastAsia" w:ascii="仿宋_GB2312" w:eastAsia="仿宋_GB2312" w:cs="仿宋_GB2312"/>
          <w:sz w:val="32"/>
          <w:szCs w:val="32"/>
          <w:bdr w:val="none" w:color="auto" w:sz="0" w:space="0"/>
          <w:shd w:val="clear" w:fill="FFFFFF"/>
        </w:rPr>
        <w:t> </w:t>
      </w:r>
    </w:p>
    <w:p>
      <w:pPr>
        <w:keepNext w:val="0"/>
        <w:keepLines w:val="0"/>
        <w:widowControl/>
        <w:suppressLineNumbers w:val="0"/>
        <w:spacing w:before="0" w:beforeAutospacing="1" w:after="0" w:afterAutospacing="1" w:line="600" w:lineRule="exact"/>
        <w:ind w:left="0" w:right="0" w:firstLine="640"/>
        <w:jc w:val="left"/>
      </w:pPr>
      <w:r>
        <w:rPr>
          <w:rFonts w:hint="eastAsia" w:ascii="黑体" w:hAnsi="宋体" w:eastAsia="黑体" w:cs="黑体"/>
          <w:kern w:val="2"/>
          <w:sz w:val="32"/>
          <w:szCs w:val="32"/>
          <w:lang w:val="en-US" w:eastAsia="zh-CN" w:bidi="ar"/>
        </w:rPr>
        <w:t>第四部分  名词解释</w:t>
      </w:r>
    </w:p>
    <w:p>
      <w:pPr>
        <w:keepNext w:val="0"/>
        <w:keepLines w:val="0"/>
        <w:widowControl/>
        <w:suppressLineNumbers w:val="0"/>
        <w:spacing w:before="0" w:beforeAutospacing="1" w:after="0" w:afterAutospacing="1" w:line="580" w:lineRule="exact"/>
        <w:ind w:left="0" w:right="0"/>
        <w:jc w:val="center"/>
      </w:pPr>
      <w:r>
        <w:rPr>
          <w:rFonts w:hint="eastAsia" w:ascii="方正小标宋简体" w:hAnsi="方正小标宋简体" w:eastAsia="方正小标宋简体" w:cs="方正小标宋简体"/>
          <w:b w:val="0"/>
          <w:bCs/>
          <w:kern w:val="2"/>
          <w:sz w:val="44"/>
          <w:szCs w:val="44"/>
          <w:lang w:val="en-US" w:eastAsia="zh-CN" w:bidi="ar"/>
        </w:rPr>
        <w:t>第一部分  宁都县长胜公立幼儿园概况</w:t>
      </w:r>
    </w:p>
    <w:p>
      <w:pPr>
        <w:keepNext w:val="0"/>
        <w:keepLines w:val="0"/>
        <w:widowControl/>
        <w:suppressLineNumbers w:val="0"/>
        <w:spacing w:before="0" w:beforeAutospacing="1" w:after="0" w:afterAutospacing="1"/>
        <w:ind w:left="0" w:right="0" w:firstLine="630"/>
        <w:jc w:val="center"/>
      </w:pPr>
      <w:r>
        <w:rPr>
          <w:rFonts w:hint="eastAsia" w:ascii="Calibri" w:hAnsi="Calibri" w:eastAsia="宋体" w:cs="宋体"/>
          <w:kern w:val="2"/>
          <w:sz w:val="32"/>
          <w:szCs w:val="32"/>
          <w:lang w:val="en-US" w:eastAsia="zh-CN" w:bidi="ar"/>
        </w:rPr>
        <w:t> </w:t>
      </w:r>
    </w:p>
    <w:p>
      <w:pPr>
        <w:keepNext w:val="0"/>
        <w:keepLines w:val="0"/>
        <w:widowControl/>
        <w:numPr>
          <w:numId w:val="0"/>
        </w:numPr>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一、单位主要职能</w:t>
      </w:r>
    </w:p>
    <w:p>
      <w:pPr>
        <w:pStyle w:val="2"/>
        <w:keepNext w:val="0"/>
        <w:keepLines w:val="0"/>
        <w:widowControl/>
        <w:suppressLineNumbers w:val="0"/>
        <w:shd w:val="clear" w:fill="FFFFFF"/>
        <w:spacing w:before="0" w:beforeAutospacing="0" w:after="0" w:afterAutospacing="0" w:line="480" w:lineRule="exact"/>
        <w:ind w:left="0" w:right="0" w:firstLine="600" w:firstLineChars="200"/>
      </w:pPr>
      <w:r>
        <w:rPr>
          <w:rFonts w:hint="eastAsia" w:ascii="黑体" w:hAnsi="宋体" w:eastAsia="黑体" w:cs="宋体"/>
          <w:kern w:val="0"/>
          <w:sz w:val="30"/>
          <w:szCs w:val="30"/>
          <w:shd w:val="clear" w:fill="FFFFFF"/>
        </w:rPr>
        <w:t>     </w:t>
      </w:r>
      <w:r>
        <w:rPr>
          <w:rFonts w:hint="eastAsia" w:ascii="仿宋" w:hAnsi="仿宋" w:eastAsia="仿宋" w:cs="仿宋"/>
          <w:kern w:val="0"/>
          <w:sz w:val="30"/>
          <w:szCs w:val="30"/>
          <w:shd w:val="clear" w:fill="FFFFFF"/>
        </w:rPr>
        <w:t>一、认真贯彻执行幼儿教育《纲要》和《幼儿园工作规程》精神,从严治园,以促进幼儿体、智、德、美全面发展为各项工作的目标,坚持改革,不断提高教育质量。</w:t>
      </w:r>
    </w:p>
    <w:p>
      <w:pPr>
        <w:pStyle w:val="2"/>
        <w:keepNext w:val="0"/>
        <w:keepLines w:val="0"/>
        <w:widowControl/>
        <w:suppressLineNumbers w:val="0"/>
        <w:shd w:val="clear" w:fill="FFFFFF"/>
        <w:spacing w:before="0" w:beforeAutospacing="0" w:after="0" w:afterAutospacing="0" w:line="480" w:lineRule="exact"/>
        <w:ind w:left="0" w:right="0" w:firstLine="600" w:firstLineChars="200"/>
      </w:pPr>
      <w:r>
        <w:rPr>
          <w:rFonts w:hint="eastAsia" w:ascii="仿宋" w:hAnsi="仿宋" w:eastAsia="仿宋" w:cs="仿宋"/>
          <w:kern w:val="0"/>
          <w:sz w:val="30"/>
          <w:szCs w:val="30"/>
          <w:shd w:val="clear" w:fill="FFFFFF"/>
        </w:rPr>
        <w:t> 二、严格执行幼儿安全、卫生、保健制度，制定年度工作目标、规划、学期工作任务，认真做好组织实施。</w:t>
      </w:r>
    </w:p>
    <w:p>
      <w:pPr>
        <w:pStyle w:val="2"/>
        <w:keepNext w:val="0"/>
        <w:keepLines w:val="0"/>
        <w:widowControl/>
        <w:suppressLineNumbers w:val="0"/>
        <w:shd w:val="clear" w:fill="FFFFFF"/>
        <w:spacing w:before="0" w:beforeAutospacing="0" w:after="0" w:afterAutospacing="0" w:line="480" w:lineRule="exact"/>
        <w:ind w:left="0" w:right="0" w:firstLine="600" w:firstLineChars="200"/>
      </w:pPr>
      <w:r>
        <w:rPr>
          <w:rFonts w:hint="eastAsia" w:ascii="仿宋" w:hAnsi="仿宋" w:eastAsia="仿宋" w:cs="仿宋"/>
          <w:kern w:val="0"/>
          <w:sz w:val="30"/>
          <w:szCs w:val="30"/>
          <w:shd w:val="clear" w:fill="FFFFFF"/>
        </w:rPr>
        <w:t>三、建立和健全各项规章制度并认真组织和实施。</w:t>
      </w:r>
    </w:p>
    <w:p>
      <w:pPr>
        <w:pStyle w:val="2"/>
        <w:keepNext w:val="0"/>
        <w:keepLines w:val="0"/>
        <w:widowControl/>
        <w:suppressLineNumbers w:val="0"/>
        <w:shd w:val="clear" w:fill="FFFFFF"/>
        <w:spacing w:before="0" w:beforeAutospacing="0" w:after="0" w:afterAutospacing="0" w:line="480" w:lineRule="exact"/>
        <w:ind w:left="0" w:right="0" w:firstLine="600" w:firstLineChars="200"/>
      </w:pPr>
      <w:r>
        <w:rPr>
          <w:rFonts w:hint="eastAsia" w:ascii="仿宋" w:hAnsi="仿宋" w:eastAsia="仿宋" w:cs="仿宋"/>
          <w:kern w:val="0"/>
          <w:sz w:val="30"/>
          <w:szCs w:val="30"/>
          <w:shd w:val="clear" w:fill="FFFFFF"/>
        </w:rPr>
        <w:t> 四、加强教职工的考核工作，检查、指导、评估工作质量，制定奖惩措施。</w:t>
      </w:r>
    </w:p>
    <w:p>
      <w:pPr>
        <w:pStyle w:val="2"/>
        <w:keepNext w:val="0"/>
        <w:keepLines w:val="0"/>
        <w:widowControl/>
        <w:suppressLineNumbers w:val="0"/>
        <w:shd w:val="clear" w:fill="FFFFFF"/>
        <w:spacing w:before="0" w:beforeAutospacing="0" w:after="0" w:afterAutospacing="0" w:line="480" w:lineRule="exact"/>
        <w:ind w:left="0" w:right="0" w:firstLine="628" w:firstLineChars="200"/>
      </w:pPr>
      <w:r>
        <w:rPr>
          <w:rFonts w:hint="eastAsia" w:ascii="仿宋" w:hAnsi="仿宋" w:eastAsia="仿宋" w:cs="仿宋"/>
          <w:spacing w:val="7"/>
          <w:kern w:val="0"/>
          <w:sz w:val="30"/>
          <w:szCs w:val="30"/>
          <w:shd w:val="clear" w:fill="FFFFFF"/>
        </w:rPr>
        <w:t>五、</w:t>
      </w:r>
      <w:r>
        <w:rPr>
          <w:rFonts w:hint="eastAsia" w:ascii="仿宋" w:hAnsi="仿宋" w:eastAsia="仿宋" w:cs="仿宋"/>
          <w:spacing w:val="-5"/>
          <w:kern w:val="0"/>
          <w:sz w:val="30"/>
          <w:szCs w:val="30"/>
          <w:shd w:val="clear" w:fill="FFFFFF"/>
        </w:rPr>
        <w:t>加强财务管理，</w:t>
      </w:r>
      <w:r>
        <w:rPr>
          <w:rFonts w:hint="eastAsia" w:ascii="仿宋" w:hAnsi="仿宋" w:eastAsia="仿宋" w:cs="仿宋"/>
          <w:spacing w:val="7"/>
          <w:kern w:val="0"/>
          <w:sz w:val="30"/>
          <w:szCs w:val="30"/>
          <w:shd w:val="clear" w:fill="FFFFFF"/>
        </w:rPr>
        <w:t>科学管理、合理使用学校的设施和经费，并积极筹措资金，</w:t>
      </w:r>
      <w:r>
        <w:rPr>
          <w:rFonts w:hint="eastAsia" w:ascii="仿宋" w:hAnsi="仿宋" w:eastAsia="仿宋" w:cs="仿宋"/>
          <w:spacing w:val="-5"/>
          <w:kern w:val="0"/>
          <w:sz w:val="30"/>
          <w:szCs w:val="30"/>
          <w:shd w:val="clear" w:fill="FFFFFF"/>
        </w:rPr>
        <w:t>改善办学条件。</w:t>
      </w:r>
    </w:p>
    <w:p>
      <w:pPr>
        <w:pStyle w:val="2"/>
        <w:keepNext w:val="0"/>
        <w:keepLines w:val="0"/>
        <w:widowControl/>
        <w:suppressLineNumbers w:val="0"/>
        <w:shd w:val="clear" w:fill="FFFFFF"/>
        <w:spacing w:before="0" w:beforeAutospacing="0" w:after="0" w:afterAutospacing="0" w:line="480" w:lineRule="exact"/>
        <w:ind w:left="0" w:right="0" w:firstLine="580" w:firstLineChars="200"/>
      </w:pPr>
      <w:r>
        <w:rPr>
          <w:rFonts w:hint="eastAsia" w:ascii="仿宋" w:hAnsi="仿宋" w:eastAsia="仿宋" w:cs="仿宋"/>
          <w:spacing w:val="-5"/>
          <w:kern w:val="0"/>
          <w:sz w:val="30"/>
          <w:szCs w:val="30"/>
          <w:shd w:val="clear" w:fill="FFFFFF"/>
        </w:rPr>
        <w:t>六、加强思想政治工作，组织文化业务学习，有计划开展业务培训，提高教师业务水平。</w:t>
      </w:r>
    </w:p>
    <w:p>
      <w:pPr>
        <w:pStyle w:val="2"/>
        <w:keepNext w:val="0"/>
        <w:keepLines w:val="0"/>
        <w:widowControl/>
        <w:suppressLineNumbers w:val="0"/>
        <w:shd w:val="clear" w:fill="FFFFFF"/>
        <w:spacing w:before="0" w:beforeAutospacing="0" w:after="0" w:afterAutospacing="0" w:line="480" w:lineRule="exact"/>
        <w:ind w:left="0" w:right="0" w:firstLine="600" w:firstLineChars="200"/>
      </w:pPr>
      <w:r>
        <w:rPr>
          <w:rFonts w:hint="eastAsia" w:ascii="仿宋" w:hAnsi="仿宋" w:eastAsia="仿宋" w:cs="仿宋"/>
          <w:kern w:val="0"/>
          <w:sz w:val="30"/>
          <w:szCs w:val="30"/>
          <w:shd w:val="clear" w:fill="FFFFFF"/>
        </w:rPr>
        <w:t>七、关心教职工业务和生活，加强职工道德教育。 </w:t>
      </w:r>
    </w:p>
    <w:p>
      <w:pPr>
        <w:keepNext w:val="0"/>
        <w:keepLines w:val="0"/>
        <w:widowControl/>
        <w:suppressLineNumbers w:val="0"/>
        <w:spacing w:before="0" w:beforeAutospacing="1" w:after="0" w:afterAutospacing="1"/>
        <w:ind w:left="0" w:right="0"/>
        <w:jc w:val="left"/>
      </w:pPr>
      <w:r>
        <w:rPr>
          <w:rFonts w:hint="eastAsia" w:ascii="仿宋" w:hAnsi="仿宋" w:eastAsia="仿宋" w:cs="仿宋"/>
          <w:spacing w:val="-9"/>
          <w:kern w:val="2"/>
          <w:sz w:val="30"/>
          <w:szCs w:val="30"/>
          <w:lang w:val="en-US" w:eastAsia="zh-CN" w:bidi="ar"/>
        </w:rPr>
        <w:t>八、依法接受各级教育行政单位的检查指导和人民群众的监督。</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二、单位基本情况</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纳入本套单位决算汇编范围的单位共 1个。</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本单位2021年年末实有人数 10  人，其中在职人员 10 人，离休人员 0  人，退休人员  0 人（含由养老保险基金发放养老金的离退休人员）；年末其他人员  0 人；年末学生人数 253 人。</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 </w:t>
      </w:r>
    </w:p>
    <w:p>
      <w:pPr>
        <w:keepNext w:val="0"/>
        <w:keepLines w:val="0"/>
        <w:widowControl/>
        <w:suppressLineNumbers w:val="0"/>
        <w:spacing w:before="0" w:beforeAutospacing="1" w:after="0" w:afterAutospacing="1" w:line="600" w:lineRule="exact"/>
        <w:ind w:left="0" w:right="0"/>
        <w:jc w:val="both"/>
      </w:pPr>
      <w:r>
        <w:rPr>
          <w:rFonts w:hint="eastAsia" w:ascii="方正小标宋简体" w:hAnsi="方正小标宋简体" w:eastAsia="方正小标宋简体" w:cs="方正小标宋简体"/>
          <w:b w:val="0"/>
          <w:bCs/>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jc w:val="center"/>
        <w:rPr>
          <w:rFonts w:hint="eastAsia" w:ascii="方正小标宋简体" w:hAnsi="方正小标宋简体" w:eastAsia="方正小标宋简体" w:cs="方正小标宋简体"/>
          <w:b w:val="0"/>
          <w:bCs/>
          <w:kern w:val="2"/>
          <w:sz w:val="44"/>
          <w:szCs w:val="44"/>
          <w:lang w:val="en-US" w:eastAsia="zh-CN" w:bidi="ar"/>
        </w:rPr>
      </w:pPr>
      <w:r>
        <w:rPr>
          <w:rFonts w:hint="eastAsia" w:ascii="方正小标宋简体" w:hAnsi="方正小标宋简体" w:eastAsia="方正小标宋简体" w:cs="方正小标宋简体"/>
          <w:b w:val="0"/>
          <w:bCs/>
          <w:kern w:val="2"/>
          <w:sz w:val="44"/>
          <w:szCs w:val="44"/>
          <w:lang w:val="en-US" w:eastAsia="zh-CN" w:bidi="ar"/>
        </w:rPr>
        <w:t>第二部分  2021年度单位决算表</w:t>
      </w:r>
    </w:p>
    <w:p>
      <w:pPr>
        <w:keepNext w:val="0"/>
        <w:keepLines w:val="0"/>
        <w:widowControl/>
        <w:suppressLineNumbers w:val="0"/>
        <w:spacing w:before="0" w:beforeAutospacing="1" w:after="0" w:afterAutospacing="1" w:line="600" w:lineRule="exact"/>
        <w:ind w:left="0" w:right="0"/>
        <w:jc w:val="center"/>
        <w:rPr>
          <w:rFonts w:hint="eastAsia" w:ascii="方正小标宋简体" w:hAnsi="方正小标宋简体" w:eastAsia="方正小标宋简体" w:cs="方正小标宋简体"/>
          <w:b w:val="0"/>
          <w:bCs/>
          <w:kern w:val="2"/>
          <w:sz w:val="44"/>
          <w:szCs w:val="44"/>
          <w:lang w:val="en-US" w:eastAsia="zh-CN" w:bidi="ar"/>
        </w:rPr>
      </w:pPr>
    </w:p>
    <w:p>
      <w:pPr>
        <w:autoSpaceDE w:val="0"/>
        <w:autoSpaceDN w:val="0"/>
        <w:adjustRightInd w:val="0"/>
        <w:spacing w:line="360" w:lineRule="auto"/>
        <w:jc w:val="left"/>
        <w:rPr>
          <w:rFonts w:hint="eastAsia"/>
          <w:color w:val="auto"/>
          <w:szCs w:val="30"/>
        </w:rPr>
      </w:pPr>
    </w:p>
    <w:p>
      <w:pPr>
        <w:autoSpaceDE w:val="0"/>
        <w:autoSpaceDN w:val="0"/>
        <w:adjustRightInd w:val="0"/>
        <w:spacing w:line="360" w:lineRule="auto"/>
        <w:jc w:val="left"/>
        <w:rPr>
          <w:rFonts w:hint="eastAsia"/>
          <w:color w:val="auto"/>
          <w:szCs w:val="30"/>
        </w:rPr>
      </w:pPr>
    </w:p>
    <w:p>
      <w:pPr>
        <w:autoSpaceDE w:val="0"/>
        <w:autoSpaceDN w:val="0"/>
        <w:adjustRightInd w:val="0"/>
        <w:spacing w:line="360" w:lineRule="auto"/>
        <w:jc w:val="left"/>
        <w:rPr>
          <w:rFonts w:hint="eastAsia"/>
          <w:color w:val="auto"/>
          <w:szCs w:val="30"/>
        </w:rPr>
      </w:pPr>
    </w:p>
    <w:p>
      <w:pPr>
        <w:autoSpaceDE w:val="0"/>
        <w:autoSpaceDN w:val="0"/>
        <w:adjustRightInd w:val="0"/>
        <w:spacing w:line="360" w:lineRule="auto"/>
        <w:jc w:val="left"/>
        <w:rPr>
          <w:rFonts w:hint="eastAsia" w:eastAsia="宋体"/>
          <w:color w:val="auto"/>
          <w:szCs w:val="30"/>
          <w:lang w:eastAsia="zh-CN"/>
        </w:rPr>
      </w:pPr>
      <w:r>
        <w:rPr>
          <w:rFonts w:hint="eastAsia" w:eastAsia="宋体"/>
          <w:color w:val="auto"/>
          <w:szCs w:val="30"/>
          <w:lang w:eastAsia="zh-CN"/>
        </w:rPr>
        <w:drawing>
          <wp:inline distT="0" distB="0" distL="114300" distR="114300">
            <wp:extent cx="5271135" cy="4533900"/>
            <wp:effectExtent l="0" t="0" r="5715" b="0"/>
            <wp:docPr id="12" name="图片 12" descr="3c3cbcf9dd2d2913ad2b89c49579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c3cbcf9dd2d2913ad2b89c49579de5"/>
                    <pic:cNvPicPr>
                      <a:picLocks noChangeAspect="1"/>
                    </pic:cNvPicPr>
                  </pic:nvPicPr>
                  <pic:blipFill>
                    <a:blip r:embed="rId4"/>
                    <a:stretch>
                      <a:fillRect/>
                    </a:stretch>
                  </pic:blipFill>
                  <pic:spPr>
                    <a:xfrm>
                      <a:off x="0" y="0"/>
                      <a:ext cx="5271135" cy="4533900"/>
                    </a:xfrm>
                    <a:prstGeom prst="rect">
                      <a:avLst/>
                    </a:prstGeom>
                    <a:noFill/>
                    <a:ln>
                      <a:noFill/>
                    </a:ln>
                  </pic:spPr>
                </pic:pic>
              </a:graphicData>
            </a:graphic>
          </wp:inline>
        </w:drawing>
      </w:r>
      <w:r>
        <w:rPr>
          <w:rFonts w:hint="eastAsia" w:eastAsia="宋体"/>
          <w:color w:val="auto"/>
          <w:szCs w:val="30"/>
          <w:lang w:eastAsia="zh-CN"/>
        </w:rPr>
        <w:drawing>
          <wp:inline distT="0" distB="0" distL="114300" distR="114300">
            <wp:extent cx="5271135" cy="4533900"/>
            <wp:effectExtent l="0" t="0" r="5715" b="0"/>
            <wp:docPr id="18" name="图片 13" descr="3c3cbcf9dd2d2913ad2b89c49579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3c3cbcf9dd2d2913ad2b89c49579de5"/>
                    <pic:cNvPicPr>
                      <a:picLocks noChangeAspect="1"/>
                    </pic:cNvPicPr>
                  </pic:nvPicPr>
                  <pic:blipFill>
                    <a:blip r:embed="rId4"/>
                    <a:stretch>
                      <a:fillRect/>
                    </a:stretch>
                  </pic:blipFill>
                  <pic:spPr>
                    <a:xfrm>
                      <a:off x="0" y="0"/>
                      <a:ext cx="5271135" cy="4533900"/>
                    </a:xfrm>
                    <a:prstGeom prst="rect">
                      <a:avLst/>
                    </a:prstGeom>
                    <a:noFill/>
                    <a:ln>
                      <a:noFill/>
                    </a:ln>
                  </pic:spPr>
                </pic:pic>
              </a:graphicData>
            </a:graphic>
          </wp:inline>
        </w:drawing>
      </w:r>
    </w:p>
    <w:p>
      <w:pPr>
        <w:autoSpaceDE w:val="0"/>
        <w:autoSpaceDN w:val="0"/>
        <w:adjustRightInd w:val="0"/>
        <w:spacing w:line="360" w:lineRule="auto"/>
        <w:jc w:val="left"/>
        <w:rPr>
          <w:rFonts w:hint="eastAsia" w:ascii="仿宋_GB2312" w:hAnsi="仿宋_GB2312" w:eastAsia="仿宋_GB2312" w:cs="仿宋_GB2312"/>
          <w:color w:val="auto"/>
          <w:kern w:val="0"/>
          <w:sz w:val="30"/>
          <w:szCs w:val="30"/>
        </w:rPr>
      </w:pPr>
    </w:p>
    <w:p>
      <w:pPr>
        <w:autoSpaceDE w:val="0"/>
        <w:autoSpaceDN w:val="0"/>
        <w:adjustRightInd w:val="0"/>
        <w:spacing w:line="360" w:lineRule="auto"/>
        <w:jc w:val="left"/>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 xml:space="preserve"> </w:t>
      </w: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69230" cy="1951990"/>
            <wp:effectExtent l="0" t="0" r="7620" b="10160"/>
            <wp:docPr id="20" name="图片 14" descr="bd1e3706964fdd63d5a9e3b49f2e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bd1e3706964fdd63d5a9e3b49f2e64b"/>
                    <pic:cNvPicPr>
                      <a:picLocks noChangeAspect="1"/>
                    </pic:cNvPicPr>
                  </pic:nvPicPr>
                  <pic:blipFill>
                    <a:blip r:embed="rId5"/>
                    <a:stretch>
                      <a:fillRect/>
                    </a:stretch>
                  </pic:blipFill>
                  <pic:spPr>
                    <a:xfrm>
                      <a:off x="0" y="0"/>
                      <a:ext cx="5269230" cy="1951990"/>
                    </a:xfrm>
                    <a:prstGeom prst="rect">
                      <a:avLst/>
                    </a:prstGeom>
                    <a:noFill/>
                    <a:ln>
                      <a:noFill/>
                    </a:ln>
                  </pic:spPr>
                </pic:pic>
              </a:graphicData>
            </a:graphic>
          </wp:inline>
        </w:drawing>
      </w: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74310" cy="1998345"/>
            <wp:effectExtent l="0" t="0" r="2540" b="1905"/>
            <wp:docPr id="15" name="图片 15" descr="dda9b3ac590aef9c5f9298863a29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a9b3ac590aef9c5f9298863a29f04"/>
                    <pic:cNvPicPr>
                      <a:picLocks noChangeAspect="1"/>
                    </pic:cNvPicPr>
                  </pic:nvPicPr>
                  <pic:blipFill>
                    <a:blip r:embed="rId6"/>
                    <a:stretch>
                      <a:fillRect/>
                    </a:stretch>
                  </pic:blipFill>
                  <pic:spPr>
                    <a:xfrm>
                      <a:off x="0" y="0"/>
                      <a:ext cx="5274310" cy="1998345"/>
                    </a:xfrm>
                    <a:prstGeom prst="rect">
                      <a:avLst/>
                    </a:prstGeom>
                    <a:noFill/>
                    <a:ln>
                      <a:noFill/>
                    </a:ln>
                  </pic:spPr>
                </pic:pic>
              </a:graphicData>
            </a:graphic>
          </wp:inline>
        </w:drawing>
      </w: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71135" cy="4025265"/>
            <wp:effectExtent l="0" t="0" r="5715" b="13335"/>
            <wp:docPr id="19" name="图片 16" descr="8680b135bc313d33097d3627c5fa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8680b135bc313d33097d3627c5faa6f"/>
                    <pic:cNvPicPr>
                      <a:picLocks noChangeAspect="1"/>
                    </pic:cNvPicPr>
                  </pic:nvPicPr>
                  <pic:blipFill>
                    <a:blip r:embed="rId7"/>
                    <a:stretch>
                      <a:fillRect/>
                    </a:stretch>
                  </pic:blipFill>
                  <pic:spPr>
                    <a:xfrm>
                      <a:off x="0" y="0"/>
                      <a:ext cx="5271135" cy="4025265"/>
                    </a:xfrm>
                    <a:prstGeom prst="rect">
                      <a:avLst/>
                    </a:prstGeom>
                    <a:noFill/>
                    <a:ln>
                      <a:noFill/>
                    </a:ln>
                  </pic:spPr>
                </pic:pic>
              </a:graphicData>
            </a:graphic>
          </wp:inline>
        </w:drawing>
      </w: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69230" cy="2721610"/>
            <wp:effectExtent l="0" t="0" r="7620" b="2540"/>
            <wp:docPr id="22" name="图片 17" descr="9ec2373a334948d35070e657c1bd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9ec2373a334948d35070e657c1bd6a5"/>
                    <pic:cNvPicPr>
                      <a:picLocks noChangeAspect="1"/>
                    </pic:cNvPicPr>
                  </pic:nvPicPr>
                  <pic:blipFill>
                    <a:blip r:embed="rId8"/>
                    <a:stretch>
                      <a:fillRect/>
                    </a:stretch>
                  </pic:blipFill>
                  <pic:spPr>
                    <a:xfrm>
                      <a:off x="0" y="0"/>
                      <a:ext cx="5269230" cy="2721610"/>
                    </a:xfrm>
                    <a:prstGeom prst="rect">
                      <a:avLst/>
                    </a:prstGeom>
                    <a:noFill/>
                    <a:ln>
                      <a:noFill/>
                    </a:ln>
                  </pic:spPr>
                </pic:pic>
              </a:graphicData>
            </a:graphic>
          </wp:inline>
        </w:drawing>
      </w: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74310" cy="7212965"/>
            <wp:effectExtent l="0" t="0" r="2540" b="6985"/>
            <wp:docPr id="13" name="图片 18" descr="0069205492f8eac164aa033191cd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0069205492f8eac164aa033191cd340"/>
                    <pic:cNvPicPr>
                      <a:picLocks noChangeAspect="1"/>
                    </pic:cNvPicPr>
                  </pic:nvPicPr>
                  <pic:blipFill>
                    <a:blip r:embed="rId9"/>
                    <a:stretch>
                      <a:fillRect/>
                    </a:stretch>
                  </pic:blipFill>
                  <pic:spPr>
                    <a:xfrm>
                      <a:off x="0" y="0"/>
                      <a:ext cx="5274310" cy="7212965"/>
                    </a:xfrm>
                    <a:prstGeom prst="rect">
                      <a:avLst/>
                    </a:prstGeom>
                    <a:noFill/>
                    <a:ln>
                      <a:noFill/>
                    </a:ln>
                  </pic:spPr>
                </pic:pic>
              </a:graphicData>
            </a:graphic>
          </wp:inline>
        </w:drawing>
      </w: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72405" cy="3959860"/>
            <wp:effectExtent l="0" t="0" r="4445" b="2540"/>
            <wp:docPr id="21" name="图片 19" descr="e81e10a407d7c743db4d44fda7b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e81e10a407d7c743db4d44fda7b0994"/>
                    <pic:cNvPicPr>
                      <a:picLocks noChangeAspect="1"/>
                    </pic:cNvPicPr>
                  </pic:nvPicPr>
                  <pic:blipFill>
                    <a:blip r:embed="rId10"/>
                    <a:stretch>
                      <a:fillRect/>
                    </a:stretch>
                  </pic:blipFill>
                  <pic:spPr>
                    <a:xfrm>
                      <a:off x="0" y="0"/>
                      <a:ext cx="5272405" cy="3959860"/>
                    </a:xfrm>
                    <a:prstGeom prst="rect">
                      <a:avLst/>
                    </a:prstGeom>
                    <a:noFill/>
                    <a:ln>
                      <a:noFill/>
                    </a:ln>
                  </pic:spPr>
                </pic:pic>
              </a:graphicData>
            </a:graphic>
          </wp:inline>
        </w:drawing>
      </w: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67960" cy="2153285"/>
            <wp:effectExtent l="0" t="0" r="8890" b="18415"/>
            <wp:docPr id="14" name="图片 20" descr="8fef025aeaab59fa9acf5330c09f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8fef025aeaab59fa9acf5330c09facf"/>
                    <pic:cNvPicPr>
                      <a:picLocks noChangeAspect="1"/>
                    </pic:cNvPicPr>
                  </pic:nvPicPr>
                  <pic:blipFill>
                    <a:blip r:embed="rId11"/>
                    <a:stretch>
                      <a:fillRect/>
                    </a:stretch>
                  </pic:blipFill>
                  <pic:spPr>
                    <a:xfrm>
                      <a:off x="0" y="0"/>
                      <a:ext cx="5267960" cy="2153285"/>
                    </a:xfrm>
                    <a:prstGeom prst="rect">
                      <a:avLst/>
                    </a:prstGeom>
                    <a:noFill/>
                    <a:ln>
                      <a:noFill/>
                    </a:ln>
                  </pic:spPr>
                </pic:pic>
              </a:graphicData>
            </a:graphic>
          </wp:inline>
        </w:drawing>
      </w: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72405" cy="2749550"/>
            <wp:effectExtent l="0" t="0" r="4445" b="12700"/>
            <wp:docPr id="16" name="图片 21" descr="0474d39f1bc758d218a6a8941e37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0474d39f1bc758d218a6a8941e371a1"/>
                    <pic:cNvPicPr>
                      <a:picLocks noChangeAspect="1"/>
                    </pic:cNvPicPr>
                  </pic:nvPicPr>
                  <pic:blipFill>
                    <a:blip r:embed="rId12"/>
                    <a:stretch>
                      <a:fillRect/>
                    </a:stretch>
                  </pic:blipFill>
                  <pic:spPr>
                    <a:xfrm>
                      <a:off x="0" y="0"/>
                      <a:ext cx="5272405" cy="2749550"/>
                    </a:xfrm>
                    <a:prstGeom prst="rect">
                      <a:avLst/>
                    </a:prstGeom>
                    <a:noFill/>
                    <a:ln>
                      <a:noFill/>
                    </a:ln>
                  </pic:spPr>
                </pic:pic>
              </a:graphicData>
            </a:graphic>
          </wp:inline>
        </w:drawing>
      </w: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color w:val="auto"/>
        </w:rPr>
      </w:pPr>
    </w:p>
    <w:p>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72405" cy="2540635"/>
            <wp:effectExtent l="0" t="0" r="4445" b="12065"/>
            <wp:docPr id="17" name="图片 22" descr="a68ed311855c3d79ff85f19b889a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a68ed311855c3d79ff85f19b889a983"/>
                    <pic:cNvPicPr>
                      <a:picLocks noChangeAspect="1"/>
                    </pic:cNvPicPr>
                  </pic:nvPicPr>
                  <pic:blipFill>
                    <a:blip r:embed="rId13"/>
                    <a:stretch>
                      <a:fillRect/>
                    </a:stretch>
                  </pic:blipFill>
                  <pic:spPr>
                    <a:xfrm>
                      <a:off x="0" y="0"/>
                      <a:ext cx="5272405" cy="2540635"/>
                    </a:xfrm>
                    <a:prstGeom prst="rect">
                      <a:avLst/>
                    </a:prstGeom>
                    <a:noFill/>
                    <a:ln>
                      <a:noFill/>
                    </a:ln>
                  </pic:spPr>
                </pic:pic>
              </a:graphicData>
            </a:graphic>
          </wp:inline>
        </w:drawing>
      </w:r>
    </w:p>
    <w:p>
      <w:pPr>
        <w:autoSpaceDE w:val="0"/>
        <w:autoSpaceDN w:val="0"/>
        <w:adjustRightInd w:val="0"/>
        <w:spacing w:line="360" w:lineRule="auto"/>
        <w:jc w:val="left"/>
        <w:rPr>
          <w:color w:val="auto"/>
        </w:rPr>
      </w:pPr>
    </w:p>
    <w:p>
      <w:pPr>
        <w:keepNext w:val="0"/>
        <w:keepLines w:val="0"/>
        <w:widowControl/>
        <w:suppressLineNumbers w:val="0"/>
        <w:autoSpaceDE w:val="0"/>
        <w:autoSpaceDN w:val="0"/>
        <w:adjustRightInd w:val="0"/>
        <w:spacing w:before="0" w:beforeAutospacing="1" w:after="0" w:afterAutospacing="1" w:line="23" w:lineRule="atLeast"/>
        <w:ind w:left="0" w:right="0"/>
        <w:jc w:val="left"/>
      </w:pPr>
      <w:bookmarkStart w:id="0" w:name="_GoBack"/>
      <w:bookmarkEnd w:id="0"/>
      <w:r>
        <w:rPr>
          <w:rFonts w:hint="default" w:ascii="Calibri" w:hAnsi="Calibri" w:eastAsia="宋体" w:cs="Calibri"/>
          <w:kern w:val="2"/>
          <w:sz w:val="21"/>
          <w:szCs w:val="21"/>
          <w:lang w:val="en-US" w:eastAsia="zh-CN" w:bidi="ar"/>
        </w:rPr>
        <w:t> </w:t>
      </w:r>
    </w:p>
    <w:p>
      <w:pPr>
        <w:keepNext w:val="0"/>
        <w:keepLines w:val="0"/>
        <w:widowControl/>
        <w:suppressLineNumbers w:val="0"/>
        <w:autoSpaceDE w:val="0"/>
        <w:autoSpaceDN w:val="0"/>
        <w:adjustRightInd w:val="0"/>
        <w:spacing w:before="0" w:beforeAutospacing="1" w:after="0" w:afterAutospacing="1" w:line="23" w:lineRule="atLeast"/>
        <w:ind w:left="0" w:right="0"/>
        <w:jc w:val="left"/>
      </w:pPr>
      <w:r>
        <w:rPr>
          <w:rFonts w:hint="default" w:ascii="Calibri" w:hAnsi="Calibri" w:eastAsia="宋体" w:cs="Calibri"/>
          <w:kern w:val="2"/>
          <w:sz w:val="21"/>
          <w:szCs w:val="21"/>
          <w:lang w:val="en-US" w:eastAsia="zh-CN" w:bidi="ar"/>
        </w:rPr>
        <w:t> </w:t>
      </w:r>
    </w:p>
    <w:p>
      <w:pPr>
        <w:keepNext w:val="0"/>
        <w:keepLines w:val="0"/>
        <w:widowControl/>
        <w:suppressLineNumbers w:val="0"/>
        <w:autoSpaceDE w:val="0"/>
        <w:autoSpaceDN w:val="0"/>
        <w:adjustRightInd w:val="0"/>
        <w:spacing w:before="0" w:beforeAutospacing="1" w:after="0" w:afterAutospacing="1" w:line="23" w:lineRule="atLeast"/>
        <w:ind w:left="0" w:right="0"/>
        <w:jc w:val="left"/>
      </w:pPr>
      <w:r>
        <w:rPr>
          <w:rFonts w:hint="eastAsia" w:ascii="Calibri" w:hAnsi="Calibri" w:eastAsia="宋体" w:cs="宋体"/>
          <w:kern w:val="2"/>
          <w:sz w:val="21"/>
          <w:szCs w:val="21"/>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eastAsia" w:ascii="宋体" w:hAnsi="宋体" w:eastAsia="宋体" w:cs="宋体"/>
          <w:b/>
          <w:bCs w:val="0"/>
          <w:kern w:val="2"/>
          <w:sz w:val="32"/>
          <w:szCs w:val="32"/>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eastAsia" w:ascii="方正小标宋简体" w:hAnsi="方正小标宋简体" w:eastAsia="方正小标宋简体" w:cs="方正小标宋简体"/>
          <w:b w:val="0"/>
          <w:bCs/>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eastAsia" w:ascii="方正小标宋简体" w:hAnsi="方正小标宋简体" w:eastAsia="方正小标宋简体" w:cs="方正小标宋简体"/>
          <w:b w:val="0"/>
          <w:bCs/>
          <w:kern w:val="2"/>
          <w:sz w:val="44"/>
          <w:szCs w:val="44"/>
          <w:lang w:val="en-US" w:eastAsia="zh-CN" w:bidi="ar"/>
        </w:rPr>
        <w:t>第三部分  2021年度单位决算情况说明</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 </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一、收入决算情况说明</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本单位2021年度收入总计 186.92万元，较2020年增加61.06万元，增长 48.51 %；其中：年初结转和结余0万元，较上年无增减；本年收入合计 186.92 万元，较2020年增加61.06万元，增长48.51  %，主要原因是：2021人员经费增加。</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本年收入的具体构成为：财政拨款收入136.03万元，占72.77%；事业收入50.89万元，占27.23%；经营收入 0万元，占0%；其他收入0万元，占0%。  </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二、支出决算情况说明</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本单位2021年度支出总计186.92万元，其中本年支出合计   186.92万元，较2020年增加61.06万元，增长48.51%，主要原因是：2021人员经费增加；年末结转和结余0万元，较2020年增加（减少）0万元，增长（下降） 0 %，主要原因是：无年末结转和结余。</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本年支出的具体构成为：基本支出 186.92万元，占100 %；项目支出0万元，占0%；经营支出0万元，占0%；其他支出（对附属单位补助支出、上缴上级支出）0万元，占0%。</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三、财政拨款支出决算情况说明</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本单位2021年度财政拨款本年支出年初预算数为70.33万元，决算数为136.03万元，完成年初预算的193.4%。其中：</w:t>
      </w:r>
    </w:p>
    <w:p>
      <w:pPr>
        <w:keepNext w:val="0"/>
        <w:keepLines w:val="0"/>
        <w:widowControl/>
        <w:suppressLineNumbers w:val="0"/>
        <w:spacing w:before="0" w:beforeAutospacing="1" w:after="0" w:afterAutospacing="1"/>
        <w:ind w:left="0" w:right="0" w:firstLine="600" w:firstLineChars="200"/>
        <w:jc w:val="left"/>
      </w:pPr>
      <w:r>
        <w:rPr>
          <w:rFonts w:hint="eastAsia" w:ascii="仿宋_GB2312" w:eastAsia="仿宋_GB2312" w:cs="仿宋_GB2312" w:hAnsiTheme="minorHAnsi"/>
          <w:kern w:val="2"/>
          <w:sz w:val="30"/>
          <w:szCs w:val="30"/>
          <w:lang w:val="en-US" w:eastAsia="zh-CN" w:bidi="ar"/>
        </w:rPr>
        <w:t>（一）</w:t>
      </w:r>
      <w:r>
        <w:rPr>
          <w:rFonts w:hint="eastAsia" w:ascii="仿宋_GB2312" w:eastAsia="仿宋_GB2312" w:cs="仿宋_GB2312" w:hAnsiTheme="minorHAnsi"/>
          <w:kern w:val="0"/>
          <w:sz w:val="30"/>
          <w:szCs w:val="30"/>
          <w:lang w:val="en-US" w:eastAsia="zh-CN" w:bidi="ar"/>
        </w:rPr>
        <w:t>教育</w:t>
      </w:r>
      <w:r>
        <w:rPr>
          <w:rFonts w:hint="eastAsia" w:ascii="仿宋_GB2312" w:eastAsia="仿宋_GB2312" w:cs="仿宋_GB2312" w:hAnsiTheme="minorHAnsi"/>
          <w:kern w:val="2"/>
          <w:sz w:val="30"/>
          <w:szCs w:val="30"/>
          <w:lang w:val="en-US" w:eastAsia="zh-CN" w:bidi="ar"/>
        </w:rPr>
        <w:t>支出年初预算数为70.33万元，决算数为136.03万元，完成年初预算的193.4 %。</w:t>
      </w:r>
    </w:p>
    <w:p>
      <w:pPr>
        <w:keepNext w:val="0"/>
        <w:keepLines w:val="0"/>
        <w:widowControl/>
        <w:suppressLineNumbers w:val="0"/>
        <w:spacing w:before="0" w:beforeAutospacing="1" w:after="0" w:afterAutospacing="1"/>
        <w:ind w:left="0" w:right="0" w:firstLine="585"/>
        <w:jc w:val="left"/>
      </w:pPr>
      <w:r>
        <w:rPr>
          <w:rFonts w:hint="eastAsia" w:ascii="黑体" w:hAnsi="宋体" w:eastAsia="黑体" w:cs="黑体"/>
          <w:kern w:val="2"/>
          <w:sz w:val="30"/>
          <w:szCs w:val="30"/>
          <w:lang w:val="en-US" w:eastAsia="zh-CN" w:bidi="ar"/>
        </w:rPr>
        <w:t>四、一般公共预算财政拨款基本支出决算情况说明</w:t>
      </w:r>
    </w:p>
    <w:p>
      <w:pPr>
        <w:keepNext w:val="0"/>
        <w:keepLines w:val="0"/>
        <w:widowControl/>
        <w:suppressLineNumbers w:val="0"/>
        <w:spacing w:before="0" w:beforeAutospacing="1" w:after="0" w:afterAutospacing="1"/>
        <w:ind w:left="0" w:right="0" w:firstLine="585"/>
        <w:jc w:val="left"/>
      </w:pPr>
      <w:r>
        <w:rPr>
          <w:rFonts w:hint="eastAsia" w:ascii="仿宋_GB2312" w:eastAsia="仿宋_GB2312" w:cs="仿宋_GB2312" w:hAnsiTheme="minorHAnsi"/>
          <w:kern w:val="2"/>
          <w:sz w:val="30"/>
          <w:szCs w:val="30"/>
          <w:lang w:val="en-US" w:eastAsia="zh-CN" w:bidi="ar"/>
        </w:rPr>
        <w:t>本单位2021年度一般公共预算财政拨款基本支出136.03万元，其中：</w:t>
      </w:r>
    </w:p>
    <w:p>
      <w:pPr>
        <w:keepNext w:val="0"/>
        <w:keepLines w:val="0"/>
        <w:widowControl/>
        <w:suppressLineNumbers w:val="0"/>
        <w:spacing w:before="0" w:beforeAutospacing="1" w:after="0" w:afterAutospacing="1"/>
        <w:ind w:left="0" w:right="0" w:firstLine="585"/>
        <w:jc w:val="left"/>
      </w:pPr>
      <w:r>
        <w:rPr>
          <w:rFonts w:hint="eastAsia" w:ascii="仿宋_GB2312" w:eastAsia="仿宋_GB2312" w:cs="仿宋_GB2312" w:hAnsiTheme="minorHAnsi"/>
          <w:kern w:val="2"/>
          <w:sz w:val="30"/>
          <w:szCs w:val="30"/>
          <w:lang w:val="en-US" w:eastAsia="zh-CN" w:bidi="ar"/>
        </w:rPr>
        <w:t>（一）工资福利支出 119.83万元，较2020年增加34.37万元，增长40.2%，主要原因是：2021人员经费增加。</w:t>
      </w:r>
    </w:p>
    <w:p>
      <w:pPr>
        <w:keepNext w:val="0"/>
        <w:keepLines w:val="0"/>
        <w:widowControl/>
        <w:suppressLineNumbers w:val="0"/>
        <w:spacing w:before="0" w:beforeAutospacing="1" w:after="0" w:afterAutospacing="1"/>
        <w:ind w:left="0" w:right="0" w:firstLine="585"/>
        <w:jc w:val="left"/>
      </w:pPr>
      <w:r>
        <w:rPr>
          <w:rFonts w:hint="eastAsia" w:ascii="仿宋_GB2312" w:eastAsia="仿宋_GB2312" w:cs="仿宋_GB2312" w:hAnsiTheme="minorHAnsi"/>
          <w:kern w:val="2"/>
          <w:sz w:val="30"/>
          <w:szCs w:val="30"/>
          <w:lang w:val="en-US" w:eastAsia="zh-CN" w:bidi="ar"/>
        </w:rPr>
        <w:t>（二）商品和服务支出16.20万元，较2020年增加6.18 万元，增长61.68%，主要原因是：2021年维修费和其他商品和服务支出有所增加。</w:t>
      </w:r>
    </w:p>
    <w:p>
      <w:pPr>
        <w:keepNext w:val="0"/>
        <w:keepLines w:val="0"/>
        <w:widowControl/>
        <w:suppressLineNumbers w:val="0"/>
        <w:spacing w:before="0" w:beforeAutospacing="1" w:after="0" w:afterAutospacing="1"/>
        <w:ind w:left="0" w:right="0" w:firstLine="585"/>
        <w:jc w:val="left"/>
      </w:pPr>
      <w:r>
        <w:rPr>
          <w:rFonts w:hint="eastAsia" w:ascii="仿宋_GB2312" w:eastAsia="仿宋_GB2312" w:cs="仿宋_GB2312" w:hAnsiTheme="minorHAnsi"/>
          <w:kern w:val="2"/>
          <w:sz w:val="30"/>
          <w:szCs w:val="30"/>
          <w:lang w:val="en-US" w:eastAsia="zh-CN" w:bidi="ar"/>
        </w:rPr>
        <w:t>（三）对个人和家庭补助支出 0万元，较2020年增加（减少）  万元，增长（下降）0%。</w:t>
      </w:r>
    </w:p>
    <w:p>
      <w:pPr>
        <w:keepNext w:val="0"/>
        <w:keepLines w:val="0"/>
        <w:widowControl/>
        <w:suppressLineNumbers w:val="0"/>
        <w:spacing w:before="0" w:beforeAutospacing="1" w:after="0" w:afterAutospacing="1"/>
        <w:ind w:left="0" w:right="0" w:firstLine="585"/>
        <w:jc w:val="left"/>
      </w:pPr>
      <w:r>
        <w:rPr>
          <w:rFonts w:hint="eastAsia" w:ascii="仿宋_GB2312" w:eastAsia="仿宋_GB2312" w:cs="仿宋_GB2312" w:hAnsiTheme="minorHAnsi"/>
          <w:kern w:val="2"/>
          <w:sz w:val="30"/>
          <w:szCs w:val="30"/>
          <w:lang w:val="en-US" w:eastAsia="zh-CN" w:bidi="ar"/>
        </w:rPr>
        <w:t>（四）资本性支出0万元，较2020年增加（减少） 0万元，增长（下降）0%，主要原因是：无资本性支出。</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五、一般公共预算财政拨款“三公”经费支出决算情况说明</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本单位2021年度一般公共预算财政拨款“三公”经费支出年初预算数为0万元，决算数为0万元，完成预算的0%，决算数较2020年增加（减少） 0 万元，增长（下降）0  %，其中：</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（一）因公出国（境）支出年初预算数为 0万元，决算数为0万元，完成预算的0 %，决算数较2020年增加（减少） 0万元，增长（下降）0 %，主要原因是无因公出国（境）支出。决算数较年初预算数增加（减少）的主要原因是：无因公出国（境）支出。全年安排因公出国（境）团组 0个，累计0人次，主要为：无因公出国（境）工作需要。</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（二）公务接待费支出年初预算数为0万元，决算数为0万元，完成预算的 0%，决算数较2020年增加（减少）0万元，增长（下降）0 %，主要原因是无公务接待费支出。决算数较年初预算数增加（减少）的主要原因是：无公务接待费支出。全年国内公务接待0批，累计接待0人次，其中外事接待0批，累计接待0人次。</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（三）公务用车购置及运行维护费支出0万元，其中公务用车购置年初预算数为0万元，决算数为0万元，完成预算的0%，决算数较2020年增加（减少）0万元，增长（下降） 0 %，主要原因是公务用车购置及运行维护费无，全年购置公务用车0   辆。决算数较年初预算数增加（减少）的主要原因是：无公务用车购置及运行维护费；公务用车运行维护费支出年初预算数为 0  万元，决算数为 0万元，完成预算的0%，决算数较2020年增加（减少）0万元，增长（下降）0 %，主要原因是本单位无公车，年末公务用车保有 0辆。决算数较年初预算数增加（减少）的主要原因是：本单位无公车。</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六、机关运行经费支出情况说明</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b w:val="0"/>
          <w:bCs w:val="0"/>
          <w:kern w:val="2"/>
          <w:sz w:val="30"/>
          <w:szCs w:val="30"/>
          <w:lang w:val="en-US" w:eastAsia="zh-CN" w:bidi="ar"/>
        </w:rPr>
        <w:t>本单位不是行政单位或参照公务员法管理事业单位，故无机关运行经费支出。</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2"/>
          <w:sz w:val="30"/>
          <w:szCs w:val="30"/>
          <w:lang w:val="en-US" w:eastAsia="zh-CN" w:bidi="ar"/>
        </w:rPr>
        <w:t> </w:t>
      </w:r>
      <w:r>
        <w:rPr>
          <w:rFonts w:hint="eastAsia" w:ascii="黑体" w:hAnsi="宋体" w:eastAsia="黑体" w:cs="黑体"/>
          <w:kern w:val="2"/>
          <w:sz w:val="30"/>
          <w:szCs w:val="30"/>
          <w:lang w:val="en-US" w:eastAsia="zh-CN" w:bidi="ar"/>
        </w:rPr>
        <w:t>七、政府采购支出情况说明</w:t>
      </w:r>
    </w:p>
    <w:p>
      <w:pPr>
        <w:pStyle w:val="2"/>
        <w:keepNext w:val="0"/>
        <w:keepLines w:val="0"/>
        <w:widowControl/>
        <w:suppressLineNumbers w:val="0"/>
        <w:spacing w:before="0" w:beforeAutospacing="1" w:after="0" w:afterAutospacing="1" w:line="600" w:lineRule="atLeast"/>
        <w:ind w:left="0" w:right="0" w:firstLine="600"/>
      </w:pPr>
      <w:r>
        <w:rPr>
          <w:rFonts w:hint="eastAsia" w:ascii="仿宋_GB2312" w:eastAsia="仿宋_GB2312" w:cs="仿宋_GB2312"/>
          <w:kern w:val="0"/>
          <w:sz w:val="30"/>
          <w:szCs w:val="30"/>
        </w:rPr>
        <w:t>本单位2021年度政府采购支出总额0万元，其中：政府采购货物支出0万元、政府采购工程支出0万元、政府采购服务支出0万元。</w:t>
      </w:r>
    </w:p>
    <w:p>
      <w:pPr>
        <w:keepNext w:val="0"/>
        <w:keepLines w:val="0"/>
        <w:widowControl/>
        <w:suppressLineNumbers w:val="0"/>
        <w:spacing w:before="0" w:beforeAutospacing="1" w:after="0" w:afterAutospacing="1"/>
        <w:ind w:left="0" w:right="0" w:firstLine="600" w:firstLineChars="200"/>
        <w:jc w:val="left"/>
      </w:pPr>
      <w:r>
        <w:rPr>
          <w:rFonts w:hint="eastAsia" w:ascii="黑体" w:hAnsi="宋体" w:eastAsia="黑体" w:cs="黑体"/>
          <w:kern w:val="2"/>
          <w:sz w:val="30"/>
          <w:szCs w:val="30"/>
          <w:lang w:val="en-US" w:eastAsia="zh-CN" w:bidi="ar"/>
        </w:rPr>
        <w:t>八、</w:t>
      </w:r>
      <w:r>
        <w:rPr>
          <w:rFonts w:hint="eastAsia" w:ascii="黑体" w:hAnsi="宋体" w:eastAsia="黑体" w:cs="黑体"/>
          <w:i w:val="0"/>
          <w:iCs w:val="0"/>
          <w:kern w:val="0"/>
          <w:sz w:val="32"/>
          <w:szCs w:val="32"/>
          <w:lang w:val="en-US" w:eastAsia="zh-CN" w:bidi="ar"/>
        </w:rPr>
        <w:t>国有资本经营预算财政拨款支出情况说明</w:t>
      </w:r>
    </w:p>
    <w:p>
      <w:pPr>
        <w:keepNext w:val="0"/>
        <w:keepLines w:val="0"/>
        <w:widowControl/>
        <w:suppressLineNumbers w:val="0"/>
        <w:spacing w:before="0" w:beforeAutospacing="1" w:after="0" w:afterAutospacing="1"/>
        <w:ind w:left="0" w:right="0" w:firstLine="630"/>
        <w:jc w:val="left"/>
      </w:pPr>
      <w:r>
        <w:rPr>
          <w:rFonts w:hint="eastAsia" w:ascii="仿宋" w:hAnsi="仿宋" w:eastAsia="仿宋" w:cs="仿宋"/>
          <w:i w:val="0"/>
          <w:iCs w:val="0"/>
          <w:kern w:val="0"/>
          <w:sz w:val="32"/>
          <w:szCs w:val="32"/>
          <w:lang w:val="en-US" w:eastAsia="zh-CN" w:bidi="ar"/>
        </w:rPr>
        <w:t>2021年本单位无国有资本经费预算财政拨款支出。</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九、国有资产占用情况说明。</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0"/>
          <w:sz w:val="30"/>
          <w:szCs w:val="30"/>
          <w:lang w:val="en-US" w:eastAsia="zh-CN" w:bidi="ar"/>
        </w:rPr>
        <w:t>截止2021年12月31日，本单位（单位）国有资产占用情况见公开10表《国有资产占用情况表》。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firstLine="640" w:firstLineChars="200"/>
        <w:jc w:val="both"/>
      </w:pPr>
      <w:r>
        <w:rPr>
          <w:rFonts w:hint="eastAsia" w:ascii="黑体" w:hAnsi="宋体" w:eastAsia="黑体" w:cs="黑体"/>
          <w:b w:val="0"/>
          <w:bCs w:val="0"/>
          <w:i w:val="0"/>
          <w:iCs w:val="0"/>
          <w:caps w:val="0"/>
          <w:color w:val="000000"/>
          <w:spacing w:val="0"/>
          <w:kern w:val="0"/>
          <w:sz w:val="32"/>
          <w:szCs w:val="32"/>
          <w:bdr w:val="none" w:color="auto" w:sz="0" w:space="0"/>
          <w:shd w:val="clear" w:fill="FFFFFF"/>
        </w:rPr>
        <w:t>十、预算绩效情况说明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firstLine="420"/>
        <w:jc w:val="both"/>
      </w:pPr>
      <w:r>
        <w:rPr>
          <w:rFonts w:hint="eastAsia" w:ascii="仿宋" w:hAnsi="仿宋" w:eastAsia="仿宋" w:cs="仿宋"/>
          <w:i w:val="0"/>
          <w:iCs w:val="0"/>
          <w:caps w:val="0"/>
          <w:color w:val="000000"/>
          <w:spacing w:val="0"/>
          <w:kern w:val="0"/>
          <w:sz w:val="32"/>
          <w:szCs w:val="32"/>
          <w:bdr w:val="none" w:color="auto" w:sz="0" w:space="0"/>
          <w:shd w:val="clear" w:fill="FFFFFF"/>
        </w:rPr>
        <w:t>（一）绩效管理工作开展情况。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firstLine="640" w:firstLineChars="200"/>
        <w:jc w:val="both"/>
      </w:pPr>
      <w:r>
        <w:rPr>
          <w:rFonts w:hint="eastAsia" w:ascii="仿宋" w:hAnsi="仿宋" w:eastAsia="仿宋" w:cs="仿宋"/>
          <w:i w:val="0"/>
          <w:iCs w:val="0"/>
          <w:caps w:val="0"/>
          <w:color w:val="000000"/>
          <w:spacing w:val="0"/>
          <w:kern w:val="0"/>
          <w:sz w:val="32"/>
          <w:szCs w:val="32"/>
          <w:bdr w:val="none" w:color="auto" w:sz="0" w:space="0"/>
          <w:shd w:val="clear" w:fill="FFFFFF"/>
        </w:rPr>
        <w:t>根据预算绩效管理要求，我单位组织对纳入2021年度单位预算范围的二级项目1个公用经费项目全面开展绩效自评。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firstLine="420"/>
        <w:jc w:val="both"/>
      </w:pPr>
      <w:r>
        <w:rPr>
          <w:rFonts w:hint="eastAsia" w:ascii="仿宋" w:hAnsi="仿宋" w:eastAsia="仿宋" w:cs="仿宋"/>
          <w:i w:val="0"/>
          <w:iCs w:val="0"/>
          <w:caps w:val="0"/>
          <w:color w:val="000000"/>
          <w:spacing w:val="0"/>
          <w:kern w:val="0"/>
          <w:sz w:val="32"/>
          <w:szCs w:val="32"/>
          <w:bdr w:val="none" w:color="auto" w:sz="0" w:space="0"/>
          <w:shd w:val="clear" w:fill="FFFFFF"/>
        </w:rPr>
        <w:t>（二）单位决算中项目绩效自评情况。</w:t>
      </w:r>
    </w:p>
    <w:tbl>
      <w:tblPr>
        <w:tblW w:w="105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510"/>
        <w:gridCol w:w="1216"/>
        <w:gridCol w:w="1027"/>
        <w:gridCol w:w="1164"/>
        <w:gridCol w:w="1293"/>
        <w:gridCol w:w="468"/>
        <w:gridCol w:w="1286"/>
        <w:gridCol w:w="867"/>
        <w:gridCol w:w="282"/>
        <w:gridCol w:w="385"/>
        <w:gridCol w:w="542"/>
        <w:gridCol w:w="278"/>
        <w:gridCol w:w="38"/>
        <w:gridCol w:w="700"/>
        <w:gridCol w:w="29"/>
        <w:gridCol w:w="423"/>
        <w:gridCol w:w="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wAfter w:w="29" w:type="dxa"/>
          <w:trHeight w:val="375" w:hRule="atLeast"/>
          <w:jc w:val="center"/>
        </w:trPr>
        <w:tc>
          <w:tcPr>
            <w:tcW w:w="10515" w:type="dxa"/>
            <w:gridSpan w:val="16"/>
            <w:tcBorders>
              <w:top w:val="nil"/>
              <w:left w:val="nil"/>
              <w:bottom w:val="nil"/>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b/>
                <w:bCs/>
                <w:i w:val="0"/>
                <w:iCs w:val="0"/>
                <w:color w:val="000000"/>
                <w:kern w:val="0"/>
                <w:sz w:val="32"/>
                <w:szCs w:val="32"/>
                <w:lang w:val="en-US" w:eastAsia="zh-CN" w:bidi="ar"/>
              </w:rPr>
              <w:t>项目支出绩效自评表</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241" w:hRule="atLeast"/>
          <w:jc w:val="center"/>
        </w:trPr>
        <w:tc>
          <w:tcPr>
            <w:tcW w:w="10515" w:type="dxa"/>
            <w:gridSpan w:val="16"/>
            <w:tcBorders>
              <w:top w:val="nil"/>
              <w:left w:val="nil"/>
              <w:bottom w:val="nil"/>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（2021年度）</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wAfter w:w="29" w:type="dxa"/>
          <w:trHeight w:val="241" w:hRule="atLeast"/>
          <w:jc w:val="center"/>
        </w:trPr>
        <w:tc>
          <w:tcPr>
            <w:tcW w:w="1673" w:type="dxa"/>
            <w:gridSpan w:val="2"/>
            <w:tcBorders>
              <w:top w:val="single" w:color="000000" w:sz="8" w:space="0"/>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项目名称</w:t>
            </w:r>
          </w:p>
        </w:tc>
        <w:tc>
          <w:tcPr>
            <w:tcW w:w="8842" w:type="dxa"/>
            <w:gridSpan w:val="14"/>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学前教育生均公用经费</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241" w:hRule="atLeast"/>
          <w:jc w:val="center"/>
        </w:trPr>
        <w:tc>
          <w:tcPr>
            <w:tcW w:w="1673" w:type="dxa"/>
            <w:gridSpan w:val="2"/>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主管单位</w:t>
            </w:r>
          </w:p>
        </w:tc>
        <w:tc>
          <w:tcPr>
            <w:tcW w:w="4666" w:type="dxa"/>
            <w:gridSpan w:val="5"/>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宁都县财政局</w:t>
            </w:r>
          </w:p>
        </w:tc>
        <w:tc>
          <w:tcPr>
            <w:tcW w:w="1487" w:type="dxa"/>
            <w:gridSpan w:val="2"/>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实施单位</w:t>
            </w:r>
          </w:p>
        </w:tc>
        <w:tc>
          <w:tcPr>
            <w:tcW w:w="2689" w:type="dxa"/>
            <w:gridSpan w:val="7"/>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宁都县长胜镇公立幼儿园</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wAfter w:w="29" w:type="dxa"/>
          <w:trHeight w:val="525" w:hRule="atLeast"/>
          <w:jc w:val="center"/>
        </w:trPr>
        <w:tc>
          <w:tcPr>
            <w:tcW w:w="1673" w:type="dxa"/>
            <w:gridSpan w:val="2"/>
            <w:vMerge w:val="restart"/>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项目资金</w:t>
            </w:r>
          </w:p>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（万元）</w:t>
            </w:r>
          </w:p>
        </w:tc>
        <w:tc>
          <w:tcPr>
            <w:tcW w:w="198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071"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年初预算数</w:t>
            </w:r>
          </w:p>
        </w:tc>
        <w:tc>
          <w:tcPr>
            <w:tcW w:w="161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全年预算数（A)</w:t>
            </w:r>
          </w:p>
        </w:tc>
        <w:tc>
          <w:tcPr>
            <w:tcW w:w="1487" w:type="dxa"/>
            <w:gridSpan w:val="2"/>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全年执行数(B)</w:t>
            </w:r>
          </w:p>
        </w:tc>
        <w:tc>
          <w:tcPr>
            <w:tcW w:w="1175" w:type="dxa"/>
            <w:gridSpan w:val="2"/>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分值</w:t>
            </w:r>
          </w:p>
        </w:tc>
        <w:tc>
          <w:tcPr>
            <w:tcW w:w="936" w:type="dxa"/>
            <w:gridSpan w:val="3"/>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执行率(B/A)</w:t>
            </w:r>
          </w:p>
        </w:tc>
        <w:tc>
          <w:tcPr>
            <w:tcW w:w="578" w:type="dxa"/>
            <w:gridSpan w:val="2"/>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得分</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241" w:hRule="atLeast"/>
          <w:jc w:val="center"/>
        </w:trPr>
        <w:tc>
          <w:tcPr>
            <w:tcW w:w="1673" w:type="dxa"/>
            <w:gridSpan w:val="2"/>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98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both"/>
              <w:textAlignment w:val="center"/>
            </w:pPr>
            <w:r>
              <w:rPr>
                <w:rFonts w:hint="eastAsia" w:ascii="宋体" w:hAnsi="宋体" w:eastAsia="宋体" w:cs="宋体"/>
                <w:i w:val="0"/>
                <w:iCs w:val="0"/>
                <w:color w:val="000000"/>
                <w:kern w:val="0"/>
                <w:sz w:val="20"/>
                <w:szCs w:val="20"/>
                <w:lang w:val="en-US" w:eastAsia="zh-CN" w:bidi="ar"/>
              </w:rPr>
              <w:t>年度资金总额</w:t>
            </w:r>
          </w:p>
        </w:tc>
        <w:tc>
          <w:tcPr>
            <w:tcW w:w="1071"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15.18</w:t>
            </w:r>
          </w:p>
        </w:tc>
        <w:tc>
          <w:tcPr>
            <w:tcW w:w="161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15.18</w:t>
            </w:r>
          </w:p>
        </w:tc>
        <w:tc>
          <w:tcPr>
            <w:tcW w:w="1487"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15.18</w:t>
            </w:r>
          </w:p>
        </w:tc>
        <w:tc>
          <w:tcPr>
            <w:tcW w:w="11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w:t>
            </w:r>
          </w:p>
        </w:tc>
        <w:tc>
          <w:tcPr>
            <w:tcW w:w="936"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100.0%</w:t>
            </w:r>
          </w:p>
        </w:tc>
        <w:tc>
          <w:tcPr>
            <w:tcW w:w="578"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241" w:hRule="atLeast"/>
          <w:jc w:val="center"/>
        </w:trPr>
        <w:tc>
          <w:tcPr>
            <w:tcW w:w="1673" w:type="dxa"/>
            <w:gridSpan w:val="2"/>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98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其中：当年财政拨款</w:t>
            </w:r>
          </w:p>
        </w:tc>
        <w:tc>
          <w:tcPr>
            <w:tcW w:w="1071"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15.18</w:t>
            </w:r>
          </w:p>
        </w:tc>
        <w:tc>
          <w:tcPr>
            <w:tcW w:w="161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15.18</w:t>
            </w:r>
          </w:p>
        </w:tc>
        <w:tc>
          <w:tcPr>
            <w:tcW w:w="1487"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15.18</w:t>
            </w:r>
          </w:p>
        </w:tc>
        <w:tc>
          <w:tcPr>
            <w:tcW w:w="11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w:t>
            </w:r>
          </w:p>
        </w:tc>
        <w:tc>
          <w:tcPr>
            <w:tcW w:w="936"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100.0%</w:t>
            </w:r>
          </w:p>
        </w:tc>
        <w:tc>
          <w:tcPr>
            <w:tcW w:w="578"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241" w:hRule="atLeast"/>
          <w:jc w:val="center"/>
        </w:trPr>
        <w:tc>
          <w:tcPr>
            <w:tcW w:w="1673" w:type="dxa"/>
            <w:gridSpan w:val="2"/>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98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      上年结转资金</w:t>
            </w:r>
          </w:p>
        </w:tc>
        <w:tc>
          <w:tcPr>
            <w:tcW w:w="1071"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61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487"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1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w:t>
            </w:r>
          </w:p>
        </w:tc>
        <w:tc>
          <w:tcPr>
            <w:tcW w:w="936"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578"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241" w:hRule="atLeast"/>
          <w:jc w:val="center"/>
        </w:trPr>
        <w:tc>
          <w:tcPr>
            <w:tcW w:w="1673" w:type="dxa"/>
            <w:gridSpan w:val="2"/>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98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    其他资金</w:t>
            </w:r>
          </w:p>
        </w:tc>
        <w:tc>
          <w:tcPr>
            <w:tcW w:w="1071"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61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487"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1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w:t>
            </w:r>
          </w:p>
        </w:tc>
        <w:tc>
          <w:tcPr>
            <w:tcW w:w="936"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578"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wAfter w:w="29" w:type="dxa"/>
          <w:trHeight w:val="241" w:hRule="atLeast"/>
          <w:jc w:val="center"/>
        </w:trPr>
        <w:tc>
          <w:tcPr>
            <w:tcW w:w="608" w:type="dxa"/>
            <w:vMerge w:val="restart"/>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年度总体目标</w:t>
            </w:r>
          </w:p>
        </w:tc>
        <w:tc>
          <w:tcPr>
            <w:tcW w:w="5731" w:type="dxa"/>
            <w:gridSpan w:val="6"/>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预期目标</w:t>
            </w:r>
          </w:p>
        </w:tc>
        <w:tc>
          <w:tcPr>
            <w:tcW w:w="4176" w:type="dxa"/>
            <w:gridSpan w:val="9"/>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实际完成情况</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wAfter w:w="29" w:type="dxa"/>
          <w:trHeight w:val="1651"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5731" w:type="dxa"/>
            <w:gridSpan w:val="6"/>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目标1：按省定额标准下达公用经费                                                   目标2：按学生人数下达公用经费                                                        目标3：基本保障学前教育学校日常运行                                                             目标4：提高学前教育学校教育教学质量</w:t>
            </w:r>
          </w:p>
        </w:tc>
        <w:tc>
          <w:tcPr>
            <w:tcW w:w="4176" w:type="dxa"/>
            <w:gridSpan w:val="9"/>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达成全年目标</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330" w:hRule="atLeast"/>
          <w:jc w:val="center"/>
        </w:trPr>
        <w:tc>
          <w:tcPr>
            <w:tcW w:w="608" w:type="dxa"/>
            <w:vMerge w:val="restart"/>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绩</w:t>
            </w:r>
          </w:p>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效</w:t>
            </w:r>
          </w:p>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指</w:t>
            </w:r>
          </w:p>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标</w:t>
            </w:r>
          </w:p>
        </w:tc>
        <w:tc>
          <w:tcPr>
            <w:tcW w:w="1065" w:type="dxa"/>
            <w:vMerge w:val="restart"/>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一级指标</w:t>
            </w:r>
          </w:p>
        </w:tc>
        <w:tc>
          <w:tcPr>
            <w:tcW w:w="756" w:type="dxa"/>
            <w:vMerge w:val="restart"/>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二级指标</w:t>
            </w:r>
          </w:p>
        </w:tc>
        <w:tc>
          <w:tcPr>
            <w:tcW w:w="2813" w:type="dxa"/>
            <w:gridSpan w:val="3"/>
            <w:vMerge w:val="restart"/>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三级指标</w:t>
            </w:r>
          </w:p>
        </w:tc>
        <w:tc>
          <w:tcPr>
            <w:tcW w:w="1097" w:type="dxa"/>
            <w:vMerge w:val="restart"/>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年度指标值（A)</w:t>
            </w:r>
          </w:p>
        </w:tc>
        <w:tc>
          <w:tcPr>
            <w:tcW w:w="1044" w:type="dxa"/>
            <w:vMerge w:val="restart"/>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实际完成值(B)</w:t>
            </w:r>
          </w:p>
        </w:tc>
        <w:tc>
          <w:tcPr>
            <w:tcW w:w="875" w:type="dxa"/>
            <w:gridSpan w:val="2"/>
            <w:vMerge w:val="restart"/>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分值</w:t>
            </w:r>
          </w:p>
        </w:tc>
        <w:tc>
          <w:tcPr>
            <w:tcW w:w="950" w:type="dxa"/>
            <w:gridSpan w:val="2"/>
            <w:vMerge w:val="restart"/>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得分</w:t>
            </w:r>
          </w:p>
        </w:tc>
        <w:tc>
          <w:tcPr>
            <w:tcW w:w="1307" w:type="dxa"/>
            <w:gridSpan w:val="4"/>
            <w:vMerge w:val="restart"/>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偏差原因分析及改进措施</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301"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756"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2813" w:type="dxa"/>
            <w:gridSpan w:val="3"/>
            <w:vMerge w:val="continue"/>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97" w:type="dxa"/>
            <w:vMerge w:val="continue"/>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44" w:type="dxa"/>
            <w:vMerge w:val="continue"/>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875" w:type="dxa"/>
            <w:gridSpan w:val="2"/>
            <w:vMerge w:val="continue"/>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950" w:type="dxa"/>
            <w:gridSpan w:val="2"/>
            <w:vMerge w:val="continue"/>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307" w:type="dxa"/>
            <w:gridSpan w:val="4"/>
            <w:vMerge w:val="continue"/>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wAfter w:w="29" w:type="dxa"/>
          <w:trHeight w:val="750"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restart"/>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产出指标（50分）</w:t>
            </w:r>
          </w:p>
        </w:tc>
        <w:tc>
          <w:tcPr>
            <w:tcW w:w="756" w:type="dxa"/>
            <w:vMerge w:val="restart"/>
            <w:tcBorders>
              <w:top w:val="nil"/>
              <w:left w:val="nil"/>
              <w:bottom w:val="nil"/>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数量指标</w:t>
            </w: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学前教育生均公用经费执行标准</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不低于省规定的标准</w:t>
            </w:r>
          </w:p>
        </w:tc>
        <w:tc>
          <w:tcPr>
            <w:tcW w:w="1044" w:type="dxa"/>
            <w:tcBorders>
              <w:top w:val="nil"/>
              <w:left w:val="single" w:color="000000" w:sz="8" w:space="0"/>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不低于省规定的标准</w:t>
            </w:r>
          </w:p>
        </w:tc>
        <w:tc>
          <w:tcPr>
            <w:tcW w:w="875" w:type="dxa"/>
            <w:gridSpan w:val="2"/>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8</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8</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705"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756" w:type="dxa"/>
            <w:vMerge w:val="continue"/>
            <w:tcBorders>
              <w:top w:val="nil"/>
              <w:left w:val="nil"/>
              <w:bottom w:val="nil"/>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学前教育生均公用经费拨付到位率</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w:t>
            </w:r>
          </w:p>
        </w:tc>
        <w:tc>
          <w:tcPr>
            <w:tcW w:w="1044"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705"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756" w:type="dxa"/>
            <w:vMerge w:val="continue"/>
            <w:tcBorders>
              <w:top w:val="nil"/>
              <w:left w:val="nil"/>
              <w:bottom w:val="nil"/>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学前教育生均公用经费拨付及时率</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w:t>
            </w:r>
          </w:p>
        </w:tc>
        <w:tc>
          <w:tcPr>
            <w:tcW w:w="1044"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8</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8</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705"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756" w:type="dxa"/>
            <w:tcBorders>
              <w:top w:val="single" w:color="000000" w:sz="8" w:space="0"/>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质量指标</w:t>
            </w: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保障学前教育学校正常运行</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正常运行</w:t>
            </w:r>
          </w:p>
        </w:tc>
        <w:tc>
          <w:tcPr>
            <w:tcW w:w="1044"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正常运行</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465"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756" w:type="dxa"/>
            <w:vMerge w:val="restart"/>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时效指标</w:t>
            </w: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资金按规定及时拨付率</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w:t>
            </w:r>
          </w:p>
        </w:tc>
        <w:tc>
          <w:tcPr>
            <w:tcW w:w="1044"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7</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7</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wAfter w:w="29" w:type="dxa"/>
          <w:trHeight w:val="465"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756"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年度预算执行进度</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w:t>
            </w:r>
          </w:p>
        </w:tc>
        <w:tc>
          <w:tcPr>
            <w:tcW w:w="1044"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7</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7</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930"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restart"/>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效益指标（30分）</w:t>
            </w:r>
          </w:p>
        </w:tc>
        <w:tc>
          <w:tcPr>
            <w:tcW w:w="756" w:type="dxa"/>
            <w:vMerge w:val="restart"/>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社会效益</w:t>
            </w:r>
          </w:p>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指标</w:t>
            </w: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教学活动开展有序，办学水平不断提高</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提高</w:t>
            </w:r>
          </w:p>
        </w:tc>
        <w:tc>
          <w:tcPr>
            <w:tcW w:w="1044"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提高</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15</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15</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465"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756"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教育教学质量</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提高</w:t>
            </w:r>
          </w:p>
        </w:tc>
        <w:tc>
          <w:tcPr>
            <w:tcW w:w="1044"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提高</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15</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15</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wAfter w:w="29" w:type="dxa"/>
          <w:trHeight w:val="585"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restart"/>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满意度</w:t>
            </w:r>
          </w:p>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指标</w:t>
            </w:r>
          </w:p>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（10分）</w:t>
            </w:r>
          </w:p>
        </w:tc>
        <w:tc>
          <w:tcPr>
            <w:tcW w:w="756" w:type="dxa"/>
            <w:vMerge w:val="restart"/>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服务对象满意度指标</w:t>
            </w: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学校和教师满意度</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≥85%</w:t>
            </w:r>
          </w:p>
        </w:tc>
        <w:tc>
          <w:tcPr>
            <w:tcW w:w="1044"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96%</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5</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4.8</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585" w:hRule="atLeast"/>
          <w:jc w:val="center"/>
        </w:trPr>
        <w:tc>
          <w:tcPr>
            <w:tcW w:w="608" w:type="dxa"/>
            <w:vMerge w:val="continue"/>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1065"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756" w:type="dxa"/>
            <w:vMerge w:val="continue"/>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rPr>
                <w:rFonts w:hint="eastAsia" w:ascii="宋体"/>
                <w:sz w:val="24"/>
                <w:szCs w:val="24"/>
              </w:rPr>
            </w:pPr>
          </w:p>
        </w:tc>
        <w:tc>
          <w:tcPr>
            <w:tcW w:w="2813" w:type="dxa"/>
            <w:gridSpan w:val="3"/>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家长和学生满意度</w:t>
            </w:r>
          </w:p>
        </w:tc>
        <w:tc>
          <w:tcPr>
            <w:tcW w:w="1097" w:type="dxa"/>
            <w:tcBorders>
              <w:top w:val="nil"/>
              <w:left w:val="nil"/>
              <w:bottom w:val="single" w:color="000000" w:sz="8" w:space="0"/>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≥85%</w:t>
            </w:r>
          </w:p>
        </w:tc>
        <w:tc>
          <w:tcPr>
            <w:tcW w:w="1044"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96%</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5</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4.8</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wAfter w:w="29" w:type="dxa"/>
          <w:trHeight w:val="241" w:hRule="atLeast"/>
          <w:jc w:val="center"/>
        </w:trPr>
        <w:tc>
          <w:tcPr>
            <w:tcW w:w="7383" w:type="dxa"/>
            <w:gridSpan w:val="8"/>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总分</w:t>
            </w:r>
          </w:p>
        </w:tc>
        <w:tc>
          <w:tcPr>
            <w:tcW w:w="875"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100</w:t>
            </w:r>
          </w:p>
        </w:tc>
        <w:tc>
          <w:tcPr>
            <w:tcW w:w="950" w:type="dxa"/>
            <w:gridSpan w:val="2"/>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textAlignment w:val="center"/>
            </w:pPr>
            <w:r>
              <w:rPr>
                <w:rFonts w:hint="eastAsia" w:ascii="宋体" w:hAnsi="宋体" w:eastAsia="宋体" w:cs="宋体"/>
                <w:i w:val="0"/>
                <w:iCs w:val="0"/>
                <w:color w:val="000000"/>
                <w:kern w:val="0"/>
                <w:sz w:val="20"/>
                <w:szCs w:val="20"/>
                <w:lang w:val="en-US" w:eastAsia="zh-CN" w:bidi="ar"/>
              </w:rPr>
              <w:t>99.6</w:t>
            </w:r>
          </w:p>
        </w:tc>
        <w:tc>
          <w:tcPr>
            <w:tcW w:w="1307" w:type="dxa"/>
            <w:gridSpan w:val="4"/>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iCs w:val="0"/>
                <w:color w:val="000000"/>
                <w:kern w:val="2"/>
                <w:sz w:val="20"/>
                <w:szCs w:val="20"/>
                <w:lang w:val="en-US" w:eastAsia="zh-CN" w:bidi="ar"/>
              </w:rPr>
              <w:t> </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435" w:hRule="atLeast"/>
          <w:jc w:val="center"/>
        </w:trPr>
        <w:tc>
          <w:tcPr>
            <w:tcW w:w="0" w:type="auto"/>
            <w:gridSpan w:val="16"/>
            <w:tcBorders>
              <w:top w:val="nil"/>
              <w:left w:val="nil"/>
              <w:bottom w:val="nil"/>
              <w:right w:val="nil"/>
            </w:tcBorders>
            <w:shd w:val="clear"/>
            <w:noWrap/>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color w:val="000000"/>
                <w:kern w:val="0"/>
                <w:sz w:val="20"/>
                <w:szCs w:val="20"/>
                <w:lang w:val="en-US" w:eastAsia="zh-CN" w:bidi="ar"/>
              </w:rPr>
              <w:t>注：1.得分一档最高不能超过该指标分值上限。</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720" w:hRule="atLeast"/>
          <w:jc w:val="center"/>
        </w:trPr>
        <w:tc>
          <w:tcPr>
            <w:tcW w:w="10515" w:type="dxa"/>
            <w:gridSpan w:val="16"/>
            <w:tcBorders>
              <w:top w:val="nil"/>
              <w:left w:val="nil"/>
              <w:bottom w:val="nil"/>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color w:val="000000"/>
                <w:kern w:val="0"/>
                <w:sz w:val="20"/>
                <w:szCs w:val="20"/>
                <w:lang w:val="en-US" w:eastAsia="zh-CN" w:bidi="ar"/>
              </w:rPr>
              <w:t>    2.评分标准：（1） 若为</w:t>
            </w:r>
            <w:r>
              <w:rPr>
                <w:rFonts w:hint="eastAsia" w:ascii="宋体" w:hAnsi="宋体" w:eastAsia="宋体" w:cs="宋体"/>
                <w:b/>
                <w:bCs/>
                <w:i w:val="0"/>
                <w:iCs w:val="0"/>
                <w:color w:val="000000"/>
                <w:kern w:val="0"/>
                <w:sz w:val="20"/>
                <w:szCs w:val="20"/>
                <w:lang w:val="en-US" w:eastAsia="zh-CN" w:bidi="ar"/>
              </w:rPr>
              <w:t>定性指标</w:t>
            </w:r>
            <w:r>
              <w:rPr>
                <w:rFonts w:hint="eastAsia" w:ascii="宋体" w:hAnsi="宋体" w:eastAsia="宋体" w:cs="宋体"/>
                <w:color w:val="000000"/>
                <w:kern w:val="0"/>
                <w:sz w:val="20"/>
                <w:szCs w:val="20"/>
                <w:lang w:val="en-US" w:eastAsia="zh-CN" w:bidi="ar"/>
              </w:rPr>
              <w:t>，根据指标完成情况分为：达成年度指标、部分达成年度指标并具有一定效果、未达成年度指标且效果较差三档，分别按照该指标对应分值区间100-80%(含80%)、80-60%(含60%)、60-0%合理确定分值。</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wAfter w:w="29" w:type="dxa"/>
          <w:trHeight w:val="870" w:hRule="atLeast"/>
          <w:jc w:val="center"/>
        </w:trPr>
        <w:tc>
          <w:tcPr>
            <w:tcW w:w="10515" w:type="dxa"/>
            <w:gridSpan w:val="16"/>
            <w:tcBorders>
              <w:top w:val="nil"/>
              <w:left w:val="nil"/>
              <w:bottom w:val="nil"/>
              <w:right w:val="nil"/>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color w:val="000000"/>
                <w:kern w:val="0"/>
                <w:sz w:val="20"/>
                <w:szCs w:val="20"/>
                <w:lang w:val="en-US" w:eastAsia="zh-CN" w:bidi="ar"/>
              </w:rPr>
              <w:t>   （2）若为</w:t>
            </w:r>
            <w:r>
              <w:rPr>
                <w:rFonts w:hint="eastAsia" w:ascii="宋体" w:hAnsi="宋体" w:eastAsia="宋体" w:cs="宋体"/>
                <w:b/>
                <w:bCs/>
                <w:i w:val="0"/>
                <w:iCs w:val="0"/>
                <w:color w:val="000000"/>
                <w:kern w:val="0"/>
                <w:sz w:val="20"/>
                <w:szCs w:val="20"/>
                <w:lang w:val="en-US" w:eastAsia="zh-CN" w:bidi="ar"/>
              </w:rPr>
              <w:t>定量指标</w:t>
            </w:r>
            <w:r>
              <w:rPr>
                <w:rFonts w:hint="eastAsia" w:ascii="宋体" w:hAnsi="宋体" w:eastAsia="宋体" w:cs="宋体"/>
                <w:color w:val="000000"/>
                <w:kern w:val="0"/>
                <w:sz w:val="20"/>
                <w:szCs w:val="20"/>
                <w:lang w:val="en-US" w:eastAsia="zh-CN" w:bidi="ar"/>
              </w:rPr>
              <w:t>，完成值达到指标值，记满分；未达到指标值，按B/A或A/B*该指标分值记分。定量指标若为正向指标（即指标值为≥*），则得分计算方法应用全年实际值（B）/年度指标值（A）*该指标分值；若定量指标为反向指标（即指标值为≤*），则得分计算方法应用年度指标值（A）/全年实际值（B）*该指标分值。</w:t>
            </w:r>
          </w:p>
        </w:tc>
        <w:tc>
          <w:tcPr>
            <w:tcW w:w="15" w:type="dxa"/>
            <w:tcBorders>
              <w:top w:val="nil"/>
              <w:left w:val="nil"/>
              <w:bottom w:val="nil"/>
              <w:right w:val="nil"/>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jc w:val="center"/>
        </w:trPr>
        <w:tc>
          <w:tcPr>
            <w:tcW w:w="0" w:type="auto"/>
            <w:gridSpan w:val="11"/>
            <w:tcBorders>
              <w:top w:val="nil"/>
              <w:left w:val="nil"/>
              <w:bottom w:val="nil"/>
              <w:right w:val="nil"/>
            </w:tcBorders>
            <w:shd w:val="clear"/>
            <w:noWrap/>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textAlignment w:val="center"/>
            </w:pPr>
            <w:r>
              <w:rPr>
                <w:rFonts w:hint="eastAsia" w:ascii="宋体" w:hAnsi="宋体" w:eastAsia="宋体" w:cs="宋体"/>
                <w:i w:val="0"/>
                <w:iCs w:val="0"/>
                <w:color w:val="000000"/>
                <w:kern w:val="0"/>
                <w:sz w:val="20"/>
                <w:szCs w:val="20"/>
                <w:lang w:val="en-US" w:eastAsia="zh-CN" w:bidi="ar"/>
              </w:rPr>
              <w:t>    3.请在“偏差原因分析及改进措施”中说明偏离目标、不能完成目标的原因及拟采取的措施。</w:t>
            </w:r>
          </w:p>
        </w:tc>
        <w:tc>
          <w:tcPr>
            <w:tcW w:w="236" w:type="dxa"/>
            <w:gridSpan w:val="2"/>
            <w:tcBorders>
              <w:top w:val="nil"/>
              <w:left w:val="nil"/>
              <w:bottom w:val="nil"/>
              <w:right w:val="nil"/>
            </w:tcBorders>
            <w:shd w:val="clear"/>
            <w:noWrap/>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iCs w:val="0"/>
                <w:color w:val="000000"/>
                <w:kern w:val="2"/>
                <w:sz w:val="20"/>
                <w:szCs w:val="20"/>
                <w:lang w:val="en-US" w:eastAsia="zh-CN" w:bidi="ar"/>
              </w:rPr>
              <w:t> </w:t>
            </w:r>
          </w:p>
        </w:tc>
        <w:tc>
          <w:tcPr>
            <w:tcW w:w="729" w:type="dxa"/>
            <w:gridSpan w:val="2"/>
            <w:tcBorders>
              <w:top w:val="nil"/>
              <w:left w:val="nil"/>
              <w:bottom w:val="nil"/>
              <w:right w:val="nil"/>
            </w:tcBorders>
            <w:shd w:val="clear"/>
            <w:noWrap/>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iCs w:val="0"/>
                <w:color w:val="000000"/>
                <w:kern w:val="2"/>
                <w:sz w:val="20"/>
                <w:szCs w:val="20"/>
                <w:lang w:val="en-US" w:eastAsia="zh-CN" w:bidi="ar"/>
              </w:rPr>
              <w:t> </w:t>
            </w:r>
          </w:p>
        </w:tc>
        <w:tc>
          <w:tcPr>
            <w:tcW w:w="0" w:type="auto"/>
            <w:gridSpan w:val="2"/>
            <w:tcBorders>
              <w:top w:val="nil"/>
              <w:left w:val="nil"/>
              <w:bottom w:val="nil"/>
              <w:right w:val="nil"/>
            </w:tcBorders>
            <w:shd w:val="clear"/>
            <w:noWrap/>
            <w:tcMar>
              <w:top w:w="0" w:type="dxa"/>
              <w:left w:w="108" w:type="dxa"/>
              <w:bottom w:w="0" w:type="dxa"/>
              <w:right w:w="108" w:type="dxa"/>
            </w:tcMar>
            <w:vAlign w:val="center"/>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iCs w:val="0"/>
                <w:color w:val="000000"/>
                <w:kern w:val="2"/>
                <w:sz w:val="20"/>
                <w:szCs w:val="20"/>
                <w:lang w:val="en-US" w:eastAsia="zh-CN" w:bidi="ar"/>
              </w:rPr>
              <w:t> </w:t>
            </w:r>
          </w:p>
        </w:tc>
      </w:tr>
    </w:tbl>
    <w:p>
      <w:pPr>
        <w:keepNext w:val="0"/>
        <w:keepLines w:val="0"/>
        <w:widowControl/>
        <w:suppressLineNumbers w:val="0"/>
        <w:spacing w:before="0" w:beforeAutospacing="1" w:after="0" w:afterAutospacing="1"/>
        <w:ind w:left="0" w:leftChars="0" w:right="0"/>
        <w:jc w:val="left"/>
      </w:pPr>
      <w:r>
        <w:rPr>
          <w:rFonts w:hint="default" w:ascii="Calibri" w:hAnsi="Calibri" w:eastAsia="宋体" w:cs="Calibri"/>
          <w:color w:val="0000FF"/>
          <w:kern w:val="2"/>
          <w:sz w:val="32"/>
          <w:szCs w:val="32"/>
          <w:lang w:val="en-US" w:eastAsia="zh-CN" w:bidi="ar"/>
        </w:rPr>
        <w:t> </w:t>
      </w:r>
    </w:p>
    <w:p>
      <w:pPr>
        <w:keepNext w:val="0"/>
        <w:keepLines w:val="0"/>
        <w:widowControl/>
        <w:suppressLineNumbers w:val="0"/>
        <w:spacing w:before="0" w:beforeAutospacing="1" w:after="0" w:afterAutospacing="1"/>
        <w:ind w:left="0" w:right="0" w:firstLine="630"/>
        <w:jc w:val="left"/>
      </w:pPr>
      <w:r>
        <w:rPr>
          <w:rFonts w:hint="eastAsia" w:ascii="仿宋_GB2312" w:eastAsia="仿宋_GB2312" w:cs="仿宋_GB2312" w:hAnsiTheme="minorHAnsi"/>
          <w:kern w:val="0"/>
          <w:sz w:val="30"/>
          <w:szCs w:val="30"/>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eastAsia" w:ascii="方正小标宋简体" w:hAnsi="方正小标宋简体" w:eastAsia="方正小标宋简体" w:cs="方正小标宋简体"/>
          <w:b w:val="0"/>
          <w:bCs w:val="0"/>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eastAsia" w:ascii="方正小标宋简体" w:hAnsi="方正小标宋简体" w:eastAsia="方正小标宋简体" w:cs="方正小标宋简体"/>
          <w:b w:val="0"/>
          <w:bCs w:val="0"/>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eastAsia" w:ascii="方正小标宋简体" w:hAnsi="方正小标宋简体" w:eastAsia="方正小标宋简体" w:cs="方正小标宋简体"/>
          <w:b w:val="0"/>
          <w:bCs w:val="0"/>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eastAsia" w:ascii="方正小标宋简体" w:hAnsi="方正小标宋简体" w:eastAsia="方正小标宋简体" w:cs="方正小标宋简体"/>
          <w:b w:val="0"/>
          <w:bCs w:val="0"/>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firstLine="1760" w:firstLineChars="400"/>
        <w:jc w:val="both"/>
      </w:pPr>
      <w:r>
        <w:rPr>
          <w:rFonts w:hint="eastAsia" w:ascii="方正小标宋简体" w:hAnsi="方正小标宋简体" w:eastAsia="方正小标宋简体" w:cs="方正小标宋简体"/>
          <w:b w:val="0"/>
          <w:bCs w:val="0"/>
          <w:kern w:val="2"/>
          <w:sz w:val="44"/>
          <w:szCs w:val="44"/>
          <w:lang w:val="en-US" w:eastAsia="zh-CN" w:bidi="ar"/>
        </w:rPr>
        <w:t>第四部分  名词解释</w:t>
      </w:r>
    </w:p>
    <w:p>
      <w:pPr>
        <w:pStyle w:val="2"/>
        <w:keepNext w:val="0"/>
        <w:keepLines w:val="0"/>
        <w:widowControl/>
        <w:suppressLineNumbers w:val="0"/>
        <w:spacing w:before="0" w:beforeAutospacing="1" w:after="0" w:afterAutospacing="1" w:line="600" w:lineRule="atLeast"/>
        <w:ind w:left="0" w:right="0" w:firstLine="600"/>
      </w:pPr>
      <w:r>
        <w:rPr>
          <w:rFonts w:hint="eastAsia" w:ascii="仿宋_GB2312" w:eastAsia="仿宋_GB2312" w:cs="仿宋_GB2312"/>
          <w:kern w:val="0"/>
          <w:sz w:val="30"/>
          <w:szCs w:val="30"/>
        </w:rPr>
        <w:t> </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一、财政拨款收入：指单位本年度从本级财政单位取得的财政拨款，包括一般公共预算财政拨款和政府性基金预算财政拨款。</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二、上级补助收入：指事业单位从主管单位和上级单位取得的非财政补助收入。</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三、事业收入：指事业单位开展专业业务活动及其辅助活动取得的收入；事业单位收到的财政专户实际核拨的教育收费等资金在此反映。</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四、经营收入：指事业单位在专业业务活动及其辅助活动之外开展非独立核算经营活动取得的收入。</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五、附属单位缴款：指事业单位附属独立核算单位按照有关规定上缴的收入。</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六、其他收入：指单位取得的除上述“财政拨款收入”、“事业收入”、“经营收入”、“附属单位缴款”等以外的各项收入。</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七、 年初结转和结余：指单位上年结转本年使用的基本支出结转、项目支出结转和结余和经营结余。</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八、 结余分配：指事业单位按规定对非财政补助结余资金提取的职工福利基金、事业基金和缴纳的所得税，以及减少单位按规定应缴回的基本建设竣工项目结余资金。</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九、年末结转和结余资金：指单位结转下年的基本支出结转、项目支出结转和结余和经营结余。</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十、基本支出：指为保障机构正常运转、完成日常工作任务而发生的人员支出和公用支出。</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 xml:space="preserve">十一、 项目支出：指在基本支出之外为完成特定的行政任务或事业发展目标所发生的支出。 </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十二、、经营支出：指事业单位在专业业务活动及其辅助活动之外开展非独立核算经营活动发生的支出。</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 xml:space="preserve">十三、“三公”经费：指各单位因公出国（境）费、公务用车购置及运行费和公务接待费。其中，因公出国（境）费指单位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 </w:t>
      </w:r>
    </w:p>
    <w:p>
      <w:pPr>
        <w:keepNext w:val="0"/>
        <w:keepLines w:val="0"/>
        <w:widowControl/>
        <w:suppressLineNumbers w:val="0"/>
        <w:spacing w:before="0" w:beforeAutospacing="1" w:after="0" w:afterAutospacing="1"/>
        <w:ind w:left="0" w:right="0" w:firstLine="600"/>
        <w:jc w:val="left"/>
      </w:pPr>
      <w:r>
        <w:rPr>
          <w:rFonts w:hint="eastAsia" w:ascii="仿宋" w:hAnsi="仿宋" w:eastAsia="仿宋" w:cs="仿宋"/>
          <w:kern w:val="0"/>
          <w:sz w:val="30"/>
          <w:szCs w:val="30"/>
          <w:lang w:val="en-US" w:eastAsia="zh-CN" w:bidi="ar"/>
        </w:rPr>
        <w:t>十四、机关运行经费：指为保障行政单位（含参照公务员法管理的事业单位）运行用于购买货物和服务的各项资金，包括办公费、印刷费、差旅费、会议费、日常维修费、专用材料及办公用房水电费、物业管理费、公务用车运行维护费等</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C03451A-1276-4E2D-B89E-0481B00954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7869BF2-C3DD-4E87-BC97-AC6BD9B504AC}"/>
  </w:font>
  <w:font w:name="方正小标宋简体">
    <w:panose1 w:val="02000000000000000000"/>
    <w:charset w:val="86"/>
    <w:family w:val="auto"/>
    <w:pitch w:val="default"/>
    <w:sig w:usb0="00000001" w:usb1="08000000" w:usb2="00000000" w:usb3="00000000" w:csb0="00040000" w:csb1="00000000"/>
    <w:embedRegular r:id="rId3" w:fontKey="{3825574A-8B28-45E8-A9E6-36365DAAE3BB}"/>
  </w:font>
  <w:font w:name="仿宋_GB2312">
    <w:panose1 w:val="02010609030101010101"/>
    <w:charset w:val="86"/>
    <w:family w:val="auto"/>
    <w:pitch w:val="default"/>
    <w:sig w:usb0="00000001" w:usb1="080E0000" w:usb2="00000000" w:usb3="00000000" w:csb0="00040000" w:csb1="00000000"/>
    <w:embedRegular r:id="rId4" w:fontKey="{3FD607FC-BF89-4414-ADD9-EC1D2D70BB8F}"/>
  </w:font>
  <w:font w:name="仿宋">
    <w:panose1 w:val="02010609060101010101"/>
    <w:charset w:val="86"/>
    <w:family w:val="auto"/>
    <w:pitch w:val="default"/>
    <w:sig w:usb0="800002BF" w:usb1="38CF7CFA" w:usb2="00000016" w:usb3="00000000" w:csb0="00040001" w:csb1="00000000"/>
    <w:embedRegular r:id="rId5" w:fontKey="{F9899107-267E-4DB3-A9B4-6411A65E55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0MjFkY2YxYmQ1M2IxNzNkYWU4ZjhkOTZhZDQyMGEifQ=="/>
  </w:docVars>
  <w:rsids>
    <w:rsidRoot w:val="1D900DAE"/>
    <w:rsid w:val="1D900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2023-10-07T15:09:00Z</dcterms:created>
  <dc:creator>才东东</dc:creator>
  <cp:lastModifiedBy>才东东</cp:lastModifiedBy>
  <dcterms:modified xsi:type="dcterms:W3CDTF">2023-10-07T15:11:52Z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027247456E7341058496B40BF953023C_11</vt:lpwstr>
  </property>
</Properties>
</file>