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kern w:val="2"/>
          <w:sz w:val="40"/>
          <w:szCs w:val="40"/>
          <w:lang w:val="en-US" w:eastAsia="zh-CN" w:bidi="ar"/>
        </w:rPr>
        <w:t>宁都县小布镇公立幼儿园2021年度单位决算</w:t>
      </w:r>
    </w:p>
    <w:p>
      <w:pPr>
        <w:keepNext w:val="0"/>
        <w:keepLines w:val="0"/>
        <w:widowControl/>
        <w:suppressLineNumbers w:val="0"/>
        <w:spacing w:before="0" w:beforeAutospacing="1" w:after="0" w:afterAutospacing="1" w:line="500" w:lineRule="exact"/>
        <w:ind w:left="0" w:right="0"/>
        <w:jc w:val="center"/>
      </w:pPr>
      <w:r>
        <w:rPr>
          <w:rFonts w:hint="eastAsia" w:ascii="宋体" w:hAnsi="宋体" w:eastAsia="宋体" w:cs="宋体"/>
          <w:b/>
          <w:bCs/>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ascii="黑体" w:hAnsi="宋体" w:eastAsia="黑体" w:cs="黑体"/>
          <w:b/>
          <w:bCs w:val="0"/>
          <w:kern w:val="2"/>
          <w:sz w:val="32"/>
          <w:szCs w:val="32"/>
          <w:lang w:val="en-US" w:eastAsia="zh-CN" w:bidi="ar"/>
        </w:rPr>
        <w:t>第一部分</w:t>
      </w:r>
      <w:r>
        <w:rPr>
          <w:rFonts w:hint="eastAsia" w:ascii="黑体" w:hAnsi="宋体" w:eastAsia="黑体" w:cs="黑体"/>
          <w:b/>
          <w:bCs w:val="0"/>
          <w:kern w:val="2"/>
          <w:sz w:val="32"/>
          <w:szCs w:val="32"/>
          <w:lang w:val="en-US" w:eastAsia="zh-CN" w:bidi="ar"/>
        </w:rPr>
        <w:t xml:space="preserve">  宁都县小布镇公立幼儿园概况</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hAnsi="Calibri" w:eastAsia="仿宋_GB2312" w:cs="仿宋_GB2312"/>
          <w:b/>
          <w:bCs w:val="0"/>
          <w:kern w:val="2"/>
          <w:sz w:val="32"/>
          <w:szCs w:val="32"/>
          <w:lang w:val="en-US" w:eastAsia="zh-CN" w:bidi="ar"/>
        </w:rPr>
        <w:t>    </w:t>
      </w:r>
      <w:r>
        <w:rPr>
          <w:rFonts w:hint="eastAsia"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八、</w:t>
      </w:r>
      <w:r>
        <w:rPr>
          <w:rFonts w:hint="eastAsia"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eastAsia" w:ascii="仿宋_GB2312" w:eastAsia="仿宋_GB2312" w:cs="宋体" w:hAnsiTheme="minorHAnsi"/>
          <w:kern w:val="0"/>
          <w:sz w:val="32"/>
          <w:szCs w:val="32"/>
          <w:lang w:val="en-US" w:eastAsia="zh-CN" w:bidi="ar"/>
        </w:rPr>
        <w:t>九、</w:t>
      </w:r>
      <w:r>
        <w:rPr>
          <w:rFonts w:hint="eastAsia"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宋体" w:hAnsiTheme="minorHAnsi"/>
          <w:kern w:val="0"/>
          <w:sz w:val="32"/>
          <w:szCs w:val="32"/>
          <w:lang w:val="en-US" w:eastAsia="zh-CN" w:bidi="ar"/>
        </w:rPr>
        <w:t>    </w:t>
      </w:r>
      <w:r>
        <w:rPr>
          <w:rFonts w:hint="eastAsia"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宋体" w:hAnsiTheme="minorHAnsi"/>
          <w:kern w:val="0"/>
          <w:sz w:val="32"/>
          <w:szCs w:val="32"/>
          <w:lang w:val="en-US" w:eastAsia="zh-CN" w:bidi="ar"/>
        </w:rPr>
        <w:t>    </w:t>
      </w:r>
      <w:r>
        <w:rPr>
          <w:rFonts w:hint="eastAsia" w:ascii="黑体" w:hAnsi="宋体" w:eastAsia="黑体" w:cs="黑体"/>
          <w:b/>
          <w:bCs/>
          <w:kern w:val="2"/>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eastAsia"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eastAsia"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
          <w:bCs w:val="0"/>
          <w:kern w:val="2"/>
          <w:sz w:val="44"/>
          <w:szCs w:val="44"/>
          <w:lang w:val="en-US" w:eastAsia="zh-CN" w:bidi="ar"/>
        </w:rPr>
        <w:t> 第一部分  小布镇公立幼儿园学校概况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一、单位主要职能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（一）认真贯彻执行幼儿教育《纲要》和《幼儿园工作规程》精神,从严治园,以促进幼儿体、智、德、美全面发展为各项工作的目标,坚持改革,不断提高教育质量。</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 （二）严格执行幼儿安全、卫生、保健制度，制定年度工作目标、规划、学期工作任务，认真做好组织实施。</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2"/>
          <w:sz w:val="30"/>
          <w:szCs w:val="30"/>
          <w:lang w:val="en-US" w:eastAsia="zh-CN" w:bidi="ar"/>
        </w:rPr>
        <w:t>（三）建立和健全各项规章制度并认真组织和实施。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 （四）加强教职工的考核工作，检查、指导、评估工作质量，制定奖惩措施。</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（五）加强财务管理，科学管理、合理使用学校的设施和经费，并积极筹措资金，改善办学条件。</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（六）加强思想政治工作，组织文化业务学习，有计划开展业务培训，提高教师业务水平。</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（七）关心教职工业务和生活，加强职工道德教育。 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（八）依法接受各级教育行政单位的检查指导和人民群众的监督。</w:t>
      </w:r>
      <w:r>
        <w:rPr>
          <w:rFonts w:hint="eastAsia"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纳入本套决算汇编范围的单位共 1个。</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本学校2021年年末实有人数 11  人，其中在职人员  11人，离休人员 0  人，退休人员  0 人（不含由养老保险基金发放养老金的离退休人员）；年末其他人员  0 人；年末学生人数   169人；由养老保险基金发放养老金的离退休人员   0  人。</w:t>
      </w:r>
    </w:p>
    <w:p>
      <w:pPr>
        <w:keepNext w:val="0"/>
        <w:keepLines w:val="0"/>
        <w:widowControl/>
        <w:suppressLineNumbers w:val="0"/>
        <w:spacing w:before="0" w:beforeAutospacing="1" w:after="0" w:afterAutospacing="1" w:line="600" w:lineRule="exact"/>
        <w:ind w:left="0" w:right="0" w:firstLine="640"/>
        <w:jc w:val="center"/>
      </w:pPr>
      <w:r>
        <w:rPr>
          <w:rFonts w:hint="eastAsia" w:ascii="仿宋_GB2312" w:eastAsia="仿宋_GB2312" w:cs="仿宋_GB2312" w:hAnsiTheme="minorHAnsi"/>
          <w:kern w:val="2"/>
          <w:sz w:val="30"/>
          <w:szCs w:val="30"/>
          <w:lang w:val="en-US" w:eastAsia="zh-CN" w:bidi="ar"/>
        </w:rPr>
        <w:t> </w:t>
      </w: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both"/>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val="0"/>
          <w:bCs/>
          <w:kern w:val="2"/>
          <w:sz w:val="44"/>
          <w:szCs w:val="44"/>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
          <w:bCs w:val="0"/>
          <w:kern w:val="2"/>
          <w:sz w:val="44"/>
          <w:szCs w:val="44"/>
          <w:lang w:val="en-US" w:eastAsia="zh-CN" w:bidi="ar"/>
        </w:rPr>
      </w:pPr>
      <w:r>
        <w:rPr>
          <w:rFonts w:hint="eastAsia" w:ascii="方正小标宋简体" w:hAnsi="方正小标宋简体" w:eastAsia="方正小标宋简体" w:cs="方正小标宋简体"/>
          <w:b/>
          <w:bCs w:val="0"/>
          <w:kern w:val="2"/>
          <w:sz w:val="44"/>
          <w:szCs w:val="44"/>
          <w:lang w:val="en-US" w:eastAsia="zh-CN" w:bidi="ar"/>
        </w:rPr>
        <w:t> 2021年度单位决算表</w:t>
      </w:r>
    </w:p>
    <w:p>
      <w:pPr>
        <w:keepNext w:val="0"/>
        <w:keepLines w:val="0"/>
        <w:widowControl/>
        <w:numPr>
          <w:numId w:val="0"/>
        </w:numPr>
        <w:suppressLineNumbers w:val="0"/>
        <w:spacing w:before="0" w:beforeAutospacing="1" w:after="0" w:afterAutospacing="1" w:line="600" w:lineRule="exact"/>
        <w:ind w:right="0" w:rightChars="0"/>
        <w:jc w:val="center"/>
        <w:rPr>
          <w:rFonts w:hint="eastAsia" w:ascii="方正小标宋简体" w:hAnsi="方正小标宋简体" w:eastAsia="方正小标宋简体" w:cs="方正小标宋简体"/>
          <w:b/>
          <w:bCs w:val="0"/>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right="0" w:rightChars="0"/>
        <w:jc w:val="center"/>
        <w:rPr>
          <w:rFonts w:hint="eastAsia" w:ascii="方正小标宋简体" w:hAnsi="方正小标宋简体" w:eastAsia="方正小标宋简体" w:cs="方正小标宋简体"/>
          <w:b/>
          <w:bCs w:val="0"/>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right="0" w:rightChars="0"/>
        <w:jc w:val="center"/>
        <w:rPr>
          <w:rFonts w:hint="eastAsia" w:ascii="方正小标宋简体" w:hAnsi="方正小标宋简体" w:eastAsia="方正小标宋简体" w:cs="方正小标宋简体"/>
          <w:b/>
          <w:bCs w:val="0"/>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right="0" w:rightChars="0"/>
        <w:jc w:val="center"/>
        <w:rPr>
          <w:rFonts w:hint="eastAsia" w:ascii="方正小标宋简体" w:hAnsi="方正小标宋简体" w:eastAsia="方正小标宋简体" w:cs="方正小标宋简体"/>
          <w:b/>
          <w:bCs w:val="0"/>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right="0" w:rightChars="0"/>
        <w:jc w:val="center"/>
        <w:rPr>
          <w:rFonts w:hint="eastAsia" w:ascii="方正小标宋简体" w:hAnsi="方正小标宋简体" w:eastAsia="方正小标宋简体" w:cs="方正小标宋简体"/>
          <w:b/>
          <w:bCs w:val="0"/>
          <w:kern w:val="2"/>
          <w:sz w:val="44"/>
          <w:szCs w:val="44"/>
          <w:lang w:val="en-US" w:eastAsia="zh-CN" w:bidi="ar"/>
        </w:rPr>
      </w:pPr>
    </w:p>
    <w:p>
      <w:pPr>
        <w:keepNext w:val="0"/>
        <w:keepLines w:val="0"/>
        <w:widowControl/>
        <w:numPr>
          <w:numId w:val="0"/>
        </w:numPr>
        <w:suppressLineNumbers w:val="0"/>
        <w:spacing w:before="0" w:beforeAutospacing="1" w:after="0" w:afterAutospacing="1" w:line="600" w:lineRule="exact"/>
        <w:ind w:right="0" w:rightChars="0"/>
        <w:jc w:val="center"/>
        <w:rPr>
          <w:rFonts w:hint="eastAsia" w:ascii="方正小标宋简体" w:hAnsi="方正小标宋简体" w:eastAsia="方正小标宋简体" w:cs="方正小标宋简体"/>
          <w:b/>
          <w:bCs w:val="0"/>
          <w:kern w:val="2"/>
          <w:sz w:val="44"/>
          <w:szCs w:val="44"/>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736"/>
        <w:gridCol w:w="656"/>
        <w:gridCol w:w="1066"/>
        <w:gridCol w:w="351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11246" w:type="dxa"/>
            <w:gridSpan w:val="6"/>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65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6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5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5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65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6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35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5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458"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收     入</w:t>
            </w:r>
          </w:p>
        </w:tc>
        <w:tc>
          <w:tcPr>
            <w:tcW w:w="5788" w:type="dxa"/>
            <w:gridSpan w:val="3"/>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10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项目（按功能分类）</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16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    次</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一、一般公共服务支出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32</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二、外交支出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33</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三、国防支出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34</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四、上级补助收入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四、公共安全支出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35</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五、事业收入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31.80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五、教育支出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36</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六、经营收入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六、科学技术支出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七、附属单位上缴收入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七、文化旅游体育与传媒支出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38</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八、其他收入</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八、社会保障和就业支出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39</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九、卫生健康支出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40</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十、节能环保支出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41</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十一、城乡社区支出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42</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十二、农林水支出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43</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十三、交通运输支出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44</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十四、资源勘探工业信息等支出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45</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十五、商业服务业等支出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46</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十六、金融支出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十七、援助其他地区支出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48</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十八、自然资源海洋气象等支出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49</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十九、住房保障支出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50</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二十、粮油物资储备支出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51</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21</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二十一、国有资本经营预算支出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52</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22</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二十二、灾害防治及应急管理支出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53</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23</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二十三、其他支出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54</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24</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二十四、债务还本支出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55</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25</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二十五、债务付息支出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56</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26</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二十六、抗疫特别国债安排的支出</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27</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58</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  使用非财政拨款结余</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28</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  结余分配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59</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  年初结转和结余</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29</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  年末结转和结余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60</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30</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61</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73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31</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35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22"/>
                <w:szCs w:val="22"/>
                <w:bdr w:val="none" w:color="auto" w:sz="0" w:space="0"/>
                <w:lang w:val="en-US" w:eastAsia="zh-CN" w:bidi="ar"/>
              </w:rPr>
              <w:t>总计</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62</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246" w:type="dxa"/>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246" w:type="dxa"/>
            <w:gridSpan w:val="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662"/>
        <w:gridCol w:w="330"/>
        <w:gridCol w:w="330"/>
        <w:gridCol w:w="784"/>
        <w:gridCol w:w="898"/>
        <w:gridCol w:w="898"/>
        <w:gridCol w:w="898"/>
        <w:gridCol w:w="670"/>
        <w:gridCol w:w="670"/>
        <w:gridCol w:w="443"/>
        <w:gridCol w:w="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522" w:type="dxa"/>
            <w:gridSpan w:val="11"/>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9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9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9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7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7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3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6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编制单位：宁都县小布中心幼园</w:t>
            </w:r>
          </w:p>
        </w:tc>
        <w:tc>
          <w:tcPr>
            <w:tcW w:w="3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8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9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9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9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67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7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4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93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6"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89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本年收入合计</w:t>
            </w:r>
          </w:p>
        </w:tc>
        <w:tc>
          <w:tcPr>
            <w:tcW w:w="89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财政拨款收入</w:t>
            </w:r>
          </w:p>
        </w:tc>
        <w:tc>
          <w:tcPr>
            <w:tcW w:w="898"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上级补助收入</w:t>
            </w:r>
          </w:p>
        </w:tc>
        <w:tc>
          <w:tcPr>
            <w:tcW w:w="67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事业收入</w:t>
            </w:r>
          </w:p>
        </w:tc>
        <w:tc>
          <w:tcPr>
            <w:tcW w:w="67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经营收入</w:t>
            </w:r>
          </w:p>
        </w:tc>
        <w:tc>
          <w:tcPr>
            <w:tcW w:w="44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附属单位上缴收入</w:t>
            </w:r>
          </w:p>
        </w:tc>
        <w:tc>
          <w:tcPr>
            <w:tcW w:w="93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7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84"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84"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98"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70"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4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3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6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3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3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78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89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9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89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67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67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44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93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2"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33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30"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8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31.80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31.80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31.80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31.80</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22"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78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9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7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4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93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522"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88"/>
        <w:gridCol w:w="375"/>
        <w:gridCol w:w="375"/>
        <w:gridCol w:w="1012"/>
        <w:gridCol w:w="614"/>
        <w:gridCol w:w="831"/>
        <w:gridCol w:w="535"/>
        <w:gridCol w:w="535"/>
        <w:gridCol w:w="535"/>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429" w:type="dxa"/>
            <w:gridSpan w:val="10"/>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8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7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1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1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22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8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37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1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1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3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22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50"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614"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83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53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53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上缴上级支出</w:t>
            </w:r>
          </w:p>
        </w:tc>
        <w:tc>
          <w:tcPr>
            <w:tcW w:w="535"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经营支出</w:t>
            </w:r>
          </w:p>
        </w:tc>
        <w:tc>
          <w:tcPr>
            <w:tcW w:w="1229"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101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6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2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12"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2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12"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14"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35"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29"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88"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3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3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101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6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5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5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5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22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88"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37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7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1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97.67</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1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61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3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2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429"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60"/>
        <w:gridCol w:w="816"/>
        <w:gridCol w:w="1025"/>
        <w:gridCol w:w="2283"/>
        <w:gridCol w:w="433"/>
        <w:gridCol w:w="544"/>
        <w:gridCol w:w="727"/>
        <w:gridCol w:w="643"/>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9540" w:type="dxa"/>
            <w:gridSpan w:val="9"/>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rPr>
                <w:sz w:val="36"/>
                <w:szCs w:val="36"/>
              </w:rPr>
            </w:pPr>
            <w:r>
              <w:rPr>
                <w:rFonts w:hint="eastAsia" w:ascii="宋体" w:hAnsi="宋体" w:eastAsia="宋体" w:cs="宋体"/>
                <w:i w:val="0"/>
                <w:iCs w:val="0"/>
                <w:kern w:val="0"/>
                <w:sz w:val="36"/>
                <w:szCs w:val="36"/>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eastAsia" w:ascii="Arial" w:hAnsi="Arial" w:eastAsia="宋体" w:cs="Arial"/>
                <w:i w:val="0"/>
                <w:iCs w:val="0"/>
                <w:kern w:val="2"/>
                <w:sz w:val="11"/>
                <w:szCs w:val="11"/>
                <w:bdr w:val="none" w:color="auto" w:sz="0" w:space="0"/>
                <w:lang w:val="en-US" w:eastAsia="zh-CN" w:bidi="ar"/>
              </w:rPr>
              <w:t> </w:t>
            </w:r>
          </w:p>
        </w:tc>
        <w:tc>
          <w:tcPr>
            <w:tcW w:w="8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02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228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43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54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72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64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20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编制单位：宁都县小布中心幼园</w:t>
            </w:r>
          </w:p>
        </w:tc>
        <w:tc>
          <w:tcPr>
            <w:tcW w:w="8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025"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228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2021年度</w:t>
            </w:r>
          </w:p>
        </w:tc>
        <w:tc>
          <w:tcPr>
            <w:tcW w:w="43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54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72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64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pPr>
            <w:r>
              <w:rPr>
                <w:rFonts w:hint="default" w:ascii="Arial" w:hAnsi="Arial" w:eastAsia="宋体" w:cs="Arial"/>
                <w:i w:val="0"/>
                <w:iCs w:val="0"/>
                <w:kern w:val="2"/>
                <w:sz w:val="11"/>
                <w:szCs w:val="11"/>
                <w:bdr w:val="none" w:color="auto" w:sz="0" w:space="0"/>
                <w:lang w:val="en-US" w:eastAsia="zh-CN" w:bidi="ar"/>
              </w:rPr>
              <w:t> </w:t>
            </w:r>
          </w:p>
        </w:tc>
        <w:tc>
          <w:tcPr>
            <w:tcW w:w="120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11"/>
                <w:szCs w:val="11"/>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01"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收     入</w:t>
            </w:r>
          </w:p>
        </w:tc>
        <w:tc>
          <w:tcPr>
            <w:tcW w:w="5839" w:type="dxa"/>
            <w:gridSpan w:val="6"/>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6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项    目</w:t>
            </w:r>
          </w:p>
        </w:tc>
        <w:tc>
          <w:tcPr>
            <w:tcW w:w="8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行次</w:t>
            </w:r>
          </w:p>
        </w:tc>
        <w:tc>
          <w:tcPr>
            <w:tcW w:w="10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金额</w:t>
            </w:r>
          </w:p>
        </w:tc>
        <w:tc>
          <w:tcPr>
            <w:tcW w:w="228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项目（按功能分类）</w:t>
            </w:r>
          </w:p>
        </w:tc>
        <w:tc>
          <w:tcPr>
            <w:tcW w:w="43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行次</w:t>
            </w:r>
          </w:p>
        </w:tc>
        <w:tc>
          <w:tcPr>
            <w:tcW w:w="54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合计</w:t>
            </w:r>
          </w:p>
        </w:tc>
        <w:tc>
          <w:tcPr>
            <w:tcW w:w="7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一般公共预算财政拨款</w:t>
            </w:r>
          </w:p>
        </w:tc>
        <w:tc>
          <w:tcPr>
            <w:tcW w:w="64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政府性基金预算财政拨款</w:t>
            </w:r>
          </w:p>
        </w:tc>
        <w:tc>
          <w:tcPr>
            <w:tcW w:w="120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860"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1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25"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228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3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44"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72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43"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09"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栏    次</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0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栏    次</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54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w:t>
            </w:r>
          </w:p>
        </w:tc>
        <w:tc>
          <w:tcPr>
            <w:tcW w:w="7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w:t>
            </w:r>
          </w:p>
        </w:tc>
        <w:tc>
          <w:tcPr>
            <w:tcW w:w="64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w:t>
            </w:r>
          </w:p>
        </w:tc>
        <w:tc>
          <w:tcPr>
            <w:tcW w:w="12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一、一般公共预算财政拨款</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一、一般公共服务支出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33</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二、政府性基金预算财政拨款</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二、外交支出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34</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三、国有资本经营预算财政拨款</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三、国防支出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35</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四、公共安全支出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36</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五、教育支出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37</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六、科学技术支出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38</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7</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七、文化旅游体育与传媒支出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39</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8</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八、社会保障和就业支出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40</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9</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九、卫生健康支出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41</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10</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十、节能环保支出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42</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11</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十一、城乡社区支出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43</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12</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十二、农林水支出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44</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13</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十三、交通运输支出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45</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14</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十四、资源勘探工业信息等支出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46</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15</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十五、商业服务业等支出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47</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16</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十六、金融支出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48</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17</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十七、援助其他地区支出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49</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18</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十八、自然资源海洋气象等支出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50</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19</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十九、住房保障支出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51</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20</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二十、粮油物资储备支出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52</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21</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二十一、国有资本经营预算支出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53</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22</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二十二、灾害防治及应急管理支出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54</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23</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二十三、其他支出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55</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24</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二十四、债务还本支出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56</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25</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二十五、债务付息支出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57</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26</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二十六、抗疫特别国债安排的支出</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58</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本年收入合计</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27</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本年支出合计</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59</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年初财政拨款结转和结余</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28</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年末财政拨款结转和结余</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60</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一、一般公共预算财政拨款</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29</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61</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二、政府性基金预算财政拨款</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30</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5"/>
                <w:szCs w:val="15"/>
                <w:bdr w:val="none" w:color="auto" w:sz="0" w:space="0"/>
                <w:lang w:val="en-US" w:eastAsia="zh-CN" w:bidi="ar"/>
              </w:rPr>
              <w:t> </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62</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三、国有资本经营预算财政拨款</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31</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kern w:val="2"/>
                <w:sz w:val="15"/>
                <w:szCs w:val="15"/>
                <w:bdr w:val="none" w:color="auto" w:sz="0" w:space="0"/>
                <w:lang w:val="en-US" w:eastAsia="zh-CN" w:bidi="ar"/>
              </w:rPr>
              <w:t> </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63</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15"/>
                <w:szCs w:val="15"/>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6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总计</w:t>
            </w:r>
          </w:p>
        </w:tc>
        <w:tc>
          <w:tcPr>
            <w:tcW w:w="8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32</w:t>
            </w:r>
          </w:p>
        </w:tc>
        <w:tc>
          <w:tcPr>
            <w:tcW w:w="1025"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22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15"/>
                <w:szCs w:val="15"/>
                <w:bdr w:val="none" w:color="auto" w:sz="0" w:space="0"/>
                <w:lang w:val="en-US" w:eastAsia="zh-CN" w:bidi="ar"/>
              </w:rPr>
              <w:t>总计</w:t>
            </w:r>
          </w:p>
        </w:tc>
        <w:tc>
          <w:tcPr>
            <w:tcW w:w="4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64</w:t>
            </w:r>
          </w:p>
        </w:tc>
        <w:tc>
          <w:tcPr>
            <w:tcW w:w="544"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72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65.87</w:t>
            </w:r>
          </w:p>
        </w:tc>
        <w:tc>
          <w:tcPr>
            <w:tcW w:w="64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c>
          <w:tcPr>
            <w:tcW w:w="1209"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40"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5"/>
                <w:szCs w:val="15"/>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13"/>
          <w:szCs w:val="13"/>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16"/>
        <w:gridCol w:w="436"/>
        <w:gridCol w:w="436"/>
        <w:gridCol w:w="1316"/>
        <w:gridCol w:w="1536"/>
        <w:gridCol w:w="109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9" w:hRule="atLeast"/>
        </w:trPr>
        <w:tc>
          <w:tcPr>
            <w:tcW w:w="9652" w:type="dxa"/>
            <w:gridSpan w:val="7"/>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3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5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9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32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3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5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09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404"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153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本年支出合计</w:t>
            </w:r>
          </w:p>
        </w:tc>
        <w:tc>
          <w:tcPr>
            <w:tcW w:w="109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161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13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15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53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21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13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153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0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6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216"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3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22"/>
                <w:szCs w:val="22"/>
                <w:bdr w:val="none" w:color="auto" w:sz="0" w:space="0"/>
                <w:lang w:val="en-US" w:eastAsia="zh-CN" w:bidi="ar"/>
              </w:rPr>
              <w:t>65.87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教育支出</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普通教育</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2050201</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  学前教育</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65.87</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3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53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652"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446"/>
        <w:gridCol w:w="774"/>
        <w:gridCol w:w="718"/>
        <w:gridCol w:w="530"/>
        <w:gridCol w:w="809"/>
        <w:gridCol w:w="593"/>
        <w:gridCol w:w="593"/>
        <w:gridCol w:w="774"/>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8429" w:type="dxa"/>
            <w:gridSpan w:val="9"/>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 </w:t>
            </w:r>
          </w:p>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244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77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1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0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7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9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44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77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1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3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0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9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9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774"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19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938"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人员经费</w:t>
            </w:r>
          </w:p>
        </w:tc>
        <w:tc>
          <w:tcPr>
            <w:tcW w:w="4491" w:type="dxa"/>
            <w:gridSpan w:val="6"/>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5"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经济分类科目编码</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科目名称</w:t>
            </w:r>
          </w:p>
        </w:tc>
        <w:tc>
          <w:tcPr>
            <w:tcW w:w="71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金额</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经济分类科目编码</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科目名称</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金额</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经济分类科目编码</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科目名称</w:t>
            </w:r>
          </w:p>
        </w:tc>
        <w:tc>
          <w:tcPr>
            <w:tcW w:w="119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工资福利支出</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55.91</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302</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商品和服务支出</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9.96</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307</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债务利息及费用支出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  基本工资</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21.52</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30201</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  办公费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0.21</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  国内债务付息</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  津贴补贴</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0.98</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30202</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  印刷费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0.21</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  国外债务付息</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  奖金</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1.50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30203</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  咨询费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  国内债务发行费用</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30106</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  伙食补助费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30204</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  手续费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30704</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  国外债务发行费用</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30107</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  绩效工资</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23.91</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30205</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  水费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0.51</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310</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资本性支出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30108</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  机关事业单位基本养老保险缴费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5.08</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30206</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  电费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1.14</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  房屋建筑物购建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30109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  职业年金缴费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30207</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  邮电费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  办公设备购置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30110</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  职工基本医疗保险缴费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2.92</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30208</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  取暖费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  专用设备购置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  公务员医疗补助缴款</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30209</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  物业管理费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8"/>
                <w:szCs w:val="18"/>
                <w:bdr w:val="none" w:color="auto" w:sz="0" w:space="0"/>
                <w:lang w:val="en-US" w:eastAsia="zh-CN" w:bidi="ar"/>
              </w:rPr>
              <w:t>0.54</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31005</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  基础设施建设</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  其他社会保障缴费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30211</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  差旅费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8"/>
                <w:szCs w:val="18"/>
                <w:bdr w:val="none" w:color="auto" w:sz="0" w:space="0"/>
                <w:lang w:val="en-US" w:eastAsia="zh-CN" w:bidi="ar"/>
              </w:rPr>
              <w:t>0.44</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31006</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  大型修缮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  住房公积金</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30212</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  因公出国（境）费用</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31007</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  信息网络及软件购置更新</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30114</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  医疗费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30213</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  维修（护）费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2"/>
                <w:sz w:val="18"/>
                <w:szCs w:val="18"/>
                <w:bdr w:val="none" w:color="auto" w:sz="0" w:space="0"/>
                <w:lang w:val="en-US" w:eastAsia="zh-CN" w:bidi="ar"/>
              </w:rPr>
              <w:t>4.98</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31008</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  物资储备</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30199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  其他工资福利支出</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30214</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  租赁费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31009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  土地补偿</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303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对个人和家庭的补助</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30215</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  会议费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w:t>
            </w:r>
          </w:p>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31010</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  安置补助</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  离休费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30216</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  培训费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1.50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310111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  地上附着物和青苗补偿</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  退休费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30217</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  公务接待费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  拆迁补偿</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  退职（役）费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30218</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  专用材料费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0.43</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  公务用车购置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30304</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  抚恤金</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30224</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  被装购置费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31019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  其他交通工具购置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30305</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  生活补贴</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30225</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  专用燃料费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31021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  文物和陈列品购置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30306</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  救济费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30226</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  劳务费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31022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  无形资产购置</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30307</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  医疗费补助</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30227</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  委托业务费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31099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  其他资本性支出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30308</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  助学金</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30228</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  工会经费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312</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对企业补助</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30309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  奖励金</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30229</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  福利费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  资本金注入</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30310</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  个人农业生产补贴</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30231</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  公务用车运行维护费</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31203</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  政府投资基金股权投资</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30311</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代缴社会保险费</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30239</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  其他交通费用</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31204</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  费用补贴</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9"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30399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  其他对个人和家庭的补助支出</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30240</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  税金及附加费用</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31205</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  利息补贴</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3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30299</w:t>
            </w:r>
          </w:p>
        </w:tc>
        <w:tc>
          <w:tcPr>
            <w:tcW w:w="80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  其他商品和服务支出</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31299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  其他对企业补助</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30"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809"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399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kern w:val="0"/>
                <w:sz w:val="18"/>
                <w:szCs w:val="18"/>
                <w:bdr w:val="none" w:color="auto" w:sz="0" w:space="0"/>
                <w:lang w:val="en-US" w:eastAsia="zh-CN" w:bidi="ar"/>
              </w:rPr>
              <w:t>其他支出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30"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809"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39906</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  赠与</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2446" w:type="dxa"/>
            <w:tcBorders>
              <w:top w:val="nil"/>
              <w:left w:val="single" w:color="000000" w:sz="4" w:space="0"/>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774"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30"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809"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39907</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  国家赔偿费用支出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33"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30"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809"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39908</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  对民间非营利组织和群众性自治组织补贴</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2" w:hRule="atLeast"/>
        </w:trPr>
        <w:tc>
          <w:tcPr>
            <w:tcW w:w="2446"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18"/>
                <w:szCs w:val="18"/>
                <w:bdr w:val="none" w:color="auto" w:sz="0" w:space="0"/>
                <w:lang w:val="en-US" w:eastAsia="zh-CN" w:bidi="ar"/>
              </w:rPr>
              <w:t> </w:t>
            </w:r>
          </w:p>
        </w:tc>
        <w:tc>
          <w:tcPr>
            <w:tcW w:w="530"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809" w:type="dxa"/>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18"/>
                <w:szCs w:val="18"/>
                <w:bdr w:val="none" w:color="auto" w:sz="0" w:space="0"/>
                <w:lang w:val="en-US" w:eastAsia="zh-CN" w:bidi="ar"/>
              </w:rPr>
              <w:t> </w:t>
            </w:r>
          </w:p>
        </w:tc>
        <w:tc>
          <w:tcPr>
            <w:tcW w:w="59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39999</w:t>
            </w:r>
          </w:p>
        </w:tc>
        <w:tc>
          <w:tcPr>
            <w:tcW w:w="77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  其他支出</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2" w:hRule="atLeast"/>
        </w:trPr>
        <w:tc>
          <w:tcPr>
            <w:tcW w:w="3220" w:type="dxa"/>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8"/>
                <w:szCs w:val="18"/>
                <w:bdr w:val="none" w:color="auto" w:sz="0" w:space="0"/>
                <w:lang w:val="en-US" w:eastAsia="zh-CN" w:bidi="ar"/>
              </w:rPr>
              <w:t>人员经费合计</w:t>
            </w:r>
          </w:p>
        </w:tc>
        <w:tc>
          <w:tcPr>
            <w:tcW w:w="71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55.91</w:t>
            </w:r>
          </w:p>
        </w:tc>
        <w:tc>
          <w:tcPr>
            <w:tcW w:w="3299"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18"/>
                <w:szCs w:val="18"/>
                <w:bdr w:val="none" w:color="auto" w:sz="0" w:space="0"/>
                <w:lang w:val="en-US" w:eastAsia="zh-CN" w:bidi="ar"/>
              </w:rPr>
              <w:t>公用支出合计</w:t>
            </w:r>
          </w:p>
        </w:tc>
        <w:tc>
          <w:tcPr>
            <w:tcW w:w="1192"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kern w:val="0"/>
                <w:sz w:val="18"/>
                <w:szCs w:val="18"/>
                <w:bdr w:val="none" w:color="auto" w:sz="0" w:space="0"/>
                <w:lang w:val="en-US" w:eastAsia="zh-CN" w:bidi="ar"/>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429" w:type="dxa"/>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18"/>
                <w:szCs w:val="18"/>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22" w:type="dxa"/>
            <w:gridSpan w:val="4"/>
            <w:tcBorders>
              <w:top w:val="nil"/>
              <w:left w:val="nil"/>
              <w:bottom w:val="nil"/>
              <w:right w:val="nil"/>
            </w:tcBorders>
            <w:shd w:val="clear"/>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default" w:ascii="Calibri" w:hAnsi="Calibri" w:eastAsia="宋体" w:cs="Calibri"/>
                <w:kern w:val="2"/>
                <w:sz w:val="21"/>
                <w:szCs w:val="21"/>
                <w:lang w:val="en-US" w:eastAsia="zh-CN" w:bidi="ar"/>
              </w:rPr>
              <w:t> </w:t>
            </w:r>
            <w:r>
              <w:rPr>
                <w:rFonts w:hint="eastAsia" w:ascii="宋体" w:hAnsi="宋体" w:eastAsia="宋体" w:cs="宋体"/>
                <w:i w:val="0"/>
                <w:iCs w:val="0"/>
                <w:kern w:val="0"/>
                <w:sz w:val="44"/>
                <w:szCs w:val="44"/>
                <w:bdr w:val="none" w:color="auto" w:sz="0" w:space="0"/>
                <w:lang w:val="en-US" w:eastAsia="zh-CN" w:bidi="ar"/>
              </w:rPr>
              <w:t> 一般公共预算财政拨款“三公”经费支出决算表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409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18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45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9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9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118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145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790"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09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w:t>
            </w:r>
          </w:p>
        </w:tc>
        <w:tc>
          <w:tcPr>
            <w:tcW w:w="1183" w:type="dxa"/>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1457" w:type="dxa"/>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年初预算数</w:t>
            </w:r>
          </w:p>
        </w:tc>
        <w:tc>
          <w:tcPr>
            <w:tcW w:w="1790" w:type="dxa"/>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行次</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2"/>
                <w:szCs w:val="22"/>
                <w:bdr w:val="none" w:color="auto" w:sz="0" w:space="0"/>
                <w:lang w:val="en-US" w:eastAsia="zh-CN" w:bidi="ar"/>
              </w:rPr>
              <w:t> </w:t>
            </w:r>
          </w:p>
        </w:tc>
        <w:tc>
          <w:tcPr>
            <w:tcW w:w="145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7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一、“三公”经费支出</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  2.公务用车购置及运行维护费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    （1）公务用车购置费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    （2）公务用车运行维护费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  3.公务接待费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    （1）国内接待费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    （2）国（境）外接待费</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二、相关统计数</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  1.因公出国（境）团组数（个）</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  2.因公出国（境）人次数（人）</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12</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  3.公务用车购置数（辆）</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13</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  4.公务用车保有量（辆）</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14</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  5.国内公务接待批次（个）</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15</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    其中：外事接待批次（个）</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16</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  6.国内公务接待人次（人）</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17</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    其中：外事接待人次（人）</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18</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  7.国（境）外公务接待批次（个）</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19</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9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  8.国（境）外公务接待人次（人）</w:t>
            </w:r>
          </w:p>
        </w:tc>
        <w:tc>
          <w:tcPr>
            <w:tcW w:w="118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20</w:t>
            </w:r>
          </w:p>
        </w:tc>
        <w:tc>
          <w:tcPr>
            <w:tcW w:w="145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w:t>
            </w:r>
          </w:p>
        </w:tc>
        <w:tc>
          <w:tcPr>
            <w:tcW w:w="1790"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522" w:type="dxa"/>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8522" w:type="dxa"/>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default" w:ascii="Calibri" w:hAnsi="Calibri" w:eastAsia="宋体" w:cs="Calibri"/>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32"/>
        <w:gridCol w:w="371"/>
        <w:gridCol w:w="371"/>
        <w:gridCol w:w="837"/>
        <w:gridCol w:w="371"/>
        <w:gridCol w:w="837"/>
        <w:gridCol w:w="526"/>
        <w:gridCol w:w="837"/>
        <w:gridCol w:w="837"/>
        <w:gridCol w:w="1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22" w:type="dxa"/>
            <w:gridSpan w:val="10"/>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3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37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52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20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32"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400" w:right="0" w:hanging="400" w:hangingChars="20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37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371"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52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837"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203"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911"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371"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年初结转和结余</w:t>
            </w:r>
          </w:p>
        </w:tc>
        <w:tc>
          <w:tcPr>
            <w:tcW w:w="837"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本年收入</w:t>
            </w:r>
          </w:p>
        </w:tc>
        <w:tc>
          <w:tcPr>
            <w:tcW w:w="2200" w:type="dxa"/>
            <w:gridSpan w:val="3"/>
            <w:tcBorders>
              <w:top w:val="single" w:color="000000" w:sz="4" w:space="0"/>
              <w:left w:val="nil"/>
              <w:bottom w:val="nil"/>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本年支出</w:t>
            </w:r>
          </w:p>
        </w:tc>
        <w:tc>
          <w:tcPr>
            <w:tcW w:w="1203"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8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37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2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小计</w:t>
            </w:r>
          </w:p>
        </w:tc>
        <w:tc>
          <w:tcPr>
            <w:tcW w:w="8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8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c>
          <w:tcPr>
            <w:tcW w:w="12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7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7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2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7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71"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2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203"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33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3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37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83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37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83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52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83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83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120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332"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37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71"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83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4"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4"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4"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74"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4"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074"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371"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52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837"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203"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522"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8522" w:type="dxa"/>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说明：当此表数据为零时，即本单位无政府性基金预算财政拨款收入、支出。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216"/>
        <w:gridCol w:w="436"/>
        <w:gridCol w:w="436"/>
        <w:gridCol w:w="1096"/>
        <w:gridCol w:w="106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8522" w:type="dxa"/>
            <w:gridSpan w:val="7"/>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9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6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65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32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43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9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06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65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1616"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184"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106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基本支出</w:t>
            </w:r>
          </w:p>
        </w:tc>
        <w:tc>
          <w:tcPr>
            <w:tcW w:w="161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支出功能分类科目编码</w:t>
            </w:r>
          </w:p>
        </w:tc>
        <w:tc>
          <w:tcPr>
            <w:tcW w:w="109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科目名称</w:t>
            </w: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6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616" w:type="dxa"/>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1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类</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款</w:t>
            </w:r>
          </w:p>
        </w:tc>
        <w:tc>
          <w:tcPr>
            <w:tcW w:w="4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w:t>
            </w:r>
          </w:p>
        </w:tc>
        <w:tc>
          <w:tcPr>
            <w:tcW w:w="10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106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6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161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16" w:type="dxa"/>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36" w:type="dxa"/>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09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合计</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8" w:type="dxa"/>
            <w:gridSpan w:val="3"/>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9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2"/>
                <w:szCs w:val="22"/>
                <w:bdr w:val="none" w:color="auto" w:sz="0" w:space="0"/>
                <w:lang w:val="en-US" w:eastAsia="zh-CN" w:bidi="ar"/>
              </w:rPr>
              <w:t> </w:t>
            </w:r>
          </w:p>
        </w:tc>
        <w:tc>
          <w:tcPr>
            <w:tcW w:w="106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65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c>
          <w:tcPr>
            <w:tcW w:w="1616"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522" w:type="dxa"/>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22" w:type="dxa"/>
            <w:gridSpan w:val="7"/>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8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kern w:val="2"/>
                <w:sz w:val="20"/>
                <w:szCs w:val="20"/>
                <w:bdr w:val="none" w:color="auto" w:sz="0" w:space="0"/>
                <w:lang w:val="en-US" w:eastAsia="zh-CN" w:bidi="ar"/>
              </w:rPr>
              <w:t> </w:t>
            </w:r>
          </w:p>
        </w:tc>
        <w:tc>
          <w:tcPr>
            <w:tcW w:w="117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kern w:val="2"/>
                <w:sz w:val="20"/>
                <w:szCs w:val="20"/>
                <w:bdr w:val="none" w:color="auto" w:sz="0" w:space="0"/>
                <w:lang w:val="en-US" w:eastAsia="zh-CN" w:bidi="ar"/>
              </w:rPr>
              <w:t> </w:t>
            </w:r>
          </w:p>
        </w:tc>
        <w:tc>
          <w:tcPr>
            <w:tcW w:w="200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89"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kern w:val="0"/>
                <w:sz w:val="20"/>
                <w:szCs w:val="20"/>
                <w:bdr w:val="none" w:color="auto" w:sz="0" w:space="0"/>
                <w:lang w:val="en-US" w:eastAsia="zh-CN" w:bidi="ar"/>
              </w:rPr>
              <w:t>编制单位：宁都县小布中心幼儿园</w:t>
            </w:r>
          </w:p>
        </w:tc>
        <w:tc>
          <w:tcPr>
            <w:tcW w:w="117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kern w:val="0"/>
                <w:sz w:val="20"/>
                <w:szCs w:val="20"/>
                <w:bdr w:val="none" w:color="auto" w:sz="0" w:space="0"/>
                <w:lang w:val="en-US" w:eastAsia="zh-CN" w:bidi="ar"/>
              </w:rPr>
              <w:t>2021年度</w:t>
            </w:r>
          </w:p>
        </w:tc>
        <w:tc>
          <w:tcPr>
            <w:tcW w:w="2008" w:type="dxa"/>
            <w:tcBorders>
              <w:top w:val="nil"/>
              <w:left w:val="nil"/>
              <w:bottom w:val="nil"/>
              <w:right w:val="nil"/>
            </w:tcBorders>
            <w:shd w:val="clear"/>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5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项  目</w:t>
            </w:r>
          </w:p>
        </w:tc>
        <w:tc>
          <w:tcPr>
            <w:tcW w:w="1178" w:type="dxa"/>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栏次</w:t>
            </w:r>
          </w:p>
        </w:tc>
        <w:tc>
          <w:tcPr>
            <w:tcW w:w="2008" w:type="dxa"/>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一、车辆数合计(台、辆)</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  1.副部（省）级及以上领导用车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2</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  2.主要领导干部用车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3</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  3.机要通信用车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4</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  4.应急保障用车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5</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  5.执法执勤用车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6</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  6.特种专业技术用车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7</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  7.离退休干部用车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8</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  8.其他用车</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9</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二、单价50万元（含）以上通用设备（台，套）</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10</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589"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三、单价100万元（含）以上专用设备（台，套）</w:t>
            </w:r>
          </w:p>
        </w:tc>
        <w:tc>
          <w:tcPr>
            <w:tcW w:w="117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2"/>
                <w:szCs w:val="22"/>
                <w:bdr w:val="none" w:color="auto" w:sz="0" w:space="0"/>
                <w:lang w:val="en-US" w:eastAsia="zh-CN" w:bidi="ar"/>
              </w:rPr>
              <w:t>11</w:t>
            </w:r>
          </w:p>
        </w:tc>
        <w:tc>
          <w:tcPr>
            <w:tcW w:w="2008" w:type="dxa"/>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8775" w:type="dxa"/>
            <w:gridSpan w:val="3"/>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8775" w:type="dxa"/>
            <w:gridSpan w:val="3"/>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b/>
          <w:bCs w:val="0"/>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bCs w:val="0"/>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本学校2021年度收入总计97.67 万元，较2020年增加 18.83 万元，增长23.88 %，其中：年初结转和结余0万元，较2020年增加0万元，增长0 %；本年收入合计 97.67万元，较2020年增加 18.83 万元，增长23.88 %，主要原因是：教职工和学生人数增加，产生收入增加。</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本年收入的具体构成为：财政拨款收入65.87万元，占 67.44 %；事业收入 31.80  万元，占 32.56 %；经营收入 0  万元，占 0 %；其他收入0 万元，占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本学校2021年度支出总计 97.67 万元，其中本年支出合计 97.67 万元，较2020年增加18.83万元，增长23.88%，主要原因是：教职工和学生人数增加，产生收入增加；年末结转和结余  0 万元，较2020年增加 0 万元，增长0 %。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本年支出的具体构成为：基本支出 97.67 万元，占 100 %；项目支出  0 万元，占 0  %；经营支出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本学校2021年度财政拨款本年支出年初预算数为 43.56  万元，决算数为 97.67万元，完成年初预算的224 %。其中：</w:t>
      </w:r>
    </w:p>
    <w:p>
      <w:pPr>
        <w:keepNext w:val="0"/>
        <w:keepLines w:val="0"/>
        <w:widowControl/>
        <w:suppressLineNumbers w:val="0"/>
        <w:spacing w:before="0" w:beforeAutospacing="1" w:after="0" w:afterAutospacing="1"/>
        <w:ind w:left="0" w:right="0" w:firstLine="600" w:firstLineChars="200"/>
        <w:jc w:val="left"/>
      </w:pPr>
      <w:r>
        <w:rPr>
          <w:rFonts w:hint="eastAsia" w:ascii="仿宋_GB2312" w:eastAsia="仿宋_GB2312" w:cs="仿宋_GB2312" w:hAnsiTheme="minorHAnsi"/>
          <w:kern w:val="0"/>
          <w:sz w:val="30"/>
          <w:szCs w:val="30"/>
          <w:lang w:val="en-US" w:eastAsia="zh-CN" w:bidi="ar"/>
        </w:rPr>
        <w:t>教育</w:t>
      </w:r>
      <w:r>
        <w:rPr>
          <w:rFonts w:hint="eastAsia" w:ascii="仿宋_GB2312" w:eastAsia="仿宋_GB2312" w:cs="仿宋_GB2312" w:hAnsiTheme="minorHAnsi"/>
          <w:kern w:val="2"/>
          <w:sz w:val="30"/>
          <w:szCs w:val="30"/>
          <w:lang w:val="en-US" w:eastAsia="zh-CN" w:bidi="ar"/>
        </w:rPr>
        <w:t>支出年初预算数为 43.56  万元，决算数为 97.67 万元，完成年初预算的 224 %，主要原因是：年初预算数中不包含公用经费、边远山区特殊津贴、乡村教师补助、绩效奖等经费拨款。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本学校2021年度一般公共预算财政拨款基本支出 65.87万元，其中：</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（一）工资福利支出  55.91 万元，较2020年减少 0.83万元，下降1.47 %，主要原因是：乡镇工作补贴支出调整到工资福利支出。</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（二）商品和服务支出  9.96 万元，较2020年增加1.17  万元，增长13.31 %，主要原因是：学生数增加，学生活动费等相关支出增加。</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（三）对个人和家庭补助支出  0 万元，较2020年增加0  万元，增长0  %，主要原因是：无对个人和家庭补助支出。</w:t>
      </w:r>
    </w:p>
    <w:p>
      <w:pPr>
        <w:keepNext w:val="0"/>
        <w:keepLines w:val="0"/>
        <w:widowControl/>
        <w:suppressLineNumbers w:val="0"/>
        <w:spacing w:before="0" w:beforeAutospacing="1" w:after="0" w:afterAutospacing="1"/>
        <w:ind w:left="0" w:right="0" w:firstLine="585"/>
        <w:jc w:val="left"/>
      </w:pPr>
      <w:r>
        <w:rPr>
          <w:rFonts w:hint="eastAsia" w:ascii="仿宋_GB2312" w:eastAsia="仿宋_GB2312" w:cs="仿宋_GB2312" w:hAnsiTheme="minorHAnsi"/>
          <w:kern w:val="2"/>
          <w:sz w:val="30"/>
          <w:szCs w:val="30"/>
          <w:lang w:val="en-US" w:eastAsia="zh-CN" w:bidi="ar"/>
        </w:rPr>
        <w:t>（四）资本性支出  0 万元，较2020年增加 0 万元，增长0 %，主要原因是：无资本性支出。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本学校2021年度一般公共预算财政拨款“三公”经费支出年初预算数为 0  万元，决算数为  0万元，完成预算的 0 %，决算数较2020年增加0 万元，增长0  %，其中：</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（一）因公出国（境）支出年初预算数为  0 万元，决算数为 0 万元，完成预算的 0  %，决算数较2020年增加 0  万元，增长 0  %，主要原因是无公务接待费支出。决算数较年初预算数增加（减少）的主要原因是：无公务接待费支出。全年安排因公出国（境）团组  0 个，累计 0 人次，主要为：无因公出国（境）出差工作安排。</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（二）公务接待费支出年初预算数为  0 万元，决算数为 0万元，完成预算的 0 %，决算数较2020年增加0 万元，增长0 %，主要原因是无公务接待费。决算数较年初预算数增加（减少）的主要原因是：无公务接待费。全年国内公务接待 0 批，累计接待 0 人次，其中外事接待 0  批，累计接待  0 人次，主要为：无公务接待费支出。全年国内公务接待0批，累计接待0人次，其中外事接待0批，累计接待0人次。</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（三）公务用车购置及运行维护费支出  0 万元，其中公务用车购置年初预算数为  0 万元，决算数为 0 万元，完成预算的0 %，决算数较2020年增加0  万元，增长 0 %，主要原因是无公务用车购置及运行维护费支出，全年购置公务用车 0  辆。决算数较年初预算数增加（减少）的主要原因是：无公务用车购置及运行维护费支出；公务用车运行维护费支出年初预算数为   0万元，决算数为 0 万元，完成预算的0 %，决算数较2020年增加（减少）0  万元，增长（下降）0 %，主要原因是无公务用车购置及运行维护费支出，年末公务用车保有 0 辆。决算数较年初预算数增加（减少）的主要原因是：无公务用车购置及运行维护费支出。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b w:val="0"/>
          <w:bCs w:val="0"/>
          <w:kern w:val="2"/>
          <w:sz w:val="30"/>
          <w:szCs w:val="30"/>
          <w:lang w:val="en-US" w:eastAsia="zh-CN" w:bidi="ar"/>
        </w:rPr>
        <w:t>本单位不是行政单位或参照公务员法管理事业单位，故无机关运行经费支出。</w:t>
      </w:r>
      <w:r>
        <w:rPr>
          <w:rFonts w:hint="eastAsia"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eastAsia" w:ascii="仿宋_GB2312" w:eastAsia="仿宋_GB2312" w:cs="仿宋_GB2312"/>
          <w:kern w:val="0"/>
          <w:sz w:val="30"/>
          <w:szCs w:val="30"/>
        </w:rPr>
        <w:t>本单位2021年度政府采购支出总额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eastAsia"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spacing w:val="0"/>
          <w:kern w:val="0"/>
          <w:sz w:val="32"/>
          <w:szCs w:val="32"/>
          <w:bdr w:val="none" w:color="auto" w:sz="0" w:space="0"/>
          <w:shd w:val="clear" w:fill="FFFFFF"/>
        </w:rPr>
        <w:t>（二）单位决算中项目绩效自评情况。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pPr>
      <w:r>
        <w:rPr>
          <w:rFonts w:hint="eastAsia" w:ascii="仿宋" w:hAnsi="仿宋" w:eastAsia="仿宋" w:cs="仿宋"/>
          <w:i w:val="0"/>
          <w:iCs w:val="0"/>
          <w:caps w:val="0"/>
          <w:spacing w:val="0"/>
          <w:kern w:val="0"/>
          <w:sz w:val="32"/>
          <w:szCs w:val="32"/>
          <w:bdr w:val="none" w:color="auto" w:sz="0" w:space="0"/>
          <w:shd w:val="clear" w:fill="FFFFFF"/>
        </w:rPr>
        <w:t>我单位今年在单位决算中反映学校生均公用经费项目绩效自评结果。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rPr>
          <w:rFonts w:hint="eastAsia" w:ascii="仿宋" w:hAnsi="仿宋" w:eastAsia="仿宋" w:cs="仿宋"/>
          <w:i w:val="0"/>
          <w:iCs w:val="0"/>
          <w:caps w:val="0"/>
          <w:spacing w:val="0"/>
          <w:kern w:val="0"/>
          <w:sz w:val="32"/>
          <w:szCs w:val="32"/>
          <w:bdr w:val="none" w:color="auto" w:sz="0" w:space="0"/>
          <w:shd w:val="clear" w:fill="FFFFFF"/>
        </w:rPr>
      </w:pPr>
      <w:r>
        <w:rPr>
          <w:rFonts w:hint="eastAsia" w:ascii="仿宋" w:hAnsi="仿宋" w:eastAsia="仿宋" w:cs="仿宋"/>
          <w:i w:val="0"/>
          <w:iCs w:val="0"/>
          <w:caps w:val="0"/>
          <w:spacing w:val="0"/>
          <w:kern w:val="0"/>
          <w:sz w:val="32"/>
          <w:szCs w:val="32"/>
          <w:bdr w:val="none" w:color="auto" w:sz="0" w:space="0"/>
          <w:shd w:val="clear" w:fill="FFFFFF"/>
        </w:rPr>
        <w:t>学校生均公用经费绩效自评综述：根据年初设定的绩效目标，学校生均公用经费绩效自评得分为99.6分。项目全年预算为9.96万元，执行数为9.96万元，完成预算的100%。主要产出和效果：保障了学校的正常运行，提高了学校的教育教学质量，学校、家长和学生的满意度为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rPr>
          <w:rFonts w:hint="eastAsia" w:ascii="仿宋" w:hAnsi="仿宋" w:eastAsia="仿宋" w:cs="仿宋"/>
          <w:i w:val="0"/>
          <w:iCs w:val="0"/>
          <w:caps w:val="0"/>
          <w:spacing w:val="0"/>
          <w:kern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200"/>
        <w:jc w:val="both"/>
        <w:rPr>
          <w:rFonts w:hint="eastAsia" w:ascii="仿宋" w:hAnsi="仿宋" w:eastAsia="仿宋" w:cs="仿宋"/>
          <w:i w:val="0"/>
          <w:iCs w:val="0"/>
          <w:caps w:val="0"/>
          <w:spacing w:val="0"/>
          <w:kern w:val="0"/>
          <w:sz w:val="32"/>
          <w:szCs w:val="32"/>
          <w:bdr w:val="none" w:color="auto" w:sz="0" w:space="0"/>
          <w:shd w:val="clear" w:fill="FFFFFF"/>
        </w:rPr>
      </w:pPr>
    </w:p>
    <w:tbl>
      <w:tblPr>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19"/>
        <w:gridCol w:w="1245"/>
        <w:gridCol w:w="1051"/>
        <w:gridCol w:w="1203"/>
        <w:gridCol w:w="1249"/>
        <w:gridCol w:w="462"/>
        <w:gridCol w:w="1268"/>
        <w:gridCol w:w="806"/>
        <w:gridCol w:w="277"/>
        <w:gridCol w:w="399"/>
        <w:gridCol w:w="549"/>
        <w:gridCol w:w="278"/>
        <w:gridCol w:w="38"/>
        <w:gridCol w:w="700"/>
        <w:gridCol w:w="29"/>
        <w:gridCol w:w="421"/>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9"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项目名称</w:t>
            </w:r>
          </w:p>
        </w:tc>
        <w:tc>
          <w:tcPr>
            <w:tcW w:w="8842"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主管单位</w:t>
            </w:r>
          </w:p>
        </w:tc>
        <w:tc>
          <w:tcPr>
            <w:tcW w:w="4666"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宁都县财政局</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实施单位</w:t>
            </w:r>
          </w:p>
        </w:tc>
        <w:tc>
          <w:tcPr>
            <w:tcW w:w="268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宁都县小布镇公立幼儿园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55" w:hRule="atLeast"/>
          <w:jc w:val="center"/>
        </w:trPr>
        <w:tc>
          <w:tcPr>
            <w:tcW w:w="1673"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（万元）</w:t>
            </w: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年初预算数</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全年预算数（A)</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全年执行数(B)</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执行率(B/A)</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i w:val="0"/>
                <w:iCs w:val="0"/>
                <w:kern w:val="0"/>
                <w:sz w:val="20"/>
                <w:szCs w:val="20"/>
                <w:bdr w:val="none" w:color="auto" w:sz="0" w:space="0"/>
                <w:lang w:val="en-US" w:eastAsia="zh-CN" w:bidi="ar"/>
              </w:rPr>
              <w:t>年度资金总额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9.96</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9.96</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9.96</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87"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其中：当年财政拨款</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9.96</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9.96</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9.96</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100.0%</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      上年结转资金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1673"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98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    其他资金</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61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4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11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c>
          <w:tcPr>
            <w:tcW w:w="936"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c>
          <w:tcPr>
            <w:tcW w:w="57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年度总体目标</w:t>
            </w: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预期目标</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15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731"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目标1：按省定额标准下达公用经费                                                   目标2：按学生人数下达公用经费                                                        目标3：基本保障学前教育学校日常运行                                                             目标4：提高学前教育学校教育教学质量</w:t>
            </w:r>
          </w:p>
        </w:tc>
        <w:tc>
          <w:tcPr>
            <w:tcW w:w="4176"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标</w:t>
            </w: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一级指标</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二级指标</w:t>
            </w:r>
          </w:p>
        </w:tc>
        <w:tc>
          <w:tcPr>
            <w:tcW w:w="2813"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三级指标</w:t>
            </w:r>
          </w:p>
        </w:tc>
        <w:tc>
          <w:tcPr>
            <w:tcW w:w="1097"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年度指标值（A)</w:t>
            </w:r>
          </w:p>
        </w:tc>
        <w:tc>
          <w:tcPr>
            <w:tcW w:w="104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实际完成值(B)</w:t>
            </w:r>
          </w:p>
        </w:tc>
        <w:tc>
          <w:tcPr>
            <w:tcW w:w="875"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分值</w:t>
            </w:r>
          </w:p>
        </w:tc>
        <w:tc>
          <w:tcPr>
            <w:tcW w:w="95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得分</w:t>
            </w:r>
          </w:p>
        </w:tc>
        <w:tc>
          <w:tcPr>
            <w:tcW w:w="1307" w:type="dxa"/>
            <w:gridSpan w:val="4"/>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9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04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875"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5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07" w:type="dxa"/>
            <w:gridSpan w:val="4"/>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8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产出指标（50分）</w:t>
            </w:r>
          </w:p>
        </w:tc>
        <w:tc>
          <w:tcPr>
            <w:tcW w:w="756"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学前教育生均公用经费执行标准</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1044"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不低于省规定的标准</w:t>
            </w:r>
          </w:p>
        </w:tc>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学前教育生均公用经费拨付到位率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36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学前教育生均公用经费拨付及时率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10"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质量指标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保障学前教育学校正常运行</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正常运行</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时效指标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资金按规定及时拨付率</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年度预算执行进度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7</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9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效益指标（30分）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教学活动开展有序，办学水平不断提高</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34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教育教学质量</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提高</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15</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（10分）</w:t>
            </w:r>
          </w:p>
        </w:tc>
        <w:tc>
          <w:tcPr>
            <w:tcW w:w="75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服务对象满意度指标</w:t>
            </w: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学校和教师满意度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15" w:hRule="atLeast"/>
          <w:jc w:val="center"/>
        </w:trPr>
        <w:tc>
          <w:tcPr>
            <w:tcW w:w="608"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65"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5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81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家长和学生满意度</w:t>
            </w:r>
          </w:p>
        </w:tc>
        <w:tc>
          <w:tcPr>
            <w:tcW w:w="1097" w:type="dxa"/>
            <w:tcBorders>
              <w:top w:val="single" w:color="000000" w:sz="4" w:space="0"/>
              <w:left w:val="nil"/>
              <w:bottom w:val="single" w:color="000000" w:sz="4" w:space="0"/>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≥85%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96%</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5</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4.8</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70" w:hRule="atLeast"/>
          <w:jc w:val="center"/>
        </w:trPr>
        <w:tc>
          <w:tcPr>
            <w:tcW w:w="7383"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总分</w:t>
            </w:r>
          </w:p>
        </w:tc>
        <w:tc>
          <w:tcPr>
            <w:tcW w:w="8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100</w:t>
            </w:r>
          </w:p>
        </w:tc>
        <w:tc>
          <w:tcPr>
            <w:tcW w:w="9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99.6</w:t>
            </w:r>
          </w:p>
        </w:tc>
        <w:tc>
          <w:tcPr>
            <w:tcW w:w="1307"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236" w:type="dxa"/>
          <w:trHeight w:val="465" w:hRule="atLeast"/>
          <w:jc w:val="center"/>
        </w:trPr>
        <w:tc>
          <w:tcPr>
            <w:tcW w:w="0" w:type="auto"/>
            <w:gridSpan w:val="16"/>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75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    2.评分标准：（1） 若为</w:t>
            </w:r>
            <w:r>
              <w:rPr>
                <w:rFonts w:hint="eastAsia" w:ascii="宋体" w:hAnsi="宋体" w:eastAsia="宋体" w:cs="宋体"/>
                <w:b/>
                <w:bCs/>
                <w:i w:val="0"/>
                <w:iCs w:val="0"/>
                <w:kern w:val="0"/>
                <w:sz w:val="20"/>
                <w:szCs w:val="20"/>
                <w:bdr w:val="none" w:color="auto" w:sz="0" w:space="0"/>
                <w:lang w:val="en-US" w:eastAsia="zh-CN" w:bidi="ar"/>
              </w:rPr>
              <w:t>定性指标</w:t>
            </w:r>
            <w:r>
              <w:rPr>
                <w:rFonts w:hint="eastAsia" w:ascii="宋体" w:hAnsi="宋体" w:eastAsia="宋体" w:cs="宋体"/>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900" w:hRule="atLeast"/>
          <w:jc w:val="center"/>
        </w:trPr>
        <w:tc>
          <w:tcPr>
            <w:tcW w:w="10515" w:type="dxa"/>
            <w:gridSpan w:val="16"/>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kern w:val="0"/>
                <w:sz w:val="20"/>
                <w:szCs w:val="20"/>
                <w:bdr w:val="none" w:color="auto" w:sz="0" w:space="0"/>
                <w:lang w:val="en-US" w:eastAsia="zh-CN" w:bidi="ar"/>
              </w:rPr>
              <w:t>   （2）若为</w:t>
            </w:r>
            <w:r>
              <w:rPr>
                <w:rFonts w:hint="eastAsia" w:ascii="宋体" w:hAnsi="宋体" w:eastAsia="宋体" w:cs="宋体"/>
                <w:b/>
                <w:bCs/>
                <w:i w:val="0"/>
                <w:iCs w:val="0"/>
                <w:kern w:val="0"/>
                <w:sz w:val="20"/>
                <w:szCs w:val="20"/>
                <w:bdr w:val="none" w:color="auto" w:sz="0" w:space="0"/>
                <w:lang w:val="en-US" w:eastAsia="zh-CN" w:bidi="ar"/>
              </w:rPr>
              <w:t>定量指标</w:t>
            </w:r>
            <w:r>
              <w:rPr>
                <w:rFonts w:hint="eastAsia" w:ascii="宋体" w:hAnsi="宋体" w:eastAsia="宋体" w:cs="宋体"/>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    3.请在“偏差原因分析及改进措施”中说明偏离目标、不能完成目标的原因及拟采取的措施。</w:t>
            </w:r>
          </w:p>
        </w:tc>
        <w:tc>
          <w:tcPr>
            <w:tcW w:w="236"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729" w:type="dxa"/>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c>
          <w:tcPr>
            <w:tcW w:w="0" w:type="auto"/>
            <w:gridSpan w:val="2"/>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leftChars="0" w:right="0"/>
        <w:jc w:val="left"/>
      </w:pPr>
      <w:r>
        <w:rPr>
          <w:rFonts w:hint="default" w:ascii="Calibri" w:hAnsi="Calibri" w:eastAsia="宋体" w:cs="Calibri"/>
          <w:kern w:val="2"/>
          <w:sz w:val="32"/>
          <w:szCs w:val="32"/>
          <w:lang w:val="en-US" w:eastAsia="zh-CN" w:bidi="ar"/>
        </w:rPr>
        <w:t> </w:t>
      </w:r>
      <w:bookmarkStart w:id="0" w:name="_GoBack"/>
    </w:p>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lang w:val="en-US" w:eastAsia="zh-CN" w:bidi="ar"/>
        </w:rPr>
        <w:t> </w:t>
      </w:r>
    </w:p>
    <w:bookmarkEnd w:id="0"/>
    <w:p>
      <w:pPr>
        <w:keepNext w:val="0"/>
        <w:keepLines w:val="0"/>
        <w:widowControl/>
        <w:suppressLineNumbers w:val="0"/>
        <w:spacing w:before="0" w:beforeAutospacing="1" w:after="0" w:afterAutospacing="1" w:line="600" w:lineRule="exact"/>
        <w:ind w:left="0" w:right="0" w:firstLine="1767" w:firstLineChars="400"/>
        <w:jc w:val="both"/>
      </w:pPr>
      <w:r>
        <w:rPr>
          <w:rFonts w:hint="eastAsia" w:ascii="方正小标宋简体" w:hAnsi="方正小标宋简体" w:eastAsia="方正小标宋简体" w:cs="方正小标宋简体"/>
          <w:b/>
          <w:bCs/>
          <w:kern w:val="2"/>
          <w:sz w:val="44"/>
          <w:szCs w:val="44"/>
          <w:lang w:val="en-US" w:eastAsia="zh-CN" w:bidi="ar"/>
        </w:rPr>
        <w:t>第四部分  名词解释</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七、用事业基金弥补收支差额：指事业单位用事业基金弥补当年收支差额的数额。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八、年初结转和结余：指单位上年结转本年使用的基本支出结转、项目支出结转和结余和经营结余。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九、结余分配：指事业单位按规定对非财政补助结余资金提取的职工福利基金、事业基金和缴纳的所得税，以及减少单位按规定应缴回的基本建设竣工项目结余资金。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十一、基本支出：指为保障机构正常运转、完成日常工作任务而发生的人员支出和公用支出。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十二、项目支出：指在基本支出之外为完成特定的行政任务或事业发展目标所发生的支出。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十三、上缴上级支出：指事业单位按照财政单位和主管单位的规定上缴上级单位的支出。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十五、对附属单位补助支出：指事业单位用财政补助收入之外的收入对附属单位补助发生的支出。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六、“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r>
        <w:rPr>
          <w:rFonts w:hint="eastAsia"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1318C7-8085-4D72-8CD5-27BC7422CA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02D1345-0DA1-469E-A919-3A12DACC504B}"/>
  </w:font>
  <w:font w:name="仿宋_GB2312">
    <w:panose1 w:val="02010609030101010101"/>
    <w:charset w:val="86"/>
    <w:family w:val="auto"/>
    <w:pitch w:val="default"/>
    <w:sig w:usb0="00000001" w:usb1="080E0000" w:usb2="00000000" w:usb3="00000000" w:csb0="00040000" w:csb1="00000000"/>
    <w:embedRegular r:id="rId3" w:fontKey="{FA6E6115-C2DC-431B-A02A-B97C38CA35F2}"/>
  </w:font>
  <w:font w:name="仿宋">
    <w:panose1 w:val="02010609060101010101"/>
    <w:charset w:val="86"/>
    <w:family w:val="auto"/>
    <w:pitch w:val="default"/>
    <w:sig w:usb0="800002BF" w:usb1="38CF7CFA" w:usb2="00000016" w:usb3="00000000" w:csb0="00040001" w:csb1="00000000"/>
    <w:embedRegular r:id="rId4" w:fontKey="{6B8DDE00-8EF5-4902-A300-E9206DA88F37}"/>
  </w:font>
  <w:font w:name="方正小标宋简体">
    <w:panose1 w:val="02000000000000000000"/>
    <w:charset w:val="86"/>
    <w:family w:val="auto"/>
    <w:pitch w:val="default"/>
    <w:sig w:usb0="00000001" w:usb1="08000000" w:usb2="00000000" w:usb3="00000000" w:csb0="00040000" w:csb1="00000000"/>
    <w:embedRegular r:id="rId5" w:fontKey="{9A88D881-DAE2-4852-9E7F-00F30AA85443}"/>
  </w:font>
  <w:font w:name="Arial">
    <w:panose1 w:val="020B0604020202020204"/>
    <w:charset w:val="00"/>
    <w:family w:val="auto"/>
    <w:pitch w:val="default"/>
    <w:sig w:usb0="E0002EFF" w:usb1="C000785B" w:usb2="00000009" w:usb3="00000000" w:csb0="400001FF" w:csb1="FFFF0000"/>
    <w:embedRegular r:id="rId6" w:fontKey="{9AB9989E-012F-49DF-8035-06987E0BC31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1434F5"/>
    <w:multiLevelType w:val="singleLevel"/>
    <w:tmpl w:val="4A1434F5"/>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6C041093"/>
    <w:rsid w:val="6C04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2023-10-07T16:59:00Z</dcterms:created>
  <dc:creator>才东东</dc:creator>
  <cp:lastModifiedBy>才东东</cp:lastModifiedBy>
  <dcterms:modified xsi:type="dcterms:W3CDTF">2023-10-07T17:02:38Z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3BEE819EE774438F83B6D8996B9D2F9E_11</vt:lpwstr>
  </property>
</Properties>
</file>