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0"/>
          <w:sz w:val="44"/>
          <w:szCs w:val="44"/>
          <w:lang w:val="en-US" w:eastAsia="zh-CN" w:bidi="ar"/>
        </w:rPr>
        <w:t>宁都县黄陂镇公立幼儿园</w:t>
      </w:r>
      <w:r>
        <w:rPr>
          <w:rFonts w:hint="eastAsia" w:ascii="方正小标宋简体" w:hAnsi="方正小标宋简体" w:eastAsia="方正小标宋简体" w:cs="方正小标宋简体"/>
          <w:b w:val="0"/>
          <w:bCs w:val="0"/>
          <w:kern w:val="0"/>
          <w:sz w:val="44"/>
          <w:szCs w:val="44"/>
          <w:lang w:val="en-US" w:eastAsia="zh-CN" w:bidi="ar"/>
        </w:rPr>
        <w:t>2021年度单位决算公开</w:t>
      </w:r>
    </w:p>
    <w:p>
      <w:pPr>
        <w:keepNext w:val="0"/>
        <w:keepLines w:val="0"/>
        <w:widowControl/>
        <w:suppressLineNumbers w:val="0"/>
        <w:spacing w:before="0" w:beforeAutospacing="1" w:after="0" w:afterAutospacing="1" w:line="600" w:lineRule="exact"/>
        <w:ind w:left="0" w:right="0"/>
        <w:jc w:val="center"/>
      </w:pPr>
      <w:r>
        <w:rPr>
          <w:rFonts w:ascii="黑体" w:hAnsi="宋体" w:eastAsia="黑体" w:cs="宋体"/>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b w:val="0"/>
          <w:bCs w:val="0"/>
          <w:kern w:val="0"/>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宋体" w:eastAsia="仿宋_GB2312" w:cs="宋体"/>
          <w:kern w:val="0"/>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b/>
          <w:bCs w:val="0"/>
          <w:kern w:val="0"/>
          <w:sz w:val="32"/>
          <w:szCs w:val="32"/>
          <w:lang w:val="en-US" w:eastAsia="zh-CN" w:bidi="ar"/>
        </w:rPr>
        <w:t>第一部分</w:t>
      </w:r>
      <w:r>
        <w:rPr>
          <w:rFonts w:hint="eastAsia" w:ascii="黑体" w:hAnsi="宋体" w:eastAsia="黑体" w:cs="宋体"/>
          <w:b/>
          <w:bCs w:val="0"/>
          <w:kern w:val="0"/>
          <w:sz w:val="32"/>
          <w:szCs w:val="32"/>
          <w:lang w:val="en-US" w:eastAsia="zh-CN" w:bidi="ar"/>
        </w:rPr>
        <w:t xml:space="preserve">  </w:t>
      </w:r>
      <w:r>
        <w:rPr>
          <w:rFonts w:hint="eastAsia" w:ascii="黑体" w:hAnsi="宋体" w:eastAsia="黑体" w:cs="黑体"/>
          <w:b/>
          <w:bCs w:val="0"/>
          <w:kern w:val="0"/>
          <w:sz w:val="32"/>
          <w:szCs w:val="32"/>
          <w:lang w:val="en-US" w:eastAsia="zh-CN" w:bidi="ar"/>
        </w:rPr>
        <w:t>学校概况</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hAnsi="宋体" w:eastAsia="仿宋_GB2312" w:cs="宋体"/>
          <w:b/>
          <w:bCs w:val="0"/>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0"/>
          <w:sz w:val="32"/>
          <w:szCs w:val="32"/>
          <w:lang w:val="en-US" w:eastAsia="zh-CN" w:bidi="ar"/>
        </w:rPr>
        <w:t>第二部分</w:t>
      </w:r>
      <w:r>
        <w:rPr>
          <w:rFonts w:hint="eastAsia" w:ascii="黑体" w:hAnsi="宋体" w:eastAsia="黑体" w:cs="宋体"/>
          <w:kern w:val="0"/>
          <w:sz w:val="32"/>
          <w:szCs w:val="32"/>
          <w:lang w:val="en-US" w:eastAsia="zh-CN" w:bidi="ar"/>
        </w:rPr>
        <w:t xml:space="preserve">  </w:t>
      </w:r>
      <w:r>
        <w:rPr>
          <w:rFonts w:hint="eastAsia" w:ascii="黑体" w:hAnsi="宋体" w:eastAsia="黑体" w:cs="黑体"/>
          <w:kern w:val="0"/>
          <w:sz w:val="32"/>
          <w:szCs w:val="32"/>
          <w:lang w:val="en-US" w:eastAsia="zh-CN" w:bidi="ar"/>
        </w:rPr>
        <w:t>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0"/>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0"/>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仿宋_GB2312" w:hAnsiTheme="minorHAnsi"/>
          <w:kern w:val="0"/>
          <w:sz w:val="32"/>
          <w:szCs w:val="32"/>
          <w:lang w:val="en-US" w:eastAsia="zh-CN" w:bidi="ar"/>
        </w:rPr>
        <w:t>表</w:t>
      </w:r>
    </w:p>
    <w:p>
      <w:pPr>
        <w:keepNext w:val="0"/>
        <w:keepLines w:val="0"/>
        <w:widowControl/>
        <w:numPr>
          <w:numId w:val="0"/>
        </w:numPr>
        <w:suppressLineNumbers w:val="0"/>
        <w:spacing w:before="0" w:beforeAutospacing="1" w:after="0" w:afterAutospacing="1" w:line="600" w:lineRule="exact"/>
        <w:ind w:left="1320" w:leftChars="0" w:right="0" w:firstLine="0" w:firstLineChars="0"/>
        <w:jc w:val="left"/>
      </w:pPr>
      <w:r>
        <w:rPr>
          <w:rFonts w:hint="eastAsia" w:ascii="仿宋_GB2312" w:eastAsia="仿宋_GB2312" w:cs="宋体" w:hAnsiTheme="minorHAnsi"/>
          <w:kern w:val="0"/>
          <w:sz w:val="32"/>
          <w:szCs w:val="32"/>
          <w:lang w:val="en-US" w:eastAsia="zh-CN" w:bidi="ar"/>
        </w:rPr>
        <w:t>八、</w:t>
      </w:r>
      <w:r>
        <w:rPr>
          <w:rFonts w:hint="eastAsia"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320" w:leftChars="0" w:right="0" w:firstLine="0" w:firstLineChars="0"/>
        <w:jc w:val="left"/>
      </w:pPr>
      <w:r>
        <w:rPr>
          <w:rFonts w:hint="eastAsia" w:ascii="仿宋_GB2312" w:eastAsia="仿宋_GB2312" w:cs="宋体" w:hAnsiTheme="minorHAnsi"/>
          <w:kern w:val="0"/>
          <w:sz w:val="32"/>
          <w:szCs w:val="32"/>
          <w:lang w:val="en-US" w:eastAsia="zh-CN" w:bidi="ar"/>
        </w:rPr>
        <w:t>九、</w:t>
      </w:r>
      <w:r>
        <w:rPr>
          <w:rFonts w:hint="eastAsia" w:ascii="仿宋_GB2312" w:eastAsia="仿宋_GB2312" w:cs="仿宋_GB2312" w:hAnsiTheme="minorHAnsi"/>
          <w:kern w:val="0"/>
          <w:sz w:val="32"/>
          <w:szCs w:val="32"/>
          <w:lang w:val="en-US" w:eastAsia="zh-CN" w:bidi="ar"/>
        </w:rPr>
        <w:t>国有资本经营预算财政拨款支出决算表</w:t>
      </w:r>
    </w:p>
    <w:p>
      <w:pPr>
        <w:keepNext w:val="0"/>
        <w:keepLines w:val="0"/>
        <w:widowControl/>
        <w:numPr>
          <w:numId w:val="0"/>
        </w:numPr>
        <w:suppressLineNumbers w:val="0"/>
        <w:spacing w:before="0" w:beforeAutospacing="1" w:after="0" w:afterAutospacing="1" w:line="600" w:lineRule="exact"/>
        <w:ind w:left="1320" w:leftChars="0" w:right="0" w:firstLine="0" w:firstLineChars="0"/>
        <w:jc w:val="left"/>
      </w:pPr>
      <w:r>
        <w:rPr>
          <w:rFonts w:hint="eastAsia" w:ascii="仿宋_GB2312" w:eastAsia="仿宋_GB2312" w:cs="宋体" w:hAnsiTheme="minorHAnsi"/>
          <w:kern w:val="0"/>
          <w:sz w:val="32"/>
          <w:szCs w:val="32"/>
          <w:lang w:val="en-US" w:eastAsia="zh-CN" w:bidi="ar"/>
        </w:rPr>
        <w:t>十、</w:t>
      </w:r>
      <w:r>
        <w:rPr>
          <w:rFonts w:hint="eastAsia" w:ascii="仿宋_GB2312" w:eastAsia="仿宋_GB2312" w:cs="仿宋_GB2312" w:hAnsiTheme="minorHAnsi"/>
          <w:kern w:val="0"/>
          <w:sz w:val="32"/>
          <w:szCs w:val="32"/>
          <w:lang w:val="en-US" w:eastAsia="zh-CN" w:bidi="ar"/>
        </w:rPr>
        <w:t>国有资产占用情况表</w:t>
      </w:r>
    </w:p>
    <w:p>
      <w:pPr>
        <w:keepNext w:val="0"/>
        <w:keepLines w:val="0"/>
        <w:widowControl/>
        <w:numPr>
          <w:numId w:val="0"/>
        </w:numPr>
        <w:suppressLineNumbers w:val="0"/>
        <w:spacing w:before="0" w:beforeAutospacing="1" w:after="0" w:afterAutospacing="1" w:line="600" w:lineRule="exact"/>
        <w:ind w:left="1320" w:leftChars="0" w:right="0" w:firstLine="0" w:firstLineChars="0"/>
        <w:jc w:val="left"/>
      </w:pPr>
      <w:r>
        <w:rPr>
          <w:rFonts w:hint="eastAsia" w:ascii="宋体" w:hAnsi="宋体" w:eastAsia="宋体" w:cs="宋体"/>
          <w:b w:val="0"/>
          <w:bCs w:val="0"/>
          <w:i w:val="0"/>
          <w:iCs w:val="0"/>
          <w:kern w:val="0"/>
          <w:sz w:val="28"/>
          <w:szCs w:val="28"/>
          <w:lang w:val="en-US" w:eastAsia="zh-CN" w:bidi="ar"/>
        </w:rPr>
        <w:t>十一、项目支出绩效自评表</w:t>
      </w:r>
    </w:p>
    <w:p>
      <w:pPr>
        <w:keepNext w:val="0"/>
        <w:keepLines w:val="0"/>
        <w:widowControl/>
        <w:suppressLineNumbers w:val="0"/>
        <w:spacing w:before="0" w:beforeAutospacing="1" w:after="0" w:afterAutospacing="1" w:line="600" w:lineRule="exact"/>
        <w:ind w:left="0" w:right="0"/>
        <w:jc w:val="left"/>
      </w:pPr>
      <w:r>
        <w:rPr>
          <w:rFonts w:hint="eastAsia" w:ascii="仿宋_GB2312" w:eastAsia="仿宋_GB2312" w:cs="宋体" w:hAnsiTheme="minorHAnsi"/>
          <w:kern w:val="0"/>
          <w:sz w:val="32"/>
          <w:szCs w:val="32"/>
          <w:lang w:val="en-US" w:eastAsia="zh-CN" w:bidi="ar"/>
        </w:rPr>
        <w:t>    </w:t>
      </w:r>
      <w:r>
        <w:rPr>
          <w:rFonts w:hint="eastAsia" w:ascii="黑体" w:hAnsi="宋体" w:eastAsia="黑体" w:cs="黑体"/>
          <w:kern w:val="0"/>
          <w:sz w:val="32"/>
          <w:szCs w:val="32"/>
          <w:lang w:val="en-US" w:eastAsia="zh-CN" w:bidi="ar"/>
        </w:rPr>
        <w:t>第三部分</w:t>
      </w:r>
      <w:r>
        <w:rPr>
          <w:rFonts w:hint="eastAsia" w:ascii="黑体" w:hAnsi="宋体" w:eastAsia="黑体" w:cs="宋体"/>
          <w:kern w:val="0"/>
          <w:sz w:val="32"/>
          <w:szCs w:val="32"/>
          <w:lang w:val="en-US" w:eastAsia="zh-CN" w:bidi="ar"/>
        </w:rPr>
        <w:t xml:space="preserve">  </w:t>
      </w:r>
      <w:r>
        <w:rPr>
          <w:rFonts w:hint="eastAsia" w:ascii="黑体" w:hAnsi="宋体" w:eastAsia="黑体" w:cs="黑体"/>
          <w:kern w:val="0"/>
          <w:sz w:val="32"/>
          <w:szCs w:val="32"/>
          <w:lang w:val="en-US" w:eastAsia="zh-CN" w:bidi="ar"/>
        </w:rPr>
        <w:t>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0"/>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0"/>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0"/>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0"/>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0"/>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0"/>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0"/>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eastAsia" w:ascii="仿宋_GB2312" w:eastAsia="仿宋_GB2312" w:cs="仿宋_GB2312"/>
          <w:kern w:val="2"/>
          <w:sz w:val="32"/>
          <w:szCs w:val="32"/>
          <w:bdr w:val="none" w:color="auto" w:sz="0" w:space="0"/>
          <w:shd w:val="clear" w:fill="FFFFFF"/>
        </w:rPr>
        <w:t>十、预算绩效情况说明</w:t>
      </w:r>
    </w:p>
    <w:p>
      <w:pPr>
        <w:keepNext w:val="0"/>
        <w:keepLines w:val="0"/>
        <w:widowControl/>
        <w:suppressLineNumbers w:val="0"/>
        <w:spacing w:before="0" w:beforeAutospacing="1" w:after="0" w:afterAutospacing="1" w:line="600" w:lineRule="exact"/>
        <w:ind w:left="0" w:right="0" w:firstLine="1248" w:firstLineChars="390"/>
        <w:jc w:val="left"/>
      </w:pPr>
      <w:r>
        <w:rPr>
          <w:rFonts w:hint="eastAsia" w:ascii="仿宋_GB2312" w:eastAsia="仿宋_GB2312" w:cs="宋体" w:hAnsiTheme="minorHAnsi"/>
          <w:kern w:val="0"/>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0"/>
          <w:sz w:val="32"/>
          <w:szCs w:val="32"/>
          <w:lang w:val="en-US" w:eastAsia="zh-CN" w:bidi="ar"/>
        </w:rPr>
        <w:t>第四部分</w:t>
      </w:r>
      <w:r>
        <w:rPr>
          <w:rFonts w:hint="eastAsia" w:ascii="黑体" w:hAnsi="宋体" w:eastAsia="黑体" w:cs="宋体"/>
          <w:kern w:val="0"/>
          <w:sz w:val="32"/>
          <w:szCs w:val="32"/>
          <w:lang w:val="en-US" w:eastAsia="zh-CN" w:bidi="ar"/>
        </w:rPr>
        <w:t xml:space="preserve">  </w:t>
      </w:r>
      <w:r>
        <w:rPr>
          <w:rFonts w:hint="eastAsia" w:ascii="黑体" w:hAnsi="宋体" w:eastAsia="黑体" w:cs="黑体"/>
          <w:kern w:val="0"/>
          <w:sz w:val="32"/>
          <w:szCs w:val="32"/>
          <w:lang w:val="en-US" w:eastAsia="zh-CN" w:bidi="ar"/>
        </w:rPr>
        <w:t>名词解释</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0"/>
          <w:sz w:val="36"/>
          <w:szCs w:val="36"/>
          <w:lang w:val="en-US" w:eastAsia="zh-CN" w:bidi="ar"/>
        </w:rPr>
        <w:t> </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0"/>
          <w:sz w:val="36"/>
          <w:szCs w:val="36"/>
          <w:lang w:val="en-US" w:eastAsia="zh-CN" w:bidi="ar"/>
        </w:rPr>
        <w:t> </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0"/>
          <w:sz w:val="36"/>
          <w:szCs w:val="36"/>
          <w:lang w:val="en-US" w:eastAsia="zh-CN" w:bidi="ar"/>
        </w:rPr>
        <w:t> </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0"/>
          <w:sz w:val="36"/>
          <w:szCs w:val="36"/>
          <w:lang w:val="en-US" w:eastAsia="zh-CN" w:bidi="ar"/>
        </w:rPr>
        <w:t> </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0"/>
          <w:sz w:val="36"/>
          <w:szCs w:val="36"/>
          <w:lang w:val="en-US" w:eastAsia="zh-CN" w:bidi="ar"/>
        </w:rPr>
        <w:t> </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0"/>
          <w:sz w:val="36"/>
          <w:szCs w:val="36"/>
          <w:lang w:val="en-US" w:eastAsia="zh-CN" w:bidi="ar"/>
        </w:rPr>
        <w:t> </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0"/>
          <w:sz w:val="36"/>
          <w:szCs w:val="36"/>
          <w:lang w:val="en-US" w:eastAsia="zh-CN" w:bidi="ar"/>
        </w:rPr>
        <w:t> </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0"/>
          <w:sz w:val="36"/>
          <w:szCs w:val="36"/>
          <w:lang w:val="en-US" w:eastAsia="zh-CN" w:bidi="ar"/>
        </w:rPr>
        <w:t> </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0"/>
          <w:sz w:val="36"/>
          <w:szCs w:val="36"/>
          <w:lang w:val="en-US" w:eastAsia="zh-CN" w:bidi="ar"/>
        </w:rPr>
        <w:t> </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0"/>
          <w:sz w:val="36"/>
          <w:szCs w:val="36"/>
          <w:lang w:val="en-US" w:eastAsia="zh-CN" w:bidi="ar"/>
        </w:rPr>
        <w:t> </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0"/>
          <w:sz w:val="36"/>
          <w:szCs w:val="36"/>
          <w:lang w:val="en-US" w:eastAsia="zh-CN" w:bidi="ar"/>
        </w:rPr>
        <w:t> </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0"/>
          <w:sz w:val="36"/>
          <w:szCs w:val="36"/>
          <w:lang w:val="en-US" w:eastAsia="zh-CN" w:bidi="ar"/>
        </w:rPr>
        <w:t> </w:t>
      </w:r>
    </w:p>
    <w:p>
      <w:pPr>
        <w:keepNext w:val="0"/>
        <w:keepLines w:val="0"/>
        <w:widowControl/>
        <w:suppressLineNumbers w:val="0"/>
        <w:spacing w:before="0" w:beforeAutospacing="1" w:after="0" w:afterAutospacing="1" w:line="580" w:lineRule="exact"/>
        <w:ind w:left="0" w:right="0"/>
        <w:jc w:val="center"/>
      </w:pPr>
      <w:r>
        <w:rPr>
          <w:rFonts w:hint="eastAsia" w:ascii="宋体" w:hAnsi="宋体" w:eastAsia="宋体" w:cs="宋体"/>
          <w:b/>
          <w:bCs w:val="0"/>
          <w:kern w:val="0"/>
          <w:sz w:val="32"/>
          <w:szCs w:val="32"/>
          <w:lang w:val="en-US" w:eastAsia="zh-CN" w:bidi="ar"/>
        </w:rPr>
        <w:t> </w:t>
      </w:r>
    </w:p>
    <w:p>
      <w:pPr>
        <w:keepNext w:val="0"/>
        <w:keepLines w:val="0"/>
        <w:widowControl/>
        <w:suppressLineNumbers w:val="0"/>
        <w:spacing w:before="0" w:beforeAutospacing="1" w:after="0" w:afterAutospacing="1" w:line="580" w:lineRule="exact"/>
        <w:ind w:left="0" w:right="0"/>
        <w:jc w:val="center"/>
      </w:pPr>
      <w:r>
        <w:rPr>
          <w:rFonts w:hint="eastAsia" w:ascii="方正小标宋简体" w:hAnsi="方正小标宋简体" w:eastAsia="方正小标宋简体" w:cs="方正小标宋简体"/>
          <w:b w:val="0"/>
          <w:bCs/>
          <w:kern w:val="0"/>
          <w:sz w:val="44"/>
          <w:szCs w:val="44"/>
          <w:lang w:val="en-US" w:eastAsia="zh-CN" w:bidi="ar"/>
        </w:rPr>
        <w:t> </w:t>
      </w:r>
    </w:p>
    <w:p>
      <w:pPr>
        <w:keepNext w:val="0"/>
        <w:keepLines w:val="0"/>
        <w:widowControl/>
        <w:suppressLineNumbers w:val="0"/>
        <w:spacing w:before="0" w:beforeAutospacing="1" w:after="0" w:afterAutospacing="1" w:line="580" w:lineRule="exact"/>
        <w:ind w:left="0" w:right="0"/>
        <w:jc w:val="center"/>
      </w:pPr>
      <w:r>
        <w:rPr>
          <w:rFonts w:hint="eastAsia" w:ascii="方正小标宋简体" w:hAnsi="方正小标宋简体" w:eastAsia="方正小标宋简体" w:cs="方正小标宋简体"/>
          <w:b w:val="0"/>
          <w:bCs/>
          <w:kern w:val="0"/>
          <w:sz w:val="44"/>
          <w:szCs w:val="44"/>
          <w:lang w:val="en-US" w:eastAsia="zh-CN" w:bidi="ar"/>
        </w:rPr>
        <w:t>第一部分  单位概况</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kern w:val="0"/>
          <w:sz w:val="32"/>
          <w:szCs w:val="32"/>
          <w:lang w:val="en-US" w:eastAsia="zh-CN" w:bidi="ar"/>
        </w:rPr>
        <w:t> </w:t>
      </w:r>
    </w:p>
    <w:p>
      <w:pPr>
        <w:keepNext w:val="0"/>
        <w:keepLines w:val="0"/>
        <w:widowControl/>
        <w:suppressLineNumbers w:val="0"/>
        <w:spacing w:before="0" w:beforeAutospacing="1" w:after="0" w:afterAutospacing="1" w:line="23" w:lineRule="atLeast"/>
        <w:ind w:left="0" w:right="0" w:firstLine="630"/>
        <w:jc w:val="left"/>
      </w:pPr>
      <w:r>
        <w:rPr>
          <w:rFonts w:hint="eastAsia" w:ascii="黑体" w:hAnsi="宋体" w:eastAsia="黑体" w:cs="黑体"/>
          <w:kern w:val="0"/>
          <w:sz w:val="30"/>
          <w:szCs w:val="30"/>
          <w:lang w:val="en-US" w:eastAsia="zh-CN" w:bidi="ar"/>
        </w:rPr>
        <w:t>一、单位主要职责</w:t>
      </w:r>
    </w:p>
    <w:p>
      <w:pPr>
        <w:keepNext w:val="0"/>
        <w:keepLines w:val="0"/>
        <w:widowControl/>
        <w:suppressLineNumbers w:val="0"/>
        <w:spacing w:before="0" w:beforeAutospacing="1" w:after="0" w:afterAutospacing="1" w:line="23" w:lineRule="atLeast"/>
        <w:ind w:left="0" w:right="0" w:firstLine="630"/>
        <w:jc w:val="left"/>
      </w:pPr>
      <w:r>
        <w:rPr>
          <w:rFonts w:hint="eastAsia" w:ascii="仿宋" w:hAnsi="仿宋" w:eastAsia="仿宋" w:cs="仿宋"/>
          <w:color w:val="000000"/>
          <w:kern w:val="0"/>
          <w:sz w:val="32"/>
          <w:szCs w:val="32"/>
          <w:lang w:val="en-US" w:eastAsia="zh-CN" w:bidi="ar"/>
        </w:rPr>
        <w:t>一、认真贯彻执行幼儿教育《纲要》和《幼儿园工作规程》精神,从严治园,以促进幼儿体、智、德、美全面发展为各项工作的目标,坚持改革,不断提高教育质量。</w:t>
      </w:r>
    </w:p>
    <w:p>
      <w:pPr>
        <w:keepNext w:val="0"/>
        <w:keepLines w:val="0"/>
        <w:widowControl/>
        <w:suppressLineNumbers w:val="0"/>
        <w:spacing w:before="0" w:beforeAutospacing="1" w:after="0" w:afterAutospacing="1" w:line="23" w:lineRule="atLeast"/>
        <w:ind w:left="0" w:right="0" w:firstLine="630"/>
        <w:jc w:val="left"/>
      </w:pPr>
      <w:r>
        <w:rPr>
          <w:rFonts w:hint="eastAsia" w:ascii="仿宋" w:hAnsi="仿宋" w:eastAsia="仿宋" w:cs="仿宋"/>
          <w:color w:val="000000"/>
          <w:kern w:val="0"/>
          <w:sz w:val="32"/>
          <w:szCs w:val="32"/>
          <w:lang w:val="en-US" w:eastAsia="zh-CN" w:bidi="ar"/>
        </w:rPr>
        <w:t> 二、严格执行幼儿安全、卫生、保健制度，制定年度工作目标、规划、学期工作任务，认真做好组织实施。</w:t>
      </w:r>
    </w:p>
    <w:p>
      <w:pPr>
        <w:keepNext w:val="0"/>
        <w:keepLines w:val="0"/>
        <w:widowControl/>
        <w:suppressLineNumbers w:val="0"/>
        <w:spacing w:before="0" w:beforeAutospacing="1" w:after="0" w:afterAutospacing="1" w:line="23" w:lineRule="atLeast"/>
        <w:ind w:left="0" w:right="0" w:firstLine="630"/>
        <w:jc w:val="left"/>
      </w:pPr>
      <w:r>
        <w:rPr>
          <w:rFonts w:hint="eastAsia" w:ascii="仿宋" w:hAnsi="仿宋" w:eastAsia="仿宋" w:cs="仿宋"/>
          <w:color w:val="000000"/>
          <w:kern w:val="0"/>
          <w:sz w:val="32"/>
          <w:szCs w:val="32"/>
          <w:lang w:val="en-US" w:eastAsia="zh-CN" w:bidi="ar"/>
        </w:rPr>
        <w:t>三、建立和健全各项规章制度并认真组织和实施。</w:t>
      </w:r>
    </w:p>
    <w:p>
      <w:pPr>
        <w:keepNext w:val="0"/>
        <w:keepLines w:val="0"/>
        <w:widowControl/>
        <w:suppressLineNumbers w:val="0"/>
        <w:spacing w:before="0" w:beforeAutospacing="1" w:after="0" w:afterAutospacing="1" w:line="23" w:lineRule="atLeast"/>
        <w:ind w:left="0" w:right="0" w:firstLine="630"/>
        <w:jc w:val="left"/>
      </w:pPr>
      <w:r>
        <w:rPr>
          <w:rFonts w:hint="eastAsia" w:ascii="仿宋" w:hAnsi="仿宋" w:eastAsia="仿宋" w:cs="仿宋"/>
          <w:color w:val="000000"/>
          <w:kern w:val="0"/>
          <w:sz w:val="32"/>
          <w:szCs w:val="32"/>
          <w:lang w:val="en-US" w:eastAsia="zh-CN" w:bidi="ar"/>
        </w:rPr>
        <w:t> 四、加强教职工的考核工作，检查、指导、评估工作质量，制定奖惩措施。</w:t>
      </w:r>
    </w:p>
    <w:p>
      <w:pPr>
        <w:keepNext w:val="0"/>
        <w:keepLines w:val="0"/>
        <w:widowControl/>
        <w:suppressLineNumbers w:val="0"/>
        <w:spacing w:before="0" w:beforeAutospacing="1" w:after="0" w:afterAutospacing="1" w:line="23" w:lineRule="atLeast"/>
        <w:ind w:left="0" w:right="0" w:firstLine="630"/>
        <w:jc w:val="left"/>
      </w:pPr>
      <w:r>
        <w:rPr>
          <w:rFonts w:hint="eastAsia" w:ascii="仿宋" w:hAnsi="仿宋" w:eastAsia="仿宋" w:cs="仿宋"/>
          <w:color w:val="000000"/>
          <w:kern w:val="0"/>
          <w:sz w:val="32"/>
          <w:szCs w:val="32"/>
          <w:lang w:val="en-US" w:eastAsia="zh-CN" w:bidi="ar"/>
        </w:rPr>
        <w:t>五、加强财务管理，科学管理、合理使用学校的设施和经费，并积极筹措资金，改善办学条件。</w:t>
      </w:r>
    </w:p>
    <w:p>
      <w:pPr>
        <w:keepNext w:val="0"/>
        <w:keepLines w:val="0"/>
        <w:widowControl/>
        <w:suppressLineNumbers w:val="0"/>
        <w:spacing w:before="0" w:beforeAutospacing="1" w:after="0" w:afterAutospacing="1" w:line="23" w:lineRule="atLeast"/>
        <w:ind w:left="0" w:right="0" w:firstLine="630"/>
        <w:jc w:val="left"/>
      </w:pPr>
      <w:r>
        <w:rPr>
          <w:rFonts w:hint="eastAsia" w:ascii="仿宋" w:hAnsi="仿宋" w:eastAsia="仿宋" w:cs="仿宋"/>
          <w:color w:val="000000"/>
          <w:kern w:val="0"/>
          <w:sz w:val="32"/>
          <w:szCs w:val="32"/>
          <w:lang w:val="en-US" w:eastAsia="zh-CN" w:bidi="ar"/>
        </w:rPr>
        <w:t>六、加强思想政治工作，组织文化业务学习，有计划开展业务培训，提高教师业务水平。</w:t>
      </w:r>
    </w:p>
    <w:p>
      <w:pPr>
        <w:keepNext w:val="0"/>
        <w:keepLines w:val="0"/>
        <w:widowControl/>
        <w:suppressLineNumbers w:val="0"/>
        <w:spacing w:before="0" w:beforeAutospacing="1" w:after="0" w:afterAutospacing="1" w:line="23" w:lineRule="atLeast"/>
        <w:ind w:left="0" w:right="0" w:firstLine="630"/>
        <w:jc w:val="left"/>
      </w:pPr>
      <w:r>
        <w:rPr>
          <w:rFonts w:hint="eastAsia" w:ascii="仿宋" w:hAnsi="仿宋" w:eastAsia="仿宋" w:cs="仿宋"/>
          <w:color w:val="000000"/>
          <w:kern w:val="0"/>
          <w:sz w:val="32"/>
          <w:szCs w:val="32"/>
          <w:lang w:val="en-US" w:eastAsia="zh-CN" w:bidi="ar"/>
        </w:rPr>
        <w:t>七、关心教职工业务和生活，加强职工道德教育。 </w:t>
      </w:r>
    </w:p>
    <w:p>
      <w:pPr>
        <w:keepNext w:val="0"/>
        <w:keepLines w:val="0"/>
        <w:widowControl/>
        <w:suppressLineNumbers w:val="0"/>
        <w:spacing w:before="0" w:beforeAutospacing="1" w:after="0" w:afterAutospacing="1" w:line="23" w:lineRule="atLeast"/>
        <w:ind w:left="0" w:right="0" w:firstLine="630"/>
        <w:jc w:val="left"/>
      </w:pPr>
      <w:r>
        <w:rPr>
          <w:rFonts w:hint="eastAsia" w:ascii="仿宋" w:hAnsi="仿宋" w:eastAsia="仿宋" w:cs="仿宋"/>
          <w:color w:val="000000"/>
          <w:kern w:val="0"/>
          <w:sz w:val="32"/>
          <w:szCs w:val="32"/>
          <w:lang w:val="en-US" w:eastAsia="zh-CN" w:bidi="ar"/>
        </w:rPr>
        <w:t>八、依法接受各级教育行政单位的检查指导和人民群众的监督。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0"/>
          <w:sz w:val="30"/>
          <w:szCs w:val="30"/>
          <w:lang w:val="en-US" w:eastAsia="zh-CN" w:bidi="ar"/>
        </w:rPr>
        <w:t>二、单位基本情况</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宋体"/>
          <w:kern w:val="0"/>
          <w:sz w:val="30"/>
          <w:szCs w:val="30"/>
          <w:lang w:val="en-US" w:eastAsia="zh-CN" w:bidi="ar"/>
        </w:rPr>
        <w:t> </w:t>
      </w:r>
    </w:p>
    <w:p>
      <w:pPr>
        <w:keepNext w:val="0"/>
        <w:keepLines w:val="0"/>
        <w:widowControl/>
        <w:suppressLineNumbers w:val="0"/>
        <w:spacing w:before="0" w:beforeAutospacing="1" w:after="0" w:afterAutospacing="1" w:line="23" w:lineRule="atLeast"/>
        <w:ind w:left="0" w:right="0" w:firstLine="630"/>
        <w:jc w:val="left"/>
      </w:pPr>
      <w:r>
        <w:rPr>
          <w:rFonts w:hint="eastAsia" w:ascii="仿宋_GB2312" w:eastAsia="仿宋_GB2312" w:cs="仿宋_GB2312" w:hAnsiTheme="minorHAnsi"/>
          <w:kern w:val="0"/>
          <w:sz w:val="32"/>
          <w:szCs w:val="32"/>
          <w:lang w:val="en-US" w:eastAsia="zh-CN" w:bidi="ar"/>
        </w:rPr>
        <w:t>纳入本套单位决算汇编范围的单位共1个。</w:t>
      </w:r>
    </w:p>
    <w:p>
      <w:pPr>
        <w:keepNext w:val="0"/>
        <w:keepLines w:val="0"/>
        <w:widowControl/>
        <w:suppressLineNumbers w:val="0"/>
        <w:spacing w:before="0" w:beforeAutospacing="1" w:after="0" w:afterAutospacing="1" w:line="23" w:lineRule="atLeast"/>
        <w:ind w:left="0" w:right="0" w:firstLine="630"/>
        <w:jc w:val="left"/>
      </w:pPr>
      <w:r>
        <w:rPr>
          <w:rFonts w:hint="eastAsia" w:ascii="仿宋_GB2312" w:eastAsia="仿宋_GB2312" w:cs="仿宋_GB2312" w:hAnsiTheme="minorHAnsi"/>
          <w:kern w:val="0"/>
          <w:sz w:val="32"/>
          <w:szCs w:val="32"/>
          <w:lang w:val="en-US" w:eastAsia="zh-CN" w:bidi="ar"/>
        </w:rPr>
        <w:t>本单位2021年年末实有人数11人，其中在职人员11人，离休人员0人，退休人员0人（不含由养老保险基金发放养老金的离退休人员）；年末其他人员0人；年末学生人数246人，其中：学前教育246人。</w:t>
      </w:r>
      <w:r>
        <w:rPr>
          <w:rFonts w:asciiTheme="minorHAnsi" w:hAnsiTheme="minorHAnsi" w:eastAsiaTheme="minorEastAsia" w:cstheme="minorBidi"/>
          <w:kern w:val="0"/>
          <w:sz w:val="32"/>
          <w:szCs w:val="32"/>
          <w:lang w:val="en-US" w:eastAsia="zh-CN" w:bidi="ar"/>
        </w:rPr>
        <w:t> </w:t>
      </w:r>
    </w:p>
    <w:p>
      <w:pPr>
        <w:keepNext w:val="0"/>
        <w:keepLines w:val="0"/>
        <w:widowControl/>
        <w:suppressLineNumbers w:val="0"/>
        <w:spacing w:before="0" w:beforeAutospacing="1" w:after="0" w:afterAutospacing="1" w:line="600" w:lineRule="exact"/>
        <w:ind w:left="0" w:right="0"/>
        <w:jc w:val="left"/>
      </w:pPr>
      <w:r>
        <w:rPr>
          <w:rFonts w:hint="eastAsia" w:ascii="宋体" w:hAnsi="宋体" w:eastAsia="宋体" w:cs="宋体"/>
          <w:kern w:val="0"/>
          <w:sz w:val="32"/>
          <w:szCs w:val="32"/>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eastAsia" w:ascii="宋体" w:hAnsi="宋体" w:eastAsia="宋体" w:cs="宋体"/>
          <w:kern w:val="0"/>
          <w:sz w:val="32"/>
          <w:szCs w:val="32"/>
          <w:lang w:val="en-US" w:eastAsia="zh-CN" w:bidi="ar"/>
        </w:rPr>
        <w:t> </w:t>
      </w:r>
      <w:r>
        <w:rPr>
          <w:rFonts w:hint="eastAsia" w:ascii="方正小标宋简体" w:hAnsi="方正小标宋简体" w:eastAsia="方正小标宋简体" w:cs="方正小标宋简体"/>
          <w:b w:val="0"/>
          <w:bCs/>
          <w:kern w:val="0"/>
          <w:sz w:val="44"/>
          <w:szCs w:val="44"/>
          <w:lang w:val="en-US" w:eastAsia="zh-CN" w:bidi="ar"/>
        </w:rPr>
        <w:t>第二部分  2021年度单位决算表</w:t>
      </w:r>
    </w:p>
    <w:p>
      <w:pPr>
        <w:rPr>
          <w:rFonts w:hint="eastAsia" w:ascii="宋体" w:hAnsi="宋体" w:eastAsia="宋体" w:cs="宋体"/>
          <w:b/>
          <w:sz w:val="36"/>
          <w:szCs w:val="36"/>
        </w:rPr>
        <w:sectPr>
          <w:pgSz w:w="12242" w:h="15842"/>
          <w:pgMar w:top="1440" w:right="1800" w:bottom="1440" w:left="1800" w:header="851" w:footer="992" w:gutter="0"/>
          <w:cols w:space="425" w:num="1"/>
          <w:docGrid w:type="lines" w:linePitch="312" w:charSpace="0"/>
        </w:sectPr>
      </w:pPr>
    </w:p>
    <w:tbl>
      <w:tblPr>
        <w:tblW w:w="603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593"/>
        <w:gridCol w:w="628"/>
        <w:gridCol w:w="1028"/>
        <w:gridCol w:w="3244"/>
        <w:gridCol w:w="671"/>
        <w:gridCol w:w="1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5000" w:type="pct"/>
            <w:gridSpan w:val="6"/>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17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0"/>
                <w:sz w:val="20"/>
                <w:szCs w:val="20"/>
                <w:bdr w:val="none" w:color="auto" w:sz="0" w:space="0"/>
                <w:lang w:val="en-US" w:eastAsia="zh-CN" w:bidi="ar"/>
              </w:rPr>
              <w:t> </w:t>
            </w:r>
          </w:p>
        </w:tc>
        <w:tc>
          <w:tcPr>
            <w:tcW w:w="30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50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157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32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54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17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编制单位：宁都县黄陂镇中心幼儿园</w:t>
            </w:r>
          </w:p>
        </w:tc>
        <w:tc>
          <w:tcPr>
            <w:tcW w:w="30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50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57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868" w:type="pct"/>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2553"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2446" w:type="pct"/>
            <w:gridSpan w:val="3"/>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5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54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5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54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一、一般公共预算财政拨款收入</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141.72</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一、一般公共服务支出</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32</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二、政府性基金预算财政拨款收入</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二、外交支出</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33</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三、国有资本经营预算财政拨款收入</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三、国防支出</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34</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四、上级补助收入</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四、公共安全支出</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35</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五、事业收入</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57.91</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五、教育支出</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36</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六、经营收入</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六、科学技术支出</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37</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七、附属单位上缴收入</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七、文化旅游体育与传媒支出</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八、其他收入</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八、社会保障和就业支出</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39</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九、卫生健康支出</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40</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十、节能环保支出</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41</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十一、城乡社区支出</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42</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十二、农林水支出</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43</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十三、交通运输支出</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44</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3"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十四、资源勘探工业信息等支出</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十五、商业服务业等支出</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46</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十六、金融支出</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47</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十七、援助其他地区支出</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48</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十八、自然资源海洋气象等支出</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49</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十九、住房保障支出</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二十、粮油物资储备支出</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51</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21</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二十一、国有资本经营预算支出</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52</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22</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二十二、灾害防治及应急管理支出</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53</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23</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二十三、其他支出</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54</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24</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二十四、债务还本支出</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55</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0"/>
                <w:sz w:val="22"/>
                <w:szCs w:val="22"/>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25</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二十五、债务付息支出</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56</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二十六、抗疫特别国债安排的支出</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57</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27</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199.64</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  使用非财政拨款结余</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28</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  结余分配                 </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59</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  年初结转和结余</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29</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  年末结转和结余                                </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0"/>
                <w:sz w:val="22"/>
                <w:szCs w:val="22"/>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30</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0"/>
                <w:sz w:val="22"/>
                <w:szCs w:val="22"/>
                <w:bdr w:val="none" w:color="auto" w:sz="0" w:space="0"/>
                <w:lang w:val="en-US" w:eastAsia="zh-CN" w:bidi="ar"/>
              </w:rPr>
              <w:t> </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61</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17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31</w:t>
            </w:r>
          </w:p>
        </w:tc>
        <w:tc>
          <w:tcPr>
            <w:tcW w:w="5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199.64</w:t>
            </w:r>
          </w:p>
        </w:tc>
        <w:tc>
          <w:tcPr>
            <w:tcW w:w="1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3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62</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5000" w:type="pct"/>
            <w:gridSpan w:val="6"/>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注：1.本表反映单位本年度的总收支和年末结转结余情况。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5" w:hRule="atLeast"/>
          <w:jc w:val="center"/>
        </w:trPr>
        <w:tc>
          <w:tcPr>
            <w:tcW w:w="5000" w:type="pct"/>
            <w:gridSpan w:val="6"/>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    2.本套报表金额单位转换时可能存在尾数误差。</w:t>
            </w:r>
          </w:p>
        </w:tc>
      </w:tr>
    </w:tbl>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32"/>
          <w:szCs w:val="32"/>
          <w:lang w:val="en-US" w:eastAsia="zh-CN" w:bidi="ar"/>
        </w:rPr>
        <w:t> </w:t>
      </w:r>
    </w:p>
    <w:p>
      <w:pPr>
        <w:keepNext w:val="0"/>
        <w:keepLines w:val="0"/>
        <w:widowControl/>
        <w:suppressLineNumbers w:val="0"/>
        <w:spacing w:before="0" w:beforeAutospacing="1" w:after="0" w:afterAutospacing="1"/>
        <w:ind w:left="0" w:right="0"/>
        <w:jc w:val="both"/>
      </w:pPr>
      <w:r>
        <w:rPr>
          <w:rFonts w:hint="eastAsia" w:ascii="宋体" w:hAnsi="宋体" w:eastAsia="宋体" w:cs="宋体"/>
          <w:kern w:val="0"/>
          <w:sz w:val="32"/>
          <w:szCs w:val="32"/>
          <w:lang w:val="en-US" w:eastAsia="zh-CN" w:bidi="ar"/>
        </w:rPr>
        <w:t>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32"/>
          <w:szCs w:val="32"/>
          <w:lang w:val="en-US" w:eastAsia="zh-CN" w:bidi="ar"/>
        </w:rPr>
        <w:t> </w:t>
      </w:r>
    </w:p>
    <w:tbl>
      <w:tblPr>
        <w:tblW w:w="624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45"/>
        <w:gridCol w:w="523"/>
        <w:gridCol w:w="525"/>
        <w:gridCol w:w="1586"/>
        <w:gridCol w:w="945"/>
        <w:gridCol w:w="985"/>
        <w:gridCol w:w="1088"/>
        <w:gridCol w:w="1049"/>
        <w:gridCol w:w="1063"/>
        <w:gridCol w:w="1062"/>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5000" w:type="pct"/>
            <w:gridSpan w:val="11"/>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3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0"/>
                <w:sz w:val="20"/>
                <w:szCs w:val="20"/>
                <w:bdr w:val="none" w:color="auto" w:sz="0" w:space="0"/>
                <w:lang w:val="en-US" w:eastAsia="zh-CN" w:bidi="ar"/>
              </w:rPr>
              <w:t> </w:t>
            </w:r>
          </w:p>
        </w:tc>
        <w:tc>
          <w:tcPr>
            <w:tcW w:w="24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24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74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51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9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9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9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1589" w:type="pct"/>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编制单位：宁都县黄陂镇中心幼儿园</w:t>
            </w:r>
            <w:r>
              <w:rPr>
                <w:rFonts w:hint="default" w:ascii="Arial" w:hAnsi="Arial" w:eastAsia="宋体" w:cs="Arial"/>
                <w:i w:val="0"/>
                <w:iCs w:val="0"/>
                <w:color w:val="000000"/>
                <w:kern w:val="0"/>
                <w:sz w:val="20"/>
                <w:szCs w:val="20"/>
                <w:bdr w:val="none" w:color="auto" w:sz="0" w:space="0"/>
                <w:lang w:val="en-US" w:eastAsia="zh-CN" w:bidi="ar"/>
              </w:rPr>
              <w:t> </w:t>
            </w:r>
          </w:p>
        </w:tc>
        <w:tc>
          <w:tcPr>
            <w:tcW w:w="4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51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4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9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9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9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589"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444"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463"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财政拨款收入</w:t>
            </w:r>
          </w:p>
        </w:tc>
        <w:tc>
          <w:tcPr>
            <w:tcW w:w="511"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上级补助收入</w:t>
            </w:r>
          </w:p>
        </w:tc>
        <w:tc>
          <w:tcPr>
            <w:tcW w:w="493"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事业收入</w:t>
            </w:r>
          </w:p>
        </w:tc>
        <w:tc>
          <w:tcPr>
            <w:tcW w:w="499"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经营收入</w:t>
            </w:r>
          </w:p>
        </w:tc>
        <w:tc>
          <w:tcPr>
            <w:tcW w:w="499"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附属单位上缴收入</w:t>
            </w:r>
          </w:p>
        </w:tc>
        <w:tc>
          <w:tcPr>
            <w:tcW w:w="499"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843"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745"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44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9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9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9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9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843"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4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4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9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9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9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9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843"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4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4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9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9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9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9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50"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24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24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7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4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4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5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4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4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50"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24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4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4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199.64</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141.72</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57.91</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84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74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4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199.64</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141.72</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57.91</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84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74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4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199.64</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141.72</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57.91</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84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2050201</w:t>
            </w:r>
          </w:p>
        </w:tc>
        <w:tc>
          <w:tcPr>
            <w:tcW w:w="74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  学前教育</w:t>
            </w:r>
          </w:p>
        </w:tc>
        <w:tc>
          <w:tcPr>
            <w:tcW w:w="4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199.64</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141.72</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57.91</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4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74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4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74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84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74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84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74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84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74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jc w:val="center"/>
        </w:trPr>
        <w:tc>
          <w:tcPr>
            <w:tcW w:w="5000" w:type="pct"/>
            <w:gridSpan w:val="11"/>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注：本表反映单位本年度取得的各项收入情况。</w:t>
            </w:r>
          </w:p>
        </w:tc>
      </w:tr>
    </w:tbl>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32"/>
          <w:szCs w:val="32"/>
          <w:lang w:val="en-US" w:eastAsia="zh-CN" w:bidi="ar"/>
        </w:rPr>
        <w:t>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32"/>
          <w:szCs w:val="32"/>
          <w:lang w:val="en-US" w:eastAsia="zh-CN" w:bidi="ar"/>
        </w:rPr>
        <w:t> </w:t>
      </w:r>
    </w:p>
    <w:tbl>
      <w:tblPr>
        <w:tblW w:w="504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258"/>
        <w:gridCol w:w="448"/>
        <w:gridCol w:w="452"/>
        <w:gridCol w:w="1358"/>
        <w:gridCol w:w="876"/>
        <w:gridCol w:w="1066"/>
        <w:gridCol w:w="656"/>
        <w:gridCol w:w="656"/>
        <w:gridCol w:w="65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000" w:type="pct"/>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68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0"/>
                <w:sz w:val="20"/>
                <w:szCs w:val="20"/>
                <w:bdr w:val="none" w:color="auto" w:sz="0" w:space="0"/>
                <w:lang w:val="en-US" w:eastAsia="zh-CN" w:bidi="ar"/>
              </w:rPr>
              <w:t> </w:t>
            </w:r>
          </w:p>
        </w:tc>
        <w:tc>
          <w:tcPr>
            <w:tcW w:w="24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24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73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8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59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36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36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36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90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1906" w:type="pct"/>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编制单位：宁都县黄陂镇中心幼儿园</w:t>
            </w:r>
            <w:r>
              <w:rPr>
                <w:rFonts w:hint="default" w:ascii="Arial" w:hAnsi="Arial" w:eastAsia="宋体" w:cs="Arial"/>
                <w:i w:val="0"/>
                <w:iCs w:val="0"/>
                <w:color w:val="000000"/>
                <w:kern w:val="0"/>
                <w:sz w:val="20"/>
                <w:szCs w:val="20"/>
                <w:bdr w:val="none" w:color="auto" w:sz="0" w:space="0"/>
                <w:lang w:val="en-US" w:eastAsia="zh-CN" w:bidi="ar"/>
              </w:rPr>
              <w:t> </w:t>
            </w:r>
          </w:p>
        </w:tc>
        <w:tc>
          <w:tcPr>
            <w:tcW w:w="48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59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36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36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36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90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906"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489"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596"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366"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366"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上缴上级支出</w:t>
            </w:r>
          </w:p>
        </w:tc>
        <w:tc>
          <w:tcPr>
            <w:tcW w:w="367"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经营支出</w:t>
            </w:r>
          </w:p>
        </w:tc>
        <w:tc>
          <w:tcPr>
            <w:tcW w:w="906"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70"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73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48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9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6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6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6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0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70"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3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8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9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6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6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6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0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70"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3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8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9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6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6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6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0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82"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243"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243"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73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4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59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3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3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3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90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82"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24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4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3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48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199.64</w:t>
            </w:r>
          </w:p>
        </w:tc>
        <w:tc>
          <w:tcPr>
            <w:tcW w:w="5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199.64</w:t>
            </w:r>
          </w:p>
        </w:tc>
        <w:tc>
          <w:tcPr>
            <w:tcW w:w="3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7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7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48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199.64</w:t>
            </w:r>
          </w:p>
        </w:tc>
        <w:tc>
          <w:tcPr>
            <w:tcW w:w="5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199.64</w:t>
            </w:r>
          </w:p>
        </w:tc>
        <w:tc>
          <w:tcPr>
            <w:tcW w:w="3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7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7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48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199.64</w:t>
            </w:r>
          </w:p>
        </w:tc>
        <w:tc>
          <w:tcPr>
            <w:tcW w:w="5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199.64</w:t>
            </w:r>
          </w:p>
        </w:tc>
        <w:tc>
          <w:tcPr>
            <w:tcW w:w="3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7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2050201</w:t>
            </w:r>
          </w:p>
        </w:tc>
        <w:tc>
          <w:tcPr>
            <w:tcW w:w="7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  学前教育</w:t>
            </w:r>
          </w:p>
        </w:tc>
        <w:tc>
          <w:tcPr>
            <w:tcW w:w="48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199.64</w:t>
            </w:r>
          </w:p>
        </w:tc>
        <w:tc>
          <w:tcPr>
            <w:tcW w:w="5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199.64</w:t>
            </w:r>
          </w:p>
        </w:tc>
        <w:tc>
          <w:tcPr>
            <w:tcW w:w="3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7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7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8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5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3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3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3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9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7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7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8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5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3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3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3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9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7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7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8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5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3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3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3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9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7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7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8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5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3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3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3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9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7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7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8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5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3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3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3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9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4" w:hRule="atLeast"/>
          <w:jc w:val="center"/>
        </w:trPr>
        <w:tc>
          <w:tcPr>
            <w:tcW w:w="5000" w:type="pct"/>
            <w:gridSpan w:val="10"/>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注：本表反映单位本年度各项支出情况。</w:t>
            </w:r>
          </w:p>
        </w:tc>
      </w:tr>
    </w:tbl>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32"/>
          <w:szCs w:val="32"/>
          <w:lang w:val="en-US" w:eastAsia="zh-CN" w:bidi="ar"/>
        </w:rPr>
        <w:t>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32"/>
          <w:szCs w:val="32"/>
          <w:lang w:val="en-US" w:eastAsia="zh-CN" w:bidi="ar"/>
        </w:rPr>
        <w:t> </w:t>
      </w:r>
    </w:p>
    <w:tbl>
      <w:tblPr>
        <w:tblW w:w="6164"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401"/>
        <w:gridCol w:w="418"/>
        <w:gridCol w:w="843"/>
        <w:gridCol w:w="2591"/>
        <w:gridCol w:w="595"/>
        <w:gridCol w:w="971"/>
        <w:gridCol w:w="918"/>
        <w:gridCol w:w="866"/>
        <w:gridCol w:w="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5000" w:type="pct"/>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114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0"/>
                <w:sz w:val="20"/>
                <w:szCs w:val="20"/>
                <w:bdr w:val="none" w:color="auto" w:sz="0" w:space="0"/>
                <w:lang w:val="en-US" w:eastAsia="zh-CN" w:bidi="ar"/>
              </w:rPr>
              <w:t> </w:t>
            </w:r>
          </w:p>
        </w:tc>
        <w:tc>
          <w:tcPr>
            <w:tcW w:w="19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0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123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28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6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3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842" w:type="pct"/>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1742" w:type="pct"/>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编制单位：宁都县黄陂镇中心幼儿园</w:t>
            </w:r>
            <w:r>
              <w:rPr>
                <w:rFonts w:hint="default" w:ascii="Arial" w:hAnsi="Arial" w:eastAsia="宋体" w:cs="Arial"/>
                <w:i w:val="0"/>
                <w:iCs w:val="0"/>
                <w:color w:val="000000"/>
                <w:kern w:val="0"/>
                <w:sz w:val="20"/>
                <w:szCs w:val="20"/>
                <w:bdr w:val="none" w:color="auto" w:sz="0" w:space="0"/>
                <w:lang w:val="en-US" w:eastAsia="zh-CN" w:bidi="ar"/>
              </w:rPr>
              <w:t> </w:t>
            </w:r>
          </w:p>
        </w:tc>
        <w:tc>
          <w:tcPr>
            <w:tcW w:w="123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28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6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3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842" w:type="pct"/>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jc w:val="center"/>
        </w:trPr>
        <w:tc>
          <w:tcPr>
            <w:tcW w:w="1742"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3257" w:type="pct"/>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42"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98"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40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1232"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282"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461"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436"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一般公共预算财政拨款</w:t>
            </w:r>
          </w:p>
        </w:tc>
        <w:tc>
          <w:tcPr>
            <w:tcW w:w="412"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政府性基金预算财政拨款</w:t>
            </w:r>
          </w:p>
        </w:tc>
        <w:tc>
          <w:tcPr>
            <w:tcW w:w="430"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1142"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98"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01"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32"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82"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6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12"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30"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40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43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141.72</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一、一般公共服务支出</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33</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二、外交支出</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34</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三、国防支出</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35</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四、公共安全支出</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36</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2"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五、教育支出</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37</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141.72</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141.72</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六、科学技术支出</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七、文化旅游体育与传媒支出</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39</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八、社会保障和就业支出</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40</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九、卫生健康支出</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41</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十、节能环保支出</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42</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十一、城乡社区支出</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43</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十二、农林水支出</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44</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十三、交通运输支出</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十四、资源勘探工业信息等支出</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46</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十五、商业服务业等支出</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47</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十六、金融支出</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48</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十七、援助其他地区支出</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49</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十八、自然资源海洋气象等支出</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十九、住房保障支出</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51</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二十、粮油物资储备支出</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52</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21</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二十一、国有资本经营预算支出</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53</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22</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二十二、灾害防治及应急管理支出</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54</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23</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二十三、其他支出</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55</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24</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二十四、债务还本支出</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56</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0"/>
                <w:sz w:val="22"/>
                <w:szCs w:val="22"/>
                <w:bdr w:val="none" w:color="auto" w:sz="0" w:space="0"/>
                <w:lang w:val="en-US" w:eastAsia="zh-CN" w:bidi="ar"/>
              </w:rPr>
              <w:t> </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25</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二十五、债务付息支出</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57</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二十六、抗疫特别国债安排的支出</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本年收入合计</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27</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141.72</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本年支出合计</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59</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141.72</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141.72</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年初财政拨款结转和结余</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28</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年末财政拨款结转和结余</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29</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61</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30</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0"/>
                <w:sz w:val="22"/>
                <w:szCs w:val="22"/>
                <w:bdr w:val="none" w:color="auto" w:sz="0" w:space="0"/>
                <w:lang w:val="en-US" w:eastAsia="zh-CN" w:bidi="ar"/>
              </w:rPr>
              <w:t> </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62</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31</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0"/>
                <w:sz w:val="22"/>
                <w:szCs w:val="22"/>
                <w:bdr w:val="none" w:color="auto" w:sz="0" w:space="0"/>
                <w:lang w:val="en-US" w:eastAsia="zh-CN" w:bidi="ar"/>
              </w:rPr>
              <w:t> </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63</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jc w:val="center"/>
        </w:trPr>
        <w:tc>
          <w:tcPr>
            <w:tcW w:w="114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1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32</w:t>
            </w:r>
          </w:p>
        </w:tc>
        <w:tc>
          <w:tcPr>
            <w:tcW w:w="40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141.72</w:t>
            </w:r>
          </w:p>
        </w:tc>
        <w:tc>
          <w:tcPr>
            <w:tcW w:w="12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64</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141.72</w:t>
            </w:r>
          </w:p>
        </w:tc>
        <w:tc>
          <w:tcPr>
            <w:tcW w:w="4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141.72</w:t>
            </w:r>
          </w:p>
        </w:tc>
        <w:tc>
          <w:tcPr>
            <w:tcW w:w="4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000" w:type="pct"/>
            <w:gridSpan w:val="9"/>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注：本表反映单位本年度一般公共预算财政拨款、政府性基金预算财政拨款和国有资本经营预算财政拨款的总收支和年末结转结余情况。</w:t>
            </w:r>
          </w:p>
        </w:tc>
      </w:tr>
    </w:tbl>
    <w:p>
      <w:pPr>
        <w:keepNext w:val="0"/>
        <w:keepLines w:val="0"/>
        <w:widowControl/>
        <w:suppressLineNumbers w:val="0"/>
        <w:spacing w:before="0" w:beforeAutospacing="1" w:after="0" w:afterAutospacing="1"/>
        <w:ind w:left="0" w:right="0"/>
        <w:jc w:val="both"/>
      </w:pPr>
      <w:r>
        <w:rPr>
          <w:rFonts w:hint="eastAsia" w:ascii="宋体" w:hAnsi="宋体" w:eastAsia="宋体" w:cs="宋体"/>
          <w:kern w:val="0"/>
          <w:sz w:val="32"/>
          <w:szCs w:val="32"/>
          <w:lang w:val="en-US" w:eastAsia="zh-CN" w:bidi="ar"/>
        </w:rPr>
        <w:t>  </w:t>
      </w:r>
    </w:p>
    <w:tbl>
      <w:tblPr>
        <w:tblW w:w="556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122"/>
        <w:gridCol w:w="801"/>
        <w:gridCol w:w="827"/>
        <w:gridCol w:w="1456"/>
        <w:gridCol w:w="1576"/>
        <w:gridCol w:w="1338"/>
        <w:gridCol w:w="23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59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0"/>
                <w:sz w:val="20"/>
                <w:szCs w:val="20"/>
                <w:bdr w:val="none" w:color="auto" w:sz="0" w:space="0"/>
                <w:lang w:val="en-US" w:eastAsia="zh-CN" w:bidi="ar"/>
              </w:rPr>
              <w:t> </w:t>
            </w:r>
          </w:p>
        </w:tc>
        <w:tc>
          <w:tcPr>
            <w:tcW w:w="42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3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76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83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70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124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2218" w:type="pct"/>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编制单位：宁都县黄陂镇中心幼儿园</w:t>
            </w:r>
            <w:r>
              <w:rPr>
                <w:rFonts w:hint="default" w:ascii="Arial" w:hAnsi="Arial" w:eastAsia="宋体" w:cs="Arial"/>
                <w:i w:val="0"/>
                <w:iCs w:val="0"/>
                <w:color w:val="000000"/>
                <w:kern w:val="0"/>
                <w:sz w:val="20"/>
                <w:szCs w:val="20"/>
                <w:bdr w:val="none" w:color="auto" w:sz="0" w:space="0"/>
                <w:lang w:val="en-US" w:eastAsia="zh-CN" w:bidi="ar"/>
              </w:rPr>
              <w:t>  </w:t>
            </w:r>
          </w:p>
        </w:tc>
        <w:tc>
          <w:tcPr>
            <w:tcW w:w="83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70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124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jc w:val="center"/>
        </w:trPr>
        <w:tc>
          <w:tcPr>
            <w:tcW w:w="2218"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831"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705"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1243"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50"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76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83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0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4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jc w:val="center"/>
        </w:trPr>
        <w:tc>
          <w:tcPr>
            <w:tcW w:w="1450"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6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3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0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4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50"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6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3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0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4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jc w:val="center"/>
        </w:trPr>
        <w:tc>
          <w:tcPr>
            <w:tcW w:w="591"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422"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43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7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8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7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124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591"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422"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83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141.72</w:t>
            </w:r>
          </w:p>
        </w:tc>
        <w:tc>
          <w:tcPr>
            <w:tcW w:w="7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141.72</w:t>
            </w:r>
          </w:p>
        </w:tc>
        <w:tc>
          <w:tcPr>
            <w:tcW w:w="12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5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7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83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141.72</w:t>
            </w:r>
          </w:p>
        </w:tc>
        <w:tc>
          <w:tcPr>
            <w:tcW w:w="7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141.72</w:t>
            </w:r>
          </w:p>
        </w:tc>
        <w:tc>
          <w:tcPr>
            <w:tcW w:w="12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5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7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83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141.72</w:t>
            </w:r>
          </w:p>
        </w:tc>
        <w:tc>
          <w:tcPr>
            <w:tcW w:w="7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141.72</w:t>
            </w:r>
          </w:p>
        </w:tc>
        <w:tc>
          <w:tcPr>
            <w:tcW w:w="12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5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2050201</w:t>
            </w:r>
          </w:p>
        </w:tc>
        <w:tc>
          <w:tcPr>
            <w:tcW w:w="7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  学前教育</w:t>
            </w:r>
          </w:p>
        </w:tc>
        <w:tc>
          <w:tcPr>
            <w:tcW w:w="83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141.72</w:t>
            </w:r>
          </w:p>
        </w:tc>
        <w:tc>
          <w:tcPr>
            <w:tcW w:w="7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141.72</w:t>
            </w:r>
          </w:p>
        </w:tc>
        <w:tc>
          <w:tcPr>
            <w:tcW w:w="12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5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7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83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7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12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5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7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83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7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12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5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7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83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7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12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5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7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83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7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12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5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7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83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7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12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5000" w:type="pct"/>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注：本表反映单位本年度一般公共预算财政拨款支出情况。</w:t>
            </w:r>
          </w:p>
        </w:tc>
      </w:tr>
    </w:tbl>
    <w:p>
      <w:pPr>
        <w:keepNext w:val="0"/>
        <w:keepLines w:val="0"/>
        <w:widowControl/>
        <w:suppressLineNumbers w:val="0"/>
        <w:spacing w:before="0" w:beforeAutospacing="1" w:after="0" w:afterAutospacing="1"/>
        <w:ind w:left="0" w:right="0"/>
        <w:jc w:val="both"/>
      </w:pPr>
      <w:r>
        <w:rPr>
          <w:rFonts w:hint="eastAsia" w:ascii="宋体" w:hAnsi="宋体" w:eastAsia="宋体" w:cs="宋体"/>
          <w:kern w:val="0"/>
          <w:sz w:val="32"/>
          <w:szCs w:val="32"/>
          <w:lang w:val="en-US" w:eastAsia="zh-CN" w:bidi="ar"/>
        </w:rPr>
        <w:t> </w:t>
      </w:r>
    </w:p>
    <w:tbl>
      <w:tblPr>
        <w:tblW w:w="570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47"/>
        <w:gridCol w:w="1587"/>
        <w:gridCol w:w="919"/>
        <w:gridCol w:w="839"/>
        <w:gridCol w:w="1154"/>
        <w:gridCol w:w="893"/>
        <w:gridCol w:w="826"/>
        <w:gridCol w:w="1693"/>
        <w:gridCol w:w="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5000" w:type="pct"/>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0"/>
                <w:sz w:val="20"/>
                <w:szCs w:val="20"/>
                <w:bdr w:val="none" w:color="auto" w:sz="0" w:space="0"/>
                <w:lang w:val="en-US" w:eastAsia="zh-CN" w:bidi="ar"/>
              </w:rPr>
              <w:t> </w:t>
            </w:r>
          </w:p>
        </w:tc>
        <w:tc>
          <w:tcPr>
            <w:tcW w:w="81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7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3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5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5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2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1368" w:type="pct"/>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2154" w:type="pct"/>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编制单位：宁都县黄陂镇中心幼儿园</w:t>
            </w:r>
            <w:r>
              <w:rPr>
                <w:rFonts w:hint="default" w:ascii="Arial" w:hAnsi="Arial" w:eastAsia="宋体" w:cs="Arial"/>
                <w:i w:val="0"/>
                <w:iCs w:val="0"/>
                <w:color w:val="000000"/>
                <w:kern w:val="0"/>
                <w:sz w:val="20"/>
                <w:szCs w:val="20"/>
                <w:bdr w:val="none" w:color="auto" w:sz="0" w:space="0"/>
                <w:lang w:val="en-US" w:eastAsia="zh-CN" w:bidi="ar"/>
              </w:rPr>
              <w:t> </w:t>
            </w:r>
          </w:p>
        </w:tc>
        <w:tc>
          <w:tcPr>
            <w:tcW w:w="5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45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2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1368" w:type="pct"/>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1723"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人员经费</w:t>
            </w:r>
          </w:p>
        </w:tc>
        <w:tc>
          <w:tcPr>
            <w:tcW w:w="3276" w:type="pct"/>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81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43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5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4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4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8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4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301</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工资福利支出</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124.38</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302</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商品和服务支出</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17.34</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307</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债务利息及费用支出</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30101</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  基本工资</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31.12</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30201</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  办公费</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5.11</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30701</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  国内债务付息</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30102</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  津贴补贴</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8.32</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30202</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  印刷费</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0.65</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30702</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  国外债务付息</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30103</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  奖金</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3.92</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30203</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  咨询费</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30703</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  国内债务发行费用</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30106</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  伙食补助费</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1.52</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30204</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  手续费</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30704</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  国外债务发行费用</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30107</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  绩效工资</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45.03</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30205</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  水费</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1.05</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310</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资本性支出</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30108</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  机关事业单位基本养老保险缴费</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7.36</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30206</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  电费</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1.06</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31001</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  房屋建筑物购建</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30109</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  职业年金缴费</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30207</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  邮电费</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0.35</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31002</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  办公设备购置</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30110</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  职工基本医疗保险缴费</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3.46</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30208</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  取暖费</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31003</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  专用设备购置</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30111</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  公务员医疗补助缴款</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30209</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  物业管理费</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7.46</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31005</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  基础设施建设</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30112</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  其他社会保障缴费</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0.18</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30211</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  差旅费</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31006</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  大型修缮</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30113</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  住房公积金</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30212</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  因公出国（境）费用</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31007</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  信息网络及软件购置更新</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30114</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  医疗费</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30213</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  维修（护）费</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31008</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  物资储备</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30199</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  其他工资福利支出</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23.49</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30214</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  租赁费</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31009</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  土地补偿</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303</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对个人和家庭的补助</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30215</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  会议费</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31010</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  安置补助</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30301</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  离休费</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30216</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  培训费</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1.65</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310111</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  地上附着物和青苗补偿</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30302</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  退休费</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30217</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  公务接待费</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31012</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  拆迁补偿</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30303</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  退职（役）费</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30218</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  专用材料费</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31013</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  公务用车购置</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30304</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  抚恤金</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30224</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  被装购置费</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31019</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  其他交通工具购置</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30305</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  生活补贴</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30225</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  专用燃料费</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31021</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  文物和陈列品购置</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30306</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  救济费</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30226</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  劳务费</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31022</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  无形资产购置</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30307</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  医疗费补助</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30227</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  委托业务费</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31099</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  其他资本性支出</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30308</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  助学金</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30228</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  工会经费</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312</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对企业补助</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30309</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  奖励金</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30229</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  福利费</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31201</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  资本金注入</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30310</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  个人农业生产补贴</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30231</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  公务用车运行维护费</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31203</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  政府投资基金股权投资</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30311</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代缴社会保险费</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30239</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  其他交通费用</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31204</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  费用补贴</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30399</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  其他对个人和家庭的补助支出</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30240</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  税金及附加费用</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31205</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  利息补贴</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30299</w:t>
            </w:r>
          </w:p>
        </w:tc>
        <w:tc>
          <w:tcPr>
            <w:tcW w:w="59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  其他商品和服务支出</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31299</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  其他对企业补助</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31"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399</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其他支出</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31"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39906</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  赠与</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815"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31"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39907</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  国家赔偿费用支出</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31"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39908</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  对民间非营利组织和群众性自治组织补贴</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43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81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31"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39999</w:t>
            </w:r>
          </w:p>
        </w:tc>
        <w:tc>
          <w:tcPr>
            <w:tcW w:w="87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  其他支出</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1251"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人员经费合计</w:t>
            </w:r>
          </w:p>
        </w:tc>
        <w:tc>
          <w:tcPr>
            <w:tcW w:w="4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124.38</w:t>
            </w:r>
          </w:p>
        </w:tc>
        <w:tc>
          <w:tcPr>
            <w:tcW w:w="2777" w:type="pct"/>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公用支出合计</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5000" w:type="pct"/>
            <w:gridSpan w:val="9"/>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4"/>
                <w:szCs w:val="24"/>
                <w:bdr w:val="none" w:color="auto" w:sz="0" w:space="0"/>
                <w:lang w:val="en-US" w:eastAsia="zh-CN" w:bidi="ar"/>
              </w:rPr>
              <w:t>注：本表反映单位本年度一般公共预算财政拨款基本支出明细情况。</w:t>
            </w:r>
          </w:p>
        </w:tc>
      </w:tr>
    </w:tbl>
    <w:p>
      <w:pPr>
        <w:keepNext w:val="0"/>
        <w:keepLines w:val="0"/>
        <w:widowControl/>
        <w:suppressLineNumbers w:val="0"/>
        <w:spacing w:before="0" w:beforeAutospacing="1" w:after="0" w:afterAutospacing="1"/>
        <w:ind w:left="0" w:right="0"/>
        <w:jc w:val="both"/>
      </w:pPr>
      <w:r>
        <w:rPr>
          <w:rFonts w:hint="eastAsia" w:ascii="宋体" w:hAnsi="宋体" w:eastAsia="宋体" w:cs="宋体"/>
          <w:kern w:val="0"/>
          <w:sz w:val="32"/>
          <w:szCs w:val="32"/>
          <w:lang w:val="en-US" w:eastAsia="zh-CN" w:bidi="ar"/>
        </w:rPr>
        <w:t> </w:t>
      </w:r>
    </w:p>
    <w:p>
      <w:pPr>
        <w:keepNext w:val="0"/>
        <w:keepLines w:val="0"/>
        <w:widowControl/>
        <w:suppressLineNumbers w:val="0"/>
        <w:spacing w:before="0" w:beforeAutospacing="1" w:after="0" w:afterAutospacing="1"/>
        <w:ind w:left="0" w:right="0"/>
        <w:jc w:val="both"/>
      </w:pPr>
      <w:r>
        <w:rPr>
          <w:rFonts w:hint="eastAsia" w:ascii="宋体" w:hAnsi="宋体" w:eastAsia="宋体" w:cs="宋体"/>
          <w:kern w:val="0"/>
          <w:sz w:val="32"/>
          <w:szCs w:val="32"/>
          <w:lang w:val="en-US" w:eastAsia="zh-CN" w:bidi="ar"/>
        </w:rPr>
        <w:t> </w:t>
      </w:r>
    </w:p>
    <w:tbl>
      <w:tblPr>
        <w:tblW w:w="4555"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735"/>
        <w:gridCol w:w="1236"/>
        <w:gridCol w:w="1589"/>
        <w:gridCol w:w="1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5000" w:type="pct"/>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220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0"/>
                <w:sz w:val="20"/>
                <w:szCs w:val="20"/>
                <w:bdr w:val="none" w:color="auto" w:sz="0" w:space="0"/>
                <w:lang w:val="en-US" w:eastAsia="zh-CN" w:bidi="ar"/>
              </w:rPr>
              <w:t> </w:t>
            </w:r>
          </w:p>
        </w:tc>
        <w:tc>
          <w:tcPr>
            <w:tcW w:w="71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92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11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220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编制单位：宁都县黄陂镇中心幼儿园</w:t>
            </w:r>
          </w:p>
        </w:tc>
        <w:tc>
          <w:tcPr>
            <w:tcW w:w="71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92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11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20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w:t>
            </w:r>
          </w:p>
        </w:tc>
        <w:tc>
          <w:tcPr>
            <w:tcW w:w="719"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929"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年初预算数</w:t>
            </w:r>
          </w:p>
        </w:tc>
        <w:tc>
          <w:tcPr>
            <w:tcW w:w="1148"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220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7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9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14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220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一、“三公”经费支出</w:t>
            </w:r>
          </w:p>
        </w:tc>
        <w:tc>
          <w:tcPr>
            <w:tcW w:w="7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9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11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220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  1.因公出国（境）费</w:t>
            </w:r>
          </w:p>
        </w:tc>
        <w:tc>
          <w:tcPr>
            <w:tcW w:w="7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9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11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220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  2.公务用车购置及运行维护费</w:t>
            </w:r>
          </w:p>
        </w:tc>
        <w:tc>
          <w:tcPr>
            <w:tcW w:w="7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9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11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220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    （1）公务用车购置费</w:t>
            </w:r>
          </w:p>
        </w:tc>
        <w:tc>
          <w:tcPr>
            <w:tcW w:w="7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9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11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220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    （2）公务用车运行维护费</w:t>
            </w:r>
          </w:p>
        </w:tc>
        <w:tc>
          <w:tcPr>
            <w:tcW w:w="7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9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11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220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  3.公务接待费</w:t>
            </w:r>
          </w:p>
        </w:tc>
        <w:tc>
          <w:tcPr>
            <w:tcW w:w="7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9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11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220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    （1）国内接待费</w:t>
            </w:r>
          </w:p>
        </w:tc>
        <w:tc>
          <w:tcPr>
            <w:tcW w:w="7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9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1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220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         其中：外事接待费</w:t>
            </w:r>
          </w:p>
        </w:tc>
        <w:tc>
          <w:tcPr>
            <w:tcW w:w="7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9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1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220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    （2）国（境）外接待费</w:t>
            </w:r>
          </w:p>
        </w:tc>
        <w:tc>
          <w:tcPr>
            <w:tcW w:w="7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9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1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220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二、相关统计数</w:t>
            </w:r>
          </w:p>
        </w:tc>
        <w:tc>
          <w:tcPr>
            <w:tcW w:w="7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9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1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220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  1.因公出国（境）团组数（个）</w:t>
            </w:r>
          </w:p>
        </w:tc>
        <w:tc>
          <w:tcPr>
            <w:tcW w:w="7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9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1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220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  2.因公出国（境）人次数（人）</w:t>
            </w:r>
          </w:p>
        </w:tc>
        <w:tc>
          <w:tcPr>
            <w:tcW w:w="7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9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1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220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  3.公务用车购置数（辆）</w:t>
            </w:r>
          </w:p>
        </w:tc>
        <w:tc>
          <w:tcPr>
            <w:tcW w:w="7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9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1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20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  4.公务用车保有量（辆）</w:t>
            </w:r>
          </w:p>
        </w:tc>
        <w:tc>
          <w:tcPr>
            <w:tcW w:w="7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9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1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220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  5.国内公务接待批次（个）</w:t>
            </w:r>
          </w:p>
        </w:tc>
        <w:tc>
          <w:tcPr>
            <w:tcW w:w="7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9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1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220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    其中：外事接待批次（个）</w:t>
            </w:r>
          </w:p>
        </w:tc>
        <w:tc>
          <w:tcPr>
            <w:tcW w:w="7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9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1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220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  6.国内公务接待人次（人）</w:t>
            </w:r>
          </w:p>
        </w:tc>
        <w:tc>
          <w:tcPr>
            <w:tcW w:w="7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9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1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220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    其中：外事接待人次（人）</w:t>
            </w:r>
          </w:p>
        </w:tc>
        <w:tc>
          <w:tcPr>
            <w:tcW w:w="7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9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1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220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  7.国（境）外公务接待批次（个）</w:t>
            </w:r>
          </w:p>
        </w:tc>
        <w:tc>
          <w:tcPr>
            <w:tcW w:w="7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9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1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220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  8.国（境）外公务接待人次（人）</w:t>
            </w:r>
          </w:p>
        </w:tc>
        <w:tc>
          <w:tcPr>
            <w:tcW w:w="7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9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1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jc w:val="center"/>
        </w:trPr>
        <w:tc>
          <w:tcPr>
            <w:tcW w:w="5000" w:type="pct"/>
            <w:gridSpan w:val="4"/>
            <w:vMerge w:val="restar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jc w:val="center"/>
        </w:trPr>
        <w:tc>
          <w:tcPr>
            <w:tcW w:w="5000" w:type="pct"/>
            <w:gridSpan w:val="4"/>
            <w:vMerge w:val="continue"/>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spacing w:before="0" w:beforeAutospacing="1" w:after="0" w:afterAutospacing="1"/>
        <w:ind w:left="0" w:right="0"/>
        <w:jc w:val="both"/>
      </w:pPr>
      <w:r>
        <w:rPr>
          <w:rFonts w:hint="eastAsia" w:ascii="宋体" w:hAnsi="宋体" w:eastAsia="宋体" w:cs="宋体"/>
          <w:kern w:val="0"/>
          <w:sz w:val="32"/>
          <w:szCs w:val="32"/>
          <w:lang w:val="en-US" w:eastAsia="zh-CN" w:bidi="ar"/>
        </w:rPr>
        <w:t> </w:t>
      </w:r>
    </w:p>
    <w:tbl>
      <w:tblPr>
        <w:tblW w:w="4583"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24"/>
        <w:gridCol w:w="368"/>
        <w:gridCol w:w="368"/>
        <w:gridCol w:w="823"/>
        <w:gridCol w:w="368"/>
        <w:gridCol w:w="823"/>
        <w:gridCol w:w="520"/>
        <w:gridCol w:w="823"/>
        <w:gridCol w:w="823"/>
        <w:gridCol w:w="1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right"/>
        </w:trPr>
        <w:tc>
          <w:tcPr>
            <w:tcW w:w="5000" w:type="pct"/>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right"/>
        </w:trPr>
        <w:tc>
          <w:tcPr>
            <w:tcW w:w="10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0"/>
                <w:sz w:val="20"/>
                <w:szCs w:val="20"/>
                <w:bdr w:val="none" w:color="auto" w:sz="0" w:space="0"/>
                <w:lang w:val="en-US" w:eastAsia="zh-CN" w:bidi="ar"/>
              </w:rPr>
              <w:t> </w:t>
            </w:r>
          </w:p>
        </w:tc>
        <w:tc>
          <w:tcPr>
            <w:tcW w:w="19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19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9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7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9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29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9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9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7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right"/>
        </w:trPr>
        <w:tc>
          <w:tcPr>
            <w:tcW w:w="10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编制单位：宁都县黄陂镇中心幼儿园</w:t>
            </w:r>
          </w:p>
        </w:tc>
        <w:tc>
          <w:tcPr>
            <w:tcW w:w="19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19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9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7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9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29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9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49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7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jc w:val="right"/>
        </w:trPr>
        <w:tc>
          <w:tcPr>
            <w:tcW w:w="1986"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475"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年初结转和结余</w:t>
            </w:r>
          </w:p>
        </w:tc>
        <w:tc>
          <w:tcPr>
            <w:tcW w:w="496"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w:t>
            </w:r>
          </w:p>
        </w:tc>
        <w:tc>
          <w:tcPr>
            <w:tcW w:w="1290" w:type="pct"/>
            <w:gridSpan w:val="3"/>
            <w:tcBorders>
              <w:top w:val="single" w:color="000000" w:sz="4" w:space="0"/>
              <w:left w:val="nil"/>
              <w:bottom w:val="nil"/>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w:t>
            </w:r>
          </w:p>
        </w:tc>
        <w:tc>
          <w:tcPr>
            <w:tcW w:w="750"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right"/>
        </w:trPr>
        <w:tc>
          <w:tcPr>
            <w:tcW w:w="1488"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49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47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9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9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小计</w:t>
            </w:r>
          </w:p>
        </w:tc>
        <w:tc>
          <w:tcPr>
            <w:tcW w:w="49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49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75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1488"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9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9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9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9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9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5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1488"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9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9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9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9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9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5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jc w:val="right"/>
        </w:trPr>
        <w:tc>
          <w:tcPr>
            <w:tcW w:w="1093"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19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19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49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47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49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29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9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9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75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1093"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9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9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9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2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7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right"/>
        </w:trPr>
        <w:tc>
          <w:tcPr>
            <w:tcW w:w="148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2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7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right"/>
        </w:trPr>
        <w:tc>
          <w:tcPr>
            <w:tcW w:w="148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2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7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right"/>
        </w:trPr>
        <w:tc>
          <w:tcPr>
            <w:tcW w:w="148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2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7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right"/>
        </w:trPr>
        <w:tc>
          <w:tcPr>
            <w:tcW w:w="148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2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7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right"/>
        </w:trPr>
        <w:tc>
          <w:tcPr>
            <w:tcW w:w="148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2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7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148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2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49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7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3" w:hRule="atLeast"/>
          <w:jc w:val="right"/>
        </w:trPr>
        <w:tc>
          <w:tcPr>
            <w:tcW w:w="5000" w:type="pct"/>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9" w:hRule="atLeast"/>
          <w:jc w:val="right"/>
        </w:trPr>
        <w:tc>
          <w:tcPr>
            <w:tcW w:w="5000" w:type="pct"/>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说明：当此表数据为零时，即本单位无政府性基金预算财政拨款收入、支出。</w:t>
            </w:r>
          </w:p>
        </w:tc>
      </w:tr>
    </w:tbl>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32"/>
          <w:szCs w:val="32"/>
          <w:lang w:val="en-US" w:eastAsia="zh-CN" w:bidi="ar"/>
        </w:rPr>
        <w:t>  </w:t>
      </w:r>
    </w:p>
    <w:tbl>
      <w:tblPr>
        <w:tblW w:w="458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16"/>
        <w:gridCol w:w="436"/>
        <w:gridCol w:w="436"/>
        <w:gridCol w:w="1096"/>
        <w:gridCol w:w="1066"/>
        <w:gridCol w:w="43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139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0"/>
                <w:sz w:val="20"/>
                <w:szCs w:val="20"/>
                <w:bdr w:val="none" w:color="auto" w:sz="0" w:space="0"/>
                <w:lang w:val="en-US" w:eastAsia="zh-CN" w:bidi="ar"/>
              </w:rPr>
              <w:t> </w:t>
            </w:r>
          </w:p>
        </w:tc>
        <w:tc>
          <w:tcPr>
            <w:tcW w:w="23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23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5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90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72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91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139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编制单位：宁都县黄陂镇中心幼儿园</w:t>
            </w:r>
          </w:p>
        </w:tc>
        <w:tc>
          <w:tcPr>
            <w:tcW w:w="23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23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5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90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72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91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452"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903"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726"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916"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60"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59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90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2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1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60"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59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0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2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1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60"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59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0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2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1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392"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233"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235"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5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90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7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91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392"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23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3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9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91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6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5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9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91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6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5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9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91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6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5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9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91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6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5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9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91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6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5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9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91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6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5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2"/>
                <w:szCs w:val="22"/>
                <w:bdr w:val="none" w:color="auto" w:sz="0" w:space="0"/>
                <w:lang w:val="en-US" w:eastAsia="zh-CN" w:bidi="ar"/>
              </w:rPr>
              <w:t> </w:t>
            </w:r>
          </w:p>
        </w:tc>
        <w:tc>
          <w:tcPr>
            <w:tcW w:w="9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c>
          <w:tcPr>
            <w:tcW w:w="91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5000" w:type="pct"/>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2"/>
                <w:szCs w:val="22"/>
                <w:bdr w:val="none" w:color="auto" w:sz="0" w:space="0"/>
                <w:lang w:val="en-US" w:eastAsia="zh-CN" w:bidi="ar"/>
              </w:rPr>
              <w:t>说明：当此表数据为空时，即本单位无国有资本经营预算财政拨款支出。</w:t>
            </w:r>
          </w:p>
        </w:tc>
      </w:tr>
    </w:tbl>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32"/>
          <w:szCs w:val="32"/>
          <w:lang w:val="en-US" w:eastAsia="zh-CN" w:bidi="ar"/>
        </w:rPr>
        <w:t> </w:t>
      </w:r>
    </w:p>
    <w:tbl>
      <w:tblPr>
        <w:tblW w:w="459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56"/>
        <w:gridCol w:w="1066"/>
        <w:gridCol w:w="1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000" w:type="pct"/>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301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0"/>
                <w:sz w:val="20"/>
                <w:szCs w:val="20"/>
                <w:bdr w:val="none" w:color="auto" w:sz="0" w:space="0"/>
                <w:lang w:val="en-US" w:eastAsia="zh-CN" w:bidi="ar"/>
              </w:rPr>
              <w:t> </w:t>
            </w:r>
          </w:p>
        </w:tc>
        <w:tc>
          <w:tcPr>
            <w:tcW w:w="70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0"/>
                <w:sz w:val="20"/>
                <w:szCs w:val="20"/>
                <w:bdr w:val="none" w:color="auto" w:sz="0" w:space="0"/>
                <w:lang w:val="en-US" w:eastAsia="zh-CN" w:bidi="ar"/>
              </w:rPr>
              <w:t> </w:t>
            </w:r>
          </w:p>
        </w:tc>
        <w:tc>
          <w:tcPr>
            <w:tcW w:w="127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301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编制单位：宁都县黄陂镇中心幼儿园</w:t>
            </w:r>
          </w:p>
        </w:tc>
        <w:tc>
          <w:tcPr>
            <w:tcW w:w="70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27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jc w:val="center"/>
        </w:trPr>
        <w:tc>
          <w:tcPr>
            <w:tcW w:w="301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709"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1272"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1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一、车辆数合计(台、辆)</w:t>
            </w:r>
          </w:p>
        </w:tc>
        <w:tc>
          <w:tcPr>
            <w:tcW w:w="70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2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01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  1.副部（省）级及以上领导用车</w:t>
            </w:r>
          </w:p>
        </w:tc>
        <w:tc>
          <w:tcPr>
            <w:tcW w:w="70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12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01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  2.主要领导干部用车</w:t>
            </w:r>
          </w:p>
        </w:tc>
        <w:tc>
          <w:tcPr>
            <w:tcW w:w="70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12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01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  3.机要通信用车</w:t>
            </w:r>
          </w:p>
        </w:tc>
        <w:tc>
          <w:tcPr>
            <w:tcW w:w="70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12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01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  4.应急保障用车</w:t>
            </w:r>
          </w:p>
        </w:tc>
        <w:tc>
          <w:tcPr>
            <w:tcW w:w="70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12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01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  5.执法执勤用车</w:t>
            </w:r>
          </w:p>
        </w:tc>
        <w:tc>
          <w:tcPr>
            <w:tcW w:w="70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12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01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  6.特种专业技术用车</w:t>
            </w:r>
          </w:p>
        </w:tc>
        <w:tc>
          <w:tcPr>
            <w:tcW w:w="70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12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01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  7.离退休干部用车</w:t>
            </w:r>
          </w:p>
        </w:tc>
        <w:tc>
          <w:tcPr>
            <w:tcW w:w="70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12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1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  8.其他用车</w:t>
            </w:r>
          </w:p>
        </w:tc>
        <w:tc>
          <w:tcPr>
            <w:tcW w:w="70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12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01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二、单价50万元（含）以上通用设备（台，套）</w:t>
            </w:r>
          </w:p>
        </w:tc>
        <w:tc>
          <w:tcPr>
            <w:tcW w:w="70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12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01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三、单价100万元（含）以上专用设备（台，套）</w:t>
            </w:r>
          </w:p>
        </w:tc>
        <w:tc>
          <w:tcPr>
            <w:tcW w:w="70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12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jc w:val="center"/>
        </w:trPr>
        <w:tc>
          <w:tcPr>
            <w:tcW w:w="5000" w:type="pct"/>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注：本表反映截止2021年12月31日，单位占用的国有资产情况。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jc w:val="center"/>
        </w:trPr>
        <w:tc>
          <w:tcPr>
            <w:tcW w:w="5000" w:type="pct"/>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说明：当此表数据为空时，即本单位（单位）无相关资产。</w:t>
            </w:r>
          </w:p>
        </w:tc>
      </w:tr>
    </w:tbl>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32"/>
          <w:szCs w:val="32"/>
          <w:lang w:val="en-US" w:eastAsia="zh-CN" w:bidi="ar"/>
        </w:rPr>
        <w:t> </w:t>
      </w:r>
    </w:p>
    <w:tbl>
      <w:tblPr>
        <w:tblW w:w="105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9"/>
        <w:gridCol w:w="1216"/>
        <w:gridCol w:w="1027"/>
        <w:gridCol w:w="1163"/>
        <w:gridCol w:w="1293"/>
        <w:gridCol w:w="467"/>
        <w:gridCol w:w="1286"/>
        <w:gridCol w:w="864"/>
        <w:gridCol w:w="279"/>
        <w:gridCol w:w="385"/>
        <w:gridCol w:w="539"/>
        <w:gridCol w:w="278"/>
        <w:gridCol w:w="38"/>
        <w:gridCol w:w="700"/>
        <w:gridCol w:w="29"/>
        <w:gridCol w:w="421"/>
        <w:gridCol w:w="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09"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bookmarkStart w:id="0" w:name="_GoBack"/>
            <w:bookmarkEnd w:id="0"/>
            <w:r>
              <w:rPr>
                <w:rFonts w:hint="eastAsia" w:ascii="宋体" w:hAnsi="宋体" w:eastAsia="宋体" w:cs="宋体"/>
                <w:b/>
                <w:bCs/>
                <w:i w:val="0"/>
                <w:iCs w:val="0"/>
                <w:color w:val="00000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项目名称</w:t>
            </w:r>
          </w:p>
        </w:tc>
        <w:tc>
          <w:tcPr>
            <w:tcW w:w="8842" w:type="dxa"/>
            <w:gridSpan w:val="1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主管单位</w:t>
            </w:r>
          </w:p>
        </w:tc>
        <w:tc>
          <w:tcPr>
            <w:tcW w:w="4666"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宁都县财政局</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实施单位</w:t>
            </w:r>
          </w:p>
        </w:tc>
        <w:tc>
          <w:tcPr>
            <w:tcW w:w="268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宁都县黄陂镇公立幼儿园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555" w:hRule="atLeast"/>
          <w:jc w:val="center"/>
        </w:trPr>
        <w:tc>
          <w:tcPr>
            <w:tcW w:w="1673"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（万元）</w:t>
            </w: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年初预算数</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全年预算数（A)</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全年执行数(B)</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分值</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执行率(B/A)</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宋体" w:hAnsi="宋体" w:eastAsia="宋体" w:cs="宋体"/>
                <w:i w:val="0"/>
                <w:iCs w:val="0"/>
                <w:color w:val="000000"/>
                <w:kern w:val="0"/>
                <w:sz w:val="20"/>
                <w:szCs w:val="20"/>
                <w:bdr w:val="none" w:color="auto" w:sz="0" w:space="0"/>
                <w:lang w:val="en-US" w:eastAsia="zh-CN" w:bidi="ar"/>
              </w:rPr>
              <w:t>年度资金总额</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0"/>
                <w:szCs w:val="20"/>
                <w:bdr w:val="none" w:color="auto" w:sz="0" w:space="0"/>
                <w:lang w:val="en-US" w:eastAsia="zh-CN" w:bidi="ar"/>
              </w:rPr>
              <w:t>17.34</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0"/>
                <w:szCs w:val="20"/>
                <w:bdr w:val="none" w:color="auto" w:sz="0" w:space="0"/>
                <w:lang w:val="en-US" w:eastAsia="zh-CN" w:bidi="ar"/>
              </w:rPr>
              <w:t>17.34</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0"/>
                <w:szCs w:val="20"/>
                <w:bdr w:val="none" w:color="auto" w:sz="0" w:space="0"/>
                <w:lang w:val="en-US" w:eastAsia="zh-CN" w:bidi="ar"/>
              </w:rPr>
              <w:t>17.34</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100.0%</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其中：当年财政拨款</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0"/>
                <w:szCs w:val="20"/>
                <w:bdr w:val="none" w:color="auto" w:sz="0" w:space="0"/>
                <w:lang w:val="en-US" w:eastAsia="zh-CN" w:bidi="ar"/>
              </w:rPr>
              <w:t>17.34</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0"/>
                <w:szCs w:val="20"/>
                <w:bdr w:val="none" w:color="auto" w:sz="0" w:space="0"/>
                <w:lang w:val="en-US" w:eastAsia="zh-CN" w:bidi="ar"/>
              </w:rPr>
              <w:t>17.34</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0"/>
                <w:szCs w:val="20"/>
                <w:bdr w:val="none" w:color="auto" w:sz="0" w:space="0"/>
                <w:lang w:val="en-US" w:eastAsia="zh-CN" w:bidi="ar"/>
              </w:rPr>
              <w:t>17.34</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100.0%</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      上年结转资金</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    其他资金</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608"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年度总体目标</w:t>
            </w:r>
          </w:p>
        </w:tc>
        <w:tc>
          <w:tcPr>
            <w:tcW w:w="5731"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预期目标</w:t>
            </w:r>
          </w:p>
        </w:tc>
        <w:tc>
          <w:tcPr>
            <w:tcW w:w="4176" w:type="dxa"/>
            <w:gridSpan w:val="9"/>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15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731"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目标1：按省定额标准下达公用经费                                                   目标2：按学生人数下达公用经费                                                        目标3：基本保障学前教育学校日常运行                                                             目标4：提高学前教育学校教育教学质量</w:t>
            </w:r>
          </w:p>
        </w:tc>
        <w:tc>
          <w:tcPr>
            <w:tcW w:w="4176" w:type="dxa"/>
            <w:gridSpan w:val="9"/>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608"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标</w:t>
            </w: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一级指标</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二级指标</w:t>
            </w:r>
          </w:p>
        </w:tc>
        <w:tc>
          <w:tcPr>
            <w:tcW w:w="2813"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三级指标</w:t>
            </w:r>
          </w:p>
        </w:tc>
        <w:tc>
          <w:tcPr>
            <w:tcW w:w="1097"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年度指标值（A)</w:t>
            </w:r>
          </w:p>
        </w:tc>
        <w:tc>
          <w:tcPr>
            <w:tcW w:w="104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实际完成值(B)</w:t>
            </w:r>
          </w:p>
        </w:tc>
        <w:tc>
          <w:tcPr>
            <w:tcW w:w="875"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分值</w:t>
            </w:r>
          </w:p>
        </w:tc>
        <w:tc>
          <w:tcPr>
            <w:tcW w:w="95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得分</w:t>
            </w:r>
          </w:p>
        </w:tc>
        <w:tc>
          <w:tcPr>
            <w:tcW w:w="1307" w:type="dxa"/>
            <w:gridSpan w:val="4"/>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097"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04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875"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5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07" w:type="dxa"/>
            <w:gridSpan w:val="4"/>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78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产出指标（50分）</w:t>
            </w:r>
          </w:p>
        </w:tc>
        <w:tc>
          <w:tcPr>
            <w:tcW w:w="756"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数量指标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学前教育生均公用经费执行标准</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不低于省规定的标准</w:t>
            </w:r>
          </w:p>
        </w:tc>
        <w:tc>
          <w:tcPr>
            <w:tcW w:w="104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不低于省规定的标准</w:t>
            </w:r>
          </w:p>
        </w:tc>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6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学前教育生均公用经费拨付到位率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6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学前教育生均公用经费拨付及时率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51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质量指标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保障学前教育学校正常运行</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正常运行</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正常运行</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0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时效指标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资金按规定及时拨付率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0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年度预算执行进度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9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效益指标（30分）</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教学活动开展有序，办学水平不断提高</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34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教育教学质量</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61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（10分）</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服务对象满意度指标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学校和教师满意度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≥85%</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96%</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1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家长和学生满意度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≥85%</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96%</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7383"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总分</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99.6</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65" w:hRule="atLeast"/>
          <w:jc w:val="center"/>
        </w:trPr>
        <w:tc>
          <w:tcPr>
            <w:tcW w:w="0" w:type="auto"/>
            <w:gridSpan w:val="16"/>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75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    2.评分标准：（1） 若为</w:t>
            </w:r>
            <w:r>
              <w:rPr>
                <w:rFonts w:hint="eastAsia" w:ascii="宋体" w:hAnsi="宋体" w:eastAsia="宋体" w:cs="宋体"/>
                <w:b/>
                <w:bCs/>
                <w:i w:val="0"/>
                <w:iCs w:val="0"/>
                <w:color w:val="000000"/>
                <w:kern w:val="0"/>
                <w:sz w:val="20"/>
                <w:szCs w:val="20"/>
                <w:bdr w:val="none" w:color="auto" w:sz="0" w:space="0"/>
                <w:lang w:val="en-US" w:eastAsia="zh-CN" w:bidi="ar"/>
              </w:rPr>
              <w:t>定性指标</w:t>
            </w:r>
            <w:r>
              <w:rPr>
                <w:rFonts w:hint="eastAsia" w:ascii="宋体" w:hAnsi="宋体" w:eastAsia="宋体" w:cs="宋体"/>
                <w:color w:val="000000"/>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90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   （2）若为</w:t>
            </w:r>
            <w:r>
              <w:rPr>
                <w:rFonts w:hint="eastAsia" w:ascii="宋体" w:hAnsi="宋体" w:eastAsia="宋体" w:cs="宋体"/>
                <w:b/>
                <w:bCs/>
                <w:i w:val="0"/>
                <w:iCs w:val="0"/>
                <w:color w:val="000000"/>
                <w:kern w:val="0"/>
                <w:sz w:val="20"/>
                <w:szCs w:val="20"/>
                <w:bdr w:val="none" w:color="auto" w:sz="0" w:space="0"/>
                <w:lang w:val="en-US" w:eastAsia="zh-CN" w:bidi="ar"/>
              </w:rPr>
              <w:t>定量指标</w:t>
            </w:r>
            <w:r>
              <w:rPr>
                <w:rFonts w:hint="eastAsia" w:ascii="宋体" w:hAnsi="宋体" w:eastAsia="宋体" w:cs="宋体"/>
                <w:color w:val="000000"/>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    3.请在“偏差原因分析及改进措施”中说明偏离目标、不能完成目标的原因及拟采取的措施。</w:t>
            </w:r>
          </w:p>
        </w:tc>
        <w:tc>
          <w:tcPr>
            <w:tcW w:w="236"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0"/>
                <w:szCs w:val="20"/>
                <w:bdr w:val="none" w:color="auto" w:sz="0" w:space="0"/>
                <w:lang w:val="en-US" w:eastAsia="zh-CN" w:bidi="ar"/>
              </w:rPr>
              <w:t> </w:t>
            </w:r>
          </w:p>
        </w:tc>
        <w:tc>
          <w:tcPr>
            <w:tcW w:w="729"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0"/>
                <w:szCs w:val="20"/>
                <w:bdr w:val="none" w:color="auto" w:sz="0" w:space="0"/>
                <w:lang w:val="en-US" w:eastAsia="zh-CN" w:bidi="ar"/>
              </w:rPr>
              <w:t> </w:t>
            </w:r>
          </w:p>
        </w:tc>
      </w:tr>
    </w:tbl>
    <w:p>
      <w:pPr>
        <w:keepNext w:val="0"/>
        <w:keepLines w:val="0"/>
        <w:widowControl/>
        <w:suppressLineNumbers w:val="0"/>
        <w:spacing w:before="0" w:beforeAutospacing="1" w:after="0" w:afterAutospacing="1" w:line="600" w:lineRule="exact"/>
        <w:ind w:left="0" w:right="0"/>
        <w:jc w:val="both"/>
      </w:pPr>
      <w:r>
        <w:rPr>
          <w:rFonts w:hint="eastAsia" w:ascii="宋体" w:hAnsi="宋体" w:eastAsia="宋体" w:cs="宋体"/>
          <w:b/>
          <w:bCs w:val="0"/>
          <w:kern w:val="0"/>
          <w:sz w:val="36"/>
          <w:szCs w:val="36"/>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0"/>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宋体" w:hAnsiTheme="minorHAnsi"/>
          <w:kern w:val="0"/>
          <w:sz w:val="30"/>
          <w:szCs w:val="30"/>
          <w:lang w:val="en-US" w:eastAsia="zh-CN" w:bidi="ar"/>
        </w:rPr>
        <w:t> </w:t>
      </w:r>
    </w:p>
    <w:p>
      <w:pPr>
        <w:keepNext w:val="0"/>
        <w:keepLines w:val="0"/>
        <w:widowControl/>
        <w:suppressLineNumbers w:val="0"/>
        <w:spacing w:before="0" w:beforeAutospacing="1" w:after="0" w:afterAutospacing="1" w:line="23" w:lineRule="atLeast"/>
        <w:ind w:left="0" w:right="0" w:firstLine="630"/>
        <w:jc w:val="left"/>
      </w:pPr>
      <w:r>
        <w:rPr>
          <w:rFonts w:hint="eastAsia" w:ascii="黑体" w:hAnsi="宋体" w:eastAsia="黑体" w:cs="黑体"/>
          <w:kern w:val="0"/>
          <w:sz w:val="32"/>
          <w:szCs w:val="32"/>
          <w:lang w:val="en-US" w:eastAsia="zh-CN" w:bidi="ar"/>
        </w:rPr>
        <w:t>一、收入决算情况说明</w:t>
      </w:r>
    </w:p>
    <w:p>
      <w:pPr>
        <w:keepNext w:val="0"/>
        <w:keepLines w:val="0"/>
        <w:widowControl/>
        <w:suppressLineNumbers w:val="0"/>
        <w:spacing w:before="0" w:beforeAutospacing="1" w:after="0" w:afterAutospacing="1" w:line="23" w:lineRule="atLeast"/>
        <w:ind w:left="0" w:right="0" w:firstLine="630"/>
        <w:jc w:val="left"/>
      </w:pPr>
      <w:r>
        <w:rPr>
          <w:rFonts w:hint="eastAsia" w:ascii="仿宋_GB2312" w:eastAsia="仿宋_GB2312" w:cs="仿宋_GB2312" w:hAnsiTheme="minorHAnsi"/>
          <w:kern w:val="0"/>
          <w:sz w:val="32"/>
          <w:szCs w:val="32"/>
          <w:lang w:val="en-US" w:eastAsia="zh-CN" w:bidi="ar"/>
        </w:rPr>
        <w:t>本单位2021年度收入总计199.64万元，较2020年增加100.55万元，增长101.47%，其中:年初结转和结余0万元，较2020年增加（减少）0万元，增长（下降）0%；本年收入合计199.64万元，较2020年增加100.55万元，增长101.47%，主要原因是：</w:t>
      </w:r>
      <w:r>
        <w:rPr>
          <w:rFonts w:hint="eastAsia" w:ascii="仿宋_GB2312" w:eastAsia="仿宋_GB2312" w:cs="仿宋_GB2312" w:hAnsiTheme="minorHAnsi"/>
          <w:kern w:val="0"/>
          <w:sz w:val="30"/>
          <w:szCs w:val="30"/>
          <w:lang w:val="en-US" w:eastAsia="zh-CN" w:bidi="ar"/>
        </w:rPr>
        <w:t>财政拨款收入中人员工资增加</w:t>
      </w:r>
      <w:r>
        <w:rPr>
          <w:rFonts w:hint="eastAsia" w:ascii="仿宋_GB2312" w:eastAsia="仿宋_GB2312" w:cs="仿宋_GB2312" w:hAnsiTheme="minorHAnsi"/>
          <w:kern w:val="0"/>
          <w:sz w:val="32"/>
          <w:szCs w:val="32"/>
          <w:lang w:val="en-US" w:eastAsia="zh-CN" w:bidi="ar"/>
        </w:rPr>
        <w:t>和事业收入增加。</w:t>
      </w:r>
    </w:p>
    <w:p>
      <w:pPr>
        <w:keepNext w:val="0"/>
        <w:keepLines w:val="0"/>
        <w:widowControl/>
        <w:suppressLineNumbers w:val="0"/>
        <w:spacing w:before="0" w:beforeAutospacing="1" w:after="0" w:afterAutospacing="1" w:line="23" w:lineRule="atLeast"/>
        <w:ind w:left="0" w:right="0" w:firstLine="630"/>
        <w:jc w:val="left"/>
      </w:pPr>
      <w:r>
        <w:rPr>
          <w:rFonts w:hint="eastAsia" w:ascii="仿宋_GB2312" w:eastAsia="仿宋_GB2312" w:cs="仿宋_GB2312" w:hAnsiTheme="minorHAnsi"/>
          <w:kern w:val="0"/>
          <w:sz w:val="32"/>
          <w:szCs w:val="32"/>
          <w:lang w:val="en-US" w:eastAsia="zh-CN" w:bidi="ar"/>
        </w:rPr>
        <w:t>本年收入的具体构成为：财政拨款收入141.72万元，占70.94%；事业收入57.91万元，占29.06%；经营收入0万元，占0%；其他收入0万元，占0%。</w:t>
      </w:r>
      <w:r>
        <w:rPr>
          <w:rFonts w:hint="eastAsia" w:ascii="仿宋_GB2312" w:eastAsia="仿宋_GB2312" w:cs="宋体" w:hAnsiTheme="minorHAnsi"/>
          <w:color w:val="FF0000"/>
          <w:kern w:val="0"/>
          <w:sz w:val="32"/>
          <w:szCs w:val="32"/>
          <w:lang w:val="en-US" w:eastAsia="zh-CN" w:bidi="ar"/>
        </w:rPr>
        <w:t>  </w:t>
      </w:r>
    </w:p>
    <w:p>
      <w:pPr>
        <w:keepNext w:val="0"/>
        <w:keepLines w:val="0"/>
        <w:widowControl/>
        <w:suppressLineNumbers w:val="0"/>
        <w:spacing w:before="0" w:beforeAutospacing="1" w:after="0" w:afterAutospacing="1" w:line="23" w:lineRule="atLeast"/>
        <w:ind w:left="0" w:right="0" w:firstLine="630"/>
        <w:jc w:val="left"/>
      </w:pPr>
      <w:r>
        <w:rPr>
          <w:rFonts w:hint="eastAsia" w:ascii="黑体" w:hAnsi="宋体" w:eastAsia="黑体" w:cs="黑体"/>
          <w:kern w:val="0"/>
          <w:sz w:val="32"/>
          <w:szCs w:val="32"/>
          <w:lang w:val="en-US" w:eastAsia="zh-CN" w:bidi="ar"/>
        </w:rPr>
        <w:t>二、支出决算情况说明</w:t>
      </w:r>
    </w:p>
    <w:p>
      <w:pPr>
        <w:keepNext w:val="0"/>
        <w:keepLines w:val="0"/>
        <w:widowControl/>
        <w:suppressLineNumbers w:val="0"/>
        <w:spacing w:before="0" w:beforeAutospacing="1" w:after="0" w:afterAutospacing="1" w:line="23" w:lineRule="atLeast"/>
        <w:ind w:left="0" w:right="0" w:firstLine="630"/>
        <w:jc w:val="left"/>
      </w:pPr>
      <w:r>
        <w:rPr>
          <w:rFonts w:hint="eastAsia" w:ascii="仿宋_GB2312" w:eastAsia="仿宋_GB2312" w:cs="仿宋_GB2312" w:hAnsiTheme="minorHAnsi"/>
          <w:kern w:val="0"/>
          <w:sz w:val="32"/>
          <w:szCs w:val="32"/>
          <w:lang w:val="en-US" w:eastAsia="zh-CN" w:bidi="ar"/>
        </w:rPr>
        <w:t>本单位2021年度支出总计199.64万元，其中本年支出合计199.64万元，较2020年增加100.55万元，增长101.47%，主要原因是：教育支出增加；年末结转和结余0万元，较2020年增加（减少）0万元，增长（下降）0%。</w:t>
      </w:r>
    </w:p>
    <w:p>
      <w:pPr>
        <w:keepNext w:val="0"/>
        <w:keepLines w:val="0"/>
        <w:widowControl/>
        <w:suppressLineNumbers w:val="0"/>
        <w:spacing w:before="0" w:beforeAutospacing="1" w:after="0" w:afterAutospacing="1" w:line="23" w:lineRule="atLeast"/>
        <w:ind w:left="0" w:right="0" w:firstLine="630"/>
        <w:jc w:val="left"/>
      </w:pPr>
      <w:r>
        <w:rPr>
          <w:rFonts w:hint="eastAsia" w:ascii="仿宋_GB2312" w:eastAsia="仿宋_GB2312" w:cs="仿宋_GB2312" w:hAnsiTheme="minorHAnsi"/>
          <w:kern w:val="0"/>
          <w:sz w:val="32"/>
          <w:szCs w:val="32"/>
          <w:lang w:val="en-US" w:eastAsia="zh-CN" w:bidi="ar"/>
        </w:rPr>
        <w:t>本年支出的具体构成为：基本支出199.64万元，占100%；项目支出0万元，占0</w:t>
      </w: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%；经营支出0万元，占0%；其他支出（对附属单位补助支出、上缴上级支出）0万元，占0%。</w:t>
      </w:r>
    </w:p>
    <w:p>
      <w:pPr>
        <w:keepNext w:val="0"/>
        <w:keepLines w:val="0"/>
        <w:widowControl/>
        <w:numPr>
          <w:numId w:val="0"/>
        </w:numPr>
        <w:suppressLineNumbers w:val="0"/>
        <w:spacing w:before="0" w:beforeAutospacing="1" w:after="0" w:afterAutospacing="1" w:line="23" w:lineRule="atLeast"/>
        <w:ind w:left="0" w:right="0" w:firstLine="630"/>
        <w:jc w:val="left"/>
      </w:pPr>
      <w:r>
        <w:rPr>
          <w:rFonts w:hint="eastAsia" w:ascii="黑体" w:hAnsi="宋体" w:eastAsia="黑体" w:cs="宋体"/>
          <w:kern w:val="0"/>
          <w:sz w:val="32"/>
          <w:szCs w:val="32"/>
          <w:lang w:val="en-US" w:eastAsia="zh-CN" w:bidi="ar"/>
        </w:rPr>
        <w:t>三、</w:t>
      </w:r>
      <w:r>
        <w:rPr>
          <w:rFonts w:hint="eastAsia" w:ascii="黑体" w:hAnsi="宋体" w:eastAsia="黑体" w:cs="黑体"/>
          <w:kern w:val="0"/>
          <w:sz w:val="32"/>
          <w:szCs w:val="32"/>
          <w:lang w:val="en-US" w:eastAsia="zh-CN" w:bidi="ar"/>
        </w:rPr>
        <w:t>财政拨款支出决算情况说明</w:t>
      </w:r>
    </w:p>
    <w:p>
      <w:pPr>
        <w:keepNext w:val="0"/>
        <w:keepLines w:val="0"/>
        <w:widowControl/>
        <w:suppressLineNumbers w:val="0"/>
        <w:spacing w:before="0" w:beforeAutospacing="1" w:after="0" w:afterAutospacing="1" w:line="23" w:lineRule="atLeast"/>
        <w:ind w:left="0" w:right="0" w:firstLine="630"/>
        <w:jc w:val="left"/>
      </w:pPr>
      <w:r>
        <w:rPr>
          <w:rFonts w:hint="eastAsia" w:ascii="仿宋_GB2312" w:eastAsia="仿宋_GB2312" w:cs="仿宋_GB2312" w:hAnsiTheme="minorHAnsi"/>
          <w:kern w:val="0"/>
          <w:sz w:val="32"/>
          <w:szCs w:val="32"/>
          <w:lang w:val="en-US" w:eastAsia="zh-CN" w:bidi="ar"/>
        </w:rPr>
        <w:t>本单位2021年度财政拨款本年支出年初预算数为61.2万元，决算数为141.72万元，完成年初预算的231.57%。其中：</w:t>
      </w:r>
    </w:p>
    <w:p>
      <w:pPr>
        <w:keepNext w:val="0"/>
        <w:keepLines w:val="0"/>
        <w:widowControl/>
        <w:suppressLineNumbers w:val="0"/>
        <w:spacing w:before="0" w:beforeAutospacing="1" w:after="0" w:afterAutospacing="1" w:line="23" w:lineRule="atLeast"/>
        <w:ind w:left="0" w:right="0" w:firstLine="640" w:firstLineChars="200"/>
        <w:jc w:val="left"/>
      </w:pPr>
      <w:r>
        <w:rPr>
          <w:rFonts w:hint="eastAsia" w:ascii="仿宋_GB2312" w:eastAsia="仿宋_GB2312" w:cs="仿宋_GB2312" w:hAnsiTheme="minorHAnsi"/>
          <w:kern w:val="0"/>
          <w:sz w:val="32"/>
          <w:szCs w:val="32"/>
          <w:lang w:val="en-US" w:eastAsia="zh-CN" w:bidi="ar"/>
        </w:rPr>
        <w:t>教育支出年初预算数为61.2万元，决算数为141.72万元，完成年初预算的231.57%，主要原因是：：农村教师生活补贴、山区津贴和增加的绩效部分未纳入年初预算。</w:t>
      </w:r>
    </w:p>
    <w:p>
      <w:pPr>
        <w:keepNext w:val="0"/>
        <w:keepLines w:val="0"/>
        <w:widowControl/>
        <w:suppressLineNumbers w:val="0"/>
        <w:spacing w:before="0" w:beforeAutospacing="1" w:after="0" w:afterAutospacing="1" w:line="23" w:lineRule="atLeast"/>
        <w:ind w:left="0" w:right="0" w:firstLine="585"/>
        <w:jc w:val="left"/>
      </w:pPr>
      <w:r>
        <w:rPr>
          <w:rFonts w:hint="eastAsia" w:ascii="黑体" w:hAnsi="宋体" w:eastAsia="黑体" w:cs="黑体"/>
          <w:kern w:val="0"/>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23" w:lineRule="atLeast"/>
        <w:ind w:left="0" w:right="0" w:firstLine="585"/>
        <w:jc w:val="left"/>
      </w:pPr>
      <w:r>
        <w:rPr>
          <w:rFonts w:hint="eastAsia" w:ascii="仿宋_GB2312" w:eastAsia="仿宋_GB2312" w:cs="仿宋_GB2312" w:hAnsiTheme="minorHAnsi"/>
          <w:kern w:val="0"/>
          <w:sz w:val="32"/>
          <w:szCs w:val="32"/>
          <w:lang w:val="en-US" w:eastAsia="zh-CN" w:bidi="ar"/>
        </w:rPr>
        <w:t>本单位2021年度一般公共预算财政拨款基本支出141.72万元，其中：</w:t>
      </w:r>
    </w:p>
    <w:p>
      <w:pPr>
        <w:keepNext w:val="0"/>
        <w:keepLines w:val="0"/>
        <w:widowControl/>
        <w:suppressLineNumbers w:val="0"/>
        <w:spacing w:before="0" w:beforeAutospacing="1" w:after="0" w:afterAutospacing="1" w:line="23" w:lineRule="atLeast"/>
        <w:ind w:left="0" w:right="0" w:firstLine="585"/>
        <w:jc w:val="left"/>
      </w:pPr>
      <w:r>
        <w:rPr>
          <w:rFonts w:hint="eastAsia" w:ascii="仿宋_GB2312" w:eastAsia="仿宋_GB2312" w:cs="仿宋_GB2312" w:hAnsiTheme="minorHAnsi"/>
          <w:kern w:val="0"/>
          <w:sz w:val="32"/>
          <w:szCs w:val="32"/>
          <w:lang w:val="en-US" w:eastAsia="zh-CN" w:bidi="ar"/>
        </w:rPr>
        <w:t>（一）工资福利支出124.38万元，较2020年增加52.84万元，增长73.86%，主要原因是：基本工资、绩效工资及其他工资福利支出增加。</w:t>
      </w:r>
    </w:p>
    <w:p>
      <w:pPr>
        <w:keepNext w:val="0"/>
        <w:keepLines w:val="0"/>
        <w:widowControl/>
        <w:suppressLineNumbers w:val="0"/>
        <w:spacing w:before="0" w:beforeAutospacing="1" w:after="0" w:afterAutospacing="1" w:line="23" w:lineRule="atLeast"/>
        <w:ind w:left="0" w:right="0" w:firstLine="585"/>
        <w:jc w:val="left"/>
      </w:pPr>
      <w:r>
        <w:rPr>
          <w:rFonts w:hint="eastAsia" w:ascii="仿宋_GB2312" w:eastAsia="仿宋_GB2312" w:cs="仿宋_GB2312" w:hAnsiTheme="minorHAnsi"/>
          <w:kern w:val="0"/>
          <w:sz w:val="32"/>
          <w:szCs w:val="32"/>
          <w:lang w:val="en-US" w:eastAsia="zh-CN" w:bidi="ar"/>
        </w:rPr>
        <w:t>（二）商品和服务支出17.34万元，较2020年增加15.8万元，增长283.01%，主要原因是：①上年幼儿园从小学独立出来后，财务未完全分离，部分支出在小学；②办公费、水电费、物业管理费、培训费、等支出增加。</w:t>
      </w:r>
    </w:p>
    <w:p>
      <w:pPr>
        <w:keepNext w:val="0"/>
        <w:keepLines w:val="0"/>
        <w:widowControl/>
        <w:suppressLineNumbers w:val="0"/>
        <w:spacing w:before="0" w:beforeAutospacing="1" w:after="0" w:afterAutospacing="1" w:line="23" w:lineRule="atLeast"/>
        <w:ind w:left="0" w:right="0" w:firstLine="585"/>
        <w:jc w:val="left"/>
      </w:pPr>
      <w:r>
        <w:rPr>
          <w:rFonts w:hint="eastAsia" w:ascii="仿宋_GB2312" w:eastAsia="仿宋_GB2312" w:cs="仿宋_GB2312" w:hAnsiTheme="minorHAnsi"/>
          <w:kern w:val="0"/>
          <w:sz w:val="32"/>
          <w:szCs w:val="32"/>
          <w:lang w:val="en-US" w:eastAsia="zh-CN" w:bidi="ar"/>
        </w:rPr>
        <w:t>（三）对个人和家庭补助支出0万元，较2020年增加0万元，主要原因是：无相关支出。</w:t>
      </w:r>
    </w:p>
    <w:p>
      <w:pPr>
        <w:keepNext w:val="0"/>
        <w:keepLines w:val="0"/>
        <w:widowControl/>
        <w:suppressLineNumbers w:val="0"/>
        <w:spacing w:before="0" w:beforeAutospacing="1" w:after="0" w:afterAutospacing="1" w:line="23" w:lineRule="atLeast"/>
        <w:ind w:left="0" w:right="0" w:firstLine="585"/>
        <w:jc w:val="left"/>
      </w:pPr>
      <w:r>
        <w:rPr>
          <w:rFonts w:hint="eastAsia" w:ascii="仿宋_GB2312" w:eastAsia="仿宋_GB2312" w:cs="仿宋_GB2312" w:hAnsiTheme="minorHAnsi"/>
          <w:kern w:val="0"/>
          <w:sz w:val="32"/>
          <w:szCs w:val="32"/>
          <w:lang w:val="en-US" w:eastAsia="zh-CN" w:bidi="ar"/>
        </w:rPr>
        <w:t>（四）资本性支出0万元，较2020年增加0万元，主要原因是：本年未无设备采购支出。</w:t>
      </w:r>
    </w:p>
    <w:p>
      <w:pPr>
        <w:keepNext w:val="0"/>
        <w:keepLines w:val="0"/>
        <w:widowControl/>
        <w:suppressLineNumbers w:val="0"/>
        <w:spacing w:before="0" w:beforeAutospacing="1" w:after="0" w:afterAutospacing="1" w:line="23" w:lineRule="atLeast"/>
        <w:ind w:left="0" w:right="0" w:firstLine="630"/>
        <w:jc w:val="left"/>
      </w:pPr>
      <w:r>
        <w:rPr>
          <w:rFonts w:hint="eastAsia" w:ascii="黑体" w:hAnsi="宋体" w:eastAsia="黑体" w:cs="黑体"/>
          <w:kern w:val="0"/>
          <w:sz w:val="32"/>
          <w:szCs w:val="32"/>
          <w:lang w:val="en-US" w:eastAsia="zh-CN" w:bidi="ar"/>
        </w:rPr>
        <w:t>五、一般公共预算财政拨款“三公”经费支出决算情况说明</w:t>
      </w:r>
    </w:p>
    <w:p>
      <w:pPr>
        <w:keepNext w:val="0"/>
        <w:keepLines w:val="0"/>
        <w:widowControl/>
        <w:suppressLineNumbers w:val="0"/>
        <w:spacing w:before="0" w:beforeAutospacing="1" w:after="0" w:afterAutospacing="1" w:line="23" w:lineRule="atLeast"/>
        <w:ind w:left="0" w:right="0" w:firstLine="630"/>
        <w:jc w:val="left"/>
      </w:pPr>
      <w:r>
        <w:rPr>
          <w:rFonts w:hint="eastAsia" w:ascii="仿宋_GB2312" w:eastAsia="仿宋_GB2312" w:cs="仿宋_GB2312" w:hAnsiTheme="minorHAnsi"/>
          <w:color w:val="000000"/>
          <w:kern w:val="0"/>
          <w:sz w:val="32"/>
          <w:szCs w:val="32"/>
          <w:lang w:val="en-US" w:eastAsia="zh-CN" w:bidi="ar"/>
        </w:rPr>
        <w:t>本单位2021年度一般公共预算财政拨款“三公”经费支出年初预算数为1</w:t>
      </w:r>
      <w:r>
        <w:rPr>
          <w:rFonts w:hint="eastAsia" w:ascii="仿宋_GB2312" w:eastAsia="仿宋_GB2312" w:cs="宋体" w:hAnsiTheme="minorHAnsi"/>
          <w:color w:val="000000"/>
          <w:kern w:val="0"/>
          <w:sz w:val="32"/>
          <w:szCs w:val="32"/>
          <w:lang w:val="en-US" w:eastAsia="zh-CN" w:bidi="ar"/>
        </w:rPr>
        <w:t> </w:t>
      </w:r>
      <w:r>
        <w:rPr>
          <w:rFonts w:hint="eastAsia" w:ascii="仿宋_GB2312" w:eastAsia="仿宋_GB2312" w:cs="仿宋_GB2312" w:hAnsiTheme="minorHAnsi"/>
          <w:color w:val="000000"/>
          <w:kern w:val="0"/>
          <w:sz w:val="32"/>
          <w:szCs w:val="32"/>
          <w:lang w:val="en-US" w:eastAsia="zh-CN" w:bidi="ar"/>
        </w:rPr>
        <w:t>万元，决算数为0</w:t>
      </w:r>
      <w:r>
        <w:rPr>
          <w:rFonts w:hint="eastAsia" w:ascii="仿宋_GB2312" w:eastAsia="仿宋_GB2312" w:cs="宋体" w:hAnsiTheme="minorHAnsi"/>
          <w:color w:val="000000"/>
          <w:kern w:val="0"/>
          <w:sz w:val="32"/>
          <w:szCs w:val="32"/>
          <w:lang w:val="en-US" w:eastAsia="zh-CN" w:bidi="ar"/>
        </w:rPr>
        <w:t>  </w:t>
      </w:r>
      <w:r>
        <w:rPr>
          <w:rFonts w:hint="eastAsia" w:ascii="仿宋_GB2312" w:eastAsia="仿宋_GB2312" w:cs="仿宋_GB2312" w:hAnsiTheme="minorHAnsi"/>
          <w:color w:val="000000"/>
          <w:kern w:val="0"/>
          <w:sz w:val="32"/>
          <w:szCs w:val="32"/>
          <w:lang w:val="en-US" w:eastAsia="zh-CN" w:bidi="ar"/>
        </w:rPr>
        <w:t>万元，完成预算的0</w:t>
      </w:r>
      <w:r>
        <w:rPr>
          <w:rFonts w:hint="eastAsia" w:ascii="仿宋_GB2312" w:eastAsia="仿宋_GB2312" w:cs="宋体" w:hAnsiTheme="minorHAnsi"/>
          <w:color w:val="000000"/>
          <w:kern w:val="0"/>
          <w:sz w:val="32"/>
          <w:szCs w:val="32"/>
          <w:lang w:val="en-US" w:eastAsia="zh-CN" w:bidi="ar"/>
        </w:rPr>
        <w:t> </w:t>
      </w:r>
      <w:r>
        <w:rPr>
          <w:rFonts w:hint="eastAsia" w:ascii="仿宋_GB2312" w:eastAsia="仿宋_GB2312" w:cs="仿宋_GB2312" w:hAnsiTheme="minorHAnsi"/>
          <w:color w:val="000000"/>
          <w:kern w:val="0"/>
          <w:sz w:val="32"/>
          <w:szCs w:val="32"/>
          <w:lang w:val="en-US" w:eastAsia="zh-CN" w:bidi="ar"/>
        </w:rPr>
        <w:t>%，决算数较2020年增加（减少）0</w:t>
      </w:r>
      <w:r>
        <w:rPr>
          <w:rFonts w:hint="eastAsia" w:ascii="仿宋_GB2312" w:eastAsia="仿宋_GB2312" w:cs="宋体" w:hAnsiTheme="minorHAnsi"/>
          <w:color w:val="000000"/>
          <w:kern w:val="0"/>
          <w:sz w:val="32"/>
          <w:szCs w:val="32"/>
          <w:lang w:val="en-US" w:eastAsia="zh-CN" w:bidi="ar"/>
        </w:rPr>
        <w:t>  </w:t>
      </w:r>
      <w:r>
        <w:rPr>
          <w:rFonts w:hint="eastAsia" w:ascii="仿宋_GB2312" w:eastAsia="仿宋_GB2312" w:cs="仿宋_GB2312" w:hAnsiTheme="minorHAnsi"/>
          <w:color w:val="000000"/>
          <w:kern w:val="0"/>
          <w:sz w:val="32"/>
          <w:szCs w:val="32"/>
          <w:lang w:val="en-US" w:eastAsia="zh-CN" w:bidi="ar"/>
        </w:rPr>
        <w:t>万元，增长（下降）</w:t>
      </w:r>
      <w:r>
        <w:rPr>
          <w:rFonts w:hint="eastAsia" w:ascii="仿宋_GB2312" w:eastAsia="仿宋_GB2312" w:cs="宋体" w:hAnsiTheme="minorHAnsi"/>
          <w:color w:val="000000"/>
          <w:kern w:val="0"/>
          <w:sz w:val="32"/>
          <w:szCs w:val="32"/>
          <w:lang w:val="en-US" w:eastAsia="zh-CN" w:bidi="ar"/>
        </w:rPr>
        <w:t xml:space="preserve"> </w:t>
      </w:r>
      <w:r>
        <w:rPr>
          <w:rFonts w:hint="eastAsia" w:ascii="仿宋_GB2312" w:eastAsia="仿宋_GB2312" w:cs="仿宋_GB2312" w:hAnsiTheme="minorHAnsi"/>
          <w:color w:val="000000"/>
          <w:kern w:val="0"/>
          <w:sz w:val="32"/>
          <w:szCs w:val="32"/>
          <w:lang w:val="en-US" w:eastAsia="zh-CN" w:bidi="ar"/>
        </w:rPr>
        <w:t>0</w:t>
      </w:r>
      <w:r>
        <w:rPr>
          <w:rFonts w:hint="eastAsia" w:ascii="仿宋_GB2312" w:eastAsia="仿宋_GB2312" w:cs="宋体" w:hAnsiTheme="minorHAnsi"/>
          <w:color w:val="000000"/>
          <w:kern w:val="0"/>
          <w:sz w:val="32"/>
          <w:szCs w:val="32"/>
          <w:lang w:val="en-US" w:eastAsia="zh-CN" w:bidi="ar"/>
        </w:rPr>
        <w:t> </w:t>
      </w:r>
      <w:r>
        <w:rPr>
          <w:rFonts w:hint="eastAsia" w:ascii="仿宋_GB2312" w:eastAsia="仿宋_GB2312" w:cs="仿宋_GB2312" w:hAnsiTheme="minorHAnsi"/>
          <w:color w:val="000000"/>
          <w:kern w:val="0"/>
          <w:sz w:val="32"/>
          <w:szCs w:val="32"/>
          <w:lang w:val="en-US" w:eastAsia="zh-CN" w:bidi="ar"/>
        </w:rPr>
        <w:t>%，其中：</w:t>
      </w:r>
    </w:p>
    <w:p>
      <w:pPr>
        <w:keepNext w:val="0"/>
        <w:keepLines w:val="0"/>
        <w:widowControl/>
        <w:suppressLineNumbers w:val="0"/>
        <w:spacing w:before="0" w:beforeAutospacing="1" w:after="0" w:afterAutospacing="1" w:line="23" w:lineRule="atLeast"/>
        <w:ind w:left="0" w:right="0" w:firstLine="630"/>
        <w:jc w:val="left"/>
      </w:pPr>
      <w:r>
        <w:rPr>
          <w:rFonts w:hint="eastAsia" w:ascii="仿宋_GB2312" w:eastAsia="仿宋_GB2312" w:cs="仿宋_GB2312" w:hAnsiTheme="minorHAnsi"/>
          <w:kern w:val="0"/>
          <w:sz w:val="32"/>
          <w:szCs w:val="32"/>
          <w:lang w:val="en-US" w:eastAsia="zh-CN" w:bidi="ar"/>
        </w:rPr>
        <w:t>（一）因公出国（境）支出年初预算数为0万元，决算数为</w:t>
      </w:r>
      <w:r>
        <w:rPr>
          <w:rFonts w:hint="eastAsia" w:ascii="仿宋_GB2312" w:eastAsia="仿宋_GB2312" w:cs="宋体" w:hAnsiTheme="minorHAnsi"/>
          <w:kern w:val="0"/>
          <w:sz w:val="32"/>
          <w:szCs w:val="32"/>
          <w:lang w:val="en-US" w:eastAsia="zh-CN" w:bidi="ar"/>
        </w:rPr>
        <w:t xml:space="preserve"> </w:t>
      </w:r>
      <w:r>
        <w:rPr>
          <w:rFonts w:hint="eastAsia" w:ascii="仿宋_GB2312" w:eastAsia="仿宋_GB2312" w:cs="仿宋_GB2312" w:hAnsiTheme="minorHAnsi"/>
          <w:kern w:val="0"/>
          <w:sz w:val="32"/>
          <w:szCs w:val="32"/>
          <w:lang w:val="en-US" w:eastAsia="zh-CN" w:bidi="ar"/>
        </w:rPr>
        <w:t>0</w:t>
      </w: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万元，完成预算的0%，决算数较2020年增加（减少）0万元，增长（下降）0</w:t>
      </w: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w:t>
      </w:r>
    </w:p>
    <w:p>
      <w:pPr>
        <w:keepNext w:val="0"/>
        <w:keepLines w:val="0"/>
        <w:widowControl/>
        <w:suppressLineNumbers w:val="0"/>
        <w:spacing w:before="0" w:beforeAutospacing="1" w:after="0" w:afterAutospacing="1" w:line="23" w:lineRule="atLeast"/>
        <w:ind w:left="0" w:right="0" w:firstLine="630"/>
        <w:jc w:val="left"/>
      </w:pPr>
      <w:r>
        <w:rPr>
          <w:rFonts w:hint="eastAsia" w:ascii="仿宋_GB2312" w:eastAsia="仿宋_GB2312" w:cs="仿宋_GB2312" w:hAnsiTheme="minorHAnsi"/>
          <w:kern w:val="0"/>
          <w:sz w:val="32"/>
          <w:szCs w:val="32"/>
          <w:lang w:val="en-US" w:eastAsia="zh-CN" w:bidi="ar"/>
        </w:rPr>
        <w:t>（二）公务接待费支出年初预算数为1万元，决算数为0万元，完成预算的0%，</w:t>
      </w:r>
      <w:r>
        <w:rPr>
          <w:rFonts w:hint="eastAsia" w:ascii="仿宋_GB2312" w:eastAsia="仿宋_GB2312" w:cs="仿宋_GB2312" w:hAnsiTheme="minorHAnsi"/>
          <w:color w:val="000000"/>
          <w:kern w:val="0"/>
          <w:sz w:val="32"/>
          <w:szCs w:val="32"/>
          <w:lang w:val="en-US" w:eastAsia="zh-CN" w:bidi="ar"/>
        </w:rPr>
        <w:t>决算数较2020年增加（减少）</w:t>
      </w:r>
      <w:r>
        <w:rPr>
          <w:rFonts w:hint="eastAsia" w:ascii="仿宋_GB2312" w:eastAsia="仿宋_GB2312" w:cs="宋体" w:hAnsiTheme="minorHAnsi"/>
          <w:color w:val="000000"/>
          <w:kern w:val="0"/>
          <w:sz w:val="32"/>
          <w:szCs w:val="32"/>
          <w:lang w:val="en-US" w:eastAsia="zh-CN" w:bidi="ar"/>
        </w:rPr>
        <w:t xml:space="preserve">  </w:t>
      </w:r>
      <w:r>
        <w:rPr>
          <w:rFonts w:hint="eastAsia" w:ascii="仿宋_GB2312" w:eastAsia="仿宋_GB2312" w:cs="仿宋_GB2312" w:hAnsiTheme="minorHAnsi"/>
          <w:color w:val="000000"/>
          <w:kern w:val="0"/>
          <w:sz w:val="32"/>
          <w:szCs w:val="32"/>
          <w:lang w:val="en-US" w:eastAsia="zh-CN" w:bidi="ar"/>
        </w:rPr>
        <w:t>0万元，增长（下降）0</w:t>
      </w:r>
      <w:r>
        <w:rPr>
          <w:rFonts w:hint="eastAsia" w:ascii="仿宋_GB2312" w:eastAsia="仿宋_GB2312" w:cs="宋体" w:hAnsiTheme="minorHAnsi"/>
          <w:color w:val="000000"/>
          <w:kern w:val="0"/>
          <w:sz w:val="32"/>
          <w:szCs w:val="32"/>
          <w:lang w:val="en-US" w:eastAsia="zh-CN" w:bidi="ar"/>
        </w:rPr>
        <w:t>  </w:t>
      </w:r>
      <w:r>
        <w:rPr>
          <w:rFonts w:hint="eastAsia" w:ascii="仿宋_GB2312" w:eastAsia="仿宋_GB2312" w:cs="仿宋_GB2312" w:hAnsiTheme="minorHAnsi"/>
          <w:color w:val="000000"/>
          <w:kern w:val="0"/>
          <w:sz w:val="32"/>
          <w:szCs w:val="32"/>
          <w:lang w:val="en-US" w:eastAsia="zh-CN" w:bidi="ar"/>
        </w:rPr>
        <w:t>%</w:t>
      </w:r>
      <w:r>
        <w:rPr>
          <w:rFonts w:hint="eastAsia" w:ascii="仿宋_GB2312" w:eastAsia="仿宋_GB2312" w:cs="仿宋_GB2312" w:hAnsiTheme="minorHAnsi"/>
          <w:kern w:val="0"/>
          <w:sz w:val="36"/>
          <w:szCs w:val="36"/>
          <w:lang w:val="en-US" w:eastAsia="zh-CN" w:bidi="ar"/>
        </w:rPr>
        <w:t>，</w:t>
      </w:r>
      <w:r>
        <w:rPr>
          <w:rFonts w:hint="eastAsia" w:ascii="仿宋_GB2312" w:eastAsia="仿宋_GB2312" w:cs="仿宋_GB2312" w:hAnsiTheme="minorHAnsi"/>
          <w:kern w:val="0"/>
          <w:sz w:val="32"/>
          <w:szCs w:val="32"/>
          <w:lang w:val="en-US" w:eastAsia="zh-CN" w:bidi="ar"/>
        </w:rPr>
        <w:t>主要原因是：没有公务接待。全年国内公务接待0批，累计接待0人次。</w:t>
      </w:r>
    </w:p>
    <w:p>
      <w:pPr>
        <w:keepNext w:val="0"/>
        <w:keepLines w:val="0"/>
        <w:widowControl/>
        <w:suppressLineNumbers w:val="0"/>
        <w:spacing w:before="0" w:beforeAutospacing="1" w:after="0" w:afterAutospacing="1" w:line="23" w:lineRule="atLeast"/>
        <w:ind w:left="0" w:right="0" w:firstLine="630"/>
        <w:jc w:val="left"/>
      </w:pPr>
      <w:r>
        <w:rPr>
          <w:rFonts w:hint="eastAsia" w:ascii="仿宋_GB2312" w:eastAsia="仿宋_GB2312" w:cs="仿宋_GB2312" w:hAnsiTheme="minorHAnsi"/>
          <w:kern w:val="0"/>
          <w:sz w:val="32"/>
          <w:szCs w:val="32"/>
          <w:lang w:val="en-US" w:eastAsia="zh-CN" w:bidi="ar"/>
        </w:rPr>
        <w:t>（三）公务用车购置及运行维护费支出0万元，年末公务用车保有0辆。</w:t>
      </w:r>
    </w:p>
    <w:p>
      <w:pPr>
        <w:keepNext w:val="0"/>
        <w:keepLines w:val="0"/>
        <w:widowControl/>
        <w:suppressLineNumbers w:val="0"/>
        <w:spacing w:before="0" w:beforeAutospacing="1" w:after="0" w:afterAutospacing="1" w:line="23" w:lineRule="atLeast"/>
        <w:ind w:left="0" w:right="0" w:firstLine="630"/>
        <w:jc w:val="left"/>
      </w:pPr>
      <w:r>
        <w:rPr>
          <w:rFonts w:hint="eastAsia" w:ascii="黑体" w:hAnsi="宋体" w:eastAsia="黑体" w:cs="黑体"/>
          <w:kern w:val="0"/>
          <w:sz w:val="32"/>
          <w:szCs w:val="32"/>
          <w:lang w:val="en-US" w:eastAsia="zh-CN" w:bidi="ar"/>
        </w:rPr>
        <w:t>六、机关运行经费支出情况说明</w:t>
      </w:r>
    </w:p>
    <w:p>
      <w:pPr>
        <w:keepNext w:val="0"/>
        <w:keepLines w:val="0"/>
        <w:widowControl/>
        <w:suppressLineNumbers w:val="0"/>
        <w:spacing w:before="0" w:beforeAutospacing="1" w:after="0" w:afterAutospacing="1" w:line="23" w:lineRule="atLeast"/>
        <w:ind w:left="0" w:right="0" w:firstLine="630"/>
        <w:jc w:val="left"/>
      </w:pPr>
      <w:r>
        <w:rPr>
          <w:rFonts w:hint="eastAsia" w:ascii="仿宋_GB2312" w:eastAsia="仿宋_GB2312" w:cs="仿宋_GB2312" w:hAnsiTheme="minorHAnsi"/>
          <w:b w:val="0"/>
          <w:bCs w:val="0"/>
          <w:kern w:val="0"/>
          <w:sz w:val="32"/>
          <w:szCs w:val="32"/>
          <w:lang w:val="en-US" w:eastAsia="zh-CN" w:bidi="ar"/>
        </w:rPr>
        <w:t>本单位不是行政单位或参照公务员法管理事业单位，故无机关运行经费支出。</w:t>
      </w:r>
      <w:r>
        <w:rPr>
          <w:rFonts w:hint="eastAsia" w:ascii="仿宋_GB2312" w:eastAsia="仿宋_GB2312" w:cs="宋体" w:hAnsiTheme="minorHAnsi"/>
          <w:b w:val="0"/>
          <w:bCs w:val="0"/>
          <w:kern w:val="0"/>
          <w:sz w:val="32"/>
          <w:szCs w:val="32"/>
          <w:lang w:val="en-US" w:eastAsia="zh-CN" w:bidi="ar"/>
        </w:rPr>
        <w:t> </w:t>
      </w:r>
    </w:p>
    <w:p>
      <w:pPr>
        <w:keepNext w:val="0"/>
        <w:keepLines w:val="0"/>
        <w:widowControl/>
        <w:numPr>
          <w:numId w:val="0"/>
        </w:numPr>
        <w:suppressLineNumbers w:val="0"/>
        <w:spacing w:before="0" w:beforeAutospacing="1" w:after="0" w:afterAutospacing="1" w:line="23" w:lineRule="atLeast"/>
        <w:ind w:left="790" w:leftChars="0" w:right="0" w:firstLine="0" w:firstLineChars="0"/>
        <w:jc w:val="left"/>
      </w:pPr>
      <w:r>
        <w:rPr>
          <w:rFonts w:hint="eastAsia" w:ascii="黑体" w:hAnsi="宋体" w:eastAsia="黑体" w:cs="宋体"/>
          <w:kern w:val="0"/>
          <w:sz w:val="32"/>
          <w:szCs w:val="32"/>
          <w:lang w:val="en-US" w:eastAsia="zh-CN" w:bidi="ar"/>
        </w:rPr>
        <w:t>七、</w:t>
      </w:r>
      <w:r>
        <w:rPr>
          <w:rFonts w:hint="eastAsia" w:ascii="黑体" w:hAnsi="宋体" w:eastAsia="黑体" w:cs="黑体"/>
          <w:kern w:val="0"/>
          <w:sz w:val="32"/>
          <w:szCs w:val="32"/>
          <w:lang w:val="en-US" w:eastAsia="zh-CN" w:bidi="ar"/>
        </w:rPr>
        <w:t>政府采购支出情况说明</w:t>
      </w:r>
    </w:p>
    <w:p>
      <w:pPr>
        <w:keepNext w:val="0"/>
        <w:keepLines w:val="0"/>
        <w:widowControl/>
        <w:suppressLineNumbers w:val="0"/>
        <w:spacing w:before="0" w:beforeAutospacing="1" w:after="0" w:afterAutospacing="1" w:line="23" w:lineRule="atLeast"/>
        <w:ind w:left="0" w:right="0" w:firstLine="600" w:firstLineChars="200"/>
        <w:jc w:val="left"/>
      </w:pPr>
      <w:r>
        <w:rPr>
          <w:rFonts w:hint="eastAsia" w:ascii="仿宋_GB2312" w:eastAsia="仿宋_GB2312" w:cs="仿宋_GB2312" w:hAnsiTheme="minorHAnsi"/>
          <w:kern w:val="0"/>
          <w:sz w:val="30"/>
          <w:szCs w:val="30"/>
          <w:lang w:val="en-US" w:eastAsia="zh-CN" w:bidi="ar"/>
        </w:rPr>
        <w:t>本单位2021年度政府采购支出总额</w:t>
      </w:r>
      <w:r>
        <w:rPr>
          <w:rFonts w:hint="eastAsia" w:ascii="仿宋_GB2312" w:eastAsia="仿宋_GB2312" w:cs="宋体" w:hAnsiTheme="minorHAnsi"/>
          <w:kern w:val="0"/>
          <w:sz w:val="30"/>
          <w:szCs w:val="30"/>
          <w:lang w:val="en-US" w:eastAsia="zh-CN" w:bidi="ar"/>
        </w:rPr>
        <w:t> </w:t>
      </w:r>
      <w:r>
        <w:rPr>
          <w:rFonts w:hint="eastAsia" w:ascii="仿宋_GB2312" w:eastAsia="仿宋_GB2312" w:cs="仿宋_GB2312" w:hAnsiTheme="minorHAnsi"/>
          <w:kern w:val="0"/>
          <w:sz w:val="30"/>
          <w:szCs w:val="30"/>
          <w:lang w:val="en-US" w:eastAsia="zh-CN" w:bidi="ar"/>
        </w:rPr>
        <w:t>0万元，其中：政府采购货物支出0万元、政府采购工程支出0万元、政府采购服务支出0万元。授予中小企业合同金额0万元，占政府采购支出总额的</w:t>
      </w:r>
      <w:r>
        <w:rPr>
          <w:rFonts w:hint="eastAsia" w:ascii="仿宋_GB2312" w:eastAsia="仿宋_GB2312" w:cs="宋体" w:hAnsiTheme="minorHAnsi"/>
          <w:kern w:val="0"/>
          <w:sz w:val="30"/>
          <w:szCs w:val="30"/>
          <w:lang w:val="en-US" w:eastAsia="zh-CN" w:bidi="ar"/>
        </w:rPr>
        <w:t xml:space="preserve"> </w:t>
      </w:r>
      <w:r>
        <w:rPr>
          <w:rFonts w:hint="eastAsia" w:ascii="仿宋_GB2312" w:eastAsia="仿宋_GB2312" w:cs="仿宋_GB2312" w:hAnsiTheme="minorHAnsi"/>
          <w:kern w:val="0"/>
          <w:sz w:val="30"/>
          <w:szCs w:val="30"/>
          <w:lang w:val="en-US" w:eastAsia="zh-CN" w:bidi="ar"/>
        </w:rPr>
        <w:t>0</w:t>
      </w:r>
      <w:r>
        <w:rPr>
          <w:rFonts w:hint="eastAsia" w:ascii="仿宋_GB2312" w:eastAsia="仿宋_GB2312" w:cs="宋体" w:hAnsiTheme="minorHAnsi"/>
          <w:kern w:val="0"/>
          <w:sz w:val="30"/>
          <w:szCs w:val="30"/>
          <w:lang w:val="en-US" w:eastAsia="zh-CN" w:bidi="ar"/>
        </w:rPr>
        <w:t> </w:t>
      </w:r>
      <w:r>
        <w:rPr>
          <w:rFonts w:hint="eastAsia" w:ascii="仿宋_GB2312" w:eastAsia="仿宋_GB2312" w:cs="仿宋_GB2312" w:hAnsiTheme="minorHAnsi"/>
          <w:kern w:val="0"/>
          <w:sz w:val="30"/>
          <w:szCs w:val="30"/>
          <w:lang w:val="en-US" w:eastAsia="zh-CN" w:bidi="ar"/>
        </w:rPr>
        <w:t>%，其中：授予小微企业合同金额0万元，占政府采购支出总额的0%；货物采购授予中小企业合同金额占货物支出金额的0 %，工程采购授予中小企业合同金额占工程支出金额的0 %，服务采购授予中小企业合同金额占服务支出金额的0 %。（省级单位公开的政府采购金额的计算口径为：本单位纳入2021年单位预算范围的各项政府采购支出金额之和。）</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0"/>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0"/>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0"/>
          <w:sz w:val="30"/>
          <w:szCs w:val="30"/>
          <w:lang w:val="en-US" w:eastAsia="zh-CN" w:bidi="ar"/>
        </w:rPr>
        <w:t>截止2021年12月31日，本单位（单位）国有资产占用情况见公开10表《国有资产占用情况表》。</w:t>
      </w:r>
      <w:r>
        <w:rPr>
          <w:rFonts w:hint="eastAsia" w:ascii="仿宋_GB2312" w:eastAsia="仿宋_GB2312" w:cs="仿宋_GB2312" w:hAnsiTheme="minorHAnsi"/>
          <w:kern w:val="0"/>
          <w:sz w:val="30"/>
          <w:szCs w:val="30"/>
          <w:lang w:val="en-US" w:eastAsia="zh-CN" w:bidi="ar"/>
        </w:rPr>
        <w:t>本单位无其他用车。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pPr>
      <w:r>
        <w:rPr>
          <w:rFonts w:hint="eastAsia" w:ascii="仿宋" w:hAnsi="仿宋" w:eastAsia="仿宋" w:cs="仿宋"/>
          <w:i w:val="0"/>
          <w:iCs w:val="0"/>
          <w:caps w:val="0"/>
          <w:spacing w:val="0"/>
          <w:kern w:val="0"/>
          <w:sz w:val="32"/>
          <w:szCs w:val="32"/>
          <w:bdr w:val="none" w:color="auto" w:sz="0" w:space="0"/>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640" w:firstLineChars="200"/>
        <w:jc w:val="both"/>
      </w:pPr>
      <w:r>
        <w:rPr>
          <w:rFonts w:hint="eastAsia" w:ascii="仿宋" w:hAnsi="仿宋" w:eastAsia="仿宋" w:cs="仿宋"/>
          <w:i w:val="0"/>
          <w:iCs w:val="0"/>
          <w:caps w:val="0"/>
          <w:spacing w:val="0"/>
          <w:kern w:val="0"/>
          <w:sz w:val="32"/>
          <w:szCs w:val="32"/>
          <w:bdr w:val="none" w:color="auto" w:sz="0" w:space="0"/>
          <w:shd w:val="clear" w:fill="FFFFFF"/>
        </w:rPr>
        <w:t>根据预算绩效管理要求，我单位组织对纳入2021年度单位预算范围的二级项目1个公用经费项目全面开展绩效自评。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630" w:leftChars="0" w:right="0" w:rightChars="0"/>
        <w:jc w:val="both"/>
      </w:pPr>
      <w:r>
        <w:rPr>
          <w:rFonts w:hint="eastAsia" w:ascii="仿宋" w:hAnsi="仿宋" w:eastAsia="仿宋" w:cs="仿宋"/>
          <w:i w:val="0"/>
          <w:iCs w:val="0"/>
          <w:caps w:val="0"/>
          <w:spacing w:val="0"/>
          <w:kern w:val="0"/>
          <w:sz w:val="32"/>
          <w:szCs w:val="32"/>
          <w:bdr w:val="none" w:color="auto" w:sz="0" w:space="0"/>
          <w:shd w:val="clear" w:fill="FFFFFF"/>
        </w:rPr>
        <w:t>（二）单位决算中项目绩效自评情况。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rightChars="0" w:firstLine="640"/>
        <w:jc w:val="both"/>
      </w:pPr>
      <w:r>
        <w:rPr>
          <w:rFonts w:hint="eastAsia" w:ascii="仿宋" w:hAnsi="仿宋" w:eastAsia="仿宋" w:cs="仿宋"/>
          <w:i w:val="0"/>
          <w:iCs w:val="0"/>
          <w:caps w:val="0"/>
          <w:spacing w:val="0"/>
          <w:kern w:val="0"/>
          <w:sz w:val="32"/>
          <w:szCs w:val="32"/>
          <w:bdr w:val="none" w:color="auto" w:sz="0" w:space="0"/>
          <w:shd w:val="clear" w:fill="FFFFFF"/>
        </w:rPr>
        <w:t>我单位今年在单位决算中反映学校生均公用经费项目绩效自评结果。</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eastAsia" w:ascii="仿宋" w:hAnsi="仿宋" w:eastAsia="仿宋" w:cs="仿宋"/>
          <w:i w:val="0"/>
          <w:iCs w:val="0"/>
          <w:caps w:val="0"/>
          <w:spacing w:val="0"/>
          <w:kern w:val="0"/>
          <w:sz w:val="32"/>
          <w:szCs w:val="32"/>
          <w:shd w:val="clear" w:fill="FFFFFF"/>
          <w:lang w:val="en-US" w:eastAsia="zh-CN" w:bidi="ar"/>
        </w:rPr>
        <w:t>学校生均公用经费绩效自评综述：根据年初设定的绩效目标，学校生均公用经费绩效自评得分为99.6分。项目全年预算为17.34万元，执行数为17.34万元，完成预算的100%。主要产出和效果：保障了学校的正常运行，提高了学校的教育教学质量，学校、家长和学生的满意度为96%。</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eastAsia"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val="0"/>
          <w:kern w:val="0"/>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eastAsia" w:ascii="仿宋_GB2312" w:eastAsia="仿宋_GB2312" w:cs="Times New Roman"/>
          <w:sz w:val="30"/>
          <w:szCs w:val="30"/>
        </w:rPr>
        <w:t> </w:t>
      </w:r>
    </w:p>
    <w:p>
      <w:pPr>
        <w:keepNext w:val="0"/>
        <w:keepLines w:val="0"/>
        <w:widowControl/>
        <w:suppressLineNumbers w:val="0"/>
        <w:spacing w:before="0" w:beforeAutospacing="1" w:after="0" w:afterAutospacing="1" w:line="23" w:lineRule="atLeast"/>
        <w:ind w:left="0" w:right="0" w:firstLine="640" w:firstLineChars="200"/>
        <w:jc w:val="left"/>
      </w:pPr>
      <w:r>
        <w:rPr>
          <w:rFonts w:hint="eastAsia" w:ascii="仿宋" w:hAnsi="仿宋" w:eastAsia="仿宋" w:cs="仿宋"/>
          <w:kern w:val="0"/>
          <w:sz w:val="32"/>
          <w:szCs w:val="32"/>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line="23" w:lineRule="atLeast"/>
        <w:ind w:left="0" w:right="0" w:firstLine="640" w:firstLineChars="200"/>
        <w:jc w:val="left"/>
      </w:pPr>
      <w:r>
        <w:rPr>
          <w:rFonts w:hint="eastAsia" w:ascii="仿宋" w:hAnsi="仿宋" w:eastAsia="仿宋" w:cs="仿宋"/>
          <w:kern w:val="0"/>
          <w:sz w:val="32"/>
          <w:szCs w:val="32"/>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line="23" w:lineRule="atLeast"/>
        <w:ind w:left="0" w:right="0" w:firstLine="640" w:firstLineChars="200"/>
        <w:jc w:val="left"/>
      </w:pPr>
      <w:r>
        <w:rPr>
          <w:rFonts w:hint="eastAsia" w:ascii="仿宋" w:hAnsi="仿宋" w:eastAsia="仿宋" w:cs="仿宋"/>
          <w:kern w:val="0"/>
          <w:sz w:val="32"/>
          <w:szCs w:val="32"/>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line="23" w:lineRule="atLeast"/>
        <w:ind w:left="0" w:right="0" w:firstLine="640" w:firstLineChars="200"/>
        <w:jc w:val="left"/>
      </w:pPr>
      <w:r>
        <w:rPr>
          <w:rFonts w:hint="eastAsia" w:ascii="仿宋" w:hAnsi="仿宋" w:eastAsia="仿宋" w:cs="仿宋"/>
          <w:kern w:val="0"/>
          <w:sz w:val="32"/>
          <w:szCs w:val="32"/>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line="23" w:lineRule="atLeast"/>
        <w:ind w:left="0" w:right="0" w:firstLine="640" w:firstLineChars="200"/>
        <w:jc w:val="left"/>
      </w:pPr>
      <w:r>
        <w:rPr>
          <w:rFonts w:hint="eastAsia" w:ascii="仿宋" w:hAnsi="仿宋" w:eastAsia="仿宋" w:cs="仿宋"/>
          <w:kern w:val="0"/>
          <w:sz w:val="32"/>
          <w:szCs w:val="32"/>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line="23" w:lineRule="atLeast"/>
        <w:ind w:left="0" w:right="0" w:firstLine="640" w:firstLineChars="200"/>
        <w:jc w:val="left"/>
      </w:pPr>
      <w:r>
        <w:rPr>
          <w:rFonts w:hint="eastAsia" w:ascii="仿宋" w:hAnsi="仿宋" w:eastAsia="仿宋" w:cs="仿宋"/>
          <w:kern w:val="0"/>
          <w:sz w:val="32"/>
          <w:szCs w:val="32"/>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line="23" w:lineRule="atLeast"/>
        <w:ind w:left="0" w:right="0" w:firstLine="640" w:firstLineChars="200"/>
        <w:jc w:val="left"/>
      </w:pPr>
      <w:r>
        <w:rPr>
          <w:rFonts w:hint="eastAsia" w:ascii="仿宋" w:hAnsi="仿宋" w:eastAsia="仿宋" w:cs="仿宋"/>
          <w:kern w:val="0"/>
          <w:sz w:val="32"/>
          <w:szCs w:val="32"/>
          <w:lang w:val="en-US" w:eastAsia="zh-CN" w:bidi="ar"/>
        </w:rPr>
        <w:t>七、用事业基金弥补收支差额：指事业单位用事业基金弥补当年收支差额的数额。</w:t>
      </w:r>
      <w:r>
        <w:rPr>
          <w:rFonts w:hint="eastAsia" w:ascii="仿宋" w:hAnsi="仿宋" w:eastAsia="仿宋" w:cs="宋体"/>
          <w:kern w:val="0"/>
          <w:sz w:val="32"/>
          <w:szCs w:val="32"/>
          <w:lang w:val="en-US" w:eastAsia="zh-CN" w:bidi="ar"/>
        </w:rPr>
        <w:t xml:space="preserve"> </w:t>
      </w:r>
    </w:p>
    <w:p>
      <w:pPr>
        <w:keepNext w:val="0"/>
        <w:keepLines w:val="0"/>
        <w:widowControl/>
        <w:suppressLineNumbers w:val="0"/>
        <w:spacing w:before="0" w:beforeAutospacing="1" w:after="0" w:afterAutospacing="1" w:line="23" w:lineRule="atLeast"/>
        <w:ind w:left="0" w:right="0" w:firstLine="640" w:firstLineChars="200"/>
        <w:jc w:val="left"/>
      </w:pPr>
      <w:r>
        <w:rPr>
          <w:rFonts w:hint="eastAsia" w:ascii="仿宋" w:hAnsi="仿宋" w:eastAsia="仿宋" w:cs="仿宋"/>
          <w:kern w:val="0"/>
          <w:sz w:val="32"/>
          <w:szCs w:val="32"/>
          <w:lang w:val="en-US" w:eastAsia="zh-CN" w:bidi="ar"/>
        </w:rPr>
        <w:t>八、年初结转和结余：指单位上年结转本年使用的基本支出结转、项目支出结转和结余和经营结余。</w:t>
      </w:r>
      <w:r>
        <w:rPr>
          <w:rFonts w:hint="eastAsia" w:ascii="仿宋" w:hAnsi="仿宋" w:eastAsia="仿宋" w:cs="宋体"/>
          <w:kern w:val="0"/>
          <w:sz w:val="32"/>
          <w:szCs w:val="32"/>
          <w:lang w:val="en-US" w:eastAsia="zh-CN" w:bidi="ar"/>
        </w:rPr>
        <w:t xml:space="preserve"> </w:t>
      </w:r>
    </w:p>
    <w:p>
      <w:pPr>
        <w:keepNext w:val="0"/>
        <w:keepLines w:val="0"/>
        <w:widowControl/>
        <w:suppressLineNumbers w:val="0"/>
        <w:spacing w:before="0" w:beforeAutospacing="1" w:after="0" w:afterAutospacing="1" w:line="23" w:lineRule="atLeast"/>
        <w:ind w:left="0" w:right="0" w:firstLine="640" w:firstLineChars="200"/>
        <w:jc w:val="left"/>
      </w:pPr>
      <w:r>
        <w:rPr>
          <w:rFonts w:hint="eastAsia" w:ascii="仿宋" w:hAnsi="仿宋" w:eastAsia="仿宋" w:cs="仿宋"/>
          <w:kern w:val="0"/>
          <w:sz w:val="32"/>
          <w:szCs w:val="32"/>
          <w:lang w:val="en-US" w:eastAsia="zh-CN" w:bidi="ar"/>
        </w:rPr>
        <w:t>九、结余分配：指事业单位按规定对非财政补助结余资金提取的职工福利基金、事业基金和缴纳的所得税，以及减少单位按规定应缴回的基本建设竣工项目结余资金。</w:t>
      </w:r>
      <w:r>
        <w:rPr>
          <w:rFonts w:hint="eastAsia" w:ascii="仿宋" w:hAnsi="仿宋" w:eastAsia="仿宋" w:cs="宋体"/>
          <w:kern w:val="0"/>
          <w:sz w:val="32"/>
          <w:szCs w:val="32"/>
          <w:lang w:val="en-US" w:eastAsia="zh-CN" w:bidi="ar"/>
        </w:rPr>
        <w:t xml:space="preserve"> </w:t>
      </w:r>
    </w:p>
    <w:p>
      <w:pPr>
        <w:keepNext w:val="0"/>
        <w:keepLines w:val="0"/>
        <w:widowControl/>
        <w:suppressLineNumbers w:val="0"/>
        <w:spacing w:before="0" w:beforeAutospacing="1" w:after="0" w:afterAutospacing="1" w:line="23" w:lineRule="atLeast"/>
        <w:ind w:left="0" w:right="0" w:firstLine="640" w:firstLineChars="200"/>
        <w:jc w:val="left"/>
      </w:pPr>
      <w:r>
        <w:rPr>
          <w:rFonts w:hint="eastAsia" w:ascii="仿宋" w:hAnsi="仿宋" w:eastAsia="仿宋" w:cs="仿宋"/>
          <w:kern w:val="0"/>
          <w:sz w:val="32"/>
          <w:szCs w:val="32"/>
          <w:lang w:val="en-US" w:eastAsia="zh-CN" w:bidi="ar"/>
        </w:rPr>
        <w:t>十、年末结转和结余资金：指单位结转下年的基本支出结转、项目支出结转和结余和经营结余。</w:t>
      </w:r>
    </w:p>
    <w:p>
      <w:pPr>
        <w:keepNext w:val="0"/>
        <w:keepLines w:val="0"/>
        <w:widowControl/>
        <w:suppressLineNumbers w:val="0"/>
        <w:spacing w:before="0" w:beforeAutospacing="1" w:after="0" w:afterAutospacing="1" w:line="23" w:lineRule="atLeast"/>
        <w:ind w:left="0" w:right="0" w:firstLine="640" w:firstLineChars="200"/>
        <w:jc w:val="left"/>
      </w:pPr>
      <w:r>
        <w:rPr>
          <w:rFonts w:hint="eastAsia" w:ascii="仿宋" w:hAnsi="仿宋" w:eastAsia="仿宋" w:cs="仿宋"/>
          <w:kern w:val="0"/>
          <w:sz w:val="32"/>
          <w:szCs w:val="32"/>
          <w:lang w:val="en-US" w:eastAsia="zh-CN" w:bidi="ar"/>
        </w:rPr>
        <w:t>十一、基本支出：指为保障机构正常运转、完成日常工作任务而发生的人员支出和公用支出。</w:t>
      </w:r>
      <w:r>
        <w:rPr>
          <w:rFonts w:hint="eastAsia" w:ascii="仿宋" w:hAnsi="仿宋" w:eastAsia="仿宋" w:cs="宋体"/>
          <w:kern w:val="0"/>
          <w:sz w:val="32"/>
          <w:szCs w:val="32"/>
          <w:lang w:val="en-US" w:eastAsia="zh-CN" w:bidi="ar"/>
        </w:rPr>
        <w:t xml:space="preserve"> </w:t>
      </w:r>
    </w:p>
    <w:p>
      <w:pPr>
        <w:keepNext w:val="0"/>
        <w:keepLines w:val="0"/>
        <w:widowControl/>
        <w:suppressLineNumbers w:val="0"/>
        <w:spacing w:before="0" w:beforeAutospacing="1" w:after="0" w:afterAutospacing="1" w:line="23" w:lineRule="atLeast"/>
        <w:ind w:left="0" w:right="0" w:firstLine="640" w:firstLineChars="200"/>
        <w:jc w:val="left"/>
      </w:pPr>
      <w:r>
        <w:rPr>
          <w:rFonts w:hint="eastAsia" w:ascii="仿宋" w:hAnsi="仿宋" w:eastAsia="仿宋" w:cs="仿宋"/>
          <w:kern w:val="0"/>
          <w:sz w:val="32"/>
          <w:szCs w:val="32"/>
          <w:lang w:val="en-US" w:eastAsia="zh-CN" w:bidi="ar"/>
        </w:rPr>
        <w:t>十二、项目支出：指在基本支出之外为完成特定的行政任务或事业发展目标所发生的支出。</w:t>
      </w:r>
      <w:r>
        <w:rPr>
          <w:rFonts w:hint="eastAsia" w:ascii="仿宋" w:hAnsi="仿宋" w:eastAsia="仿宋" w:cs="宋体"/>
          <w:kern w:val="0"/>
          <w:sz w:val="32"/>
          <w:szCs w:val="32"/>
          <w:lang w:val="en-US" w:eastAsia="zh-CN" w:bidi="ar"/>
        </w:rPr>
        <w:t xml:space="preserve"> </w:t>
      </w:r>
    </w:p>
    <w:p>
      <w:pPr>
        <w:keepNext w:val="0"/>
        <w:keepLines w:val="0"/>
        <w:widowControl/>
        <w:suppressLineNumbers w:val="0"/>
        <w:spacing w:before="0" w:beforeAutospacing="1" w:after="0" w:afterAutospacing="1" w:line="23" w:lineRule="atLeast"/>
        <w:ind w:left="0" w:right="0" w:firstLine="640" w:firstLineChars="200"/>
        <w:jc w:val="left"/>
      </w:pPr>
      <w:r>
        <w:rPr>
          <w:rFonts w:hint="eastAsia" w:ascii="仿宋" w:hAnsi="仿宋" w:eastAsia="仿宋" w:cs="仿宋"/>
          <w:kern w:val="0"/>
          <w:sz w:val="32"/>
          <w:szCs w:val="32"/>
          <w:lang w:val="en-US" w:eastAsia="zh-CN" w:bidi="ar"/>
        </w:rPr>
        <w:t>十三、上缴上级支出：指事业单位按照财政单位和主管单位的规定上缴上级单位的支出。</w:t>
      </w:r>
    </w:p>
    <w:p>
      <w:pPr>
        <w:keepNext w:val="0"/>
        <w:keepLines w:val="0"/>
        <w:widowControl/>
        <w:suppressLineNumbers w:val="0"/>
        <w:spacing w:before="0" w:beforeAutospacing="1" w:after="0" w:afterAutospacing="1" w:line="23" w:lineRule="atLeast"/>
        <w:ind w:left="0" w:right="0" w:firstLine="640" w:firstLineChars="200"/>
        <w:jc w:val="left"/>
      </w:pPr>
      <w:r>
        <w:rPr>
          <w:rFonts w:hint="eastAsia" w:ascii="仿宋" w:hAnsi="仿宋" w:eastAsia="仿宋" w:cs="仿宋"/>
          <w:kern w:val="0"/>
          <w:sz w:val="32"/>
          <w:szCs w:val="32"/>
          <w:lang w:val="en-US" w:eastAsia="zh-CN" w:bidi="ar"/>
        </w:rPr>
        <w:t>十四、经营支出：指事业单位在专业业务活动及其辅助活动之外开展非独立核算经营活动发生的支出。</w:t>
      </w:r>
    </w:p>
    <w:p>
      <w:pPr>
        <w:keepNext w:val="0"/>
        <w:keepLines w:val="0"/>
        <w:widowControl/>
        <w:suppressLineNumbers w:val="0"/>
        <w:spacing w:before="0" w:beforeAutospacing="1" w:after="0" w:afterAutospacing="1" w:line="23" w:lineRule="atLeast"/>
        <w:ind w:left="0" w:right="0" w:firstLine="640" w:firstLineChars="200"/>
        <w:jc w:val="left"/>
      </w:pPr>
      <w:r>
        <w:rPr>
          <w:rFonts w:hint="eastAsia" w:ascii="仿宋" w:hAnsi="仿宋" w:eastAsia="仿宋" w:cs="仿宋"/>
          <w:kern w:val="0"/>
          <w:sz w:val="32"/>
          <w:szCs w:val="32"/>
          <w:lang w:val="en-US" w:eastAsia="zh-CN" w:bidi="ar"/>
        </w:rPr>
        <w:t>十五、对附属单位补助支出：指事业单位用财政补助收入之外的收入对附属单位补助发生的支出。</w:t>
      </w:r>
    </w:p>
    <w:p>
      <w:pPr>
        <w:keepNext w:val="0"/>
        <w:keepLines w:val="0"/>
        <w:widowControl/>
        <w:suppressLineNumbers w:val="0"/>
        <w:spacing w:before="0" w:beforeAutospacing="1" w:after="0" w:afterAutospacing="1" w:line="23" w:lineRule="atLeast"/>
        <w:ind w:left="0" w:right="0" w:firstLine="640" w:firstLineChars="200"/>
        <w:jc w:val="left"/>
      </w:pPr>
      <w:r>
        <w:rPr>
          <w:rFonts w:hint="eastAsia" w:ascii="仿宋" w:hAnsi="仿宋" w:eastAsia="仿宋" w:cs="仿宋"/>
          <w:kern w:val="0"/>
          <w:sz w:val="32"/>
          <w:szCs w:val="32"/>
          <w:lang w:val="en-US" w:eastAsia="zh-CN" w:bidi="ar"/>
        </w:rPr>
        <w:t>十六、“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r>
        <w:rPr>
          <w:rFonts w:hint="eastAsia" w:ascii="仿宋" w:hAnsi="仿宋" w:eastAsia="仿宋" w:cs="宋体"/>
          <w:kern w:val="0"/>
          <w:sz w:val="32"/>
          <w:szCs w:val="32"/>
          <w:lang w:val="en-US" w:eastAsia="zh-CN" w:bidi="ar"/>
        </w:rPr>
        <w:t xml:space="preserve"> </w:t>
      </w:r>
    </w:p>
    <w:p>
      <w:pPr>
        <w:keepNext w:val="0"/>
        <w:keepLines w:val="0"/>
        <w:widowControl/>
        <w:suppressLineNumbers w:val="0"/>
        <w:spacing w:before="0" w:beforeAutospacing="1" w:after="0" w:afterAutospacing="1" w:line="23" w:lineRule="atLeast"/>
        <w:ind w:left="0" w:right="0" w:firstLine="640" w:firstLineChars="200"/>
        <w:jc w:val="left"/>
      </w:pPr>
      <w:r>
        <w:rPr>
          <w:rFonts w:hint="eastAsia" w:ascii="仿宋" w:hAnsi="仿宋" w:eastAsia="仿宋" w:cs="仿宋"/>
          <w:kern w:val="0"/>
          <w:sz w:val="32"/>
          <w:szCs w:val="32"/>
          <w:lang w:val="en-US" w:eastAsia="zh-CN" w:bidi="ar"/>
        </w:rPr>
        <w:t>十七、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机关运行经费”暂指一般公共预算安排的基本支出中的“商品和服务支出”经费。</w:t>
      </w:r>
    </w:p>
    <w:p>
      <w:pPr>
        <w:keepNext w:val="0"/>
        <w:keepLines w:val="0"/>
        <w:widowControl/>
        <w:suppressLineNumbers w:val="0"/>
        <w:spacing w:before="0" w:beforeAutospacing="1" w:after="0" w:afterAutospacing="1" w:line="600" w:lineRule="exact"/>
        <w:ind w:left="0" w:right="0"/>
        <w:jc w:val="center"/>
      </w:pPr>
      <w:r>
        <w:rPr>
          <w:rFonts w:hint="eastAsia" w:ascii="宋体" w:hAnsi="宋体" w:eastAsia="宋体" w:cs="宋体"/>
          <w:b/>
          <w:bCs w:val="0"/>
          <w:kern w:val="0"/>
          <w:sz w:val="32"/>
          <w:szCs w:val="32"/>
          <w:lang w:val="en-US" w:eastAsia="zh-CN" w:bidi="ar"/>
        </w:rPr>
        <w:t> </w:t>
      </w:r>
    </w:p>
    <w:p>
      <w:pPr>
        <w:keepNext w:val="0"/>
        <w:keepLines w:val="0"/>
        <w:widowControl/>
        <w:suppressLineNumbers w:val="0"/>
        <w:spacing w:before="1" w:beforeAutospacing="0" w:after="0" w:afterAutospacing="1" w:line="600" w:lineRule="exact"/>
        <w:ind w:left="0" w:right="0" w:firstLine="640" w:firstLineChars="200"/>
        <w:jc w:val="left"/>
      </w:pPr>
      <w:r>
        <w:rPr>
          <w:rFonts w:hint="eastAsia" w:ascii="宋体" w:hAnsi="宋体" w:eastAsia="宋体" w:cs="宋体"/>
          <w:kern w:val="0"/>
          <w:sz w:val="32"/>
          <w:szCs w:val="32"/>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305A975-22D3-4C14-A3CB-B31EF877389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73FAAEE-A3E1-4995-905C-147982D3D092}"/>
  </w:font>
  <w:font w:name="方正小标宋简体">
    <w:panose1 w:val="02000000000000000000"/>
    <w:charset w:val="86"/>
    <w:family w:val="auto"/>
    <w:pitch w:val="default"/>
    <w:sig w:usb0="00000001" w:usb1="08000000" w:usb2="00000000" w:usb3="00000000" w:csb0="00040000" w:csb1="00000000"/>
    <w:embedRegular r:id="rId3" w:fontKey="{231EF2B6-2083-42D1-BFE5-38EF7C96C0BF}"/>
  </w:font>
  <w:font w:name="仿宋_GB2312">
    <w:panose1 w:val="02010609030101010101"/>
    <w:charset w:val="86"/>
    <w:family w:val="auto"/>
    <w:pitch w:val="default"/>
    <w:sig w:usb0="00000001" w:usb1="080E0000" w:usb2="00000000" w:usb3="00000000" w:csb0="00040000" w:csb1="00000000"/>
    <w:embedRegular r:id="rId4" w:fontKey="{D8769576-E47B-427B-9271-455AEB132FBD}"/>
  </w:font>
  <w:font w:name="仿宋">
    <w:panose1 w:val="02010609060101010101"/>
    <w:charset w:val="86"/>
    <w:family w:val="auto"/>
    <w:pitch w:val="default"/>
    <w:sig w:usb0="800002BF" w:usb1="38CF7CFA" w:usb2="00000016" w:usb3="00000000" w:csb0="00040001" w:csb1="00000000"/>
    <w:embedRegular r:id="rId5" w:fontKey="{783B9E00-5609-4DD7-87C1-12D05D01227E}"/>
  </w:font>
  <w:font w:name="Arial">
    <w:panose1 w:val="020B0604020202020204"/>
    <w:charset w:val="00"/>
    <w:family w:val="auto"/>
    <w:pitch w:val="default"/>
    <w:sig w:usb0="E0002EFF" w:usb1="C000785B" w:usb2="00000009" w:usb3="00000000" w:csb0="400001FF" w:csb1="FFFF0000"/>
    <w:embedRegular r:id="rId6" w:fontKey="{0C285E84-3CA0-4D7C-A453-77E4CA47BD1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49B86962"/>
    <w:rsid w:val="49B86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2023-10-08T01:04:00Z</dcterms:created>
  <dc:creator>才东东</dc:creator>
  <cp:lastModifiedBy>才东东</cp:lastModifiedBy>
  <dcterms:modified xsi:type="dcterms:W3CDTF">2023-10-08T01:15:12Z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92743792974F49C2862C7058B612C77A_11</vt:lpwstr>
  </property>
</Properties>
</file>