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0"/>
          <w:sz w:val="44"/>
          <w:szCs w:val="44"/>
          <w:lang w:val="en-US" w:eastAsia="zh-CN" w:bidi="ar"/>
        </w:rPr>
        <w:t>宁都县第二小学</w:t>
      </w:r>
      <w:r>
        <w:rPr>
          <w:rFonts w:hint="default" w:ascii="方正小标宋简体" w:hAnsi="方正小标宋简体" w:eastAsia="方正小标宋简体" w:cs="方正小标宋简体"/>
          <w:b w:val="0"/>
          <w:bCs w:val="0"/>
          <w:kern w:val="0"/>
          <w:sz w:val="44"/>
          <w:szCs w:val="44"/>
          <w:lang w:val="en-US" w:eastAsia="zh-CN" w:bidi="ar"/>
        </w:rPr>
        <w:t>2021年度单位决算公开</w:t>
      </w:r>
    </w:p>
    <w:p>
      <w:pPr>
        <w:keepNext w:val="0"/>
        <w:keepLines w:val="0"/>
        <w:widowControl/>
        <w:suppressLineNumbers w:val="0"/>
        <w:spacing w:before="0" w:beforeAutospacing="1" w:after="0" w:afterAutospacing="1" w:line="600" w:lineRule="exact"/>
        <w:ind w:left="0" w:right="0"/>
        <w:jc w:val="center"/>
      </w:pPr>
      <w:r>
        <w:rPr>
          <w:rFonts w:ascii="黑体" w:hAnsi="宋体" w:eastAsia="黑体" w:cs="宋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0"/>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宋体" w:eastAsia="仿宋_GB2312" w:cs="宋体"/>
          <w:kern w:val="0"/>
          <w:sz w:val="32"/>
          <w:szCs w:val="32"/>
          <w:lang w:val="en-US" w:eastAsia="zh-CN" w:bidi="ar"/>
        </w:rPr>
        <w:t> </w:t>
      </w:r>
      <w:r>
        <w:rPr>
          <w:rFonts w:hint="eastAsia" w:ascii="黑体" w:hAnsi="宋体" w:eastAsia="黑体" w:cs="黑体"/>
          <w:b/>
          <w:bCs w:val="0"/>
          <w:kern w:val="0"/>
          <w:sz w:val="32"/>
          <w:szCs w:val="32"/>
          <w:lang w:val="en-US" w:eastAsia="zh-CN" w:bidi="ar"/>
        </w:rPr>
        <w:t>第一部分</w:t>
      </w:r>
      <w:r>
        <w:rPr>
          <w:rFonts w:hint="eastAsia" w:ascii="黑体" w:hAnsi="宋体" w:eastAsia="黑体" w:cs="宋体"/>
          <w:b/>
          <w:bCs w:val="0"/>
          <w:kern w:val="0"/>
          <w:sz w:val="32"/>
          <w:szCs w:val="32"/>
          <w:lang w:val="en-US" w:eastAsia="zh-CN" w:bidi="ar"/>
        </w:rPr>
        <w:t xml:space="preserve">  </w:t>
      </w:r>
      <w:r>
        <w:rPr>
          <w:rFonts w:hint="eastAsia" w:ascii="黑体" w:hAnsi="宋体" w:eastAsia="黑体" w:cs="黑体"/>
          <w:b/>
          <w:bCs w:val="0"/>
          <w:kern w:val="0"/>
          <w:sz w:val="32"/>
          <w:szCs w:val="32"/>
          <w:lang w:val="en-US" w:eastAsia="zh-CN" w:bidi="ar"/>
        </w:rPr>
        <w:t>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宋体" w:eastAsia="仿宋_GB2312" w:cs="宋体"/>
          <w:b/>
          <w:bCs w:val="0"/>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0"/>
          <w:sz w:val="32"/>
          <w:szCs w:val="32"/>
          <w:lang w:val="en-US" w:eastAsia="zh-CN" w:bidi="ar"/>
        </w:rPr>
        <w:t>第二部分</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宋体" w:hAnsi="宋体" w:eastAsia="宋体" w:cs="宋体"/>
          <w:b w:val="0"/>
          <w:bCs w:val="0"/>
          <w:i w:val="0"/>
          <w:iCs w:val="0"/>
          <w:color w:val="000000"/>
          <w:kern w:val="0"/>
          <w:sz w:val="28"/>
          <w:szCs w:val="28"/>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0"/>
          <w:sz w:val="32"/>
          <w:szCs w:val="32"/>
          <w:lang w:val="en-US" w:eastAsia="zh-CN" w:bidi="ar"/>
        </w:rPr>
        <w:t>第三部分</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0"/>
          <w:sz w:val="32"/>
          <w:szCs w:val="32"/>
          <w:lang w:val="en-US" w:eastAsia="zh-CN" w:bidi="ar"/>
        </w:rPr>
        <w:t>第四部分</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0"/>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一、单位主要职责</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1</w:t>
      </w:r>
      <w:r>
        <w:rPr>
          <w:rFonts w:hint="eastAsia" w:ascii="仿宋" w:hAnsi="仿宋" w:eastAsia="仿宋" w:cs="仿宋"/>
          <w:color w:val="000000"/>
          <w:spacing w:val="7"/>
          <w:sz w:val="32"/>
          <w:szCs w:val="32"/>
          <w:shd w:val="clear" w:fill="FFFFFF"/>
        </w:rPr>
        <w:t>、负责贯彻党的教育方针，坚持社会主义办学方向，对学生进行德</w:t>
      </w:r>
      <w:r>
        <w:rPr>
          <w:rFonts w:hint="eastAsia" w:ascii="仿宋" w:hAnsi="仿宋" w:eastAsia="仿宋" w:cs="仿宋"/>
          <w:color w:val="000000"/>
          <w:spacing w:val="-9"/>
          <w:sz w:val="32"/>
          <w:szCs w:val="32"/>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2</w:t>
      </w:r>
      <w:r>
        <w:rPr>
          <w:rFonts w:hint="eastAsia" w:ascii="仿宋" w:hAnsi="仿宋" w:eastAsia="仿宋" w:cs="仿宋"/>
          <w:color w:val="000000"/>
          <w:spacing w:val="7"/>
          <w:sz w:val="32"/>
          <w:szCs w:val="32"/>
          <w:shd w:val="clear" w:fill="FFFFFF"/>
        </w:rPr>
        <w:t>、负责配合各级人民政府依法动员适龄儿童、少年入学，严格控制</w:t>
      </w:r>
      <w:r>
        <w:rPr>
          <w:rFonts w:hint="eastAsia" w:ascii="仿宋" w:hAnsi="仿宋" w:eastAsia="仿宋" w:cs="仿宋"/>
          <w:color w:val="000000"/>
          <w:spacing w:val="-11"/>
          <w:sz w:val="32"/>
          <w:szCs w:val="32"/>
          <w:shd w:val="clear" w:fill="FFFFFF"/>
        </w:rPr>
        <w:t>学生辍学，依法保证适龄儿童、少年接受九年义务教育。</w:t>
      </w:r>
      <w:r>
        <w:rPr>
          <w:rFonts w:hint="eastAsia" w:ascii="仿宋" w:hAnsi="仿宋" w:eastAsia="仿宋" w:cs="仿宋"/>
          <w:color w:val="000000"/>
          <w:sz w:val="32"/>
          <w:szCs w:val="32"/>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3</w:t>
      </w:r>
      <w:r>
        <w:rPr>
          <w:rFonts w:hint="eastAsia" w:ascii="仿宋" w:hAnsi="仿宋" w:eastAsia="仿宋" w:cs="仿宋"/>
          <w:color w:val="000000"/>
          <w:spacing w:val="-9"/>
          <w:sz w:val="32"/>
          <w:szCs w:val="32"/>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4</w:t>
      </w:r>
      <w:r>
        <w:rPr>
          <w:rFonts w:hint="eastAsia" w:ascii="仿宋" w:hAnsi="仿宋" w:eastAsia="仿宋" w:cs="仿宋"/>
          <w:color w:val="000000"/>
          <w:spacing w:val="7"/>
          <w:sz w:val="32"/>
          <w:szCs w:val="32"/>
          <w:shd w:val="clear" w:fill="FFFFFF"/>
        </w:rPr>
        <w:t>、负责按照教育主管单位发布的指导性教学计划、教学大纲，组织</w:t>
      </w:r>
      <w:r>
        <w:rPr>
          <w:rFonts w:hint="eastAsia" w:ascii="仿宋" w:hAnsi="仿宋" w:eastAsia="仿宋" w:cs="仿宋"/>
          <w:color w:val="000000"/>
          <w:spacing w:val="-11"/>
          <w:sz w:val="32"/>
          <w:szCs w:val="32"/>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5</w:t>
      </w:r>
      <w:r>
        <w:rPr>
          <w:rFonts w:hint="eastAsia" w:ascii="仿宋" w:hAnsi="仿宋" w:eastAsia="仿宋" w:cs="仿宋"/>
          <w:color w:val="000000"/>
          <w:spacing w:val="7"/>
          <w:sz w:val="32"/>
          <w:szCs w:val="32"/>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6</w:t>
      </w:r>
      <w:r>
        <w:rPr>
          <w:rFonts w:hint="eastAsia" w:ascii="仿宋" w:hAnsi="仿宋" w:eastAsia="仿宋" w:cs="仿宋"/>
          <w:color w:val="000000"/>
          <w:spacing w:val="-4"/>
          <w:sz w:val="32"/>
          <w:szCs w:val="32"/>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7</w:t>
      </w:r>
      <w:r>
        <w:rPr>
          <w:rFonts w:hint="eastAsia" w:ascii="仿宋" w:hAnsi="仿宋" w:eastAsia="仿宋" w:cs="仿宋"/>
          <w:color w:val="000000"/>
          <w:spacing w:val="-9"/>
          <w:sz w:val="32"/>
          <w:szCs w:val="32"/>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8</w:t>
      </w:r>
      <w:r>
        <w:rPr>
          <w:rFonts w:hint="eastAsia" w:ascii="仿宋" w:hAnsi="仿宋" w:eastAsia="仿宋" w:cs="仿宋"/>
          <w:color w:val="000000"/>
          <w:spacing w:val="7"/>
          <w:sz w:val="32"/>
          <w:szCs w:val="32"/>
          <w:shd w:val="clear" w:fill="FFFFFF"/>
        </w:rPr>
        <w:t>、负责科学管理、合理使用学校的设施和经费，并积极筹措资金，</w:t>
      </w:r>
      <w:r>
        <w:rPr>
          <w:rFonts w:hint="eastAsia" w:ascii="仿宋" w:hAnsi="仿宋" w:eastAsia="仿宋" w:cs="仿宋"/>
          <w:color w:val="000000"/>
          <w:spacing w:val="-5"/>
          <w:sz w:val="32"/>
          <w:szCs w:val="32"/>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640" w:firstLineChars="200"/>
      </w:pPr>
      <w:r>
        <w:rPr>
          <w:rFonts w:hint="eastAsia" w:ascii="仿宋" w:hAnsi="仿宋" w:eastAsia="仿宋" w:cs="仿宋"/>
          <w:color w:val="000000"/>
          <w:sz w:val="32"/>
          <w:szCs w:val="32"/>
          <w:shd w:val="clear" w:fill="FFFFFF"/>
        </w:rPr>
        <w:t>9</w:t>
      </w:r>
      <w:r>
        <w:rPr>
          <w:rFonts w:hint="eastAsia" w:ascii="仿宋" w:hAnsi="仿宋" w:eastAsia="仿宋" w:cs="仿宋"/>
          <w:color w:val="000000"/>
          <w:spacing w:val="7"/>
          <w:sz w:val="32"/>
          <w:szCs w:val="32"/>
          <w:shd w:val="clear" w:fill="FFFFFF"/>
        </w:rPr>
        <w:t>、负责维护学校、师生的合法权益，有权拒绝任何组织和个人对教</w:t>
      </w:r>
      <w:r>
        <w:rPr>
          <w:rFonts w:hint="eastAsia" w:ascii="仿宋" w:hAnsi="仿宋" w:eastAsia="仿宋" w:cs="仿宋"/>
          <w:color w:val="000000"/>
          <w:spacing w:val="-8"/>
          <w:sz w:val="32"/>
          <w:szCs w:val="32"/>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604" w:firstLineChars="200"/>
      </w:pPr>
      <w:r>
        <w:rPr>
          <w:rFonts w:hint="eastAsia" w:ascii="仿宋" w:hAnsi="仿宋" w:eastAsia="仿宋" w:cs="仿宋"/>
          <w:color w:val="000000"/>
          <w:spacing w:val="-9"/>
          <w:sz w:val="32"/>
          <w:szCs w:val="32"/>
          <w:shd w:val="clear" w:fill="FFFFFF"/>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二、单位基本情况</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2"/>
          <w:szCs w:val="32"/>
          <w:lang w:val="en-US" w:eastAsia="zh-CN" w:bidi="ar"/>
        </w:rPr>
        <w:t>纳入本套单位决算汇编范围的单位共1个。</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color w:val="000000"/>
          <w:kern w:val="0"/>
          <w:sz w:val="32"/>
          <w:szCs w:val="32"/>
          <w:lang w:val="en-US" w:eastAsia="zh-CN" w:bidi="ar"/>
        </w:rPr>
        <w:t>本单位2021年年末实有人数152人，其中在职人员101人，退休人员51人（含由养老保险基金发放养老金的离退休人员）。年末学生人数1992人，其中小学1992人。</w:t>
      </w:r>
    </w:p>
    <w:p>
      <w:pPr>
        <w:keepNext w:val="0"/>
        <w:keepLines w:val="0"/>
        <w:widowControl/>
        <w:suppressLineNumbers w:val="0"/>
        <w:spacing w:before="0" w:beforeAutospacing="1" w:after="0" w:afterAutospacing="1" w:line="600" w:lineRule="exact"/>
        <w:ind w:left="0" w:right="0"/>
        <w:jc w:val="center"/>
        <w:rPr>
          <w:rFonts w:asciiTheme="minorEastAsia" w:hAnsiTheme="minorEastAsia" w:eastAsiaTheme="minorEastAsia"/>
          <w:b/>
          <w:sz w:val="36"/>
          <w:szCs w:val="36"/>
        </w:rPr>
        <w:sectPr>
          <w:pgSz w:w="11910" w:h="16840"/>
          <w:pgMar w:top="1542" w:right="1678" w:bottom="278" w:left="1678" w:header="720" w:footer="720" w:gutter="0"/>
          <w:cols w:space="720" w:num="1"/>
        </w:sectPr>
      </w:pPr>
      <w:r>
        <w:rPr>
          <w:rFonts w:hint="default" w:ascii="方正小标宋简体" w:hAnsi="方正小标宋简体" w:eastAsia="方正小标宋简体" w:cs="方正小标宋简体"/>
          <w:b w:val="0"/>
          <w:bCs/>
          <w:kern w:val="0"/>
          <w:sz w:val="44"/>
          <w:szCs w:val="44"/>
          <w:lang w:val="en-US" w:eastAsia="zh-CN" w:bidi="ar"/>
        </w:rPr>
        <w:t>第二部分  2021年度单位决算表</w:t>
      </w:r>
      <w:bookmarkStart w:id="0" w:name="_GoBack"/>
      <w:bookmarkEnd w:id="0"/>
    </w:p>
    <w:tbl>
      <w:tblPr>
        <w:tblStyle w:val="3"/>
        <w:tblW w:w="456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83"/>
        <w:gridCol w:w="549"/>
        <w:gridCol w:w="883"/>
        <w:gridCol w:w="2716"/>
        <w:gridCol w:w="549"/>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5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5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3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9"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7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221"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2778"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31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30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94.65</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64"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35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17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5000"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center"/>
        <w:rPr>
          <w:rFonts w:asciiTheme="minorEastAsia" w:hAnsiTheme="minorEastAsia" w:eastAsiaTheme="minorEastAsia"/>
          <w:sz w:val="32"/>
          <w:szCs w:val="32"/>
        </w:rPr>
      </w:pPr>
    </w:p>
    <w:tbl>
      <w:tblPr>
        <w:tblStyle w:val="3"/>
        <w:tblW w:w="46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9"/>
        <w:gridCol w:w="340"/>
        <w:gridCol w:w="340"/>
        <w:gridCol w:w="836"/>
        <w:gridCol w:w="960"/>
        <w:gridCol w:w="960"/>
        <w:gridCol w:w="960"/>
        <w:gridCol w:w="712"/>
        <w:gridCol w:w="712"/>
        <w:gridCol w:w="464"/>
        <w:gridCol w:w="929"/>
        <w:gridCol w:w="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3" w:type="pct"/>
          <w:trHeight w:val="540" w:hRule="atLeast"/>
          <w:jc w:val="center"/>
        </w:trPr>
        <w:tc>
          <w:tcPr>
            <w:tcW w:w="4956"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3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5"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3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1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9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5"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0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4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4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54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90"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90"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9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75" w:type="pct"/>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46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9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5" w:type="pct"/>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9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5" w:type="pct"/>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9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5" w:type="pct"/>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30"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5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5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75"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30"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94.65</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4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94.65</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4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94.65</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4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94.65</w:t>
            </w:r>
          </w:p>
        </w:tc>
        <w:tc>
          <w:tcPr>
            <w:tcW w:w="3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5"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rFonts w:asciiTheme="minorEastAsia" w:hAnsiTheme="minorEastAsia" w:eastAsiaTheme="minorEastAsia"/>
          <w:sz w:val="32"/>
          <w:szCs w:val="32"/>
        </w:rPr>
      </w:pPr>
    </w:p>
    <w:tbl>
      <w:tblPr>
        <w:tblStyle w:val="3"/>
        <w:tblW w:w="461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25"/>
        <w:gridCol w:w="391"/>
        <w:gridCol w:w="391"/>
        <w:gridCol w:w="1091"/>
        <w:gridCol w:w="916"/>
        <w:gridCol w:w="916"/>
        <w:gridCol w:w="566"/>
        <w:gridCol w:w="566"/>
        <w:gridCol w:w="566"/>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29"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29"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84"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4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5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8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8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6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7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68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40"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50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5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9"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5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5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9"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1,477.97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asciiTheme="minorEastAsia" w:hAnsiTheme="minorEastAsia" w:eastAsiaTheme="minorEastAsia"/>
          <w:sz w:val="32"/>
          <w:szCs w:val="32"/>
        </w:rPr>
      </w:pPr>
    </w:p>
    <w:p>
      <w:pPr>
        <w:jc w:val="left"/>
        <w:rPr>
          <w:rFonts w:asciiTheme="minorEastAsia" w:hAnsiTheme="minorEastAsia" w:eastAsiaTheme="minorEastAsia"/>
          <w:sz w:val="32"/>
          <w:szCs w:val="32"/>
        </w:rPr>
      </w:pPr>
    </w:p>
    <w:p>
      <w:pPr>
        <w:jc w:val="left"/>
        <w:rPr>
          <w:rFonts w:asciiTheme="minorEastAsia" w:hAnsiTheme="minorEastAsia" w:eastAsiaTheme="minorEastAsia"/>
          <w:sz w:val="32"/>
          <w:szCs w:val="32"/>
        </w:rPr>
      </w:pPr>
    </w:p>
    <w:tbl>
      <w:tblPr>
        <w:tblStyle w:val="3"/>
        <w:tblW w:w="533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8"/>
        <w:gridCol w:w="627"/>
        <w:gridCol w:w="1086"/>
        <w:gridCol w:w="1822"/>
        <w:gridCol w:w="474"/>
        <w:gridCol w:w="849"/>
        <w:gridCol w:w="978"/>
        <w:gridCol w:w="996"/>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8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8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3"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79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06"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3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96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25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4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1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52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49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887"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5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2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33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5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一、一般公共预算财政拨款</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一、一般公共服务支出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二、政府性基金预算财政拨款</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二、外交支出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三、国有资本经营预算财政拨款</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三、国防支出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四、公共安全支出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五、教育支出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六、科学技术支出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七、文化旅游体育与传媒支出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八、社会保障和就业支出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九、卫生健康支出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十、节能环保支出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十一、城乡社区支出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十二、农林水支出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十三、交通运输支出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十四、资源勘探工业信息等支出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十五、商业服务业等支出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十六、金融支出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十七、援助其他地区支出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十八、自然资源海洋气象等支出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十九、住房保障支出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二十、粮油物资储备支出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二十一、国有资本经营预算支出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二十二、灾害防治及应急管理支出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二十三、其他支出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二十四、债务还本支出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二十五、债务付息支出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二十六、抗疫特别国债安排的支出</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本年收入合计</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本年支出合计</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年初财政拨款结转和结余</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年末财政拨款结转和结余</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一、一般公共预算财政拨款</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963"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4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51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5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二、政府性基金预算财政拨款</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96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1"/>
                <w:szCs w:val="21"/>
                <w:u w:val="none"/>
              </w:rPr>
            </w:pP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三、国有资本经营预算财政拨款</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96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1"/>
                <w:szCs w:val="21"/>
                <w:u w:val="none"/>
              </w:rPr>
            </w:pP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88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9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2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1,383.33</w:t>
            </w:r>
          </w:p>
        </w:tc>
        <w:tc>
          <w:tcPr>
            <w:tcW w:w="5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jc w:val="both"/>
        <w:rPr>
          <w:rFonts w:asciiTheme="minorEastAsia" w:hAnsiTheme="minorEastAsia" w:eastAsiaTheme="minorEastAsia"/>
          <w:sz w:val="32"/>
          <w:szCs w:val="32"/>
        </w:rPr>
      </w:pPr>
    </w:p>
    <w:p>
      <w:pPr>
        <w:jc w:val="both"/>
        <w:rPr>
          <w:rFonts w:asciiTheme="minorEastAsia" w:hAnsiTheme="minorEastAsia" w:eastAsiaTheme="minorEastAsia"/>
          <w:sz w:val="32"/>
          <w:szCs w:val="32"/>
        </w:rPr>
      </w:pPr>
    </w:p>
    <w:p>
      <w:pPr>
        <w:jc w:val="both"/>
        <w:rPr>
          <w:rFonts w:asciiTheme="minorEastAsia" w:hAnsiTheme="minorEastAsia" w:eastAsiaTheme="minorEastAsia"/>
          <w:sz w:val="32"/>
          <w:szCs w:val="32"/>
        </w:rPr>
      </w:pPr>
    </w:p>
    <w:p>
      <w:pPr>
        <w:jc w:val="both"/>
        <w:rPr>
          <w:rFonts w:asciiTheme="minorEastAsia" w:hAnsiTheme="minorEastAsia" w:eastAsiaTheme="minorEastAsia"/>
          <w:sz w:val="32"/>
          <w:szCs w:val="32"/>
        </w:rPr>
      </w:pPr>
    </w:p>
    <w:tbl>
      <w:tblPr>
        <w:tblStyle w:val="3"/>
        <w:tblW w:w="462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54"/>
        <w:gridCol w:w="430"/>
        <w:gridCol w:w="430"/>
        <w:gridCol w:w="1288"/>
        <w:gridCol w:w="1502"/>
        <w:gridCol w:w="1073"/>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5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5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2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5"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6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246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915"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653"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6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78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5"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67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5"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5"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157"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5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6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57"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6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9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9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7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9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6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1,383.33</w:t>
            </w: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tbl>
      <w:tblPr>
        <w:tblStyle w:val="3"/>
        <w:tblW w:w="535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4"/>
        <w:gridCol w:w="1514"/>
        <w:gridCol w:w="1159"/>
        <w:gridCol w:w="873"/>
        <w:gridCol w:w="1200"/>
        <w:gridCol w:w="955"/>
        <w:gridCol w:w="778"/>
        <w:gridCol w:w="1309"/>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0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816"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1092"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5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7"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183"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407"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6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63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1,233.65</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149.68</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30.94</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76.63</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415.17</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105.96</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24.28</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79.62</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公务员医疗补助缴款</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24.48</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34.21</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25.84</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政府投资基金股权投资</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7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其他对个人和家庭的补助支出</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6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6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6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797"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61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40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61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6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205"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6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1,233.65</w:t>
            </w:r>
          </w:p>
        </w:tc>
        <w:tc>
          <w:tcPr>
            <w:tcW w:w="2695"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bl>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tbl>
      <w:tblPr>
        <w:tblStyle w:val="3"/>
        <w:tblW w:w="46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97"/>
        <w:gridCol w:w="1231"/>
        <w:gridCol w:w="1591"/>
        <w:gridCol w:w="2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84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84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708"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841"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8"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9"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530"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0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7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5000" w:type="pct"/>
            <w:gridSpan w:val="4"/>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00" w:type="pct"/>
            <w:gridSpan w:val="4"/>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tbl>
      <w:tblPr>
        <w:tblStyle w:val="3"/>
        <w:tblW w:w="464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25"/>
        <w:gridCol w:w="391"/>
        <w:gridCol w:w="391"/>
        <w:gridCol w:w="916"/>
        <w:gridCol w:w="391"/>
        <w:gridCol w:w="916"/>
        <w:gridCol w:w="566"/>
        <w:gridCol w:w="916"/>
        <w:gridCol w:w="916"/>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2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2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1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182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5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08"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317"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50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0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0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923"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9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9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23"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1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bl>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tbl>
      <w:tblPr>
        <w:tblStyle w:val="3"/>
        <w:tblW w:w="464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436"/>
        <w:gridCol w:w="436"/>
        <w:gridCol w:w="1096"/>
        <w:gridCol w:w="1066"/>
        <w:gridCol w:w="96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23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23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2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44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82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2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7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31"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6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6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31"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6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6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说明：当此表数据为空时，即本部门无国有资本经营预算财政拨款支出。</w:t>
            </w:r>
          </w:p>
        </w:tc>
      </w:tr>
    </w:tbl>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tbl>
      <w:tblPr>
        <w:tblStyle w:val="3"/>
        <w:tblW w:w="465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56"/>
        <w:gridCol w:w="1133"/>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jc w:val="center"/>
        </w:trPr>
        <w:tc>
          <w:tcPr>
            <w:tcW w:w="5000" w:type="pct"/>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04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04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编制单位：宁都县第二小学</w:t>
            </w:r>
          </w:p>
        </w:tc>
        <w:tc>
          <w:tcPr>
            <w:tcW w:w="700"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25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042"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700"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56"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70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bl>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rPr>
          <w:rFonts w:hint="eastAsia" w:ascii="宋体" w:hAnsi="宋体" w:eastAsia="宋体" w:cs="宋体"/>
          <w:b/>
          <w:sz w:val="36"/>
          <w:szCs w:val="36"/>
        </w:rPr>
      </w:pP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32"/>
          <w:szCs w:val="32"/>
          <w:lang w:val="en-US" w:eastAsia="zh-CN" w:bidi="ar"/>
        </w:rPr>
        <w:t> </w:t>
      </w:r>
    </w:p>
    <w:p>
      <w:pPr>
        <w:rPr>
          <w:rFonts w:hint="eastAsia" w:ascii="宋体" w:hAnsi="宋体" w:eastAsia="宋体" w:cs="宋体"/>
          <w:b/>
          <w:sz w:val="36"/>
          <w:szCs w:val="36"/>
        </w:rPr>
        <w:sectPr>
          <w:pgSz w:w="12242" w:h="15842"/>
          <w:pgMar w:top="1440" w:right="1800" w:bottom="1440" w:left="1800" w:header="851" w:footer="992" w:gutter="0"/>
          <w:cols w:space="425" w:num="1"/>
          <w:docGrid w:type="lines" w:linePitch="312" w:charSpace="0"/>
        </w:sectPr>
      </w:pP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149.68</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149.68</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149.68</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149.68</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149.68</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149.68</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0"/>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0"/>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0"/>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b/>
          <w:bCs w:val="0"/>
          <w:kern w:val="0"/>
          <w:sz w:val="36"/>
          <w:szCs w:val="36"/>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0"/>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宋体" w:hAnsiTheme="minorHAnsi"/>
          <w:kern w:val="0"/>
          <w:sz w:val="30"/>
          <w:szCs w:val="30"/>
          <w:lang w:val="en-US" w:eastAsia="zh-CN" w:bidi="ar"/>
        </w:rPr>
        <w:t> </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0"/>
          <w:szCs w:val="30"/>
          <w:lang w:val="en-US" w:eastAsia="zh-CN" w:bidi="ar"/>
        </w:rPr>
        <w:t>一、收入决算情况说明</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本单位2021年度收入总计1477.97万元，较2020年增加406.01万元，增长37.88%，其中:年初结转和结余0万元，较2020年增加（减少）0万元，增长（下降）0%；本年收入合计1477.97万元，较2020年增加406.01万元，增长37.88%，主要原因是：财政拨款收入中人员工资增加和事业收入增加。</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本年收入的具体构成为：财政拨款收入1383.33万元，占93.6%；事业收入94.65万元，占6.4%；经营收入0万元，占0%；其他收入0万元，占0%。  </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0"/>
          <w:szCs w:val="30"/>
          <w:lang w:val="en-US" w:eastAsia="zh-CN" w:bidi="ar"/>
        </w:rPr>
        <w:t>二、支出决算情况说明</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本单位2021年度支出总计1477.97万元，其中本年支出合计1477.97万元，较2020年增加406.01万元，增长37.88%，主要原因是：教育支出增加；年末结转和结余0万元，较2020年增加（减少）0万元，增长（下降）0%。</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本年支出的具体构成为：基本支出1477.97万元，占100%；项目支出0万元，占0</w:t>
      </w:r>
      <w:r>
        <w:rPr>
          <w:rFonts w:hint="default" w:ascii="仿宋_GB2312" w:eastAsia="仿宋_GB2312" w:cs="宋体" w:hAnsiTheme="minorHAnsi"/>
          <w:kern w:val="0"/>
          <w:sz w:val="30"/>
          <w:szCs w:val="30"/>
          <w:lang w:val="en-US" w:eastAsia="zh-CN" w:bidi="ar"/>
        </w:rPr>
        <w:t> </w:t>
      </w:r>
      <w:r>
        <w:rPr>
          <w:rFonts w:hint="default" w:ascii="仿宋_GB2312" w:eastAsia="仿宋_GB2312" w:cs="仿宋_GB2312" w:hAnsiTheme="minorHAnsi"/>
          <w:kern w:val="0"/>
          <w:sz w:val="30"/>
          <w:szCs w:val="30"/>
          <w:lang w:val="en-US" w:eastAsia="zh-CN" w:bidi="ar"/>
        </w:rPr>
        <w:t>%；经营支出0万元，占0%；其他支出（对附属单位补助支出、上缴上级支出）0万元，占0%。</w:t>
      </w:r>
    </w:p>
    <w:p>
      <w:pPr>
        <w:keepNext w:val="0"/>
        <w:keepLines w:val="0"/>
        <w:widowControl/>
        <w:numPr>
          <w:numId w:val="0"/>
        </w:numPr>
        <w:suppressLineNumbers w:val="0"/>
        <w:spacing w:before="0" w:beforeAutospacing="1" w:after="0" w:afterAutospacing="1" w:line="23" w:lineRule="atLeast"/>
        <w:ind w:left="0" w:right="0" w:firstLine="630"/>
        <w:jc w:val="left"/>
      </w:pPr>
      <w:r>
        <w:rPr>
          <w:rFonts w:hint="eastAsia" w:ascii="黑体" w:hAnsi="宋体" w:eastAsia="黑体" w:cs="宋体"/>
          <w:kern w:val="0"/>
          <w:sz w:val="30"/>
          <w:szCs w:val="30"/>
          <w:lang w:val="en-US" w:eastAsia="zh-CN" w:bidi="ar"/>
        </w:rPr>
        <w:t>三、</w:t>
      </w:r>
      <w:r>
        <w:rPr>
          <w:rFonts w:hint="eastAsia" w:ascii="黑体" w:hAnsi="宋体" w:eastAsia="黑体" w:cs="黑体"/>
          <w:kern w:val="0"/>
          <w:sz w:val="30"/>
          <w:szCs w:val="30"/>
          <w:lang w:val="en-US" w:eastAsia="zh-CN" w:bidi="ar"/>
        </w:rPr>
        <w:t>财政拨款支出决算情况说明</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本单位2021年度财政拨款本年支出年初预算数为906.35万元，决算数为1383.33万元，完成年初预算的152.63%。其中：</w:t>
      </w:r>
    </w:p>
    <w:p>
      <w:pPr>
        <w:keepNext w:val="0"/>
        <w:keepLines w:val="0"/>
        <w:widowControl/>
        <w:suppressLineNumbers w:val="0"/>
        <w:spacing w:before="0" w:beforeAutospacing="1" w:after="0" w:afterAutospacing="1" w:line="23" w:lineRule="atLeast"/>
        <w:ind w:left="0" w:right="0" w:firstLine="600" w:firstLineChars="200"/>
        <w:jc w:val="left"/>
      </w:pPr>
      <w:r>
        <w:rPr>
          <w:rFonts w:hint="default" w:ascii="仿宋_GB2312" w:eastAsia="仿宋_GB2312" w:cs="仿宋_GB2312" w:hAnsiTheme="minorHAnsi"/>
          <w:kern w:val="0"/>
          <w:sz w:val="30"/>
          <w:szCs w:val="30"/>
          <w:lang w:val="en-US" w:eastAsia="zh-CN" w:bidi="ar"/>
        </w:rPr>
        <w:t>教育支出年初预算数为906.35万元，决算数为1383.33万元，完成年初预算的152.63%，主要原因是：人员工资福利中绩效工资支出增加。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0"/>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line="23" w:lineRule="atLeast"/>
        <w:ind w:left="0" w:right="0" w:firstLine="585"/>
        <w:jc w:val="left"/>
      </w:pPr>
      <w:r>
        <w:rPr>
          <w:rFonts w:hint="default" w:ascii="仿宋_GB2312" w:eastAsia="仿宋_GB2312" w:cs="仿宋_GB2312" w:hAnsiTheme="minorHAnsi"/>
          <w:kern w:val="0"/>
          <w:sz w:val="30"/>
          <w:szCs w:val="30"/>
          <w:lang w:val="en-US" w:eastAsia="zh-CN" w:bidi="ar"/>
        </w:rPr>
        <w:t>本单位2021年度一般公共预算财政拨款基本支出1383.33万元，其中：</w:t>
      </w:r>
    </w:p>
    <w:p>
      <w:pPr>
        <w:keepNext w:val="0"/>
        <w:keepLines w:val="0"/>
        <w:widowControl/>
        <w:suppressLineNumbers w:val="0"/>
        <w:spacing w:before="0" w:beforeAutospacing="1" w:after="0" w:afterAutospacing="1" w:line="23" w:lineRule="atLeast"/>
        <w:ind w:left="0" w:right="0" w:firstLine="585"/>
        <w:jc w:val="left"/>
      </w:pPr>
      <w:r>
        <w:rPr>
          <w:rFonts w:hint="default" w:ascii="仿宋_GB2312" w:eastAsia="仿宋_GB2312" w:cs="仿宋_GB2312" w:hAnsiTheme="minorHAnsi"/>
          <w:kern w:val="0"/>
          <w:sz w:val="30"/>
          <w:szCs w:val="30"/>
          <w:lang w:val="en-US" w:eastAsia="zh-CN" w:bidi="ar"/>
        </w:rPr>
        <w:t>（一）工资福利支出1233.65万元，较2020年增加273.08万元，增长28.43%，主要原因是：绩效工资支出增加。</w:t>
      </w:r>
    </w:p>
    <w:p>
      <w:pPr>
        <w:keepNext w:val="0"/>
        <w:keepLines w:val="0"/>
        <w:widowControl/>
        <w:suppressLineNumbers w:val="0"/>
        <w:spacing w:before="0" w:beforeAutospacing="1" w:after="0" w:afterAutospacing="1" w:line="23" w:lineRule="atLeast"/>
        <w:ind w:left="0" w:right="0" w:firstLine="585"/>
        <w:jc w:val="left"/>
      </w:pPr>
      <w:r>
        <w:rPr>
          <w:rFonts w:hint="default" w:ascii="仿宋_GB2312" w:eastAsia="仿宋_GB2312" w:cs="仿宋_GB2312" w:hAnsiTheme="minorHAnsi"/>
          <w:kern w:val="0"/>
          <w:sz w:val="30"/>
          <w:szCs w:val="30"/>
          <w:lang w:val="en-US" w:eastAsia="zh-CN" w:bidi="ar"/>
        </w:rPr>
        <w:t>（二）商品和服务支出149.68万元，较2020年增加50.68</w:t>
      </w:r>
      <w:r>
        <w:rPr>
          <w:rFonts w:hint="default" w:ascii="仿宋_GB2312" w:eastAsia="仿宋_GB2312" w:cs="宋体" w:hAnsiTheme="minorHAnsi"/>
          <w:kern w:val="0"/>
          <w:sz w:val="30"/>
          <w:szCs w:val="30"/>
          <w:lang w:val="en-US" w:eastAsia="zh-CN" w:bidi="ar"/>
        </w:rPr>
        <w:t> </w:t>
      </w:r>
      <w:r>
        <w:rPr>
          <w:rFonts w:hint="default" w:ascii="仿宋_GB2312" w:eastAsia="仿宋_GB2312" w:cs="仿宋_GB2312" w:hAnsiTheme="minorHAnsi"/>
          <w:kern w:val="0"/>
          <w:sz w:val="30"/>
          <w:szCs w:val="30"/>
          <w:lang w:val="en-US" w:eastAsia="zh-CN" w:bidi="ar"/>
        </w:rPr>
        <w:t>万元，增长51.19%，主要原因是：办公费、物业管理费、维修维护费支出增加。</w:t>
      </w:r>
    </w:p>
    <w:p>
      <w:pPr>
        <w:keepNext w:val="0"/>
        <w:keepLines w:val="0"/>
        <w:widowControl/>
        <w:suppressLineNumbers w:val="0"/>
        <w:spacing w:before="0" w:beforeAutospacing="1" w:after="0" w:afterAutospacing="1" w:line="23" w:lineRule="atLeast"/>
        <w:ind w:left="0" w:right="0" w:firstLine="585"/>
        <w:jc w:val="left"/>
      </w:pPr>
      <w:r>
        <w:rPr>
          <w:rFonts w:hint="default" w:ascii="仿宋_GB2312" w:eastAsia="仿宋_GB2312" w:cs="仿宋_GB2312" w:hAnsiTheme="minorHAnsi"/>
          <w:kern w:val="0"/>
          <w:sz w:val="30"/>
          <w:szCs w:val="30"/>
          <w:lang w:val="en-US" w:eastAsia="zh-CN" w:bidi="ar"/>
        </w:rPr>
        <w:t>（三）对个人和家庭补助支出0万元，较2020年减少4.47万元，主要原因是：生活补贴支出减少。</w:t>
      </w:r>
    </w:p>
    <w:p>
      <w:pPr>
        <w:keepNext w:val="0"/>
        <w:keepLines w:val="0"/>
        <w:widowControl/>
        <w:suppressLineNumbers w:val="0"/>
        <w:spacing w:before="0" w:beforeAutospacing="1" w:after="0" w:afterAutospacing="1" w:line="23" w:lineRule="atLeast"/>
        <w:ind w:left="0" w:right="0" w:firstLine="585"/>
        <w:jc w:val="left"/>
      </w:pPr>
      <w:r>
        <w:rPr>
          <w:rFonts w:hint="default" w:ascii="仿宋_GB2312" w:eastAsia="仿宋_GB2312" w:cs="仿宋_GB2312" w:hAnsiTheme="minorHAnsi"/>
          <w:kern w:val="0"/>
          <w:sz w:val="30"/>
          <w:szCs w:val="30"/>
          <w:lang w:val="en-US" w:eastAsia="zh-CN" w:bidi="ar"/>
        </w:rPr>
        <w:t>（四）资本性支出0万元，较2020年减少7.91万元，主要原因是：本年未无设备采购支出。</w:t>
      </w:r>
    </w:p>
    <w:p>
      <w:pPr>
        <w:keepNext w:val="0"/>
        <w:keepLines w:val="0"/>
        <w:widowControl/>
        <w:suppressLineNumbers w:val="0"/>
        <w:spacing w:before="0" w:beforeAutospacing="1" w:after="0" w:afterAutospacing="1" w:line="23" w:lineRule="atLeast"/>
        <w:ind w:left="0" w:right="0" w:firstLine="630"/>
        <w:jc w:val="left"/>
      </w:pPr>
      <w:r>
        <w:rPr>
          <w:rFonts w:hint="eastAsia" w:ascii="黑体" w:hAnsi="宋体" w:eastAsia="黑体" w:cs="黑体"/>
          <w:kern w:val="0"/>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本单位2021年度一般公共预算财政拨款“三公”经费支出年初预算数为1.5万元，决算数为1.04万元，完成预算的69.33%，决算数较2020年增加0.26万元，增长33.33%，其中：</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（一）因公出国（境）支出年初预算数为0万元，决算数为</w:t>
      </w:r>
      <w:r>
        <w:rPr>
          <w:rFonts w:hint="default" w:ascii="仿宋_GB2312" w:eastAsia="仿宋_GB2312" w:cs="宋体" w:hAnsiTheme="minorHAnsi"/>
          <w:kern w:val="0"/>
          <w:sz w:val="30"/>
          <w:szCs w:val="30"/>
          <w:lang w:val="en-US" w:eastAsia="zh-CN" w:bidi="ar"/>
        </w:rPr>
        <w:t xml:space="preserve"> </w:t>
      </w:r>
      <w:r>
        <w:rPr>
          <w:rFonts w:hint="default" w:ascii="仿宋_GB2312" w:eastAsia="仿宋_GB2312" w:cs="仿宋_GB2312" w:hAnsiTheme="minorHAnsi"/>
          <w:kern w:val="0"/>
          <w:sz w:val="30"/>
          <w:szCs w:val="30"/>
          <w:lang w:val="en-US" w:eastAsia="zh-CN" w:bidi="ar"/>
        </w:rPr>
        <w:t>0</w:t>
      </w:r>
      <w:r>
        <w:rPr>
          <w:rFonts w:hint="default" w:ascii="仿宋_GB2312" w:eastAsia="仿宋_GB2312" w:cs="宋体" w:hAnsiTheme="minorHAnsi"/>
          <w:kern w:val="0"/>
          <w:sz w:val="30"/>
          <w:szCs w:val="30"/>
          <w:lang w:val="en-US" w:eastAsia="zh-CN" w:bidi="ar"/>
        </w:rPr>
        <w:t> </w:t>
      </w:r>
      <w:r>
        <w:rPr>
          <w:rFonts w:hint="default" w:ascii="仿宋_GB2312" w:eastAsia="仿宋_GB2312" w:cs="仿宋_GB2312" w:hAnsiTheme="minorHAnsi"/>
          <w:kern w:val="0"/>
          <w:sz w:val="30"/>
          <w:szCs w:val="30"/>
          <w:lang w:val="en-US" w:eastAsia="zh-CN" w:bidi="ar"/>
        </w:rPr>
        <w:t>万元，完成预算的0%，决算数较2020年增加（减少）0万元，增长（下降）0</w:t>
      </w:r>
      <w:r>
        <w:rPr>
          <w:rFonts w:hint="default" w:ascii="仿宋_GB2312" w:eastAsia="仿宋_GB2312" w:cs="宋体" w:hAnsiTheme="minorHAnsi"/>
          <w:kern w:val="0"/>
          <w:sz w:val="30"/>
          <w:szCs w:val="30"/>
          <w:lang w:val="en-US" w:eastAsia="zh-CN" w:bidi="ar"/>
        </w:rPr>
        <w:t> </w:t>
      </w:r>
      <w:r>
        <w:rPr>
          <w:rFonts w:hint="default" w:ascii="仿宋_GB2312" w:eastAsia="仿宋_GB2312" w:cs="仿宋_GB2312" w:hAnsiTheme="minorHAnsi"/>
          <w:kern w:val="0"/>
          <w:sz w:val="30"/>
          <w:szCs w:val="30"/>
          <w:lang w:val="en-US" w:eastAsia="zh-CN" w:bidi="ar"/>
        </w:rPr>
        <w:t>%。</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二）公务接待费支出年初预算数为1.5万元，决算数为1.04万元，完成预算的69.33%，决算数较2020年增加0.26万元，增长33.33%，主要原因是：公务接待批次增加。决算数较年初预算数减少的主要原因是：接待标准降低，压缩开支。全年国内公务接待26批，累计接待116人次，主要为：上级主管单位工作人员来本学校检查教育教学工作及与外单位交流学习等开展的公务接待。</w:t>
      </w:r>
    </w:p>
    <w:p>
      <w:pPr>
        <w:keepNext w:val="0"/>
        <w:keepLines w:val="0"/>
        <w:widowControl/>
        <w:suppressLineNumbers w:val="0"/>
        <w:spacing w:before="0" w:beforeAutospacing="1" w:after="0" w:afterAutospacing="1" w:line="23" w:lineRule="atLeast"/>
        <w:ind w:left="0" w:right="0" w:firstLine="630"/>
        <w:jc w:val="left"/>
      </w:pPr>
      <w:r>
        <w:rPr>
          <w:rFonts w:hint="default" w:ascii="仿宋_GB2312" w:eastAsia="仿宋_GB2312" w:cs="仿宋_GB2312" w:hAnsiTheme="minorHAnsi"/>
          <w:kern w:val="0"/>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0"/>
          <w:sz w:val="30"/>
          <w:szCs w:val="30"/>
          <w:lang w:val="en-US" w:eastAsia="zh-CN" w:bidi="ar"/>
        </w:rPr>
        <w:t>本单位不是行政单位或参照公务员法管理事业单位，故无机关运行经费支出。</w:t>
      </w:r>
      <w:r>
        <w:rPr>
          <w:rFonts w:hint="default" w:ascii="仿宋_GB2312" w:eastAsia="仿宋_GB2312" w:cs="宋体" w:hAnsiTheme="minorHAnsi"/>
          <w:b w:val="0"/>
          <w:bCs w:val="0"/>
          <w:kern w:val="0"/>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宋体" w:hAnsiTheme="minorHAnsi"/>
          <w:kern w:val="0"/>
          <w:sz w:val="30"/>
          <w:szCs w:val="30"/>
          <w:lang w:val="en-US" w:eastAsia="zh-CN" w:bidi="ar"/>
        </w:rPr>
        <w:t> </w:t>
      </w:r>
      <w:r>
        <w:rPr>
          <w:rFonts w:hint="eastAsia" w:ascii="黑体" w:hAnsi="宋体" w:eastAsia="黑体" w:cs="黑体"/>
          <w:kern w:val="0"/>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0"/>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color w:val="000000"/>
          <w:spacing w:val="0"/>
          <w:kern w:val="0"/>
          <w:sz w:val="32"/>
          <w:szCs w:val="32"/>
          <w:shd w:val="clear" w:fill="FFFFFF"/>
          <w:lang w:val="en-US" w:eastAsia="zh-CN" w:bidi="ar"/>
        </w:rPr>
        <w:t>学校生均公用经费绩效自评综述：根据年初设定的绩效目标，学校生均公用经费绩效自评得分为99.8分。项目全年预算为149.68万元，执行数为149.68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0"/>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Times New Roman"/>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七、用事业基金弥补收支差额：指事业单位用事业基金弥补当年收支差额的数额。</w:t>
      </w:r>
      <w:r>
        <w:rPr>
          <w:rFonts w:hint="eastAsia" w:ascii="仿宋" w:hAnsi="仿宋" w:eastAsia="仿宋" w:cs="宋体"/>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八、年初结转和结余：指单位上年结转本年使用的基本支出结转、项目支出结转和结余和经营结余。</w:t>
      </w:r>
      <w:r>
        <w:rPr>
          <w:rFonts w:hint="eastAsia" w:ascii="仿宋" w:hAnsi="仿宋" w:eastAsia="仿宋" w:cs="宋体"/>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九、结余分配：指事业单位按规定对非财政补助结余资金提取的职工福利基金、事业基金和缴纳的所得税，以及减少单位按规定应缴回的基本建设竣工项目结余资金。</w:t>
      </w:r>
      <w:r>
        <w:rPr>
          <w:rFonts w:hint="eastAsia" w:ascii="仿宋" w:hAnsi="仿宋" w:eastAsia="仿宋" w:cs="宋体"/>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十一、基本支出：指为保障机构正常运转、完成日常工作任务而发生的人员支出和公用支出。</w:t>
      </w:r>
      <w:r>
        <w:rPr>
          <w:rFonts w:hint="eastAsia" w:ascii="仿宋" w:hAnsi="仿宋" w:eastAsia="仿宋" w:cs="宋体"/>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十二、项目支出：指在基本支出之外为完成特定的行政任务或事业发展目标所发生的支出。</w:t>
      </w:r>
      <w:r>
        <w:rPr>
          <w:rFonts w:hint="eastAsia" w:ascii="仿宋" w:hAnsi="仿宋" w:eastAsia="仿宋" w:cs="宋体"/>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hint="eastAsia" w:ascii="仿宋" w:hAnsi="仿宋" w:eastAsia="仿宋" w:cs="宋体"/>
          <w:kern w:val="0"/>
          <w:sz w:val="30"/>
          <w:szCs w:val="30"/>
          <w:lang w:val="en-US" w:eastAsia="zh-CN" w:bidi="ar"/>
        </w:rPr>
        <w:t xml:space="preserve">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b/>
          <w:bCs w:val="0"/>
          <w:kern w:val="0"/>
          <w:sz w:val="32"/>
          <w:szCs w:val="32"/>
          <w:lang w:val="en-US" w:eastAsia="zh-CN" w:bidi="ar"/>
        </w:rPr>
        <w:t> </w:t>
      </w:r>
    </w:p>
    <w:p>
      <w:pPr>
        <w:keepNext w:val="0"/>
        <w:keepLines w:val="0"/>
        <w:widowControl/>
        <w:suppressLineNumbers w:val="0"/>
        <w:spacing w:before="1" w:beforeAutospacing="0" w:after="0" w:afterAutospacing="1" w:line="600" w:lineRule="exact"/>
        <w:ind w:left="0" w:right="0" w:firstLine="640" w:firstLineChars="200"/>
        <w:jc w:val="left"/>
      </w:pPr>
      <w:r>
        <w:rPr>
          <w:rFonts w:hint="eastAsia" w:ascii="宋体" w:hAnsi="宋体" w:eastAsia="宋体" w:cs="宋体"/>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3295530"/>
    <w:rsid w:val="2329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2023-10-07T09:44:00Z</dcterms:created>
  <dc:creator>才东东</dc:creator>
  <cp:lastModifiedBy>才东东</cp:lastModifiedBy>
  <dcterms:modified xsi:type="dcterms:W3CDTF">2023-10-07T09:54:23Z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AC452C7D8A6B4242954551643D9E9828_11</vt:lpwstr>
  </property>
</Properties>
</file>