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pPr>
      <w:r>
        <w:rPr>
          <w:rFonts w:ascii="方正小标宋简体" w:hAnsi="方正小标宋简体" w:eastAsia="方正小标宋简体" w:cs="方正小标宋简体"/>
          <w:b w:val="0"/>
          <w:bCs w:val="0"/>
          <w:kern w:val="2"/>
          <w:sz w:val="44"/>
          <w:szCs w:val="44"/>
          <w:lang w:val="en-US" w:eastAsia="zh-CN" w:bidi="ar"/>
        </w:rPr>
        <w:t>宁都县第五幼儿园</w:t>
      </w:r>
      <w:r>
        <w:rPr>
          <w:rFonts w:hint="eastAsia" w:ascii="方正小标宋简体" w:hAnsi="方正小标宋简体" w:eastAsia="方正小标宋简体" w:cs="方正小标宋简体"/>
          <w:b w:val="0"/>
          <w:bCs w:val="0"/>
          <w:kern w:val="2"/>
          <w:sz w:val="44"/>
          <w:szCs w:val="44"/>
          <w:lang w:val="en-US" w:eastAsia="zh-CN" w:bidi="ar"/>
        </w:rPr>
        <w:t>2021年度单位决算</w:t>
      </w:r>
    </w:p>
    <w:p>
      <w:pPr>
        <w:keepNext w:val="0"/>
        <w:keepLines w:val="0"/>
        <w:widowControl/>
        <w:suppressLineNumbers w:val="0"/>
        <w:spacing w:before="0" w:beforeAutospacing="1" w:after="0" w:afterAutospacing="1" w:line="600" w:lineRule="exact"/>
        <w:ind w:left="0" w:right="0"/>
        <w:jc w:val="center"/>
      </w:pPr>
      <w:r>
        <w:rPr>
          <w:rFonts w:ascii="黑体" w:hAnsi="Calibri" w:eastAsia="黑体" w:cs="黑体"/>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jc w:val="center"/>
      </w:pPr>
      <w:r>
        <w:rPr>
          <w:rFonts w:hint="eastAsia" w:ascii="方正小标宋简体" w:hAnsi="方正小标宋简体" w:eastAsia="方正小标宋简体" w:cs="方正小标宋简体"/>
          <w:b w:val="0"/>
          <w:bCs w:val="0"/>
          <w:kern w:val="2"/>
          <w:sz w:val="40"/>
          <w:szCs w:val="40"/>
          <w:lang w:val="en-US" w:eastAsia="zh-CN" w:bidi="ar"/>
        </w:rPr>
        <w:t>目    录</w:t>
      </w:r>
    </w:p>
    <w:p>
      <w:pPr>
        <w:keepNext w:val="0"/>
        <w:keepLines w:val="0"/>
        <w:widowControl/>
        <w:suppressLineNumbers w:val="0"/>
        <w:spacing w:before="0" w:beforeAutospacing="1" w:after="0" w:afterAutospacing="1" w:line="600" w:lineRule="exact"/>
        <w:ind w:left="0" w:right="0" w:firstLine="640"/>
        <w:jc w:val="left"/>
      </w:pPr>
      <w:r>
        <w:rPr>
          <w:rFonts w:ascii="仿宋_GB2312" w:hAnsi="Calibri" w:eastAsia="仿宋_GB2312" w:cs="仿宋_GB2312"/>
          <w:kern w:val="2"/>
          <w:sz w:val="32"/>
          <w:szCs w:val="32"/>
          <w:lang w:val="en-US" w:eastAsia="zh-CN" w:bidi="ar"/>
        </w:rPr>
        <w:t> </w:t>
      </w:r>
      <w:r>
        <w:rPr>
          <w:rFonts w:hint="eastAsia" w:ascii="黑体" w:hAnsi="宋体" w:eastAsia="黑体" w:cs="黑体"/>
          <w:b/>
          <w:bCs w:val="0"/>
          <w:kern w:val="2"/>
          <w:sz w:val="32"/>
          <w:szCs w:val="32"/>
          <w:lang w:val="en-US" w:eastAsia="zh-CN" w:bidi="ar"/>
        </w:rPr>
        <w:t>第一部分  </w:t>
      </w:r>
      <w:r>
        <w:rPr>
          <w:rFonts w:hint="eastAsia" w:ascii="黑体" w:hAnsi="宋体" w:eastAsia="黑体" w:cs="黑体"/>
          <w:kern w:val="2"/>
          <w:sz w:val="32"/>
          <w:szCs w:val="32"/>
          <w:lang w:val="en-US" w:eastAsia="zh-CN" w:bidi="ar"/>
        </w:rPr>
        <w:t>单位</w:t>
      </w:r>
      <w:r>
        <w:rPr>
          <w:rFonts w:hint="eastAsia" w:ascii="黑体" w:hAnsi="宋体" w:eastAsia="黑体" w:cs="黑体"/>
          <w:b/>
          <w:bCs w:val="0"/>
          <w:kern w:val="2"/>
          <w:sz w:val="32"/>
          <w:szCs w:val="32"/>
          <w:lang w:val="en-US" w:eastAsia="zh-CN" w:bidi="ar"/>
        </w:rPr>
        <w:t>概况</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hAnsi="Calibri" w:eastAsia="仿宋_GB2312" w:cs="仿宋_GB2312"/>
          <w:b/>
          <w:bCs w:val="0"/>
          <w:kern w:val="2"/>
          <w:sz w:val="32"/>
          <w:szCs w:val="32"/>
          <w:lang w:val="en-US" w:eastAsia="zh-CN" w:bidi="ar"/>
        </w:rPr>
        <w:t>    </w:t>
      </w:r>
      <w:r>
        <w:rPr>
          <w:rFonts w:hint="default" w:ascii="仿宋_GB2312" w:eastAsia="仿宋_GB2312" w:cs="仿宋_GB2312" w:hAnsiTheme="minorHAnsi"/>
          <w:kern w:val="2"/>
          <w:sz w:val="32"/>
          <w:szCs w:val="32"/>
          <w:lang w:val="en-US" w:eastAsia="zh-CN" w:bidi="ar"/>
        </w:rPr>
        <w:t>一、单位主要职责</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二、单位基本情况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第二部分  2021年度单位决算表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七、一般公共预算财政拨款“三公”经费支出决算表</w:t>
      </w:r>
    </w:p>
    <w:p>
      <w:pPr>
        <w:keepNext w:val="0"/>
        <w:keepLines w:val="0"/>
        <w:widowControl/>
        <w:suppressLineNumbers w:val="0"/>
        <w:spacing w:before="0" w:beforeAutospacing="1" w:after="0" w:afterAutospacing="1" w:line="600" w:lineRule="exact"/>
        <w:ind w:left="1280" w:leftChars="0" w:right="0"/>
        <w:jc w:val="left"/>
      </w:pPr>
      <w:r>
        <w:rPr>
          <w:rFonts w:hint="default" w:ascii="仿宋_GB2312" w:eastAsia="仿宋_GB2312" w:cs="仿宋_GB2312" w:hAnsiTheme="minorHAnsi"/>
          <w:kern w:val="0"/>
          <w:sz w:val="32"/>
          <w:szCs w:val="32"/>
          <w:lang w:val="en-US" w:eastAsia="zh-CN" w:bidi="ar"/>
        </w:rPr>
        <w:t>八、政府性基金预算财政拨款收入支出决算表</w:t>
      </w:r>
    </w:p>
    <w:p>
      <w:pPr>
        <w:keepNext w:val="0"/>
        <w:keepLines w:val="0"/>
        <w:widowControl/>
        <w:suppressLineNumbers w:val="0"/>
        <w:spacing w:before="0" w:beforeAutospacing="1" w:after="0" w:afterAutospacing="1" w:line="600" w:lineRule="exact"/>
        <w:ind w:left="1280" w:leftChars="0" w:right="0"/>
        <w:jc w:val="left"/>
      </w:pPr>
      <w:r>
        <w:rPr>
          <w:rFonts w:hint="default" w:ascii="仿宋_GB2312" w:eastAsia="仿宋_GB2312" w:cs="仿宋_GB2312" w:hAnsiTheme="minorHAnsi"/>
          <w:kern w:val="0"/>
          <w:sz w:val="32"/>
          <w:szCs w:val="32"/>
          <w:lang w:val="en-US" w:eastAsia="zh-CN" w:bidi="ar"/>
        </w:rPr>
        <w:t>九、国有资本经营预算财政拨款支出决算表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十、国有资产占用情况表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0"/>
          <w:sz w:val="32"/>
          <w:szCs w:val="32"/>
          <w:lang w:val="en-US" w:eastAsia="zh-CN" w:bidi="ar"/>
        </w:rPr>
        <w:t>十一、项目支出绩效自评表</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宋体" w:hAnsiTheme="minorHAnsi"/>
          <w:kern w:val="0"/>
          <w:sz w:val="32"/>
          <w:szCs w:val="32"/>
          <w:lang w:val="en-US" w:eastAsia="zh-CN" w:bidi="ar"/>
        </w:rPr>
        <w:t>    </w:t>
      </w:r>
      <w:r>
        <w:rPr>
          <w:rFonts w:hint="eastAsia" w:ascii="黑体" w:hAnsi="宋体" w:eastAsia="黑体" w:cs="黑体"/>
          <w:kern w:val="2"/>
          <w:sz w:val="32"/>
          <w:szCs w:val="32"/>
          <w:lang w:val="en-US" w:eastAsia="zh-CN" w:bidi="ar"/>
        </w:rPr>
        <w:t>第三部分  2021年度单位决算情况说明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    八、</w:t>
      </w:r>
      <w:r>
        <w:rPr>
          <w:rFonts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firstLine="1280" w:firstLineChars="400"/>
        <w:jc w:val="both"/>
      </w:pPr>
      <w:r>
        <w:rPr>
          <w:rFonts w:hint="default" w:ascii="仿宋_GB2312" w:eastAsia="仿宋_GB2312" w:cs="仿宋_GB2312"/>
          <w:kern w:val="2"/>
          <w:sz w:val="32"/>
          <w:szCs w:val="32"/>
          <w:bdr w:val="none" w:color="auto" w:sz="0" w:space="0"/>
        </w:rPr>
        <w:t>十、预算绩效情况说明</w:t>
      </w:r>
      <w:r>
        <w:rPr>
          <w:rFonts w:hint="default" w:ascii="仿宋_GB2312" w:eastAsia="仿宋_GB2312" w:cs="仿宋_GB2312" w:hAnsiTheme="minorHAnsi"/>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第四部分  名词解释</w:t>
      </w:r>
    </w:p>
    <w:p>
      <w:pPr>
        <w:keepNext w:val="0"/>
        <w:keepLines w:val="0"/>
        <w:widowControl/>
        <w:suppressLineNumbers w:val="0"/>
        <w:spacing w:before="0" w:beforeAutospacing="1" w:after="0" w:afterAutospacing="1"/>
        <w:ind w:left="0" w:right="0" w:firstLine="630"/>
        <w:jc w:val="center"/>
      </w:pPr>
      <w:r>
        <w:rPr>
          <w:rFonts w:hint="eastAsia" w:ascii="宋体" w:hAnsi="宋体" w:eastAsia="宋体" w:cs="宋体"/>
          <w:b/>
          <w:bCs w:val="0"/>
          <w:kern w:val="2"/>
          <w:sz w:val="36"/>
          <w:szCs w:val="36"/>
          <w:lang w:val="en-US" w:eastAsia="zh-CN" w:bidi="ar"/>
        </w:rPr>
        <w:t> </w:t>
      </w:r>
    </w:p>
    <w:p>
      <w:pPr>
        <w:keepNext w:val="0"/>
        <w:keepLines w:val="0"/>
        <w:widowControl/>
        <w:suppressLineNumbers w:val="0"/>
        <w:spacing w:before="0" w:beforeAutospacing="1" w:after="0" w:afterAutospacing="1" w:line="580" w:lineRule="exact"/>
        <w:ind w:left="0" w:right="0"/>
        <w:jc w:val="center"/>
      </w:pPr>
      <w:r>
        <w:rPr>
          <w:rFonts w:hint="eastAsia" w:ascii="方正小标宋简体" w:hAnsi="方正小标宋简体" w:eastAsia="方正小标宋简体" w:cs="方正小标宋简体"/>
          <w:b w:val="0"/>
          <w:bCs/>
          <w:kern w:val="2"/>
          <w:sz w:val="44"/>
          <w:szCs w:val="44"/>
          <w:lang w:val="en-US" w:eastAsia="zh-CN" w:bidi="ar"/>
        </w:rPr>
        <w:t>第一部分 宁都县第五幼儿园单位概况</w:t>
      </w:r>
    </w:p>
    <w:p>
      <w:pPr>
        <w:keepNext w:val="0"/>
        <w:keepLines w:val="0"/>
        <w:widowControl/>
        <w:suppressLineNumbers w:val="0"/>
        <w:spacing w:before="0" w:beforeAutospacing="1" w:after="0" w:afterAutospacing="1"/>
        <w:ind w:left="0" w:right="0" w:firstLine="630"/>
        <w:jc w:val="both"/>
      </w:pPr>
      <w:r>
        <w:rPr>
          <w:rFonts w:hint="eastAsia" w:ascii="黑体" w:hAnsi="宋体" w:eastAsia="黑体" w:cs="黑体"/>
          <w:kern w:val="2"/>
          <w:sz w:val="30"/>
          <w:szCs w:val="30"/>
          <w:lang w:val="en-US" w:eastAsia="zh-CN" w:bidi="ar"/>
        </w:rPr>
        <w:t>一、宁都县第五幼儿园主要职能</w:t>
      </w:r>
    </w:p>
    <w:p>
      <w:pPr>
        <w:pStyle w:val="2"/>
        <w:keepNext w:val="0"/>
        <w:keepLines w:val="0"/>
        <w:widowControl/>
        <w:suppressLineNumbers w:val="0"/>
        <w:spacing w:before="0" w:beforeAutospacing="0" w:after="0" w:afterAutospacing="0" w:line="480" w:lineRule="exact"/>
        <w:ind w:left="0" w:right="0" w:firstLine="600" w:firstLineChars="200"/>
      </w:pPr>
      <w:r>
        <w:rPr>
          <w:rFonts w:hint="eastAsia" w:ascii="宋体" w:hAnsi="宋体" w:eastAsia="宋体" w:cs="宋体"/>
          <w:kern w:val="2"/>
          <w:sz w:val="30"/>
          <w:szCs w:val="30"/>
        </w:rPr>
        <w:t>一、认真贯彻执行幼儿教育《纲要》和《幼儿园工作规程》精神</w:t>
      </w:r>
      <w:r>
        <w:rPr>
          <w:rFonts w:ascii="TimesNewRomanPSMT" w:hAnsi="TimesNewRomanPSMT" w:eastAsia="TimesNewRomanPSMT" w:cs="TimesNewRomanPSMT"/>
          <w:sz w:val="30"/>
          <w:szCs w:val="30"/>
        </w:rPr>
        <w:t>,</w:t>
      </w:r>
      <w:r>
        <w:rPr>
          <w:rFonts w:hint="eastAsia" w:ascii="宋体" w:hAnsi="宋体" w:eastAsia="宋体" w:cs="宋体"/>
          <w:kern w:val="2"/>
          <w:sz w:val="30"/>
          <w:szCs w:val="30"/>
        </w:rPr>
        <w:t>从严治园</w:t>
      </w:r>
      <w:r>
        <w:rPr>
          <w:rFonts w:hint="default" w:ascii="TimesNewRomanPSMT" w:hAnsi="TimesNewRomanPSMT" w:eastAsia="TimesNewRomanPSMT" w:cs="TimesNewRomanPSMT"/>
          <w:sz w:val="30"/>
          <w:szCs w:val="30"/>
        </w:rPr>
        <w:t>,</w:t>
      </w:r>
      <w:r>
        <w:rPr>
          <w:rFonts w:hint="eastAsia" w:ascii="宋体" w:hAnsi="宋体" w:eastAsia="宋体" w:cs="宋体"/>
          <w:kern w:val="2"/>
          <w:sz w:val="30"/>
          <w:szCs w:val="30"/>
        </w:rPr>
        <w:t>以促进幼儿体、智、德、美全面发展为各项工作的目标</w:t>
      </w:r>
      <w:r>
        <w:rPr>
          <w:rFonts w:hint="default" w:ascii="TimesNewRomanPSMT" w:hAnsi="TimesNewRomanPSMT" w:eastAsia="TimesNewRomanPSMT" w:cs="TimesNewRomanPSMT"/>
          <w:sz w:val="30"/>
          <w:szCs w:val="30"/>
        </w:rPr>
        <w:t>,</w:t>
      </w:r>
      <w:r>
        <w:rPr>
          <w:rFonts w:hint="eastAsia" w:ascii="宋体" w:hAnsi="宋体" w:eastAsia="宋体" w:cs="宋体"/>
          <w:kern w:val="2"/>
          <w:sz w:val="30"/>
          <w:szCs w:val="30"/>
        </w:rPr>
        <w:t>坚持改革</w:t>
      </w:r>
      <w:r>
        <w:rPr>
          <w:rFonts w:hint="default" w:ascii="TimesNewRomanPSMT" w:hAnsi="TimesNewRomanPSMT" w:eastAsia="TimesNewRomanPSMT" w:cs="TimesNewRomanPSMT"/>
          <w:sz w:val="30"/>
          <w:szCs w:val="30"/>
        </w:rPr>
        <w:t>,</w:t>
      </w:r>
      <w:r>
        <w:rPr>
          <w:rFonts w:hint="eastAsia" w:ascii="宋体" w:hAnsi="宋体" w:eastAsia="宋体" w:cs="宋体"/>
          <w:kern w:val="2"/>
          <w:sz w:val="30"/>
          <w:szCs w:val="30"/>
        </w:rPr>
        <w:t>不断提高教育质量。</w:t>
      </w:r>
    </w:p>
    <w:p>
      <w:pPr>
        <w:pStyle w:val="2"/>
        <w:keepNext w:val="0"/>
        <w:keepLines w:val="0"/>
        <w:widowControl/>
        <w:suppressLineNumbers w:val="0"/>
        <w:spacing w:before="0" w:beforeAutospacing="0" w:after="0" w:afterAutospacing="0" w:line="480" w:lineRule="exact"/>
        <w:ind w:left="0" w:right="0" w:firstLine="600" w:firstLineChars="200"/>
      </w:pPr>
      <w:r>
        <w:rPr>
          <w:rFonts w:hint="eastAsia" w:ascii="宋体" w:hAnsi="宋体" w:eastAsia="宋体" w:cs="宋体"/>
          <w:sz w:val="30"/>
          <w:szCs w:val="30"/>
        </w:rPr>
        <w:t> </w:t>
      </w:r>
      <w:r>
        <w:rPr>
          <w:rFonts w:hint="eastAsia" w:ascii="宋体" w:hAnsi="宋体" w:eastAsia="宋体" w:cs="宋体"/>
          <w:kern w:val="2"/>
          <w:sz w:val="30"/>
          <w:szCs w:val="30"/>
        </w:rPr>
        <w:t>二、严格执行幼儿安全、卫生、保健制度，制定年度工作目标、规划、学期工作任务，认真做好组织实施。</w:t>
      </w:r>
    </w:p>
    <w:p>
      <w:pPr>
        <w:pStyle w:val="2"/>
        <w:keepNext w:val="0"/>
        <w:keepLines w:val="0"/>
        <w:widowControl/>
        <w:suppressLineNumbers w:val="0"/>
        <w:spacing w:before="0" w:beforeAutospacing="0" w:after="0" w:afterAutospacing="0" w:line="480" w:lineRule="exact"/>
        <w:ind w:left="0" w:right="0" w:firstLine="600" w:firstLineChars="200"/>
      </w:pPr>
      <w:r>
        <w:rPr>
          <w:rFonts w:hint="eastAsia" w:ascii="宋体" w:hAnsi="宋体" w:eastAsia="宋体" w:cs="宋体"/>
          <w:kern w:val="2"/>
          <w:sz w:val="30"/>
          <w:szCs w:val="30"/>
        </w:rPr>
        <w:t>三、建立和健全各项规章制度并认真组织和实施。</w:t>
      </w:r>
    </w:p>
    <w:p>
      <w:pPr>
        <w:pStyle w:val="2"/>
        <w:keepNext w:val="0"/>
        <w:keepLines w:val="0"/>
        <w:widowControl/>
        <w:suppressLineNumbers w:val="0"/>
        <w:spacing w:before="0" w:beforeAutospacing="0" w:after="0" w:afterAutospacing="0" w:line="480" w:lineRule="exact"/>
        <w:ind w:left="0" w:right="0" w:firstLine="600" w:firstLineChars="200"/>
      </w:pPr>
      <w:r>
        <w:rPr>
          <w:rFonts w:hint="eastAsia" w:ascii="宋体" w:hAnsi="宋体" w:eastAsia="宋体" w:cs="宋体"/>
          <w:sz w:val="30"/>
          <w:szCs w:val="30"/>
        </w:rPr>
        <w:t> 四、</w:t>
      </w:r>
      <w:r>
        <w:rPr>
          <w:rFonts w:hint="eastAsia" w:ascii="宋体" w:hAnsi="宋体" w:eastAsia="宋体" w:cs="宋体"/>
          <w:kern w:val="2"/>
          <w:sz w:val="30"/>
          <w:szCs w:val="30"/>
        </w:rPr>
        <w:t>加强教职工的考核工作，检查、指导、评估工作质量，制定奖惩措施。</w:t>
      </w:r>
    </w:p>
    <w:p>
      <w:pPr>
        <w:pStyle w:val="2"/>
        <w:keepNext w:val="0"/>
        <w:keepLines w:val="0"/>
        <w:widowControl/>
        <w:suppressLineNumbers w:val="0"/>
        <w:spacing w:before="0" w:beforeAutospacing="0" w:after="0" w:afterAutospacing="0" w:line="480" w:lineRule="exact"/>
        <w:ind w:left="0" w:right="0" w:firstLine="628" w:firstLineChars="200"/>
      </w:pPr>
      <w:r>
        <w:rPr>
          <w:rFonts w:hint="eastAsia" w:ascii="宋体" w:hAnsi="宋体" w:eastAsia="宋体" w:cs="宋体"/>
          <w:spacing w:val="7"/>
          <w:kern w:val="2"/>
          <w:sz w:val="30"/>
          <w:szCs w:val="30"/>
        </w:rPr>
        <w:t>五、</w:t>
      </w:r>
      <w:r>
        <w:rPr>
          <w:rFonts w:hint="eastAsia" w:ascii="宋体" w:hAnsi="宋体" w:eastAsia="宋体" w:cs="宋体"/>
          <w:spacing w:val="-5"/>
          <w:kern w:val="2"/>
          <w:sz w:val="30"/>
          <w:szCs w:val="30"/>
        </w:rPr>
        <w:t>加强财务管理，</w:t>
      </w:r>
      <w:r>
        <w:rPr>
          <w:rFonts w:hint="eastAsia" w:ascii="宋体" w:hAnsi="宋体" w:eastAsia="宋体" w:cs="宋体"/>
          <w:spacing w:val="7"/>
          <w:kern w:val="2"/>
          <w:sz w:val="30"/>
          <w:szCs w:val="30"/>
        </w:rPr>
        <w:t>科学管理、合理使用学校的设施和经费，并积极筹措资金，</w:t>
      </w:r>
      <w:r>
        <w:rPr>
          <w:rFonts w:hint="eastAsia" w:ascii="宋体" w:hAnsi="宋体" w:eastAsia="宋体" w:cs="宋体"/>
          <w:spacing w:val="-5"/>
          <w:kern w:val="2"/>
          <w:sz w:val="30"/>
          <w:szCs w:val="30"/>
        </w:rPr>
        <w:t>改善办学条件。</w:t>
      </w:r>
    </w:p>
    <w:p>
      <w:pPr>
        <w:pStyle w:val="2"/>
        <w:keepNext w:val="0"/>
        <w:keepLines w:val="0"/>
        <w:widowControl/>
        <w:suppressLineNumbers w:val="0"/>
        <w:spacing w:before="0" w:beforeAutospacing="0" w:after="0" w:afterAutospacing="0" w:line="480" w:lineRule="exact"/>
        <w:ind w:left="0" w:right="0" w:firstLine="580" w:firstLineChars="200"/>
      </w:pPr>
      <w:r>
        <w:rPr>
          <w:rFonts w:hint="eastAsia" w:ascii="宋体" w:hAnsi="宋体" w:eastAsia="宋体" w:cs="宋体"/>
          <w:spacing w:val="-5"/>
          <w:kern w:val="2"/>
          <w:sz w:val="30"/>
          <w:szCs w:val="30"/>
        </w:rPr>
        <w:t>六、加强思想政治工作，组织文化业务学习，有计划开展业务培训，提高教师业务水平。</w:t>
      </w:r>
    </w:p>
    <w:p>
      <w:pPr>
        <w:pStyle w:val="2"/>
        <w:keepNext w:val="0"/>
        <w:keepLines w:val="0"/>
        <w:widowControl/>
        <w:suppressLineNumbers w:val="0"/>
        <w:spacing w:before="0" w:beforeAutospacing="0" w:after="0" w:afterAutospacing="0" w:line="480" w:lineRule="exact"/>
        <w:ind w:left="0" w:right="0" w:firstLine="600" w:firstLineChars="200"/>
      </w:pPr>
      <w:r>
        <w:rPr>
          <w:rFonts w:hint="eastAsia" w:ascii="宋体" w:hAnsi="宋体" w:eastAsia="宋体" w:cs="宋体"/>
          <w:kern w:val="2"/>
          <w:sz w:val="30"/>
          <w:szCs w:val="30"/>
        </w:rPr>
        <w:t>七、关心教职工业务和生活，加强职工道德教育。</w:t>
      </w:r>
      <w:r>
        <w:rPr>
          <w:rFonts w:hint="eastAsia" w:ascii="宋体" w:hAnsi="宋体" w:eastAsia="宋体" w:cs="宋体"/>
          <w:sz w:val="30"/>
          <w:szCs w:val="30"/>
        </w:rPr>
        <w:t> </w:t>
      </w:r>
    </w:p>
    <w:p>
      <w:pPr>
        <w:pStyle w:val="2"/>
        <w:keepNext w:val="0"/>
        <w:keepLines w:val="0"/>
        <w:widowControl/>
        <w:suppressLineNumbers w:val="0"/>
        <w:spacing w:before="0" w:beforeAutospacing="0" w:after="0" w:afterAutospacing="0" w:line="480" w:lineRule="exact"/>
        <w:ind w:left="0" w:right="0" w:firstLine="564" w:firstLineChars="200"/>
      </w:pPr>
      <w:r>
        <w:rPr>
          <w:rFonts w:hint="eastAsia" w:ascii="宋体" w:hAnsi="宋体" w:eastAsia="宋体" w:cs="宋体"/>
          <w:spacing w:val="-9"/>
          <w:kern w:val="2"/>
          <w:sz w:val="30"/>
          <w:szCs w:val="30"/>
        </w:rPr>
        <w:t>八、依法接受各级教育行政单位的检查指导和人民群众的监督。</w:t>
      </w:r>
    </w:p>
    <w:p>
      <w:pPr>
        <w:pStyle w:val="2"/>
        <w:keepNext w:val="0"/>
        <w:keepLines w:val="0"/>
        <w:widowControl/>
        <w:suppressLineNumbers w:val="0"/>
        <w:autoSpaceDE w:val="0"/>
        <w:autoSpaceDN/>
        <w:spacing w:before="0" w:beforeAutospacing="0" w:after="0" w:afterAutospacing="0" w:line="600" w:lineRule="exact"/>
        <w:ind w:left="0" w:right="0"/>
      </w:pPr>
      <w:r>
        <w:rPr>
          <w:rFonts w:hint="eastAsia" w:ascii="宋体" w:hAnsi="宋体" w:eastAsia="宋体" w:cs="宋体"/>
          <w:spacing w:val="-9"/>
          <w:kern w:val="2"/>
          <w:sz w:val="32"/>
          <w:szCs w:val="32"/>
        </w:rPr>
        <w:t>    </w:t>
      </w:r>
      <w:r>
        <w:rPr>
          <w:rFonts w:hint="eastAsia" w:ascii="黑体" w:hAnsi="宋体" w:eastAsia="黑体" w:cs="黑体"/>
          <w:sz w:val="30"/>
          <w:szCs w:val="30"/>
        </w:rPr>
        <w:t>二、单位基本情况</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纳入本套单位决算汇编范围的单位共 1  个。</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本单位2021年年末实有人数 12人，其中在职人员12人，离休人员 0  人，退休人员 0  人（不含由养老保险基金发放养老金的离退休人员）。</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年末学生人数672人；由养老保险基金发放养老金的离退休人员  0 人。</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rPr>
          <w:rFonts w:hint="eastAsia" w:ascii="方正小标宋简体" w:hAnsi="方正小标宋简体" w:eastAsia="方正小标宋简体" w:cs="方正小标宋简体"/>
          <w:b w:val="0"/>
          <w:bCs/>
          <w:kern w:val="2"/>
          <w:sz w:val="44"/>
          <w:szCs w:val="44"/>
          <w:lang w:val="en-US" w:eastAsia="zh-CN" w:bidi="ar"/>
        </w:rPr>
      </w:pPr>
      <w:r>
        <w:rPr>
          <w:rFonts w:hint="eastAsia" w:ascii="方正小标宋简体" w:hAnsi="方正小标宋简体" w:eastAsia="方正小标宋简体" w:cs="方正小标宋简体"/>
          <w:b w:val="0"/>
          <w:bCs/>
          <w:kern w:val="2"/>
          <w:sz w:val="44"/>
          <w:szCs w:val="44"/>
          <w:lang w:val="en-US" w:eastAsia="zh-CN" w:bidi="ar"/>
        </w:rPr>
        <w:t>第二部分  2021年度单位决算表</w:t>
      </w:r>
    </w:p>
    <w:p>
      <w:pPr>
        <w:keepNext w:val="0"/>
        <w:keepLines w:val="0"/>
        <w:widowControl/>
        <w:suppressLineNumbers w:val="0"/>
        <w:spacing w:before="0" w:beforeAutospacing="1" w:after="0" w:afterAutospacing="1" w:line="600" w:lineRule="exact"/>
        <w:ind w:left="0" w:right="0" w:firstLine="640"/>
        <w:jc w:val="center"/>
        <w:rPr>
          <w:rFonts w:hint="eastAsia" w:ascii="方正小标宋简体" w:hAnsi="方正小标宋简体" w:eastAsia="方正小标宋简体" w:cs="方正小标宋简体"/>
          <w:b w:val="0"/>
          <w:bCs/>
          <w:kern w:val="2"/>
          <w:sz w:val="44"/>
          <w:szCs w:val="44"/>
          <w:lang w:val="en-US" w:eastAsia="zh-CN" w:bidi="ar"/>
        </w:rPr>
      </w:pPr>
      <w:bookmarkStart w:id="0" w:name="_GoBack"/>
      <w:bookmarkEnd w:id="0"/>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pPr>
      <w:r>
        <w:drawing>
          <wp:inline distT="0" distB="0" distL="114300" distR="114300">
            <wp:extent cx="5270500" cy="5290185"/>
            <wp:effectExtent l="0" t="0" r="6350" b="5715"/>
            <wp:docPr id="1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1"/>
                    <pic:cNvPicPr>
                      <a:picLocks noChangeAspect="1"/>
                    </pic:cNvPicPr>
                  </pic:nvPicPr>
                  <pic:blipFill>
                    <a:blip r:embed="rId4"/>
                    <a:stretch>
                      <a:fillRect/>
                    </a:stretch>
                  </pic:blipFill>
                  <pic:spPr>
                    <a:xfrm>
                      <a:off x="0" y="0"/>
                      <a:ext cx="5270500" cy="529018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64150" cy="1504315"/>
            <wp:effectExtent l="0" t="0" r="12700" b="635"/>
            <wp:docPr id="1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2"/>
                    <pic:cNvPicPr>
                      <a:picLocks noChangeAspect="1"/>
                    </pic:cNvPicPr>
                  </pic:nvPicPr>
                  <pic:blipFill>
                    <a:blip r:embed="rId5"/>
                    <a:stretch>
                      <a:fillRect/>
                    </a:stretch>
                  </pic:blipFill>
                  <pic:spPr>
                    <a:xfrm>
                      <a:off x="0" y="0"/>
                      <a:ext cx="5264150" cy="150431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70500" cy="1875155"/>
            <wp:effectExtent l="0" t="0" r="6350" b="10795"/>
            <wp:docPr id="2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3"/>
                    <pic:cNvPicPr>
                      <a:picLocks noChangeAspect="1"/>
                    </pic:cNvPicPr>
                  </pic:nvPicPr>
                  <pic:blipFill>
                    <a:blip r:embed="rId6"/>
                    <a:stretch>
                      <a:fillRect/>
                    </a:stretch>
                  </pic:blipFill>
                  <pic:spPr>
                    <a:xfrm>
                      <a:off x="0" y="0"/>
                      <a:ext cx="5270500" cy="187515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72405" cy="3851910"/>
            <wp:effectExtent l="0" t="0" r="4445" b="15240"/>
            <wp:docPr id="1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pic:cNvPicPr>
                      <a:picLocks noChangeAspect="1"/>
                    </pic:cNvPicPr>
                  </pic:nvPicPr>
                  <pic:blipFill>
                    <a:blip r:embed="rId7"/>
                    <a:stretch>
                      <a:fillRect/>
                    </a:stretch>
                  </pic:blipFill>
                  <pic:spPr>
                    <a:xfrm>
                      <a:off x="0" y="0"/>
                      <a:ext cx="5272405" cy="385191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69865" cy="2721610"/>
            <wp:effectExtent l="0" t="0" r="6985" b="254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8"/>
                    <a:stretch>
                      <a:fillRect/>
                    </a:stretch>
                  </pic:blipFill>
                  <pic:spPr>
                    <a:xfrm>
                      <a:off x="0" y="0"/>
                      <a:ext cx="5269865" cy="272161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rPr>
          <w:rFonts w:hint="eastAsia"/>
        </w:rPr>
      </w:pPr>
      <w:r>
        <w:drawing>
          <wp:inline distT="0" distB="0" distL="114300" distR="114300">
            <wp:extent cx="5268595" cy="8175625"/>
            <wp:effectExtent l="0" t="0" r="8255" b="15875"/>
            <wp:docPr id="19"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6"/>
                    <pic:cNvPicPr>
                      <a:picLocks noChangeAspect="1"/>
                    </pic:cNvPicPr>
                  </pic:nvPicPr>
                  <pic:blipFill>
                    <a:blip r:embed="rId9"/>
                    <a:stretch>
                      <a:fillRect/>
                    </a:stretch>
                  </pic:blipFill>
                  <pic:spPr>
                    <a:xfrm>
                      <a:off x="0" y="0"/>
                      <a:ext cx="5268595" cy="817562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71135" cy="5382895"/>
            <wp:effectExtent l="0" t="0" r="5715" b="8255"/>
            <wp:docPr id="13"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7"/>
                    <pic:cNvPicPr>
                      <a:picLocks noChangeAspect="1"/>
                    </pic:cNvPicPr>
                  </pic:nvPicPr>
                  <pic:blipFill>
                    <a:blip r:embed="rId10"/>
                    <a:stretch>
                      <a:fillRect/>
                    </a:stretch>
                  </pic:blipFill>
                  <pic:spPr>
                    <a:xfrm>
                      <a:off x="0" y="0"/>
                      <a:ext cx="5271135" cy="538289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67325" cy="1832610"/>
            <wp:effectExtent l="0" t="0" r="9525" b="15240"/>
            <wp:docPr id="14"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8"/>
                    <pic:cNvPicPr>
                      <a:picLocks noChangeAspect="1"/>
                    </pic:cNvPicPr>
                  </pic:nvPicPr>
                  <pic:blipFill>
                    <a:blip r:embed="rId11"/>
                    <a:stretch>
                      <a:fillRect/>
                    </a:stretch>
                  </pic:blipFill>
                  <pic:spPr>
                    <a:xfrm>
                      <a:off x="0" y="0"/>
                      <a:ext cx="5267325" cy="183261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68595" cy="2879090"/>
            <wp:effectExtent l="0" t="0" r="8255" b="16510"/>
            <wp:docPr id="1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9"/>
                    <pic:cNvPicPr>
                      <a:picLocks noChangeAspect="1"/>
                    </pic:cNvPicPr>
                  </pic:nvPicPr>
                  <pic:blipFill>
                    <a:blip r:embed="rId12"/>
                    <a:stretch>
                      <a:fillRect/>
                    </a:stretch>
                  </pic:blipFill>
                  <pic:spPr>
                    <a:xfrm>
                      <a:off x="0" y="0"/>
                      <a:ext cx="5268595" cy="287909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72405" cy="3233420"/>
            <wp:effectExtent l="0" t="0" r="4445" b="5080"/>
            <wp:docPr id="1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0"/>
                    <pic:cNvPicPr>
                      <a:picLocks noChangeAspect="1"/>
                    </pic:cNvPicPr>
                  </pic:nvPicPr>
                  <pic:blipFill>
                    <a:blip r:embed="rId13"/>
                    <a:stretch>
                      <a:fillRect/>
                    </a:stretch>
                  </pic:blipFill>
                  <pic:spPr>
                    <a:xfrm>
                      <a:off x="0" y="0"/>
                      <a:ext cx="5272405" cy="3233420"/>
                    </a:xfrm>
                    <a:prstGeom prst="rect">
                      <a:avLst/>
                    </a:prstGeom>
                    <a:noFill/>
                    <a:ln>
                      <a:noFill/>
                    </a:ln>
                  </pic:spPr>
                </pic:pic>
              </a:graphicData>
            </a:graphic>
          </wp:inline>
        </w:drawing>
      </w:r>
    </w:p>
    <w:p>
      <w:pPr>
        <w:autoSpaceDE w:val="0"/>
        <w:autoSpaceDN w:val="0"/>
        <w:adjustRightInd w:val="0"/>
        <w:spacing w:line="360" w:lineRule="auto"/>
        <w:jc w:val="left"/>
      </w:pP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105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94"/>
        <w:gridCol w:w="1188"/>
        <w:gridCol w:w="1003"/>
        <w:gridCol w:w="1118"/>
        <w:gridCol w:w="1334"/>
        <w:gridCol w:w="469"/>
        <w:gridCol w:w="1305"/>
        <w:gridCol w:w="938"/>
        <w:gridCol w:w="256"/>
        <w:gridCol w:w="383"/>
        <w:gridCol w:w="500"/>
        <w:gridCol w:w="277"/>
        <w:gridCol w:w="39"/>
        <w:gridCol w:w="759"/>
        <w:gridCol w:w="29"/>
        <w:gridCol w:w="413"/>
        <w:gridCol w:w="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409"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kern w:val="0"/>
                <w:sz w:val="32"/>
                <w:szCs w:val="32"/>
                <w:bdr w:val="none" w:color="auto" w:sz="0" w:space="0"/>
                <w:lang w:val="en-US" w:eastAsia="zh-CN" w:bidi="ar"/>
              </w:rPr>
              <w:t> </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kern w:val="0"/>
                <w:sz w:val="32"/>
                <w:szCs w:val="32"/>
                <w:bdr w:val="none" w:color="auto" w:sz="0" w:space="0"/>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项目名称</w:t>
            </w:r>
          </w:p>
        </w:tc>
        <w:tc>
          <w:tcPr>
            <w:tcW w:w="8842" w:type="dxa"/>
            <w:gridSpan w:val="14"/>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学前教育生均公用经费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主管单位</w:t>
            </w:r>
          </w:p>
        </w:tc>
        <w:tc>
          <w:tcPr>
            <w:tcW w:w="4666" w:type="dxa"/>
            <w:gridSpan w:val="5"/>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宁都县财政局</w:t>
            </w:r>
          </w:p>
        </w:tc>
        <w:tc>
          <w:tcPr>
            <w:tcW w:w="1487" w:type="dxa"/>
            <w:gridSpan w:val="2"/>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实施单位</w:t>
            </w:r>
          </w:p>
        </w:tc>
        <w:tc>
          <w:tcPr>
            <w:tcW w:w="2689" w:type="dxa"/>
            <w:gridSpan w:val="7"/>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宁都县第五幼儿园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55" w:hRule="atLeast"/>
          <w:jc w:val="center"/>
        </w:trPr>
        <w:tc>
          <w:tcPr>
            <w:tcW w:w="1673" w:type="dxa"/>
            <w:gridSpan w:val="2"/>
            <w:vMerge w:val="restart"/>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（万元）</w:t>
            </w:r>
          </w:p>
        </w:tc>
        <w:tc>
          <w:tcPr>
            <w:tcW w:w="198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1071"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年初预算数</w:t>
            </w:r>
          </w:p>
        </w:tc>
        <w:tc>
          <w:tcPr>
            <w:tcW w:w="161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全年预算数（A&amp; #41;</w:t>
            </w:r>
          </w:p>
        </w:tc>
        <w:tc>
          <w:tcPr>
            <w:tcW w:w="1487" w:type="dxa"/>
            <w:gridSpan w:val="2"/>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全年执行数&amp; #40;B&amp; #41;</w:t>
            </w:r>
          </w:p>
        </w:tc>
        <w:tc>
          <w:tcPr>
            <w:tcW w:w="1175" w:type="dxa"/>
            <w:gridSpan w:val="2"/>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分值</w:t>
            </w:r>
          </w:p>
        </w:tc>
        <w:tc>
          <w:tcPr>
            <w:tcW w:w="936" w:type="dxa"/>
            <w:gridSpan w:val="3"/>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执行率&amp; #40;B/A&amp; #41;</w:t>
            </w:r>
          </w:p>
        </w:tc>
        <w:tc>
          <w:tcPr>
            <w:tcW w:w="578" w:type="dxa"/>
            <w:gridSpan w:val="2"/>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tcBorders>
            <w:shd w:val="clear"/>
            <w:vAlign w:val="center"/>
          </w:tcPr>
          <w:p>
            <w:pPr>
              <w:rPr>
                <w:rFonts w:hint="eastAsia" w:ascii="宋体"/>
                <w:sz w:val="24"/>
                <w:szCs w:val="24"/>
              </w:rPr>
            </w:pPr>
          </w:p>
        </w:tc>
        <w:tc>
          <w:tcPr>
            <w:tcW w:w="198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both"/>
              <w:textAlignment w:val="center"/>
            </w:pPr>
            <w:r>
              <w:rPr>
                <w:rFonts w:hint="eastAsia" w:ascii="宋体" w:hAnsi="宋体" w:eastAsia="宋体" w:cs="宋体"/>
                <w:i w:val="0"/>
                <w:iCs w:val="0"/>
                <w:kern w:val="0"/>
                <w:sz w:val="20"/>
                <w:szCs w:val="20"/>
                <w:bdr w:val="none" w:color="auto" w:sz="0" w:space="0"/>
                <w:lang w:val="en-US" w:eastAsia="zh-CN" w:bidi="ar"/>
              </w:rPr>
              <w:t>年度资金总额</w:t>
            </w:r>
          </w:p>
        </w:tc>
        <w:tc>
          <w:tcPr>
            <w:tcW w:w="1071"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40.32</w:t>
            </w:r>
          </w:p>
        </w:tc>
        <w:tc>
          <w:tcPr>
            <w:tcW w:w="161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40.32</w:t>
            </w:r>
          </w:p>
        </w:tc>
        <w:tc>
          <w:tcPr>
            <w:tcW w:w="1487"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40.32</w:t>
            </w:r>
          </w:p>
        </w:tc>
        <w:tc>
          <w:tcPr>
            <w:tcW w:w="117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w:t>
            </w:r>
          </w:p>
        </w:tc>
        <w:tc>
          <w:tcPr>
            <w:tcW w:w="936"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100.0%</w:t>
            </w:r>
          </w:p>
        </w:tc>
        <w:tc>
          <w:tcPr>
            <w:tcW w:w="578"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tcBorders>
            <w:shd w:val="clear"/>
            <w:vAlign w:val="center"/>
          </w:tcPr>
          <w:p>
            <w:pPr>
              <w:rPr>
                <w:rFonts w:hint="eastAsia" w:ascii="宋体"/>
                <w:sz w:val="24"/>
                <w:szCs w:val="24"/>
              </w:rPr>
            </w:pPr>
          </w:p>
        </w:tc>
        <w:tc>
          <w:tcPr>
            <w:tcW w:w="198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其中：当年财政拨款</w:t>
            </w:r>
          </w:p>
        </w:tc>
        <w:tc>
          <w:tcPr>
            <w:tcW w:w="1071"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40.32 </w:t>
            </w:r>
          </w:p>
        </w:tc>
        <w:tc>
          <w:tcPr>
            <w:tcW w:w="161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 40.32</w:t>
            </w:r>
          </w:p>
        </w:tc>
        <w:tc>
          <w:tcPr>
            <w:tcW w:w="1487"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40.32 </w:t>
            </w:r>
          </w:p>
        </w:tc>
        <w:tc>
          <w:tcPr>
            <w:tcW w:w="117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w:t>
            </w:r>
          </w:p>
        </w:tc>
        <w:tc>
          <w:tcPr>
            <w:tcW w:w="936"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100.0%</w:t>
            </w:r>
          </w:p>
        </w:tc>
        <w:tc>
          <w:tcPr>
            <w:tcW w:w="578"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tcBorders>
            <w:shd w:val="clear"/>
            <w:vAlign w:val="center"/>
          </w:tcPr>
          <w:p>
            <w:pPr>
              <w:rPr>
                <w:rFonts w:hint="eastAsia" w:ascii="宋体"/>
                <w:sz w:val="24"/>
                <w:szCs w:val="24"/>
              </w:rPr>
            </w:pPr>
          </w:p>
        </w:tc>
        <w:tc>
          <w:tcPr>
            <w:tcW w:w="198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      上年结转资金</w:t>
            </w:r>
          </w:p>
        </w:tc>
        <w:tc>
          <w:tcPr>
            <w:tcW w:w="1071"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161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1487"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117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w:t>
            </w:r>
          </w:p>
        </w:tc>
        <w:tc>
          <w:tcPr>
            <w:tcW w:w="936"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578"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tcBorders>
            <w:shd w:val="clear"/>
            <w:vAlign w:val="center"/>
          </w:tcPr>
          <w:p>
            <w:pPr>
              <w:rPr>
                <w:rFonts w:hint="eastAsia" w:ascii="宋体"/>
                <w:sz w:val="24"/>
                <w:szCs w:val="24"/>
              </w:rPr>
            </w:pPr>
          </w:p>
        </w:tc>
        <w:tc>
          <w:tcPr>
            <w:tcW w:w="198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    其他资金</w:t>
            </w:r>
          </w:p>
        </w:tc>
        <w:tc>
          <w:tcPr>
            <w:tcW w:w="1071"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161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1487"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117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w:t>
            </w:r>
          </w:p>
        </w:tc>
        <w:tc>
          <w:tcPr>
            <w:tcW w:w="936"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578"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608" w:type="dxa"/>
            <w:vMerge w:val="restart"/>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年度总体目标</w:t>
            </w:r>
          </w:p>
        </w:tc>
        <w:tc>
          <w:tcPr>
            <w:tcW w:w="5731" w:type="dxa"/>
            <w:gridSpan w:val="6"/>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预期目标</w:t>
            </w:r>
          </w:p>
        </w:tc>
        <w:tc>
          <w:tcPr>
            <w:tcW w:w="4176" w:type="dxa"/>
            <w:gridSpan w:val="9"/>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1155" w:hRule="atLeast"/>
          <w:jc w:val="center"/>
        </w:trPr>
        <w:tc>
          <w:tcPr>
            <w:tcW w:w="608" w:type="dxa"/>
            <w:vMerge w:val="continue"/>
            <w:tcBorders>
              <w:top w:val="nil"/>
            </w:tcBorders>
            <w:shd w:val="clear"/>
            <w:vAlign w:val="center"/>
          </w:tcPr>
          <w:p>
            <w:pPr>
              <w:rPr>
                <w:rFonts w:hint="eastAsia" w:ascii="宋体"/>
                <w:sz w:val="24"/>
                <w:szCs w:val="24"/>
              </w:rPr>
            </w:pPr>
          </w:p>
        </w:tc>
        <w:tc>
          <w:tcPr>
            <w:tcW w:w="5731" w:type="dxa"/>
            <w:gridSpan w:val="6"/>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目标1：按省定额标准下达公用经费                                                   目标2：按学生人数下达公用经费                                                        目标3：基本保障学前教育学校日常运行                                                             目标4：提高学前教育学校教育教学质量</w:t>
            </w:r>
          </w:p>
        </w:tc>
        <w:tc>
          <w:tcPr>
            <w:tcW w:w="4176" w:type="dxa"/>
            <w:gridSpan w:val="9"/>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608" w:type="dxa"/>
            <w:vMerge w:val="restart"/>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标</w:t>
            </w:r>
          </w:p>
        </w:tc>
        <w:tc>
          <w:tcPr>
            <w:tcW w:w="1065"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一级指标</w:t>
            </w:r>
          </w:p>
        </w:tc>
        <w:tc>
          <w:tcPr>
            <w:tcW w:w="756"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二级指标</w:t>
            </w:r>
          </w:p>
        </w:tc>
        <w:tc>
          <w:tcPr>
            <w:tcW w:w="2813" w:type="dxa"/>
            <w:gridSpan w:val="3"/>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三级指标</w:t>
            </w:r>
          </w:p>
        </w:tc>
        <w:tc>
          <w:tcPr>
            <w:tcW w:w="1097" w:type="dxa"/>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年度指标值（A&amp; #41;</w:t>
            </w:r>
          </w:p>
        </w:tc>
        <w:tc>
          <w:tcPr>
            <w:tcW w:w="1044" w:type="dxa"/>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实际完成值&amp; #40;B&amp; #41;</w:t>
            </w:r>
          </w:p>
        </w:tc>
        <w:tc>
          <w:tcPr>
            <w:tcW w:w="875" w:type="dxa"/>
            <w:gridSpan w:val="2"/>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分值</w:t>
            </w:r>
          </w:p>
        </w:tc>
        <w:tc>
          <w:tcPr>
            <w:tcW w:w="950" w:type="dxa"/>
            <w:gridSpan w:val="2"/>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得分</w:t>
            </w:r>
          </w:p>
        </w:tc>
        <w:tc>
          <w:tcPr>
            <w:tcW w:w="1307" w:type="dxa"/>
            <w:gridSpan w:val="4"/>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608" w:type="dxa"/>
            <w:vMerge w:val="continue"/>
            <w:tcBorders>
              <w:top w:val="nil"/>
            </w:tcBorders>
            <w:shd w:val="clear"/>
            <w:vAlign w:val="center"/>
          </w:tcPr>
          <w:p>
            <w:pPr>
              <w:rPr>
                <w:rFonts w:hint="eastAsia" w:ascii="宋体"/>
                <w:sz w:val="24"/>
                <w:szCs w:val="24"/>
              </w:rPr>
            </w:pPr>
          </w:p>
        </w:tc>
        <w:tc>
          <w:tcPr>
            <w:tcW w:w="1065" w:type="dxa"/>
            <w:vMerge w:val="continue"/>
            <w:tcBorders>
              <w:top w:val="nil"/>
              <w:left w:val="nil"/>
            </w:tcBorders>
            <w:shd w:val="clear"/>
            <w:vAlign w:val="center"/>
          </w:tcPr>
          <w:p>
            <w:pPr>
              <w:rPr>
                <w:rFonts w:hint="eastAsia" w:ascii="宋体"/>
                <w:sz w:val="24"/>
                <w:szCs w:val="24"/>
              </w:rPr>
            </w:pPr>
          </w:p>
        </w:tc>
        <w:tc>
          <w:tcPr>
            <w:tcW w:w="756" w:type="dxa"/>
            <w:vMerge w:val="continue"/>
            <w:tcBorders>
              <w:top w:val="nil"/>
              <w:left w:val="nil"/>
            </w:tcBorders>
            <w:shd w:val="clear"/>
            <w:vAlign w:val="center"/>
          </w:tcPr>
          <w:p>
            <w:pPr>
              <w:rPr>
                <w:rFonts w:hint="eastAsia" w:ascii="宋体"/>
                <w:sz w:val="24"/>
                <w:szCs w:val="24"/>
              </w:rPr>
            </w:pPr>
          </w:p>
        </w:tc>
        <w:tc>
          <w:tcPr>
            <w:tcW w:w="2813" w:type="dxa"/>
            <w:gridSpan w:val="3"/>
            <w:vMerge w:val="continue"/>
            <w:tcBorders>
              <w:left w:val="nil"/>
            </w:tcBorders>
            <w:shd w:val="clear"/>
            <w:vAlign w:val="center"/>
          </w:tcPr>
          <w:p>
            <w:pPr>
              <w:rPr>
                <w:rFonts w:hint="eastAsia" w:ascii="宋体"/>
                <w:sz w:val="24"/>
                <w:szCs w:val="24"/>
              </w:rPr>
            </w:pPr>
          </w:p>
        </w:tc>
        <w:tc>
          <w:tcPr>
            <w:tcW w:w="1097" w:type="dxa"/>
            <w:vMerge w:val="continue"/>
            <w:tcBorders>
              <w:left w:val="nil"/>
            </w:tcBorders>
            <w:shd w:val="clear"/>
            <w:vAlign w:val="center"/>
          </w:tcPr>
          <w:p>
            <w:pPr>
              <w:rPr>
                <w:rFonts w:hint="eastAsia" w:ascii="宋体"/>
                <w:sz w:val="24"/>
                <w:szCs w:val="24"/>
              </w:rPr>
            </w:pPr>
          </w:p>
        </w:tc>
        <w:tc>
          <w:tcPr>
            <w:tcW w:w="1044" w:type="dxa"/>
            <w:vMerge w:val="continue"/>
            <w:tcBorders>
              <w:left w:val="nil"/>
            </w:tcBorders>
            <w:shd w:val="clear"/>
            <w:vAlign w:val="center"/>
          </w:tcPr>
          <w:p>
            <w:pPr>
              <w:rPr>
                <w:rFonts w:hint="eastAsia" w:ascii="宋体"/>
                <w:sz w:val="24"/>
                <w:szCs w:val="24"/>
              </w:rPr>
            </w:pPr>
          </w:p>
        </w:tc>
        <w:tc>
          <w:tcPr>
            <w:tcW w:w="875" w:type="dxa"/>
            <w:gridSpan w:val="2"/>
            <w:vMerge w:val="continue"/>
            <w:tcBorders>
              <w:left w:val="nil"/>
            </w:tcBorders>
            <w:shd w:val="clear"/>
            <w:vAlign w:val="center"/>
          </w:tcPr>
          <w:p>
            <w:pPr>
              <w:rPr>
                <w:rFonts w:hint="eastAsia" w:ascii="宋体"/>
                <w:sz w:val="24"/>
                <w:szCs w:val="24"/>
              </w:rPr>
            </w:pPr>
          </w:p>
        </w:tc>
        <w:tc>
          <w:tcPr>
            <w:tcW w:w="950" w:type="dxa"/>
            <w:gridSpan w:val="2"/>
            <w:vMerge w:val="continue"/>
            <w:tcBorders>
              <w:left w:val="nil"/>
            </w:tcBorders>
            <w:shd w:val="clear"/>
            <w:vAlign w:val="center"/>
          </w:tcPr>
          <w:p>
            <w:pPr>
              <w:rPr>
                <w:rFonts w:hint="eastAsia" w:ascii="宋体"/>
                <w:sz w:val="24"/>
                <w:szCs w:val="24"/>
              </w:rPr>
            </w:pPr>
          </w:p>
        </w:tc>
        <w:tc>
          <w:tcPr>
            <w:tcW w:w="1307" w:type="dxa"/>
            <w:gridSpan w:val="4"/>
            <w:vMerge w:val="continue"/>
            <w:tcBorders>
              <w:lef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780" w:hRule="atLeast"/>
          <w:jc w:val="center"/>
        </w:trPr>
        <w:tc>
          <w:tcPr>
            <w:tcW w:w="608" w:type="dxa"/>
            <w:vMerge w:val="continue"/>
            <w:tcBorders>
              <w:top w:val="nil"/>
            </w:tcBorders>
            <w:shd w:val="clear"/>
            <w:vAlign w:val="center"/>
          </w:tcPr>
          <w:p>
            <w:pPr>
              <w:rPr>
                <w:rFonts w:hint="eastAsia" w:ascii="宋体"/>
                <w:sz w:val="24"/>
                <w:szCs w:val="24"/>
              </w:rPr>
            </w:pPr>
          </w:p>
        </w:tc>
        <w:tc>
          <w:tcPr>
            <w:tcW w:w="1065"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产出指标（50分）</w:t>
            </w:r>
          </w:p>
        </w:tc>
        <w:tc>
          <w:tcPr>
            <w:tcW w:w="756" w:type="dxa"/>
            <w:vMerge w:val="restart"/>
            <w:tcBorders>
              <w:top w:val="nil"/>
              <w:left w:val="nil"/>
              <w:bottom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数量指标</w:t>
            </w:r>
          </w:p>
        </w:tc>
        <w:tc>
          <w:tcPr>
            <w:tcW w:w="2813"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学前教育生均公用经费执行标准</w:t>
            </w:r>
          </w:p>
        </w:tc>
        <w:tc>
          <w:tcPr>
            <w:tcW w:w="1097" w:type="dxa"/>
            <w:tcBorders>
              <w:top w:val="nil"/>
              <w:left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不低于省规定的标准</w:t>
            </w:r>
          </w:p>
        </w:tc>
        <w:tc>
          <w:tcPr>
            <w:tcW w:w="1044" w:type="dxa"/>
            <w:tcBorders>
              <w:top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不低于省规定的标准</w:t>
            </w:r>
          </w:p>
        </w:tc>
        <w:tc>
          <w:tcPr>
            <w:tcW w:w="875" w:type="dxa"/>
            <w:gridSpan w:val="2"/>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8</w:t>
            </w:r>
          </w:p>
        </w:tc>
        <w:tc>
          <w:tcPr>
            <w:tcW w:w="95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8</w:t>
            </w:r>
          </w:p>
        </w:tc>
        <w:tc>
          <w:tcPr>
            <w:tcW w:w="1307" w:type="dxa"/>
            <w:gridSpan w:val="4"/>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360" w:hRule="atLeast"/>
          <w:jc w:val="center"/>
        </w:trPr>
        <w:tc>
          <w:tcPr>
            <w:tcW w:w="608" w:type="dxa"/>
            <w:vMerge w:val="continue"/>
            <w:tcBorders>
              <w:top w:val="nil"/>
            </w:tcBorders>
            <w:shd w:val="clear"/>
            <w:vAlign w:val="center"/>
          </w:tcPr>
          <w:p>
            <w:pPr>
              <w:rPr>
                <w:rFonts w:hint="eastAsia" w:ascii="宋体"/>
                <w:sz w:val="24"/>
                <w:szCs w:val="24"/>
              </w:rPr>
            </w:pPr>
          </w:p>
        </w:tc>
        <w:tc>
          <w:tcPr>
            <w:tcW w:w="1065" w:type="dxa"/>
            <w:vMerge w:val="continue"/>
            <w:tcBorders>
              <w:top w:val="nil"/>
              <w:left w:val="nil"/>
            </w:tcBorders>
            <w:shd w:val="clear"/>
            <w:vAlign w:val="center"/>
          </w:tcPr>
          <w:p>
            <w:pPr>
              <w:rPr>
                <w:rFonts w:hint="eastAsia" w:ascii="宋体"/>
                <w:sz w:val="24"/>
                <w:szCs w:val="24"/>
              </w:rPr>
            </w:pPr>
          </w:p>
        </w:tc>
        <w:tc>
          <w:tcPr>
            <w:tcW w:w="756" w:type="dxa"/>
            <w:vMerge w:val="continue"/>
            <w:tcBorders>
              <w:top w:val="nil"/>
              <w:left w:val="nil"/>
              <w:bottom w:val="nil"/>
            </w:tcBorders>
            <w:shd w:val="clear"/>
            <w:vAlign w:val="center"/>
          </w:tcPr>
          <w:p>
            <w:pPr>
              <w:rPr>
                <w:rFonts w:hint="eastAsia" w:ascii="宋体"/>
                <w:sz w:val="24"/>
                <w:szCs w:val="24"/>
              </w:rPr>
            </w:pPr>
          </w:p>
        </w:tc>
        <w:tc>
          <w:tcPr>
            <w:tcW w:w="2813"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学前教育生均公用经费拨付到位率</w:t>
            </w:r>
          </w:p>
        </w:tc>
        <w:tc>
          <w:tcPr>
            <w:tcW w:w="1097" w:type="dxa"/>
            <w:tcBorders>
              <w:top w:val="nil"/>
              <w:left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1044" w:type="dxa"/>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87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w:t>
            </w:r>
          </w:p>
        </w:tc>
        <w:tc>
          <w:tcPr>
            <w:tcW w:w="95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w:t>
            </w:r>
          </w:p>
        </w:tc>
        <w:tc>
          <w:tcPr>
            <w:tcW w:w="1307" w:type="dxa"/>
            <w:gridSpan w:val="4"/>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60" w:hRule="atLeast"/>
          <w:jc w:val="center"/>
        </w:trPr>
        <w:tc>
          <w:tcPr>
            <w:tcW w:w="608" w:type="dxa"/>
            <w:vMerge w:val="continue"/>
            <w:tcBorders>
              <w:top w:val="nil"/>
            </w:tcBorders>
            <w:shd w:val="clear"/>
            <w:vAlign w:val="center"/>
          </w:tcPr>
          <w:p>
            <w:pPr>
              <w:rPr>
                <w:rFonts w:hint="eastAsia" w:ascii="宋体"/>
                <w:sz w:val="24"/>
                <w:szCs w:val="24"/>
              </w:rPr>
            </w:pPr>
          </w:p>
        </w:tc>
        <w:tc>
          <w:tcPr>
            <w:tcW w:w="1065" w:type="dxa"/>
            <w:vMerge w:val="continue"/>
            <w:tcBorders>
              <w:top w:val="nil"/>
              <w:left w:val="nil"/>
            </w:tcBorders>
            <w:shd w:val="clear"/>
            <w:vAlign w:val="center"/>
          </w:tcPr>
          <w:p>
            <w:pPr>
              <w:rPr>
                <w:rFonts w:hint="eastAsia" w:ascii="宋体"/>
                <w:sz w:val="24"/>
                <w:szCs w:val="24"/>
              </w:rPr>
            </w:pPr>
          </w:p>
        </w:tc>
        <w:tc>
          <w:tcPr>
            <w:tcW w:w="756" w:type="dxa"/>
            <w:vMerge w:val="continue"/>
            <w:tcBorders>
              <w:top w:val="nil"/>
              <w:left w:val="nil"/>
              <w:bottom w:val="nil"/>
            </w:tcBorders>
            <w:shd w:val="clear"/>
            <w:vAlign w:val="center"/>
          </w:tcPr>
          <w:p>
            <w:pPr>
              <w:rPr>
                <w:rFonts w:hint="eastAsia" w:ascii="宋体"/>
                <w:sz w:val="24"/>
                <w:szCs w:val="24"/>
              </w:rPr>
            </w:pPr>
          </w:p>
        </w:tc>
        <w:tc>
          <w:tcPr>
            <w:tcW w:w="2813"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学前教育生均公用经费拨付及时率</w:t>
            </w:r>
          </w:p>
        </w:tc>
        <w:tc>
          <w:tcPr>
            <w:tcW w:w="1097" w:type="dxa"/>
            <w:tcBorders>
              <w:top w:val="nil"/>
              <w:left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1044" w:type="dxa"/>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87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8</w:t>
            </w:r>
          </w:p>
        </w:tc>
        <w:tc>
          <w:tcPr>
            <w:tcW w:w="95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8</w:t>
            </w:r>
          </w:p>
        </w:tc>
        <w:tc>
          <w:tcPr>
            <w:tcW w:w="1307" w:type="dxa"/>
            <w:gridSpan w:val="4"/>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10" w:hRule="atLeast"/>
          <w:jc w:val="center"/>
        </w:trPr>
        <w:tc>
          <w:tcPr>
            <w:tcW w:w="608" w:type="dxa"/>
            <w:vMerge w:val="continue"/>
            <w:tcBorders>
              <w:top w:val="nil"/>
            </w:tcBorders>
            <w:shd w:val="clear"/>
            <w:vAlign w:val="center"/>
          </w:tcPr>
          <w:p>
            <w:pPr>
              <w:rPr>
                <w:rFonts w:hint="eastAsia" w:ascii="宋体"/>
                <w:sz w:val="24"/>
                <w:szCs w:val="24"/>
              </w:rPr>
            </w:pPr>
          </w:p>
        </w:tc>
        <w:tc>
          <w:tcPr>
            <w:tcW w:w="1065" w:type="dxa"/>
            <w:vMerge w:val="continue"/>
            <w:tcBorders>
              <w:top w:val="nil"/>
              <w:left w:val="nil"/>
            </w:tcBorders>
            <w:shd w:val="clear"/>
            <w:vAlign w:val="center"/>
          </w:tcPr>
          <w:p>
            <w:pPr>
              <w:rPr>
                <w:rFonts w:hint="eastAsia" w:ascii="宋体"/>
                <w:sz w:val="24"/>
                <w:szCs w:val="24"/>
              </w:rPr>
            </w:pPr>
          </w:p>
        </w:tc>
        <w:tc>
          <w:tcPr>
            <w:tcW w:w="756" w:type="dxa"/>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质量指标</w:t>
            </w:r>
          </w:p>
        </w:tc>
        <w:tc>
          <w:tcPr>
            <w:tcW w:w="2813"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保障学前教育学校正常运行</w:t>
            </w:r>
          </w:p>
        </w:tc>
        <w:tc>
          <w:tcPr>
            <w:tcW w:w="1097" w:type="dxa"/>
            <w:tcBorders>
              <w:top w:val="nil"/>
              <w:left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正常运行</w:t>
            </w:r>
          </w:p>
        </w:tc>
        <w:tc>
          <w:tcPr>
            <w:tcW w:w="1044" w:type="dxa"/>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正常运行</w:t>
            </w:r>
          </w:p>
        </w:tc>
        <w:tc>
          <w:tcPr>
            <w:tcW w:w="87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w:t>
            </w:r>
          </w:p>
        </w:tc>
        <w:tc>
          <w:tcPr>
            <w:tcW w:w="95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w:t>
            </w:r>
          </w:p>
        </w:tc>
        <w:tc>
          <w:tcPr>
            <w:tcW w:w="1307" w:type="dxa"/>
            <w:gridSpan w:val="4"/>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05" w:hRule="atLeast"/>
          <w:jc w:val="center"/>
        </w:trPr>
        <w:tc>
          <w:tcPr>
            <w:tcW w:w="608" w:type="dxa"/>
            <w:vMerge w:val="continue"/>
            <w:tcBorders>
              <w:top w:val="nil"/>
            </w:tcBorders>
            <w:shd w:val="clear"/>
            <w:vAlign w:val="center"/>
          </w:tcPr>
          <w:p>
            <w:pPr>
              <w:rPr>
                <w:rFonts w:hint="eastAsia" w:ascii="宋体"/>
                <w:sz w:val="24"/>
                <w:szCs w:val="24"/>
              </w:rPr>
            </w:pPr>
          </w:p>
        </w:tc>
        <w:tc>
          <w:tcPr>
            <w:tcW w:w="1065" w:type="dxa"/>
            <w:vMerge w:val="continue"/>
            <w:tcBorders>
              <w:top w:val="nil"/>
              <w:left w:val="nil"/>
            </w:tcBorders>
            <w:shd w:val="clear"/>
            <w:vAlign w:val="center"/>
          </w:tcPr>
          <w:p>
            <w:pPr>
              <w:rPr>
                <w:rFonts w:hint="eastAsia" w:ascii="宋体"/>
                <w:sz w:val="24"/>
                <w:szCs w:val="24"/>
              </w:rPr>
            </w:pPr>
          </w:p>
        </w:tc>
        <w:tc>
          <w:tcPr>
            <w:tcW w:w="756"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时效指标</w:t>
            </w:r>
          </w:p>
        </w:tc>
        <w:tc>
          <w:tcPr>
            <w:tcW w:w="2813"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资金按规定及时拨付率</w:t>
            </w:r>
          </w:p>
        </w:tc>
        <w:tc>
          <w:tcPr>
            <w:tcW w:w="1097" w:type="dxa"/>
            <w:tcBorders>
              <w:top w:val="nil"/>
              <w:left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1044" w:type="dxa"/>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87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7</w:t>
            </w:r>
          </w:p>
        </w:tc>
        <w:tc>
          <w:tcPr>
            <w:tcW w:w="95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7</w:t>
            </w:r>
          </w:p>
        </w:tc>
        <w:tc>
          <w:tcPr>
            <w:tcW w:w="1307" w:type="dxa"/>
            <w:gridSpan w:val="4"/>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405" w:hRule="atLeast"/>
          <w:jc w:val="center"/>
        </w:trPr>
        <w:tc>
          <w:tcPr>
            <w:tcW w:w="608" w:type="dxa"/>
            <w:vMerge w:val="continue"/>
            <w:tcBorders>
              <w:top w:val="nil"/>
            </w:tcBorders>
            <w:shd w:val="clear"/>
            <w:vAlign w:val="center"/>
          </w:tcPr>
          <w:p>
            <w:pPr>
              <w:rPr>
                <w:rFonts w:hint="eastAsia" w:ascii="宋体"/>
                <w:sz w:val="24"/>
                <w:szCs w:val="24"/>
              </w:rPr>
            </w:pPr>
          </w:p>
        </w:tc>
        <w:tc>
          <w:tcPr>
            <w:tcW w:w="1065" w:type="dxa"/>
            <w:vMerge w:val="continue"/>
            <w:tcBorders>
              <w:top w:val="nil"/>
              <w:left w:val="nil"/>
            </w:tcBorders>
            <w:shd w:val="clear"/>
            <w:vAlign w:val="center"/>
          </w:tcPr>
          <w:p>
            <w:pPr>
              <w:rPr>
                <w:rFonts w:hint="eastAsia" w:ascii="宋体"/>
                <w:sz w:val="24"/>
                <w:szCs w:val="24"/>
              </w:rPr>
            </w:pPr>
          </w:p>
        </w:tc>
        <w:tc>
          <w:tcPr>
            <w:tcW w:w="756" w:type="dxa"/>
            <w:vMerge w:val="continue"/>
            <w:tcBorders>
              <w:top w:val="nil"/>
              <w:left w:val="nil"/>
            </w:tcBorders>
            <w:shd w:val="clear"/>
            <w:vAlign w:val="center"/>
          </w:tcPr>
          <w:p>
            <w:pPr>
              <w:rPr>
                <w:rFonts w:hint="eastAsia" w:ascii="宋体"/>
                <w:sz w:val="24"/>
                <w:szCs w:val="24"/>
              </w:rPr>
            </w:pPr>
          </w:p>
        </w:tc>
        <w:tc>
          <w:tcPr>
            <w:tcW w:w="2813"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年度预算执行进度</w:t>
            </w:r>
          </w:p>
        </w:tc>
        <w:tc>
          <w:tcPr>
            <w:tcW w:w="1097" w:type="dxa"/>
            <w:tcBorders>
              <w:top w:val="nil"/>
              <w:left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1044" w:type="dxa"/>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87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7</w:t>
            </w:r>
          </w:p>
        </w:tc>
        <w:tc>
          <w:tcPr>
            <w:tcW w:w="95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7</w:t>
            </w:r>
          </w:p>
        </w:tc>
        <w:tc>
          <w:tcPr>
            <w:tcW w:w="1307" w:type="dxa"/>
            <w:gridSpan w:val="4"/>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95" w:hRule="atLeast"/>
          <w:jc w:val="center"/>
        </w:trPr>
        <w:tc>
          <w:tcPr>
            <w:tcW w:w="608" w:type="dxa"/>
            <w:vMerge w:val="continue"/>
            <w:tcBorders>
              <w:top w:val="nil"/>
            </w:tcBorders>
            <w:shd w:val="clear"/>
            <w:vAlign w:val="center"/>
          </w:tcPr>
          <w:p>
            <w:pPr>
              <w:rPr>
                <w:rFonts w:hint="eastAsia" w:ascii="宋体"/>
                <w:sz w:val="24"/>
                <w:szCs w:val="24"/>
              </w:rPr>
            </w:pPr>
          </w:p>
        </w:tc>
        <w:tc>
          <w:tcPr>
            <w:tcW w:w="1065"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效益指标（30分）</w:t>
            </w:r>
          </w:p>
        </w:tc>
        <w:tc>
          <w:tcPr>
            <w:tcW w:w="756"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指标</w:t>
            </w:r>
          </w:p>
        </w:tc>
        <w:tc>
          <w:tcPr>
            <w:tcW w:w="2813"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教学活动开展有序，办学水平不断提高</w:t>
            </w:r>
          </w:p>
        </w:tc>
        <w:tc>
          <w:tcPr>
            <w:tcW w:w="1097" w:type="dxa"/>
            <w:tcBorders>
              <w:top w:val="nil"/>
              <w:left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提高</w:t>
            </w:r>
          </w:p>
        </w:tc>
        <w:tc>
          <w:tcPr>
            <w:tcW w:w="1044" w:type="dxa"/>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提高</w:t>
            </w:r>
          </w:p>
        </w:tc>
        <w:tc>
          <w:tcPr>
            <w:tcW w:w="87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15</w:t>
            </w:r>
          </w:p>
        </w:tc>
        <w:tc>
          <w:tcPr>
            <w:tcW w:w="95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15</w:t>
            </w:r>
          </w:p>
        </w:tc>
        <w:tc>
          <w:tcPr>
            <w:tcW w:w="1307" w:type="dxa"/>
            <w:gridSpan w:val="4"/>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45" w:hRule="atLeast"/>
          <w:jc w:val="center"/>
        </w:trPr>
        <w:tc>
          <w:tcPr>
            <w:tcW w:w="608" w:type="dxa"/>
            <w:vMerge w:val="continue"/>
            <w:tcBorders>
              <w:top w:val="nil"/>
            </w:tcBorders>
            <w:shd w:val="clear"/>
            <w:vAlign w:val="center"/>
          </w:tcPr>
          <w:p>
            <w:pPr>
              <w:rPr>
                <w:rFonts w:hint="eastAsia" w:ascii="宋体"/>
                <w:sz w:val="24"/>
                <w:szCs w:val="24"/>
              </w:rPr>
            </w:pPr>
          </w:p>
        </w:tc>
        <w:tc>
          <w:tcPr>
            <w:tcW w:w="1065" w:type="dxa"/>
            <w:vMerge w:val="continue"/>
            <w:tcBorders>
              <w:top w:val="nil"/>
              <w:left w:val="nil"/>
            </w:tcBorders>
            <w:shd w:val="clear"/>
            <w:vAlign w:val="center"/>
          </w:tcPr>
          <w:p>
            <w:pPr>
              <w:rPr>
                <w:rFonts w:hint="eastAsia" w:ascii="宋体"/>
                <w:sz w:val="24"/>
                <w:szCs w:val="24"/>
              </w:rPr>
            </w:pPr>
          </w:p>
        </w:tc>
        <w:tc>
          <w:tcPr>
            <w:tcW w:w="756" w:type="dxa"/>
            <w:vMerge w:val="continue"/>
            <w:tcBorders>
              <w:top w:val="nil"/>
              <w:left w:val="nil"/>
            </w:tcBorders>
            <w:shd w:val="clear"/>
            <w:vAlign w:val="center"/>
          </w:tcPr>
          <w:p>
            <w:pPr>
              <w:rPr>
                <w:rFonts w:hint="eastAsia" w:ascii="宋体"/>
                <w:sz w:val="24"/>
                <w:szCs w:val="24"/>
              </w:rPr>
            </w:pPr>
          </w:p>
        </w:tc>
        <w:tc>
          <w:tcPr>
            <w:tcW w:w="2813"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教育教学质量</w:t>
            </w:r>
          </w:p>
        </w:tc>
        <w:tc>
          <w:tcPr>
            <w:tcW w:w="1097" w:type="dxa"/>
            <w:tcBorders>
              <w:top w:val="nil"/>
              <w:left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提高</w:t>
            </w:r>
          </w:p>
        </w:tc>
        <w:tc>
          <w:tcPr>
            <w:tcW w:w="1044" w:type="dxa"/>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提高</w:t>
            </w:r>
          </w:p>
        </w:tc>
        <w:tc>
          <w:tcPr>
            <w:tcW w:w="87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15</w:t>
            </w:r>
          </w:p>
        </w:tc>
        <w:tc>
          <w:tcPr>
            <w:tcW w:w="95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15</w:t>
            </w:r>
          </w:p>
        </w:tc>
        <w:tc>
          <w:tcPr>
            <w:tcW w:w="1307" w:type="dxa"/>
            <w:gridSpan w:val="4"/>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15" w:hRule="atLeast"/>
          <w:jc w:val="center"/>
        </w:trPr>
        <w:tc>
          <w:tcPr>
            <w:tcW w:w="608" w:type="dxa"/>
            <w:vMerge w:val="continue"/>
            <w:tcBorders>
              <w:top w:val="nil"/>
            </w:tcBorders>
            <w:shd w:val="clear"/>
            <w:vAlign w:val="center"/>
          </w:tcPr>
          <w:p>
            <w:pPr>
              <w:rPr>
                <w:rFonts w:hint="eastAsia" w:ascii="宋体"/>
                <w:sz w:val="24"/>
                <w:szCs w:val="24"/>
              </w:rPr>
            </w:pPr>
          </w:p>
        </w:tc>
        <w:tc>
          <w:tcPr>
            <w:tcW w:w="1065"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（10分）</w:t>
            </w:r>
          </w:p>
        </w:tc>
        <w:tc>
          <w:tcPr>
            <w:tcW w:w="756"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服务对象满意度指标</w:t>
            </w:r>
          </w:p>
        </w:tc>
        <w:tc>
          <w:tcPr>
            <w:tcW w:w="2813"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学校和教师满意度</w:t>
            </w:r>
          </w:p>
        </w:tc>
        <w:tc>
          <w:tcPr>
            <w:tcW w:w="1097" w:type="dxa"/>
            <w:tcBorders>
              <w:top w:val="nil"/>
              <w:left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≥85%</w:t>
            </w:r>
          </w:p>
        </w:tc>
        <w:tc>
          <w:tcPr>
            <w:tcW w:w="1044" w:type="dxa"/>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96%</w:t>
            </w:r>
          </w:p>
        </w:tc>
        <w:tc>
          <w:tcPr>
            <w:tcW w:w="87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5</w:t>
            </w:r>
          </w:p>
        </w:tc>
        <w:tc>
          <w:tcPr>
            <w:tcW w:w="95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4.8</w:t>
            </w:r>
          </w:p>
        </w:tc>
        <w:tc>
          <w:tcPr>
            <w:tcW w:w="1307" w:type="dxa"/>
            <w:gridSpan w:val="4"/>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15" w:hRule="atLeast"/>
          <w:jc w:val="center"/>
        </w:trPr>
        <w:tc>
          <w:tcPr>
            <w:tcW w:w="608" w:type="dxa"/>
            <w:vMerge w:val="continue"/>
            <w:tcBorders>
              <w:top w:val="nil"/>
            </w:tcBorders>
            <w:shd w:val="clear"/>
            <w:vAlign w:val="center"/>
          </w:tcPr>
          <w:p>
            <w:pPr>
              <w:rPr>
                <w:rFonts w:hint="eastAsia" w:ascii="宋体"/>
                <w:sz w:val="24"/>
                <w:szCs w:val="24"/>
              </w:rPr>
            </w:pPr>
          </w:p>
        </w:tc>
        <w:tc>
          <w:tcPr>
            <w:tcW w:w="1065" w:type="dxa"/>
            <w:vMerge w:val="continue"/>
            <w:tcBorders>
              <w:top w:val="nil"/>
              <w:left w:val="nil"/>
            </w:tcBorders>
            <w:shd w:val="clear"/>
            <w:vAlign w:val="center"/>
          </w:tcPr>
          <w:p>
            <w:pPr>
              <w:rPr>
                <w:rFonts w:hint="eastAsia" w:ascii="宋体"/>
                <w:sz w:val="24"/>
                <w:szCs w:val="24"/>
              </w:rPr>
            </w:pPr>
          </w:p>
        </w:tc>
        <w:tc>
          <w:tcPr>
            <w:tcW w:w="756" w:type="dxa"/>
            <w:vMerge w:val="continue"/>
            <w:tcBorders>
              <w:top w:val="nil"/>
              <w:left w:val="nil"/>
            </w:tcBorders>
            <w:shd w:val="clear"/>
            <w:vAlign w:val="center"/>
          </w:tcPr>
          <w:p>
            <w:pPr>
              <w:rPr>
                <w:rFonts w:hint="eastAsia" w:ascii="宋体"/>
                <w:sz w:val="24"/>
                <w:szCs w:val="24"/>
              </w:rPr>
            </w:pPr>
          </w:p>
        </w:tc>
        <w:tc>
          <w:tcPr>
            <w:tcW w:w="2813"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家长和学生满意度</w:t>
            </w:r>
          </w:p>
        </w:tc>
        <w:tc>
          <w:tcPr>
            <w:tcW w:w="1097" w:type="dxa"/>
            <w:tcBorders>
              <w:top w:val="nil"/>
              <w:left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≥85%</w:t>
            </w:r>
          </w:p>
        </w:tc>
        <w:tc>
          <w:tcPr>
            <w:tcW w:w="1044" w:type="dxa"/>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96%</w:t>
            </w:r>
          </w:p>
        </w:tc>
        <w:tc>
          <w:tcPr>
            <w:tcW w:w="87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5</w:t>
            </w:r>
          </w:p>
        </w:tc>
        <w:tc>
          <w:tcPr>
            <w:tcW w:w="95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4.8</w:t>
            </w:r>
          </w:p>
        </w:tc>
        <w:tc>
          <w:tcPr>
            <w:tcW w:w="1307" w:type="dxa"/>
            <w:gridSpan w:val="4"/>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7383" w:type="dxa"/>
            <w:gridSpan w:val="8"/>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总分</w:t>
            </w:r>
          </w:p>
        </w:tc>
        <w:tc>
          <w:tcPr>
            <w:tcW w:w="87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95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99.6</w:t>
            </w:r>
          </w:p>
        </w:tc>
        <w:tc>
          <w:tcPr>
            <w:tcW w:w="1307" w:type="dxa"/>
            <w:gridSpan w:val="4"/>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65" w:hRule="atLeast"/>
          <w:jc w:val="center"/>
        </w:trPr>
        <w:tc>
          <w:tcPr>
            <w:tcW w:w="0" w:type="auto"/>
            <w:gridSpan w:val="16"/>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0"/>
                <w:szCs w:val="20"/>
                <w:bdr w:val="none" w:color="auto" w:sz="0" w:space="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750"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0"/>
                <w:szCs w:val="20"/>
                <w:bdr w:val="none" w:color="auto" w:sz="0" w:space="0"/>
                <w:lang w:val="en-US" w:eastAsia="zh-CN" w:bidi="ar"/>
              </w:rPr>
              <w:t>    2.评分标准：（1） 若为</w:t>
            </w:r>
            <w:r>
              <w:rPr>
                <w:rFonts w:hint="eastAsia" w:ascii="宋体" w:hAnsi="宋体" w:eastAsia="宋体" w:cs="宋体"/>
                <w:b/>
                <w:bCs/>
                <w:i w:val="0"/>
                <w:iCs w:val="0"/>
                <w:kern w:val="0"/>
                <w:sz w:val="20"/>
                <w:szCs w:val="20"/>
                <w:bdr w:val="none" w:color="auto" w:sz="0" w:space="0"/>
                <w:lang w:val="en-US" w:eastAsia="zh-CN" w:bidi="ar"/>
              </w:rPr>
              <w:t>定性指标</w:t>
            </w:r>
            <w:r>
              <w:rPr>
                <w:rFonts w:hint="eastAsia" w:ascii="宋体" w:hAnsi="宋体" w:eastAsia="宋体" w:cs="宋体"/>
                <w:kern w:val="0"/>
                <w:sz w:val="20"/>
                <w:szCs w:val="20"/>
                <w:bdr w:val="none" w:color="auto" w:sz="0" w:space="0"/>
                <w:lang w:val="en-US" w:eastAsia="zh-CN" w:bidi="ar"/>
              </w:rPr>
              <w:t>，根据指标完成情况分为：达成年度指标、部分达成年度指标并具有一定效果、未达成年度指标且效果较差三档，分别按照该指标对应分值区间100-80%&amp; #40;含80%&amp; #41;、80-60%&amp; #40;含60%&amp; #41;、60-0%合理确定分值。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900"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0"/>
                <w:szCs w:val="20"/>
                <w:bdr w:val="none" w:color="auto" w:sz="0" w:space="0"/>
                <w:lang w:val="en-US" w:eastAsia="zh-CN" w:bidi="ar"/>
              </w:rPr>
              <w:t>   （2）若为</w:t>
            </w:r>
            <w:r>
              <w:rPr>
                <w:rFonts w:hint="eastAsia" w:ascii="宋体" w:hAnsi="宋体" w:eastAsia="宋体" w:cs="宋体"/>
                <w:b/>
                <w:bCs/>
                <w:i w:val="0"/>
                <w:iCs w:val="0"/>
                <w:kern w:val="0"/>
                <w:sz w:val="20"/>
                <w:szCs w:val="20"/>
                <w:bdr w:val="none" w:color="auto" w:sz="0" w:space="0"/>
                <w:lang w:val="en-US" w:eastAsia="zh-CN" w:bidi="ar"/>
              </w:rPr>
              <w:t>定量指标</w:t>
            </w:r>
            <w:r>
              <w:rPr>
                <w:rFonts w:hint="eastAsia" w:ascii="宋体" w:hAnsi="宋体" w:eastAsia="宋体" w:cs="宋体"/>
                <w:kern w:val="0"/>
                <w:sz w:val="20"/>
                <w:szCs w:val="20"/>
                <w:bdr w:val="none" w:color="auto" w:sz="0" w:space="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0" w:type="auto"/>
            <w:gridSpan w:val="11"/>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    3.请在“偏差原因分析及改进措施”中说明偏离目标、不能完成目标的原因及拟采取的措施。</w:t>
            </w:r>
          </w:p>
        </w:tc>
        <w:tc>
          <w:tcPr>
            <w:tcW w:w="236" w:type="dxa"/>
            <w:gridSpan w:val="2"/>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0"/>
                <w:szCs w:val="20"/>
                <w:bdr w:val="none" w:color="auto" w:sz="0" w:space="0"/>
                <w:lang w:val="en-US" w:eastAsia="zh-CN" w:bidi="ar"/>
              </w:rPr>
              <w:t> </w:t>
            </w:r>
          </w:p>
        </w:tc>
        <w:tc>
          <w:tcPr>
            <w:tcW w:w="729" w:type="dxa"/>
            <w:gridSpan w:val="2"/>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0"/>
                <w:szCs w:val="20"/>
                <w:bdr w:val="none" w:color="auto" w:sz="0" w:space="0"/>
                <w:lang w:val="en-US" w:eastAsia="zh-CN" w:bidi="ar"/>
              </w:rPr>
              <w:t> </w:t>
            </w:r>
          </w:p>
        </w:tc>
        <w:tc>
          <w:tcPr>
            <w:tcW w:w="0" w:type="auto"/>
            <w:gridSpan w:val="2"/>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0"/>
                <w:szCs w:val="20"/>
                <w:bdr w:val="none" w:color="auto" w:sz="0" w:space="0"/>
                <w:lang w:val="en-US" w:eastAsia="zh-CN" w:bidi="ar"/>
              </w:rPr>
              <w:t> </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r>
        <w:rPr>
          <w:rFonts w:hint="eastAsia" w:ascii="方正小标宋简体" w:hAnsi="方正小标宋简体" w:eastAsia="方正小标宋简体" w:cs="方正小标宋简体"/>
          <w:kern w:val="0"/>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b w:val="0"/>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b w:val="0"/>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b w:val="0"/>
          <w:bCs/>
          <w:kern w:val="2"/>
          <w:sz w:val="44"/>
          <w:szCs w:val="44"/>
          <w:lang w:val="en-US" w:eastAsia="zh-CN" w:bidi="ar"/>
        </w:rPr>
        <w:t>第三部分  2021年度单位决算情况说明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本单位2021年度收入总计 343.5   万元，较2020年增加293.5  万元，增长587 %，其中：年初结转和结余 0 万元，较2020年增加0 万元，增长0%；本年收入合计 343.5 万元，较2020年增加293.5  万元，增长587 %，主要原因是：20年11月本幼儿园刚成立，20年教职工工资在原单位发放。</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本年收入的具体构成为：财政拨款收入191.27  万元，占 55.7%；事业收入 152.24  万元，占 44.3%；经营收入  0 万元，占 0 %；其他收入 0 万元，占0  %。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本单位2021年度支出总计 343.5  万元，其中本年支出合计 343.5 万元，较2020年增加293.5 万元，增长587  %，主要原因是20年11月本幼儿园刚成立，21年教职工工资在本单位发放。</w:t>
      </w:r>
      <w:r>
        <w:rPr>
          <w:rFonts w:hint="default" w:ascii="仿宋_GB2312" w:eastAsia="仿宋_GB2312" w:cs="仿宋_GB2312" w:hAnsiTheme="minorHAnsi"/>
          <w:kern w:val="0"/>
          <w:sz w:val="30"/>
          <w:szCs w:val="30"/>
          <w:lang w:val="en-US" w:eastAsia="zh-CN" w:bidi="ar"/>
        </w:rPr>
        <w:t>年末结转和结余 0  万元，较2020年增加（减少） 0 万元，增长（下降） 0 %。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本年支出的具体构成为：基本支出  343.5 万元，占100  %；项目支出  0 万元，占 0  %；经营支出  0 万元，占0  %；其他支出（对附属单位补助支出、上缴上级支出） 0  万元，占 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本单位2021年度财政拨款本年支出年初预算数为34.53 万元，决算数为191.27 万元，完成年初预算的157.9 %。其中：</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2"/>
          <w:sz w:val="30"/>
          <w:szCs w:val="30"/>
          <w:lang w:val="en-US" w:eastAsia="zh-CN" w:bidi="ar"/>
        </w:rPr>
        <w:t>教育支出年初预算数为34.53 万元，决算数为191.27万元，完成年初预算的157.9 %，主要原因是：人员及教师绩效增加。</w:t>
      </w:r>
    </w:p>
    <w:p>
      <w:pPr>
        <w:keepNext w:val="0"/>
        <w:keepLines w:val="0"/>
        <w:widowControl/>
        <w:suppressLineNumbers w:val="0"/>
        <w:spacing w:before="0" w:beforeAutospacing="1" w:after="0" w:afterAutospacing="1"/>
        <w:ind w:left="0" w:right="0" w:firstLine="585"/>
        <w:jc w:val="left"/>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本单位2021年度一般公共预算财政拨款基本支出 191.27 万元，其中：</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（一）工资福利支出 150.95 万元，较2020年增加150.95 万元，增长100 %，主要原因是：20年11月本幼儿园刚成立，20年教职工工资在原单位发放。</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（二）商品和服务支出 40.32 万元，较2020年减少9.68 万元，减少19.4 %，主要原因是：减少设备支出。</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（三）对个人和家庭补助支出0  万元，较2020年减少0.万元。</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（四）资本性支出 0 万元，较2020年减少0 万元，下降0  %，主要原因是：减少固定资产支出。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本单位2021年度一般公共预算财政拨款“三公”经费支出年初预算数为 1.7万元，决算数为 0 万元，完成预算的 0 %，决算数较2020年增加（减少）0 万元，增长0  %，其中：</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（一）因公出国（境）支出年初预算数为  0 万元，决算数为 0 万元，完成预算的0 %，决算数较2020年增加（减少）0  万元，增长（下降）0  。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（二）公务接待费支出年初预算数为 1.7万元，决算数为 0万元，完成预算的0 %，决算数较2020年增加0 万元，增长0  %，主要为：未纳入公务接待消费平台。</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（三）公务用车购置及运行维护费支出 0  万元，其中公务用车购置年初预算数为0万元，决算数为  0万元，完成预算的 0%，决算数较2020年增加（减少） 0 万元，增长（下降）0  %，主要原因是无公务用车。</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630"/>
        <w:jc w:val="left"/>
      </w:pPr>
      <w:r>
        <w:rPr>
          <w:rFonts w:asciiTheme="minorHAnsi" w:hAnsiTheme="minorHAnsi" w:eastAsiaTheme="minorEastAsia" w:cstheme="minorBidi"/>
          <w:kern w:val="0"/>
          <w:sz w:val="28"/>
          <w:szCs w:val="28"/>
          <w:lang w:val="en-US" w:eastAsia="zh-CN" w:bidi="ar"/>
        </w:rPr>
        <w:t>本单位不是行政单位或参照公务员法管理事业单位，故无机关运行经费支出。</w:t>
      </w:r>
      <w:r>
        <w:rPr>
          <w:rFonts w:asciiTheme="minorHAnsi" w:hAnsiTheme="minorHAnsi" w:eastAsiaTheme="minorEastAsia" w:cstheme="minorBidi"/>
          <w:kern w:val="0"/>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r>
        <w:rPr>
          <w:rFonts w:hint="eastAsia" w:ascii="黑体" w:hAnsi="宋体" w:eastAsia="黑体" w:cs="黑体"/>
          <w:kern w:val="2"/>
          <w:sz w:val="30"/>
          <w:szCs w:val="30"/>
          <w:lang w:val="en-US" w:eastAsia="zh-CN" w:bidi="ar"/>
        </w:rPr>
        <w:t>七、政府采购支出情况说明</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本单位2021年度政府采购支出总额 0 万元，其中：政府采购货物支出 0 万元、政府采购工程支出0  万元、政府采购服务支出 0 万元。授予中小企业合同金额 0  万元，占政府采购支出总额的0  %，其中：授予小微企业合同金额0  万元，占政府采购支出总额的0  %；货物采购授予中小企业合同金额占货物支出金额的0    %，工程采购授予中小企业合同金额占工程支出金额的 0   %，服务采购授予中小企业合同金额占服务支出金额的    0 %。</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八、</w:t>
      </w:r>
      <w:r>
        <w:rPr>
          <w:rFonts w:hint="eastAsia" w:ascii="黑体" w:hAnsi="宋体" w:eastAsia="黑体" w:cs="黑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kern w:val="0"/>
          <w:sz w:val="32"/>
          <w:szCs w:val="32"/>
          <w:lang w:val="en-US" w:eastAsia="zh-CN" w:bidi="ar"/>
        </w:rPr>
        <w:t>2021年本单位无国有资本经费预算财政拨款支出。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kern w:val="0"/>
          <w:sz w:val="30"/>
          <w:szCs w:val="30"/>
          <w:lang w:val="en-US" w:eastAsia="zh-CN" w:bidi="ar"/>
        </w:rPr>
        <w:t>截止2021年12月31日，本单位（单位）国有资产占用情况见公开10表《国有资产占用情况表》。本单位无其他用车。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firstLine="640" w:firstLineChars="200"/>
        <w:jc w:val="both"/>
      </w:pPr>
      <w:r>
        <w:rPr>
          <w:rFonts w:hint="eastAsia" w:ascii="黑体" w:hAnsi="宋体" w:eastAsia="黑体" w:cs="黑体"/>
          <w:b w:val="0"/>
          <w:bCs w:val="0"/>
          <w:i w:val="0"/>
          <w:iCs w:val="0"/>
          <w:caps w:val="0"/>
          <w:spacing w:val="0"/>
          <w:kern w:val="0"/>
          <w:sz w:val="32"/>
          <w:szCs w:val="32"/>
          <w:bdr w:val="none" w:color="auto" w:sz="0" w:space="0"/>
        </w:rPr>
        <w:t>十、预算绩效情况说明</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eastAsia" w:ascii="仿宋" w:hAnsi="仿宋" w:eastAsia="仿宋" w:cs="仿宋"/>
          <w:i w:val="0"/>
          <w:iCs w:val="0"/>
          <w:caps w:val="0"/>
          <w:spacing w:val="0"/>
          <w:kern w:val="2"/>
          <w:sz w:val="32"/>
          <w:szCs w:val="32"/>
          <w:lang w:val="en-US" w:eastAsia="zh-CN" w:bidi="ar"/>
        </w:rPr>
        <w:t>（一）绩效管理工作开展情况。</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eastAsia" w:ascii="仿宋" w:hAnsi="仿宋" w:eastAsia="仿宋" w:cs="仿宋"/>
          <w:i w:val="0"/>
          <w:iCs w:val="0"/>
          <w:caps w:val="0"/>
          <w:spacing w:val="0"/>
          <w:kern w:val="2"/>
          <w:sz w:val="32"/>
          <w:szCs w:val="32"/>
          <w:lang w:val="en-US" w:eastAsia="zh-CN" w:bidi="ar"/>
        </w:rPr>
        <w:t>根据预算绩效管理要求，我单位组织对纳入2021年度单位预算范围的二级项目1个公用经费项目全面开展绩效自评。</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eastAsia" w:ascii="仿宋" w:hAnsi="仿宋" w:eastAsia="仿宋" w:cs="仿宋"/>
          <w:i w:val="0"/>
          <w:iCs w:val="0"/>
          <w:caps w:val="0"/>
          <w:spacing w:val="0"/>
          <w:kern w:val="2"/>
          <w:sz w:val="32"/>
          <w:szCs w:val="32"/>
          <w:lang w:val="en-US" w:eastAsia="zh-CN" w:bidi="ar"/>
        </w:rPr>
        <w:t>（三）单位决算中项目绩效自评情况。</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eastAsia" w:ascii="仿宋" w:hAnsi="仿宋" w:eastAsia="仿宋" w:cs="仿宋"/>
          <w:i w:val="0"/>
          <w:iCs w:val="0"/>
          <w:caps w:val="0"/>
          <w:spacing w:val="0"/>
          <w:kern w:val="2"/>
          <w:sz w:val="32"/>
          <w:szCs w:val="32"/>
          <w:lang w:val="en-US" w:eastAsia="zh-CN" w:bidi="ar"/>
        </w:rPr>
        <w:t>我单位今年在单位决算中反映学校生均公用经费项目绩效自评结果。</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eastAsia" w:ascii="仿宋" w:hAnsi="仿宋" w:eastAsia="仿宋" w:cs="仿宋"/>
          <w:i w:val="0"/>
          <w:iCs w:val="0"/>
          <w:caps w:val="0"/>
          <w:spacing w:val="0"/>
          <w:kern w:val="2"/>
          <w:sz w:val="32"/>
          <w:szCs w:val="32"/>
          <w:lang w:val="en-US" w:eastAsia="zh-CN" w:bidi="ar"/>
        </w:rPr>
        <w:t>学校生均公用经费绩效自评综述：根据年初设定的绩效目标，学校生均公用经费绩效自评得分为99.6分。项目全年预算数为40.32万元，执行数为40.32万元，完成预算的100%。主要产出和效果：保障了学校的正常运行，提高了学校的教育教学质量，学校、家长和学生的满意度为96%。</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eastAsia" w:ascii="方正小标宋简体" w:hAnsi="方正小标宋简体" w:eastAsia="方正小标宋简体" w:cs="方正小标宋简体"/>
          <w:b w:val="0"/>
          <w:bCs w:val="0"/>
          <w:kern w:val="0"/>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b w:val="0"/>
          <w:bCs w:val="0"/>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b w:val="0"/>
          <w:bCs w:val="0"/>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b w:val="0"/>
          <w:bCs w:val="0"/>
          <w:kern w:val="2"/>
          <w:sz w:val="44"/>
          <w:szCs w:val="44"/>
          <w:lang w:val="en-US" w:eastAsia="zh-CN" w:bidi="ar"/>
        </w:rPr>
        <w:t>第四部分  名词解释</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一、财政拨款收入：指单位本年度从本级财政</w:t>
      </w:r>
      <w:r>
        <w:rPr>
          <w:rFonts w:hint="default" w:ascii="仿宋_GB2312" w:eastAsia="仿宋_GB2312" w:cs="仿宋_GB2312" w:hAnsiTheme="minorHAnsi"/>
          <w:kern w:val="2"/>
          <w:sz w:val="30"/>
          <w:szCs w:val="30"/>
          <w:lang w:val="en-US" w:eastAsia="zh-CN" w:bidi="ar"/>
        </w:rPr>
        <w:t>单位</w:t>
      </w:r>
      <w:r>
        <w:rPr>
          <w:rFonts w:hint="eastAsia" w:ascii="仿宋" w:hAnsi="仿宋" w:eastAsia="仿宋" w:cs="仿宋"/>
          <w:kern w:val="0"/>
          <w:sz w:val="30"/>
          <w:szCs w:val="30"/>
          <w:lang w:val="en-US" w:eastAsia="zh-CN" w:bidi="ar"/>
        </w:rPr>
        <w:t>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七、 年初结转和结余：指单位上年结转本年使用的基本支出结转、项目支出结转和结余和经营结余。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八、 结余分配：指事业单位按规定对非财政补助结余资金提取的职工福利基金、事业基金和缴纳的所得税，以及减少单位按规定应缴回的基本建设竣工项目结余资金。</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九、年末结转和结余资金：指单位结转下年的基本支出结转、项目支出结转和结余和经营结余。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十、基本支出：指为保障机构正常运转、完成日常工作任务而发生的人员支出和公用支出。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 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十二、、经营支出：指事业单位在专业业务活动及其辅助活动之外开展非独立核算经营活动发生的支出。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三、“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pPr>
        <w:keepNext w:val="0"/>
        <w:keepLines w:val="0"/>
        <w:widowControl/>
        <w:suppressLineNumbers w:val="0"/>
        <w:spacing w:before="0" w:beforeAutospacing="1" w:after="0" w:afterAutospacing="1"/>
        <w:ind w:left="0" w:right="0" w:firstLine="600"/>
        <w:jc w:val="left"/>
      </w:pPr>
      <w:r>
        <w:rPr>
          <w:rFonts w:hint="default" w:ascii="仿宋_GB2312" w:eastAsia="仿宋_GB2312" w:cs="仿宋_GB2312" w:hAnsiTheme="minorHAnsi"/>
          <w:kern w:val="0"/>
          <w:sz w:val="30"/>
          <w:szCs w:val="30"/>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06E840E-037D-4245-BE11-920DA6C6FD6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300A588-F3C3-4BBA-B124-737D90166AC7}"/>
  </w:font>
  <w:font w:name="方正小标宋简体">
    <w:panose1 w:val="02000000000000000000"/>
    <w:charset w:val="86"/>
    <w:family w:val="auto"/>
    <w:pitch w:val="default"/>
    <w:sig w:usb0="00000001" w:usb1="08000000" w:usb2="00000000" w:usb3="00000000" w:csb0="00040000" w:csb1="00000000"/>
    <w:embedRegular r:id="rId3" w:fontKey="{8ACA1C36-152E-4943-B0D5-13BF139342E6}"/>
  </w:font>
  <w:font w:name="仿宋_GB2312">
    <w:altName w:val="仿宋"/>
    <w:panose1 w:val="00000000000000000000"/>
    <w:charset w:val="00"/>
    <w:family w:val="auto"/>
    <w:pitch w:val="default"/>
    <w:sig w:usb0="00000000" w:usb1="00000000" w:usb2="00000000" w:usb3="00000000" w:csb0="00000000" w:csb1="00000000"/>
    <w:embedRegular r:id="rId4" w:fontKey="{6F7CE8C2-191D-43B2-A269-0C9F0FA9FD07}"/>
  </w:font>
  <w:font w:name="仿宋">
    <w:panose1 w:val="02010609060101010101"/>
    <w:charset w:val="86"/>
    <w:family w:val="auto"/>
    <w:pitch w:val="default"/>
    <w:sig w:usb0="800002BF" w:usb1="38CF7CFA" w:usb2="00000016" w:usb3="00000000" w:csb0="00040001" w:csb1="00000000"/>
    <w:embedRegular r:id="rId5" w:fontKey="{00FC0544-2BDB-47C6-8417-346652416A44}"/>
  </w:font>
  <w:font w:name="TimesNewRomanPSMT">
    <w:altName w:val="Times New Roman"/>
    <w:panose1 w:val="00000000000000000000"/>
    <w:charset w:val="00"/>
    <w:family w:val="auto"/>
    <w:pitch w:val="default"/>
    <w:sig w:usb0="00000000" w:usb1="00000000" w:usb2="00000000" w:usb3="00000000" w:csb0="00000000" w:csb1="00000000"/>
    <w:embedRegular r:id="rId6" w:fontKey="{E287346D-D4AE-47D8-9BDE-E6A67A2C1E3C}"/>
  </w:font>
  <w:font w:name="仿宋_GB2312">
    <w:altName w:val="仿宋"/>
    <w:panose1 w:val="02010609030101010101"/>
    <w:charset w:val="86"/>
    <w:family w:val="modern"/>
    <w:pitch w:val="default"/>
    <w:sig w:usb0="00000000" w:usb1="00000000" w:usb2="00000000" w:usb3="00000000" w:csb0="00040000" w:csb1="00000000"/>
    <w:embedRegular r:id="rId7" w:fontKey="{19C05F12-C5A0-4F8E-B9F7-4800BD1C151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4E1B6F50"/>
    <w:rsid w:val="4E1B6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emf"/><Relationship Id="rId8" Type="http://schemas.openxmlformats.org/officeDocument/2006/relationships/image" Target="media/image5.emf"/><Relationship Id="rId7" Type="http://schemas.openxmlformats.org/officeDocument/2006/relationships/image" Target="media/image4.emf"/><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image" Target="media/image10.emf"/><Relationship Id="rId12" Type="http://schemas.openxmlformats.org/officeDocument/2006/relationships/image" Target="media/image9.emf"/><Relationship Id="rId11" Type="http://schemas.openxmlformats.org/officeDocument/2006/relationships/image" Target="media/image8.emf"/><Relationship Id="rId10" Type="http://schemas.openxmlformats.org/officeDocument/2006/relationships/image" Target="media/image7.emf"/><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2023-10-07T14:23:00Z</dcterms:created>
  <dc:creator>才东东</dc:creator>
  <cp:lastModifiedBy>才东东</cp:lastModifiedBy>
  <dcterms:modified xsi:type="dcterms:W3CDTF">2023-10-07T14:26:20Z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E3295F7F95994377BED37EFA9751DD36_11</vt:lpwstr>
  </property>
</Properties>
</file>