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kern w:val="2"/>
          <w:sz w:val="44"/>
          <w:szCs w:val="44"/>
          <w:lang w:val="en-US" w:eastAsia="zh-CN" w:bidi="ar"/>
        </w:rPr>
        <w:t>宁都县思源实验学校单位</w:t>
      </w:r>
      <w:r>
        <w:rPr>
          <w:rFonts w:hint="default" w:ascii="方正小标宋简体" w:hAnsi="方正小标宋简体" w:eastAsia="方正小标宋简体" w:cs="方正小标宋简体"/>
          <w:kern w:val="2"/>
          <w:sz w:val="44"/>
          <w:szCs w:val="44"/>
          <w:lang w:val="en-US" w:eastAsia="zh-CN" w:bidi="ar"/>
        </w:rPr>
        <w:t>2021年度决算</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kern w:val="2"/>
          <w:sz w:val="40"/>
          <w:szCs w:val="40"/>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kern w:val="2"/>
          <w:sz w:val="40"/>
          <w:szCs w:val="40"/>
          <w:lang w:val="en-US" w:eastAsia="zh-CN" w:bidi="ar"/>
        </w:rPr>
        <w:t> </w:t>
      </w:r>
      <w:r>
        <w:rPr>
          <w:rFonts w:ascii="黑体" w:hAnsi="宋体" w:eastAsia="黑体" w:cs="黑体"/>
          <w:b/>
          <w:bCs w:val="0"/>
          <w:kern w:val="2"/>
          <w:sz w:val="32"/>
          <w:szCs w:val="32"/>
          <w:lang w:val="en-US" w:eastAsia="zh-CN" w:bidi="ar"/>
        </w:rPr>
        <w:t>第一部分</w:t>
      </w:r>
      <w:r>
        <w:rPr>
          <w:rFonts w:hint="eastAsia" w:ascii="黑体" w:hAnsi="宋体" w:eastAsia="黑体" w:cs="黑体"/>
          <w:b/>
          <w:bCs w:val="0"/>
          <w:kern w:val="2"/>
          <w:sz w:val="32"/>
          <w:szCs w:val="32"/>
          <w:lang w:val="en-US" w:eastAsia="zh-CN" w:bidi="ar"/>
        </w:rPr>
        <w:t xml:space="preserve">  </w:t>
      </w:r>
      <w:r>
        <w:rPr>
          <w:rFonts w:hint="eastAsia" w:ascii="黑体" w:hAnsi="宋体" w:eastAsia="黑体" w:cs="黑体"/>
          <w:kern w:val="2"/>
          <w:sz w:val="32"/>
          <w:szCs w:val="32"/>
          <w:lang w:val="en-US" w:eastAsia="zh-CN" w:bidi="ar"/>
        </w:rPr>
        <w:t>宁都县思源实验学校单位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right="0" w:firstLine="1280" w:firstLineChars="40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w:t>
      </w: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Cs/>
          <w:kern w:val="2"/>
          <w:sz w:val="44"/>
          <w:szCs w:val="44"/>
          <w:lang w:val="en-US" w:eastAsia="zh-CN" w:bidi="ar"/>
        </w:rPr>
        <w:t>第一部分 宁都县思源实验学校单位概况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1、负责贯彻党的教育方针，坚持社会主义办学方向，对学生进行德育、智育、体育、美育和劳动教育等方面的教育。</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2、负责配合各级人民政府依法动员适龄儿童、少年入学，严格控制学生辍学，依法保证适龄儿童、少年接受九年义务教育。 </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3、负责制定学校教育发展规划，并抓好组织实施和落实工作。</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 4、负责按照教育主管单位发布的指导性教学计划、教学大纲，组织实施教育教学活动。</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5、负责依据国家主管单位有关教学计划、课程设置等方面的规定，决定和实施本校的教学计划，组织教学评比、集体备课，对学生进行考核、考试等。</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 6、负责学籍管理。</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 7、负责聘任、培训、考核教师，依法奖励或处分有关教师和职工。</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 8、负责科学管理、合理使用学校的设施和经费，并积极筹措资金，改善办学条件。</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 9、负责维护学校、师生的合法权益，有权拒绝任何组织和个人对教育教学活动进行非法干涉。</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2021年年末实有人数92人，其中在职人员92人，离休人员 0 人，退休人员0人；年末其他人员0人；年末学生人数1755人。</w:t>
      </w:r>
    </w:p>
    <w:p>
      <w:pPr>
        <w:keepNext w:val="0"/>
        <w:keepLines w:val="0"/>
        <w:widowControl/>
        <w:suppressLineNumbers w:val="0"/>
        <w:spacing w:before="0" w:beforeAutospacing="1" w:after="0" w:afterAutospacing="1" w:line="600" w:lineRule="exact"/>
        <w:ind w:left="0" w:right="0"/>
        <w:jc w:val="both"/>
        <w:rPr>
          <w:rFonts w:hint="default" w:ascii="仿宋_GB2312" w:eastAsia="仿宋_GB2312" w:cs="仿宋_GB2312" w:hAnsiTheme="minorHAnsi"/>
          <w:kern w:val="2"/>
          <w:sz w:val="30"/>
          <w:szCs w:val="30"/>
          <w:lang w:val="en-US" w:eastAsia="zh-CN" w:bidi="ar"/>
        </w:rPr>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jc w:val="both"/>
        <w:rPr>
          <w:rFonts w:hint="default" w:ascii="仿宋_GB2312" w:eastAsia="仿宋_GB2312" w:cs="仿宋_GB2312" w:hAnsiTheme="minorHAnsi"/>
          <w:kern w:val="2"/>
          <w:sz w:val="30"/>
          <w:szCs w:val="30"/>
          <w:lang w:val="en-US" w:eastAsia="zh-CN" w:bidi="ar"/>
        </w:rPr>
      </w:pPr>
    </w:p>
    <w:p>
      <w:pPr>
        <w:keepNext w:val="0"/>
        <w:keepLines w:val="0"/>
        <w:widowControl/>
        <w:numPr>
          <w:numId w:val="0"/>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Cs/>
          <w:kern w:val="2"/>
          <w:sz w:val="44"/>
          <w:szCs w:val="44"/>
          <w:lang w:val="en-US" w:eastAsia="zh-CN" w:bidi="ar"/>
        </w:rPr>
      </w:pPr>
      <w:r>
        <w:rPr>
          <w:rFonts w:hint="default" w:ascii="方正小标宋简体" w:hAnsi="方正小标宋简体" w:eastAsia="方正小标宋简体" w:cs="方正小标宋简体"/>
          <w:bCs/>
          <w:kern w:val="2"/>
          <w:sz w:val="44"/>
          <w:szCs w:val="44"/>
          <w:lang w:val="en-US" w:eastAsia="zh-CN" w:bidi="ar"/>
        </w:rPr>
        <w:t>第二部分  2021年度单位决算表</w:t>
      </w:r>
    </w:p>
    <w:p>
      <w:pPr>
        <w:keepNext w:val="0"/>
        <w:keepLines w:val="0"/>
        <w:widowControl/>
        <w:numPr>
          <w:numId w:val="0"/>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Cs/>
          <w:kern w:val="2"/>
          <w:sz w:val="44"/>
          <w:szCs w:val="44"/>
          <w:lang w:val="en-US" w:eastAsia="zh-CN" w:bidi="ar"/>
        </w:rPr>
      </w:pPr>
    </w:p>
    <w:p>
      <w:pPr>
        <w:keepNext w:val="0"/>
        <w:keepLines w:val="0"/>
        <w:widowControl/>
        <w:numPr>
          <w:numId w:val="0"/>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Cs/>
          <w:kern w:val="2"/>
          <w:sz w:val="44"/>
          <w:szCs w:val="44"/>
          <w:lang w:val="en-US" w:eastAsia="zh-CN" w:bidi="ar"/>
        </w:rPr>
      </w:pPr>
    </w:p>
    <w:p>
      <w:pPr>
        <w:keepNext w:val="0"/>
        <w:keepLines w:val="0"/>
        <w:widowControl/>
        <w:numPr>
          <w:numId w:val="0"/>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Cs/>
          <w:kern w:val="2"/>
          <w:sz w:val="44"/>
          <w:szCs w:val="44"/>
          <w:lang w:val="en-US" w:eastAsia="zh-CN" w:bidi="ar"/>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2"/>
        <w:gridCol w:w="482"/>
        <w:gridCol w:w="748"/>
        <w:gridCol w:w="3406"/>
        <w:gridCol w:w="482"/>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43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567"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7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106.51</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62"/>
        <w:gridCol w:w="330"/>
        <w:gridCol w:w="330"/>
        <w:gridCol w:w="784"/>
        <w:gridCol w:w="898"/>
        <w:gridCol w:w="898"/>
        <w:gridCol w:w="898"/>
        <w:gridCol w:w="670"/>
        <w:gridCol w:w="670"/>
        <w:gridCol w:w="443"/>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3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5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0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3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5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4"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12"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512"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512"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36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36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45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542"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3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5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3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5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3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5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4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4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3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4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0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106.51</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3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106.51</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3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106.51</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43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106.51</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87"/>
        <w:gridCol w:w="371"/>
        <w:gridCol w:w="371"/>
        <w:gridCol w:w="990"/>
        <w:gridCol w:w="835"/>
        <w:gridCol w:w="835"/>
        <w:gridCol w:w="680"/>
        <w:gridCol w:w="526"/>
        <w:gridCol w:w="526"/>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9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9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1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5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49"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5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9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58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51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51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57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1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1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1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1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1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1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56"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5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5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1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5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56"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1,058.51</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526.26</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1,058.51</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526.26</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1,058.51</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526.26</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1,584.78</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1,058.51</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526.26</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3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09"/>
        <w:gridCol w:w="344"/>
        <w:gridCol w:w="728"/>
        <w:gridCol w:w="2137"/>
        <w:gridCol w:w="344"/>
        <w:gridCol w:w="728"/>
        <w:gridCol w:w="728"/>
        <w:gridCol w:w="472"/>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1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1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1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1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1770"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3228"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8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19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1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3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9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42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58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1118"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7"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21"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85"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rPr>
          <w:vanish/>
          <w:sz w:val="24"/>
          <w:szCs w:val="24"/>
        </w:rPr>
      </w:pPr>
    </w:p>
    <w:tbl>
      <w:tblPr>
        <w:tblW w:w="5000" w:type="pct"/>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688"/>
        <w:gridCol w:w="408"/>
        <w:gridCol w:w="410"/>
        <w:gridCol w:w="1186"/>
        <w:gridCol w:w="1381"/>
        <w:gridCol w:w="992"/>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522"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0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1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18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3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99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4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6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40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1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18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3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99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4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4693"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38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992"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45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50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18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3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9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5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50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18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9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5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18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9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5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2687"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0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1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18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3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99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87"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0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1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8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952.00</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5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952.00</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952.00</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5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1,478.26</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952.00</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5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5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8522"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82"/>
        <w:gridCol w:w="834"/>
        <w:gridCol w:w="679"/>
        <w:gridCol w:w="602"/>
        <w:gridCol w:w="834"/>
        <w:gridCol w:w="679"/>
        <w:gridCol w:w="679"/>
        <w:gridCol w:w="834"/>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0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6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37"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2962"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53"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798.56</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142.54</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286.39</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8.88</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181.72</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5.56</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141.37</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24.90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15.90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78.91</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23.70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0.93</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55.75</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23.59</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0.28</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16.07</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29.24</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0.27</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9.85</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8.52</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1.21</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0.27</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9.74</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63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18.58</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7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6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73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798.83</w:t>
            </w:r>
          </w:p>
        </w:tc>
        <w:tc>
          <w:tcPr>
            <w:tcW w:w="2395"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5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14"/>
        <w:gridCol w:w="1173"/>
        <w:gridCol w:w="1449"/>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4"/>
                <w:szCs w:val="2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35"/>
        <w:gridCol w:w="374"/>
        <w:gridCol w:w="375"/>
        <w:gridCol w:w="851"/>
        <w:gridCol w:w="375"/>
        <w:gridCol w:w="851"/>
        <w:gridCol w:w="533"/>
        <w:gridCol w:w="851"/>
        <w:gridCol w:w="851"/>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2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0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2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0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109"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0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46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1204"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72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44"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6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0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46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6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72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4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8" w:hRule="atLeast"/>
        </w:trPr>
        <w:tc>
          <w:tcPr>
            <w:tcW w:w="1277"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8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8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0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77"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81"/>
        <w:gridCol w:w="824"/>
        <w:gridCol w:w="8"/>
        <w:gridCol w:w="373"/>
        <w:gridCol w:w="373"/>
        <w:gridCol w:w="846"/>
        <w:gridCol w:w="824"/>
        <w:gridCol w:w="374"/>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996"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769"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769"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31" w:type="pct"/>
            <w:gridSpan w:val="6"/>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6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9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70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7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0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0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0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69" w:type="pct"/>
            <w:gridSpan w:val="3"/>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7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69" w:type="pct"/>
            <w:gridSpan w:val="3"/>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4996"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996"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97"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318"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编制单位：宁都县思源实验学校</w:t>
            </w:r>
          </w:p>
        </w:tc>
        <w:tc>
          <w:tcPr>
            <w:tcW w:w="4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318"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21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6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2318" w:type="pct"/>
            <w:gridSpan w:val="7"/>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2318" w:type="pct"/>
            <w:gridSpan w:val="7"/>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4997"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7"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spacing w:before="0" w:beforeAutospacing="1" w:after="0" w:afterAutospacing="1" w:line="600" w:lineRule="exact"/>
        <w:ind w:left="0" w:right="0" w:firstLine="640"/>
        <w:jc w:val="center"/>
      </w:pPr>
      <w:bookmarkStart w:id="0" w:name="_GoBack"/>
      <w:bookmarkEnd w:id="0"/>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本单位2021年度收入总计1584.78万元，较2020年增加270.67万元，增长20.60%，其中：年初结转和结余0万元，较2020年增加0万元，增长0%；本年收入合计1584.78万元，较2020年增加270.67万元，增长20.60%，主要原因是：</w:t>
      </w:r>
      <w:r>
        <w:rPr>
          <w:rFonts w:hint="default" w:ascii="仿宋_GB2312" w:eastAsia="仿宋_GB2312" w:cs="仿宋_GB2312" w:hAnsiTheme="minorHAnsi"/>
          <w:b w:val="0"/>
          <w:bCs w:val="0"/>
          <w:kern w:val="2"/>
          <w:sz w:val="30"/>
          <w:szCs w:val="30"/>
          <w:lang w:val="en-US" w:eastAsia="zh-CN" w:bidi="ar"/>
        </w:rPr>
        <w:t>教职员工</w:t>
      </w:r>
      <w:r>
        <w:rPr>
          <w:rFonts w:hint="default" w:ascii="仿宋_GB2312" w:eastAsia="仿宋_GB2312" w:cs="仿宋_GB2312" w:hAnsiTheme="minorHAnsi"/>
          <w:kern w:val="2"/>
          <w:sz w:val="30"/>
          <w:szCs w:val="30"/>
          <w:lang w:val="en-US" w:eastAsia="zh-CN" w:bidi="ar"/>
        </w:rPr>
        <w:t>工资增加。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本年收入的具体构成为：财政拨款收入1478.26万元，占93.28%；事业收入106.51万元，占6.72%；经营收入0万元，占0%；其他收入0万元，占0%。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本单位2021年度支出总计1584.78万元，其中本年支出合计1584.78万元，较2020年增加270.67万元，增长20.60%；年末结转和结余0万元，较2020年增加（减少）0万元，增长（下降）0%，主要原因是：无结转结余。</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本年支出的具体构成为：基本支出1058.51万元，占66.79%；项目支出526.26万元，占33.21%；经营支出0万元，占0%；其他支出（对附属单位补助支出、上缴上级支出）0万元，占0%。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本单位2021年度财政拨款本年支出年初预算数为659.82万元，决算数为952万元，完成年初预算的144.28%。其中：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一般公共服务支出年初预算数为659.82万元，决算数为952万元，完成年初预算的144.28%，主要原因是：</w:t>
      </w:r>
      <w:r>
        <w:rPr>
          <w:rFonts w:hint="default" w:ascii="仿宋_GB2312" w:eastAsia="仿宋_GB2312" w:cs="仿宋_GB2312" w:hAnsiTheme="minorHAnsi"/>
          <w:b w:val="0"/>
          <w:bCs w:val="0"/>
          <w:kern w:val="2"/>
          <w:sz w:val="30"/>
          <w:szCs w:val="30"/>
          <w:lang w:val="en-US" w:eastAsia="zh-CN" w:bidi="ar"/>
        </w:rPr>
        <w:t>教职员工</w:t>
      </w:r>
      <w:r>
        <w:rPr>
          <w:rFonts w:hint="default" w:ascii="仿宋_GB2312" w:eastAsia="仿宋_GB2312" w:cs="仿宋_GB2312" w:hAnsiTheme="minorHAnsi"/>
          <w:kern w:val="2"/>
          <w:sz w:val="30"/>
          <w:szCs w:val="30"/>
          <w:lang w:val="en-US" w:eastAsia="zh-CN" w:bidi="ar"/>
        </w:rPr>
        <w:t>工资增加。</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本单位2021年度一般公共预算财政拨款基本支出952万元，其中：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（一）工资福利支出798.56万元，较2020年增加159.28万元，增长24.92%，主要原因是：人员经费增加。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（二）商品和服务支出142.54万元，较2020年增加43.17万元，增长43.44%，主要原因是：单位运行支出增加。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（三）对个人和家庭补助支出0.27万元，较2020年增加（减少）0万元，增长（下降）0%，主要原因是：生活补贴持平。</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（四）资本性支出10.63万元，较2020年增加6万元，增长129.59%，主要原因是：资本性支出增加。</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本单位2021年度一般公共预算财政拨款“三公”经费支出年初预算数为2万元，决算数为0万元，完成预算的0%，决算数较2020年增加0万元，增长0%，其中：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0万元，完成预算的0%，决算数较2020年增加（减少）0万元，增长（下降）0%，主要原因是：无此项支出。决算数较年初预算数无增减的主要原因是：无此项支出。全年安排因公出国（境）团组0个，累计0人次。</w:t>
      </w:r>
    </w:p>
    <w:p>
      <w:pPr>
        <w:keepNext w:val="0"/>
        <w:keepLines w:val="0"/>
        <w:widowControl/>
        <w:suppressLineNumbers w:val="0"/>
        <w:spacing w:before="0" w:beforeAutospacing="1" w:after="0" w:afterAutospacing="1"/>
        <w:ind w:left="0" w:right="0" w:firstLine="640"/>
        <w:jc w:val="left"/>
      </w:pPr>
      <w:r>
        <w:rPr>
          <w:rFonts w:hint="default" w:ascii="仿宋_GB2312" w:eastAsia="仿宋_GB2312" w:cs="仿宋_GB2312" w:hAnsiTheme="minorHAnsi"/>
          <w:kern w:val="2"/>
          <w:sz w:val="30"/>
          <w:szCs w:val="30"/>
          <w:lang w:val="en-US" w:eastAsia="zh-CN" w:bidi="ar"/>
        </w:rPr>
        <w:t>（二）公务接待费支出年初预算数为2万元，决算数为0万元，完成预算的0%，决算数较2020年增加0万元，增长（下降）0%，主要原因是:无接待。全年国内公务接待0批，累计接待0人次，其中外事接待0批，累计接待0人次，主要为：无外事接待。</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其中公务用车购置年初预算数为0万元，决算数为0万元，完成预算的0%，决算数较2020年增加（减少）0万元，增长（下降）0%，主要原因是：无相关支出；全年购置公务用车0辆。决算数较年初预算数无增减的主要原因是：无相关支出；公务用车运行维护费支出年初预算数为0万元，决算数为0万元，完成预算的0%，决算数较2020年增加（减少）0万元，增长（下降）0%，主要原因是：无相关支出；年末公务用车保有0辆。决算数较年初预算数无增减的主要原因是：无相关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526.26万元，其中：政府采购货物支出0万元、政府采购工程支出526.26万元、政府采购服务支出0万元。授予中小企业合同金额526.26万元，占政府采购支出总额的100%，其中：授予小微企业合同金额526.26万元，占政府采购支出总额的100%；货物采购授予中小企业合同金额占货物支出金额的0%，工程采购授予中小企业合同金额占工程支出金额的100%，服务采购授予中小企业合同金额占服务支出金额的0%。</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shd w:val="clear" w:fill="FFFFFF"/>
        <w:spacing w:before="0" w:beforeAutospacing="0" w:after="105" w:afterAutospacing="0" w:line="240" w:lineRule="atLeast"/>
        <w:ind w:left="0" w:right="0" w:firstLine="420"/>
        <w:jc w:val="both"/>
      </w:pPr>
      <w:r>
        <w:rPr>
          <w:rFonts w:hint="eastAsia" w:ascii="仿宋" w:hAnsi="仿宋" w:eastAsia="仿宋" w:cs="仿宋"/>
          <w:color w:val="000000"/>
          <w:kern w:val="0"/>
          <w:sz w:val="32"/>
          <w:szCs w:val="32"/>
          <w:shd w:val="clear" w:fill="FFFFFF"/>
        </w:rPr>
        <w:t>（一）绩效管理工作开展情况。</w:t>
      </w:r>
    </w:p>
    <w:p>
      <w:pPr>
        <w:pStyle w:val="2"/>
        <w:keepNext w:val="0"/>
        <w:keepLines w:val="0"/>
        <w:widowControl/>
        <w:suppressLineNumbers w:val="0"/>
        <w:shd w:val="clear" w:fill="FFFFFF"/>
        <w:spacing w:before="0" w:beforeAutospacing="0" w:after="105" w:afterAutospacing="0" w:line="240" w:lineRule="atLeast"/>
        <w:ind w:left="0" w:right="0" w:firstLine="640" w:firstLineChars="200"/>
        <w:jc w:val="both"/>
      </w:pPr>
      <w:r>
        <w:rPr>
          <w:rFonts w:hint="eastAsia" w:ascii="仿宋" w:hAnsi="仿宋" w:eastAsia="仿宋" w:cs="仿宋"/>
          <w:color w:val="00000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shd w:val="clear" w:fill="FFFFFF"/>
        <w:spacing w:before="0" w:beforeAutospacing="0" w:after="105" w:afterAutospacing="0" w:line="240" w:lineRule="atLeast"/>
        <w:ind w:left="0" w:right="0" w:firstLine="630"/>
        <w:jc w:val="both"/>
      </w:pPr>
      <w:r>
        <w:rPr>
          <w:rFonts w:hint="eastAsia" w:ascii="仿宋" w:hAnsi="仿宋" w:eastAsia="仿宋" w:cs="仿宋"/>
          <w:color w:val="000000"/>
          <w:kern w:val="0"/>
          <w:sz w:val="32"/>
          <w:szCs w:val="32"/>
          <w:shd w:val="clear" w:fill="FFFFFF"/>
        </w:rPr>
        <w:t>（一）单位决算中项目绩效自评情况。</w:t>
      </w:r>
    </w:p>
    <w:p>
      <w:pPr>
        <w:pStyle w:val="2"/>
        <w:keepNext w:val="0"/>
        <w:keepLines w:val="0"/>
        <w:widowControl/>
        <w:suppressLineNumbers w:val="0"/>
        <w:shd w:val="clear" w:fill="FFFFFF"/>
        <w:spacing w:before="0" w:beforeAutospacing="0" w:after="105" w:afterAutospacing="0" w:line="240" w:lineRule="atLeast"/>
        <w:ind w:left="0" w:right="0" w:firstLine="640"/>
        <w:jc w:val="both"/>
      </w:pPr>
      <w:r>
        <w:rPr>
          <w:rFonts w:hint="eastAsia" w:ascii="仿宋" w:hAnsi="仿宋" w:eastAsia="仿宋" w:cs="仿宋"/>
          <w:color w:val="000000"/>
          <w:kern w:val="0"/>
          <w:sz w:val="32"/>
          <w:szCs w:val="32"/>
          <w:shd w:val="clear" w:fill="FFFFFF"/>
        </w:rPr>
        <w:t>我单位今年在单位决算中反映学校生均公用经费项目绩效自评结果。</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color w:val="000000"/>
          <w:kern w:val="2"/>
          <w:sz w:val="32"/>
          <w:szCs w:val="32"/>
          <w:shd w:val="clear" w:fill="FFFFFF"/>
          <w:lang w:val="en-US" w:eastAsia="zh-CN" w:bidi="ar"/>
        </w:rPr>
        <w:t>学校生均公用经费绩效自评综述：根据年初设定的绩效目标，学校生均公用经费绩效自评得分为99.8分。项目全年预算153.17万元，执行数为153.17万元，完成预算的100%。主要产出和效果：保障了学校的正常运行，提高了学校的教育教学质量，学校、家长和学生的满意度为98%。</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主管部门</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宁都县教育科技体育局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153.17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153.17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153.17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153.17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153.17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153.17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3F8B7C5A"/>
    <w:rsid w:val="3F8B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2023-10-07T06:10:00Z</dcterms:created>
  <dc:creator>才东东</dc:creator>
  <cp:lastModifiedBy>才东东</cp:lastModifiedBy>
  <dcterms:modified xsi:type="dcterms:W3CDTF">2023-10-07T06:12:02Z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30570AA14DAC4314BC3E26F2879A5E06_11</vt:lpwstr>
  </property>
</Properties>
</file>