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kern w:val="2"/>
          <w:sz w:val="44"/>
          <w:szCs w:val="44"/>
          <w:lang w:val="en-US" w:eastAsia="zh-CN" w:bidi="ar"/>
        </w:rPr>
        <w:t>宁都县钓峰中小学</w:t>
      </w:r>
      <w:r>
        <w:rPr>
          <w:rFonts w:hint="default" w:ascii="方正小标宋简体" w:hAnsi="方正小标宋简体" w:eastAsia="方正小标宋简体" w:cs="方正小标宋简体"/>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kern w:val="2"/>
          <w:sz w:val="40"/>
          <w:szCs w:val="40"/>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黑体" w:hAnsi="宋体" w:eastAsia="黑体" w:cs="黑体"/>
          <w:b/>
          <w:bCs w:val="0"/>
          <w:kern w:val="2"/>
          <w:sz w:val="32"/>
          <w:szCs w:val="32"/>
          <w:lang w:val="en-US" w:eastAsia="zh-CN" w:bidi="ar"/>
        </w:rPr>
        <w:t>第一部分</w:t>
      </w:r>
      <w:r>
        <w:rPr>
          <w:rFonts w:hint="eastAsia" w:ascii="黑体" w:hAnsi="宋体" w:eastAsia="黑体" w:cs="黑体"/>
          <w:b/>
          <w:bCs w:val="0"/>
          <w:kern w:val="2"/>
          <w:sz w:val="32"/>
          <w:szCs w:val="32"/>
          <w:lang w:val="en-US" w:eastAsia="zh-CN" w:bidi="ar"/>
        </w:rPr>
        <w:t xml:space="preserve">  </w:t>
      </w:r>
      <w:r>
        <w:rPr>
          <w:rFonts w:hint="eastAsia" w:ascii="黑体" w:hAnsi="宋体" w:eastAsia="黑体" w:cs="黑体"/>
          <w:kern w:val="2"/>
          <w:sz w:val="32"/>
          <w:szCs w:val="32"/>
          <w:lang w:val="en-US" w:eastAsia="zh-CN" w:bidi="ar"/>
        </w:rPr>
        <w:t>宁都县钓峰中小学单位</w:t>
      </w:r>
      <w:r>
        <w:rPr>
          <w:rFonts w:hint="eastAsia" w:ascii="黑体" w:hAnsi="宋体" w:eastAsia="黑体" w:cs="黑体"/>
          <w:b/>
          <w:bCs w:val="0"/>
          <w:kern w:val="2"/>
          <w:sz w:val="32"/>
          <w:szCs w:val="32"/>
          <w:lang w:val="en-US" w:eastAsia="zh-CN" w:bidi="ar"/>
        </w:rPr>
        <w:t>概况</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ilvl w:val="0"/>
          <w:numId w:val="0"/>
        </w:numPr>
        <w:suppressLineNumbers w:val="0"/>
        <w:spacing w:before="0" w:beforeAutospacing="1" w:after="0" w:afterAutospacing="1" w:line="600" w:lineRule="exact"/>
        <w:ind w:left="1280" w:right="0" w:firstLine="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ilvl w:val="0"/>
          <w:numId w:val="0"/>
        </w:numPr>
        <w:suppressLineNumbers w:val="0"/>
        <w:spacing w:before="0" w:beforeAutospacing="1" w:after="0" w:afterAutospacing="1" w:line="600" w:lineRule="exact"/>
        <w:ind w:left="1280" w:right="0" w:firstLine="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w:t>
      </w: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Cs/>
          <w:kern w:val="2"/>
          <w:sz w:val="44"/>
          <w:szCs w:val="44"/>
          <w:lang w:val="en-US" w:eastAsia="zh-CN" w:bidi="ar"/>
        </w:rPr>
        <w:t>第一部分 宁都县钓峰中小学单位概况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一、单位主要职能</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1、负责贯彻党的教育方针，坚持社会主义办学方向，对学生进行德育、智育、体育、美育和劳动教育等方面的教育。</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2、负责配合各级人民政府依法动员适龄儿童、少年入学，严格控制学生辍学，依法保证适龄儿童、少年接受九年义务教育。 </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3、负责制定学校教育发展规划，并抓好组织实施和落实工作。</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 4、负责按照教育主管单位发布的指导性教学计划、教学大纲，组织实施教育教学活动。</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5、负责依据国家主管单位有关教学计划、课程设置等方面的规定，决定和实施本校的教学计划，组织教学评比、集体备课，对学生进行考核、考试等。</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 6、负责学籍管理。</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 7、负责聘任、培训、考核教师，依法奖励或处分有关教师和职工。</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 8、负责科学管理、合理使用学校的设施和经费，并积极筹措资金，改善办学条件。</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 9、负责维护学校、师生的合法权益，有权拒绝任何组织和个人对教育教学活动进行非法干涉。</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 10、依法接受各级教育行政单位的检查指导和人民群众的监督。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2021年年末实有人数  131 人，其中在职人员75人，离休人员 0 人，退休人员56 人；年末其他人员0人，年末学生数985人。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rPr>
          <w:rFonts w:hint="eastAsia" w:ascii="宋体" w:hAnsi="宋体" w:eastAsia="宋体" w:cs="宋体"/>
          <w:b/>
          <w:bCs w:val="0"/>
          <w:kern w:val="2"/>
          <w:sz w:val="32"/>
          <w:szCs w:val="32"/>
          <w:lang w:val="en-US" w:eastAsia="zh-CN" w:bidi="ar"/>
        </w:rPr>
      </w:pP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b/>
          <w:bCs w:val="0"/>
          <w:kern w:val="2"/>
          <w:sz w:val="32"/>
          <w:szCs w:val="32"/>
          <w:lang w:val="en-US" w:eastAsia="zh-CN" w:bidi="ar"/>
        </w:rPr>
        <w:t> </w:t>
      </w:r>
      <w:r>
        <w:rPr>
          <w:rFonts w:hint="default" w:ascii="方正小标宋简体" w:hAnsi="方正小标宋简体" w:eastAsia="方正小标宋简体" w:cs="方正小标宋简体"/>
          <w:bCs/>
          <w:kern w:val="2"/>
          <w:sz w:val="44"/>
          <w:szCs w:val="44"/>
          <w:lang w:val="en-US" w:eastAsia="zh-CN" w:bidi="ar"/>
        </w:rPr>
        <w:t>第二部分  2021年度单位决算表</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7"/>
        <w:gridCol w:w="483"/>
        <w:gridCol w:w="731"/>
        <w:gridCol w:w="3414"/>
        <w:gridCol w:w="483"/>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66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29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7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156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29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72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6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编制单位：宁都县钓峰中小学</w:t>
            </w:r>
          </w:p>
        </w:tc>
        <w:tc>
          <w:tcPr>
            <w:tcW w:w="29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7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156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29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72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423"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收     入</w:t>
            </w:r>
          </w:p>
        </w:tc>
        <w:tc>
          <w:tcPr>
            <w:tcW w:w="2575" w:type="pct"/>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47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决算数</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项目（按功能分类）</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7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47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7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一、一般公共预算财政拨款收入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一、一般公共服务支出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二、政府性基金预算财政拨款收入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二、外交支出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三、国有资本经营预算财政拨款收入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三、国防支出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34</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四、上级补助收入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四、公共安全支出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35</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五、事业收入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28.56</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五、教育支出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36</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822.96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六、经营收入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六、科学技术支出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37</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七、附属单位上缴收入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7</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七、文化旅游体育与传媒支出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38</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八、其他收入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8</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八、社会保障和就业支出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9</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九、卫生健康支出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40</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十、节能环保支出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11</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十一、城乡社区支出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12</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十二、农林水支出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13</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十三、交通运输支出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44</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14</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十四、资源勘探工业信息等支出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45</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15</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十五、商业服务业等支出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46</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16</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十六、金融支出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47</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17</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十七、援助其他地区支出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48</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18</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十八、自然资源海洋气象等支出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19</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十九、住房保障支出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50</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二十、粮油物资储备支出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21</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二十一、国有资本经营预算支出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22</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二十二、灾害防治及应急管理支出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23</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二十三、其他支出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54</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24</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二十四、债务还本支出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55</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25</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二十五、债务付息支出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56</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26</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二十六、抗疫特别国债安排的支出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57</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本年收入合计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27</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822.96</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本年支出合计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58</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822.96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  使用非财政拨款结余</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28</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  结余分配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  年初结转和结余</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29</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  年末结转和结余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60</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31</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822.96</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822.96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5000" w:type="pct"/>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    2.本套报表金额单位转换时可能存在尾数误差。</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82"/>
        <w:gridCol w:w="332"/>
        <w:gridCol w:w="332"/>
        <w:gridCol w:w="794"/>
        <w:gridCol w:w="909"/>
        <w:gridCol w:w="909"/>
        <w:gridCol w:w="909"/>
        <w:gridCol w:w="678"/>
        <w:gridCol w:w="678"/>
        <w:gridCol w:w="447"/>
        <w:gridCol w:w="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5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14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14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4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1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1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1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37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37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6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4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5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编制单位：宁都县钓峰中小学</w:t>
            </w:r>
          </w:p>
        </w:tc>
        <w:tc>
          <w:tcPr>
            <w:tcW w:w="14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14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4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1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1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1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37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37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6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4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89"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519"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本年收入合计</w:t>
            </w:r>
          </w:p>
        </w:tc>
        <w:tc>
          <w:tcPr>
            <w:tcW w:w="519"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财政拨款收入</w:t>
            </w:r>
          </w:p>
        </w:tc>
        <w:tc>
          <w:tcPr>
            <w:tcW w:w="519"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上级补助收入</w:t>
            </w:r>
          </w:p>
        </w:tc>
        <w:tc>
          <w:tcPr>
            <w:tcW w:w="370"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事业收入</w:t>
            </w:r>
          </w:p>
        </w:tc>
        <w:tc>
          <w:tcPr>
            <w:tcW w:w="370"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经营收入</w:t>
            </w:r>
          </w:p>
        </w:tc>
        <w:tc>
          <w:tcPr>
            <w:tcW w:w="463"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附属单位上缴收入</w:t>
            </w:r>
          </w:p>
        </w:tc>
        <w:tc>
          <w:tcPr>
            <w:tcW w:w="547"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6"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44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6"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4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6"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4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1"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14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14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4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5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5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5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3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3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4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5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1"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822.96</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28.56</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w:t>
            </w:r>
          </w:p>
        </w:tc>
        <w:tc>
          <w:tcPr>
            <w:tcW w:w="4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教育支出</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822.96</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28.56</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w:t>
            </w:r>
          </w:p>
        </w:tc>
        <w:tc>
          <w:tcPr>
            <w:tcW w:w="4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普通教育</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822.96</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28.56</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2050202</w:t>
            </w:r>
          </w:p>
        </w:tc>
        <w:tc>
          <w:tcPr>
            <w:tcW w:w="4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  小学教育</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394.32</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379.32</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15.00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2050203</w:t>
            </w:r>
          </w:p>
        </w:tc>
        <w:tc>
          <w:tcPr>
            <w:tcW w:w="4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  初中教育</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428.64</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415.09</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13.56</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5000" w:type="pct"/>
            <w:gridSpan w:val="11"/>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注：本表反映单位本年度取得的各项收入情况。</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92"/>
        <w:gridCol w:w="383"/>
        <w:gridCol w:w="383"/>
        <w:gridCol w:w="1052"/>
        <w:gridCol w:w="718"/>
        <w:gridCol w:w="862"/>
        <w:gridCol w:w="550"/>
        <w:gridCol w:w="550"/>
        <w:gridCol w:w="551"/>
        <w:gridCol w:w="1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9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13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13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1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5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9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6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4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5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7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9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编制单位：宁都县钓峰中小学</w:t>
            </w:r>
          </w:p>
        </w:tc>
        <w:tc>
          <w:tcPr>
            <w:tcW w:w="13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13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1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5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9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56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4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5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7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5"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55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本年支出合计</w:t>
            </w:r>
          </w:p>
        </w:tc>
        <w:tc>
          <w:tcPr>
            <w:tcW w:w="59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基本支出</w:t>
            </w:r>
          </w:p>
        </w:tc>
        <w:tc>
          <w:tcPr>
            <w:tcW w:w="565"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项目支出</w:t>
            </w:r>
          </w:p>
        </w:tc>
        <w:tc>
          <w:tcPr>
            <w:tcW w:w="54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上缴上级支出</w:t>
            </w:r>
          </w:p>
        </w:tc>
        <w:tc>
          <w:tcPr>
            <w:tcW w:w="55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经营支出</w:t>
            </w:r>
          </w:p>
        </w:tc>
        <w:tc>
          <w:tcPr>
            <w:tcW w:w="578"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8"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41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6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68"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1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6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68"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1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6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92"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13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13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55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5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5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54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55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57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2"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822.96</w:t>
            </w: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822.96</w:t>
            </w:r>
          </w:p>
        </w:tc>
        <w:tc>
          <w:tcPr>
            <w:tcW w:w="5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w:t>
            </w:r>
          </w:p>
        </w:tc>
        <w:tc>
          <w:tcPr>
            <w:tcW w:w="4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教育支出</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822.96</w:t>
            </w: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822.96</w:t>
            </w:r>
          </w:p>
        </w:tc>
        <w:tc>
          <w:tcPr>
            <w:tcW w:w="5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6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w:t>
            </w:r>
          </w:p>
        </w:tc>
        <w:tc>
          <w:tcPr>
            <w:tcW w:w="4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普通教育</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822.96</w:t>
            </w: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822.96</w:t>
            </w:r>
          </w:p>
        </w:tc>
        <w:tc>
          <w:tcPr>
            <w:tcW w:w="5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2050202</w:t>
            </w:r>
          </w:p>
        </w:tc>
        <w:tc>
          <w:tcPr>
            <w:tcW w:w="4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  小学教育</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394.32</w:t>
            </w: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394.32</w:t>
            </w:r>
          </w:p>
        </w:tc>
        <w:tc>
          <w:tcPr>
            <w:tcW w:w="5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6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2050203</w:t>
            </w:r>
          </w:p>
        </w:tc>
        <w:tc>
          <w:tcPr>
            <w:tcW w:w="4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  初中教育</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428.64</w:t>
            </w: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428.64</w:t>
            </w:r>
          </w:p>
        </w:tc>
        <w:tc>
          <w:tcPr>
            <w:tcW w:w="5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6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6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6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10"/>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注：本表反映单位本年度各项支出情况。</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20"/>
        <w:gridCol w:w="352"/>
        <w:gridCol w:w="624"/>
        <w:gridCol w:w="2256"/>
        <w:gridCol w:w="352"/>
        <w:gridCol w:w="624"/>
        <w:gridCol w:w="624"/>
        <w:gridCol w:w="488"/>
        <w:gridCol w:w="1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5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16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6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122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16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30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7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3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60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5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编制单位：宁都县钓峰中小学</w:t>
            </w:r>
          </w:p>
        </w:tc>
        <w:tc>
          <w:tcPr>
            <w:tcW w:w="16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6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122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16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30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7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3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60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785"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收     入</w:t>
            </w:r>
          </w:p>
        </w:tc>
        <w:tc>
          <w:tcPr>
            <w:tcW w:w="3214"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2"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16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46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金额</w:t>
            </w:r>
          </w:p>
        </w:tc>
        <w:tc>
          <w:tcPr>
            <w:tcW w:w="1229"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项目（按功能分类）</w:t>
            </w:r>
          </w:p>
        </w:tc>
        <w:tc>
          <w:tcPr>
            <w:tcW w:w="16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30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47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一般公共预算财政拨款</w:t>
            </w:r>
          </w:p>
        </w:tc>
        <w:tc>
          <w:tcPr>
            <w:tcW w:w="43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政府性基金预算财政拨款</w:t>
            </w:r>
          </w:p>
        </w:tc>
        <w:tc>
          <w:tcPr>
            <w:tcW w:w="60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1152"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7"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5"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2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7"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0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0"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34"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04"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30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4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43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60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一、一般公共预算财政拨款</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一、一般公共服务支出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33</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二、政府性基金预算财政拨款</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二、外交支出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34</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三、国有资本经营预算财政拨款</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三、国防支出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35</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四、公共安全支出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36</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五、教育支出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37</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六、科学技术支出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38</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7</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七、文化旅游体育与传媒支出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39</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8</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八、社会保障和就业支出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40</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9</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九、卫生健康支出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41</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十、节能环保支出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42</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11</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十一、城乡社区支出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43</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12</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十二、农林水支出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44</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13</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十三、交通运输支出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45</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14</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十四、资源勘探工业信息等支出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46</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15</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十五、商业服务业等支出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47</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16</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十六、金融支出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48</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17</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十七、援助其他地区支出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49</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18</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十八、自然资源海洋气象等支出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50</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19</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十九、住房保障支出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51</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二十、粮油物资储备支出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52</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21</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二十一、国有资本经营预算支出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53</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22</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二十二、灾害防治及应急管理支出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54</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23</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二十三、其他支出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55</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24</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二十四、债务还本支出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56</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25</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二十五、债务付息支出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57</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26</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二十六、抗疫特别国债安排的支出</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58</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本年收入合计</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27</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本年支出合计</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59</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年初财政拨款结转和结余</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28</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年末财政拨款结转和结余</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60</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一、一般公共预算财政拨款</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29</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61</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二、政府性基金预算财政拨款</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62</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三、国有资本经营预算财政拨款</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31</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63</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32</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12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1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64</w:t>
            </w:r>
          </w:p>
        </w:tc>
        <w:tc>
          <w:tcPr>
            <w:tcW w:w="3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4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注：本表反映单位本年度一般公共预算财政拨款、政府性基金预算财政拨款和国有资本经营预算财政拨款的总收支和年末结转结余情况。</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71"/>
        <w:gridCol w:w="415"/>
        <w:gridCol w:w="415"/>
        <w:gridCol w:w="1212"/>
        <w:gridCol w:w="1412"/>
        <w:gridCol w:w="1013"/>
        <w:gridCol w:w="1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2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23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23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71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82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9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87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2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编制单位：宁都县钓峰中小学</w:t>
            </w:r>
          </w:p>
        </w:tc>
        <w:tc>
          <w:tcPr>
            <w:tcW w:w="23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23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71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82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59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87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703"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828"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本年支出合计</w:t>
            </w:r>
          </w:p>
        </w:tc>
        <w:tc>
          <w:tcPr>
            <w:tcW w:w="591"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基本支出</w:t>
            </w:r>
          </w:p>
        </w:tc>
        <w:tc>
          <w:tcPr>
            <w:tcW w:w="87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91"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71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82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9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7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99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1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2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9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7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1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2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9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7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521"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23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23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7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82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5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87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3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3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8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5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8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教育支出</w:t>
            </w:r>
          </w:p>
        </w:tc>
        <w:tc>
          <w:tcPr>
            <w:tcW w:w="8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5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8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普通教育</w:t>
            </w:r>
          </w:p>
        </w:tc>
        <w:tc>
          <w:tcPr>
            <w:tcW w:w="8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5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794.41</w:t>
            </w:r>
          </w:p>
        </w:tc>
        <w:tc>
          <w:tcPr>
            <w:tcW w:w="8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2050202</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  小学教育</w:t>
            </w:r>
          </w:p>
        </w:tc>
        <w:tc>
          <w:tcPr>
            <w:tcW w:w="8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379.32</w:t>
            </w:r>
          </w:p>
        </w:tc>
        <w:tc>
          <w:tcPr>
            <w:tcW w:w="5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379.32</w:t>
            </w:r>
          </w:p>
        </w:tc>
        <w:tc>
          <w:tcPr>
            <w:tcW w:w="8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2050203</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  初中教育</w:t>
            </w:r>
          </w:p>
        </w:tc>
        <w:tc>
          <w:tcPr>
            <w:tcW w:w="8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415.09</w:t>
            </w:r>
          </w:p>
        </w:tc>
        <w:tc>
          <w:tcPr>
            <w:tcW w:w="5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415.09</w:t>
            </w:r>
          </w:p>
        </w:tc>
        <w:tc>
          <w:tcPr>
            <w:tcW w:w="8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8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8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8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8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8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8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8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8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注：本表反映单位本年度一般公共预算财政拨款支出情况。</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Style w:val="3"/>
        <w:tblW w:w="53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6"/>
        <w:gridCol w:w="1466"/>
        <w:gridCol w:w="979"/>
        <w:gridCol w:w="577"/>
        <w:gridCol w:w="1298"/>
        <w:gridCol w:w="960"/>
        <w:gridCol w:w="840"/>
        <w:gridCol w:w="133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79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3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31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70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2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5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1158" w:type="pct"/>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r>
              <w:rPr>
                <w:rFonts w:hint="eastAsia" w:ascii="宋体" w:hAnsi="宋体" w:eastAsia="宋体" w:cs="宋体"/>
                <w:i w:val="0"/>
                <w:iCs w:val="0"/>
                <w:color w:val="000000"/>
                <w:kern w:val="0"/>
                <w:sz w:val="20"/>
                <w:szCs w:val="2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43" w:type="pct"/>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编制单位：宁都县钓峰中小学</w:t>
            </w:r>
            <w:r>
              <w:rPr>
                <w:rFonts w:hint="default" w:ascii="Arial" w:hAnsi="Arial" w:cs="Arial" w:eastAsiaTheme="minorEastAsia"/>
                <w:i w:val="0"/>
                <w:iCs w:val="0"/>
                <w:color w:val="000000"/>
                <w:kern w:val="2"/>
                <w:sz w:val="20"/>
                <w:szCs w:val="20"/>
                <w:lang w:val="en-US" w:eastAsia="zh-CN" w:bidi="ar"/>
              </w:rPr>
              <w:t>  </w:t>
            </w:r>
          </w:p>
        </w:tc>
        <w:tc>
          <w:tcPr>
            <w:tcW w:w="1019" w:type="pct"/>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r>
              <w:rPr>
                <w:rFonts w:hint="eastAsia" w:ascii="宋体" w:hAnsi="宋体" w:eastAsia="宋体" w:cs="宋体"/>
                <w:i w:val="0"/>
                <w:iCs w:val="0"/>
                <w:color w:val="000000"/>
                <w:kern w:val="0"/>
                <w:sz w:val="20"/>
                <w:szCs w:val="20"/>
                <w:lang w:val="en-US" w:eastAsia="zh-CN" w:bidi="ar"/>
              </w:rPr>
              <w:t>2021年度</w:t>
            </w:r>
          </w:p>
        </w:tc>
        <w:tc>
          <w:tcPr>
            <w:tcW w:w="52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5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1158" w:type="pct"/>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3"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人员经费</w:t>
            </w:r>
          </w:p>
        </w:tc>
        <w:tc>
          <w:tcPr>
            <w:tcW w:w="3156"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514" w:type="pc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经济分类科目编码</w:t>
            </w:r>
          </w:p>
        </w:tc>
        <w:tc>
          <w:tcPr>
            <w:tcW w:w="7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5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金额</w:t>
            </w:r>
          </w:p>
        </w:tc>
        <w:tc>
          <w:tcPr>
            <w:tcW w:w="31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经济分类科目编码</w:t>
            </w:r>
          </w:p>
        </w:tc>
        <w:tc>
          <w:tcPr>
            <w:tcW w:w="7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5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金额</w:t>
            </w:r>
          </w:p>
        </w:tc>
        <w:tc>
          <w:tcPr>
            <w:tcW w:w="45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经济分类科目编码</w:t>
            </w:r>
          </w:p>
        </w:tc>
        <w:tc>
          <w:tcPr>
            <w:tcW w:w="7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4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301</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工资福利支出</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660.99</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302</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商品和服务支出</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116.28</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307</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债务利息及费用支出</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30101</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  基本工资</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366.86</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30201</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  办公费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10.19</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30701</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  国内债务付息</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30102</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  津贴补贴</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29.27</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30202</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  印刷费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10.39</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30702</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  国外债务付息</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30103</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  奖金</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156.94</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30203</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  咨询费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30703</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  国内债务发行费用</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30106</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  伙食补助费</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30204</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  手续费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30704</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  国外债务发行费用</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30107</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  绩效工资</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13.39</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30205</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  水费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4.24</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310</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资本性支出</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30108</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  机关事业单位基本养老保险缴费</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48.56</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30206</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  电费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5.52</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31001</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  房屋建筑物购建</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30109</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  职业年金缴费</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30207</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  邮电费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0.50</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31002</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  办公设备购置</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30110</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  职工基本医疗保险缴费</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43.57</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30208</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  取暖费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31003</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  专用设备购置</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30111</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  公务员医疗补助缴款</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30209</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  物业管理费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12.84</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31005</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  基础设施建设</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30112</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  其他社会保障缴费</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30211</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  差旅费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0.84</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31006</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  大型修缮</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30113</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  住房公积金</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2.40</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30212</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  因公出国（境）费用</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31007</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  信息网络及软件购置更新</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30114</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  医疗费</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30213</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  维修（护）费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40.94</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31008</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  物资储备</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30199</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  其他工资福利支出</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30214</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  租赁费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31009</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  土地补偿</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303</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对个人和家庭的补助</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9.73</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30215</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  会议费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31010</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  安置补助</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30301</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  离休费</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30216</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  培训费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8.69</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310111</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  地上附着物和青苗补偿</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30302</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  退休费</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30217</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  公务接待费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0.15</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31012</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  拆迁补偿</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30303</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  退职（役）费</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30218</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  专用材料费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0.25</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31013</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  公务用车购置</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30304</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  抚恤金</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30224</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  被装购置费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31019</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  其他交通工具购置</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30305</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  生活补贴</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9.05</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30225</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  专用燃料费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31021</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  文物和陈列品购置</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30306</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  救济费</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30226</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  劳务费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31022</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  无形资产购置</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30307</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  医疗费补助</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30227</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  委托业务费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31099</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  其他资本性支出</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30308</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  助学金</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0.69</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30228</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  工会经费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12.32</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312</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对企业补助</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30309</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  奖励金</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30229</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  福利费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31201</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  资本金注入</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30310</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  个人农业生产补贴</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30231</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  公务用车运行维护费</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31203</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  政府投资基金股权投资</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30311</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代缴社会保险费</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30239</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  其他交通费用</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31204</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  费用补贴</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30399</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  其他对个人和家庭的补助支出</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30240</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  税金及附加费用</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31205</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  利息补贴</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30299</w:t>
            </w:r>
          </w:p>
        </w:tc>
        <w:tc>
          <w:tcPr>
            <w:tcW w:w="70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  其他商品和服务支出</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9.41</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31299</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  其他对企业补助</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13"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70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399</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其他支出</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13"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70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39906</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  赠与</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797"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313"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70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39907</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  国家赔偿费用支出</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13"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70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39908</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  对民间非营利组织和群众性自治组织补贴</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9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13"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70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39999</w:t>
            </w:r>
          </w:p>
        </w:tc>
        <w:tc>
          <w:tcPr>
            <w:tcW w:w="72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  其他支出</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11"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人员经费合计</w:t>
            </w:r>
          </w:p>
        </w:tc>
        <w:tc>
          <w:tcPr>
            <w:tcW w:w="5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670.73</w:t>
            </w:r>
          </w:p>
        </w:tc>
        <w:tc>
          <w:tcPr>
            <w:tcW w:w="2724"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公用支出合计</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4"/>
                <w:szCs w:val="24"/>
                <w:lang w:val="en-US" w:eastAsia="zh-CN" w:bidi="ar"/>
              </w:rPr>
              <w:t>注：本表反映单位本年度一般公共预算财政拨款基本支出明细情况。</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14"/>
        <w:gridCol w:w="1173"/>
        <w:gridCol w:w="1449"/>
        <w:gridCol w:w="1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4"/>
                <w:szCs w:val="24"/>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41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68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85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104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414"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编制单位：宁都县钓峰中小学</w:t>
            </w:r>
          </w:p>
        </w:tc>
        <w:tc>
          <w:tcPr>
            <w:tcW w:w="68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85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104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4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w:t>
            </w:r>
          </w:p>
        </w:tc>
        <w:tc>
          <w:tcPr>
            <w:tcW w:w="688"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850"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年初预算数</w:t>
            </w:r>
          </w:p>
        </w:tc>
        <w:tc>
          <w:tcPr>
            <w:tcW w:w="1046"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85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104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一、“三公”经费支出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1.00</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  1.因公出国（境）费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  2.公务用车购置及运行维护费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    （1）公务用车购置费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    （2）公务用车运行维护费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  3.公务接待费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1.00</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    （1）国内接待费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7</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         其中：外事接待费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8</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    （2）国（境）外接待费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9</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二、相关统计数</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10</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  1.因公出国（境）团组数（个）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11</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  2.因公出国（境）人次数（人）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12</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  3.公务用车购置数（辆）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13</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  4.公务用车保有量（辆）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14</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  5.国内公务接待批次（个）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15</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    其中：外事接待批次（个）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16</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  6.国内公务接待人次（人）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17</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    其中：外事接待人次（人）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18</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  7.国（境）外公务接待批次（个）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19</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  8.国（境）外公务接待人次（人）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20</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0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4"/>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5000" w:type="pct"/>
            <w:gridSpan w:val="4"/>
            <w:vMerge w:val="continue"/>
            <w:tcBorders>
              <w:top w:val="nil"/>
              <w:left w:val="nil"/>
              <w:bottom w:val="nil"/>
              <w:right w:val="nil"/>
            </w:tcBorders>
            <w:shd w:val="clear" w:color="auto" w:fill="auto"/>
            <w:vAlign w:val="center"/>
          </w:tcPr>
          <w:p>
            <w:pPr>
              <w:rPr>
                <w:rFonts w:hint="eastAsia" w:ascii="宋体"/>
                <w:sz w:val="24"/>
                <w:szCs w:val="24"/>
              </w:rPr>
            </w:pP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35"/>
        <w:gridCol w:w="378"/>
        <w:gridCol w:w="378"/>
        <w:gridCol w:w="865"/>
        <w:gridCol w:w="378"/>
        <w:gridCol w:w="865"/>
        <w:gridCol w:w="541"/>
        <w:gridCol w:w="866"/>
        <w:gridCol w:w="866"/>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1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18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18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7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0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7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28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7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7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73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编制单位：宁都县钓峰中小学</w:t>
            </w:r>
          </w:p>
        </w:tc>
        <w:tc>
          <w:tcPr>
            <w:tcW w:w="18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18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7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50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7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28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7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7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733"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2058"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50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年初结转和结余</w:t>
            </w:r>
          </w:p>
        </w:tc>
        <w:tc>
          <w:tcPr>
            <w:tcW w:w="471"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本年收入</w:t>
            </w:r>
          </w:p>
        </w:tc>
        <w:tc>
          <w:tcPr>
            <w:tcW w:w="1225" w:type="pct"/>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本年支出</w:t>
            </w:r>
          </w:p>
        </w:tc>
        <w:tc>
          <w:tcPr>
            <w:tcW w:w="733"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86"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47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50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2"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小计</w:t>
            </w:r>
          </w:p>
        </w:tc>
        <w:tc>
          <w:tcPr>
            <w:tcW w:w="47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基本支出</w:t>
            </w:r>
          </w:p>
        </w:tc>
        <w:tc>
          <w:tcPr>
            <w:tcW w:w="47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项目支出</w:t>
            </w:r>
          </w:p>
        </w:tc>
        <w:tc>
          <w:tcPr>
            <w:tcW w:w="73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6"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7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0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2"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3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6"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7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0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2"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3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211"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18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18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4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5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4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4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4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7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1"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8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8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8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8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说明：当此表数据为零时，即本单位无政府性基金预算财政拨款收入、支出。</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Style w:val="3"/>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81"/>
        <w:gridCol w:w="824"/>
        <w:gridCol w:w="8"/>
        <w:gridCol w:w="373"/>
        <w:gridCol w:w="373"/>
        <w:gridCol w:w="846"/>
        <w:gridCol w:w="824"/>
        <w:gridCol w:w="374"/>
        <w:gridCol w:w="1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96"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769" w:type="pct"/>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19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19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7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6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19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70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769" w:type="pct"/>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编制单位：宁都县钓峰中小学</w:t>
            </w:r>
          </w:p>
        </w:tc>
        <w:tc>
          <w:tcPr>
            <w:tcW w:w="19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19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79"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46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19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70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31" w:type="pct"/>
            <w:gridSpan w:val="6"/>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466"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19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基本支出</w:t>
            </w:r>
          </w:p>
        </w:tc>
        <w:tc>
          <w:tcPr>
            <w:tcW w:w="708"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51" w:type="pct"/>
            <w:gridSpan w:val="5"/>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479"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46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9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0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1" w:type="pct"/>
            <w:gridSpan w:val="5"/>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7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9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0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51" w:type="pct"/>
            <w:gridSpan w:val="5"/>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7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9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0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69" w:type="pct"/>
            <w:gridSpan w:val="3"/>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19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19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47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1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7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69" w:type="pct"/>
            <w:gridSpan w:val="3"/>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9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9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5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5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5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5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4996" w:type="pct"/>
            <w:gridSpan w:val="9"/>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96"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2"/>
                <w:szCs w:val="22"/>
                <w:lang w:val="en-US" w:eastAsia="zh-CN" w:bidi="ar"/>
              </w:rPr>
              <w:t>说明：当此表数据为空时，即本单位无国有资本经营预算财政拨款支出。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997"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1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46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lang w:val="en-US" w:eastAsia="zh-CN" w:bidi="ar"/>
              </w:rPr>
              <w:t> </w:t>
            </w:r>
          </w:p>
        </w:tc>
        <w:tc>
          <w:tcPr>
            <w:tcW w:w="2317" w:type="pct"/>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21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编制单位：宁都县钓峰中小学</w:t>
            </w:r>
          </w:p>
        </w:tc>
        <w:tc>
          <w:tcPr>
            <w:tcW w:w="46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2317" w:type="pct"/>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21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466"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2317" w:type="pct"/>
            <w:gridSpan w:val="7"/>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一、车辆数合计(台、辆)</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2317" w:type="pct"/>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  1.副部（省）级及以上领导用车</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2317" w:type="pct"/>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  2.主要领导干部用车</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2317" w:type="pct"/>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  3.机要通信用车</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2317" w:type="pct"/>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  4.应急保障用车</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2317" w:type="pct"/>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  5.执法执勤用车</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2317" w:type="pct"/>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  6.特种专业技术用车</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7</w:t>
            </w:r>
          </w:p>
        </w:tc>
        <w:tc>
          <w:tcPr>
            <w:tcW w:w="2317" w:type="pct"/>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  7.离退休干部用车</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8</w:t>
            </w:r>
          </w:p>
        </w:tc>
        <w:tc>
          <w:tcPr>
            <w:tcW w:w="2317" w:type="pct"/>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  8.其他用车</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9</w:t>
            </w:r>
          </w:p>
        </w:tc>
        <w:tc>
          <w:tcPr>
            <w:tcW w:w="2317" w:type="pct"/>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二、单价50万元（含）以上通用设备（台，套）</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10</w:t>
            </w:r>
          </w:p>
        </w:tc>
        <w:tc>
          <w:tcPr>
            <w:tcW w:w="2317" w:type="pct"/>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三、单价100万元（含）以上专用设备（台，套）</w:t>
            </w:r>
          </w:p>
        </w:tc>
        <w:tc>
          <w:tcPr>
            <w:tcW w:w="4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11</w:t>
            </w:r>
          </w:p>
        </w:tc>
        <w:tc>
          <w:tcPr>
            <w:tcW w:w="2317" w:type="pct"/>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4997" w:type="pct"/>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7" w:type="pct"/>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说明：当此表数据为空时，即本单位（单位）无相关资产。</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本单位2021年度收入总计822.96万元，较2020年增加82.23万元，增长11.10%，其中:年初结转和结余0万元，较2020年增加0万元，增长0%；本年收入合计822.86万元，较2020年增加82.23万元，增长11.10%，主要原因是：</w:t>
      </w:r>
      <w:r>
        <w:rPr>
          <w:rFonts w:hint="default" w:ascii="仿宋_GB2312" w:eastAsia="仿宋_GB2312" w:cs="仿宋_GB2312" w:hAnsiTheme="minorHAnsi"/>
          <w:b w:val="0"/>
          <w:bCs w:val="0"/>
          <w:kern w:val="2"/>
          <w:sz w:val="30"/>
          <w:szCs w:val="30"/>
          <w:lang w:val="en-US" w:eastAsia="zh-CN" w:bidi="ar"/>
        </w:rPr>
        <w:t>教职员工</w:t>
      </w:r>
      <w:r>
        <w:rPr>
          <w:rFonts w:hint="default" w:ascii="仿宋_GB2312" w:eastAsia="仿宋_GB2312" w:cs="仿宋_GB2312" w:hAnsiTheme="minorHAnsi"/>
          <w:kern w:val="2"/>
          <w:sz w:val="30"/>
          <w:szCs w:val="30"/>
          <w:lang w:val="en-US" w:eastAsia="zh-CN" w:bidi="ar"/>
        </w:rPr>
        <w:t>工资增加。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本年收入的具体构成为：财政拨款收入794.41万元，占96.53%；事业收入28.56万元，占34.70%；经营收入0万元，占0%；其他收入0万元，占0%。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本单位2021年度支出总计822.96万元，其中本年支出合计822.96万元，较2020年增加82.23万元，增长11.10%；年末结转和结余0万元，较2020年增加（减少）0万元，增长（下降）0%，主要原因是：无结转结余。</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本年支出的具体构成为：基本支出822.96万元，占100%；项目支出0万元，占0%；经营支出0万元，占0%；其他支出（对附属单位补助支出、上缴上级支出）0万元，占0%。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本单位2021年度财政拨款本年支出年初预算数为540.92万元，决算数为822.96万元，完成年初预算的152.14%。其中：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教育支出年初预算数为540.92万元，决算数为794.41万元，完成年初预算的146.86%，主要原因是：</w:t>
      </w:r>
      <w:r>
        <w:rPr>
          <w:rFonts w:hint="default" w:ascii="仿宋_GB2312" w:eastAsia="仿宋_GB2312" w:cs="仿宋_GB2312" w:hAnsiTheme="minorHAnsi"/>
          <w:b w:val="0"/>
          <w:bCs w:val="0"/>
          <w:kern w:val="2"/>
          <w:sz w:val="30"/>
          <w:szCs w:val="30"/>
          <w:lang w:val="en-US" w:eastAsia="zh-CN" w:bidi="ar"/>
        </w:rPr>
        <w:t>教职员工</w:t>
      </w:r>
      <w:r>
        <w:rPr>
          <w:rFonts w:hint="default" w:ascii="仿宋_GB2312" w:eastAsia="仿宋_GB2312" w:cs="仿宋_GB2312" w:hAnsiTheme="minorHAnsi"/>
          <w:kern w:val="2"/>
          <w:sz w:val="30"/>
          <w:szCs w:val="30"/>
          <w:lang w:val="en-US" w:eastAsia="zh-CN" w:bidi="ar"/>
        </w:rPr>
        <w:t>工资增加。</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本单位2021年度一般公共预算财政拨款基本支出794.16万元，其中：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（一）工资福利支出660.99万元，较2020年减少35.83万元，下降5.14%，主要原因是：人员经费减少。</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（二）商品和服务支出116.28万元，较2020年增加30.10万元，增长34.93%，主要原因是：单位运行支出增加。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（三）对个人和家庭补助支出9.73万元，较2020年减少11.85万元，下降55.91%，主要原因是：生活补贴减少。</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（四）资本性支出7.4万元，较2020年减少0.41万元，下降5.23%，主要原因是：资本性支出减少。</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本单位2021年度一般公共预算财政拨款“三公”经费支出年初预算数为1万元，决算数为0.15万元，完成预算的15%，决算数较2020年增加0万元，增长0%，其中：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0万元，完成预算的0%，决算数较2020年增加（减少）0万元，增长（下降）0%，主要原因是：无此项支出。决算数较年初预算数无增减的主要原因是：无此项支出。全年安排因公出国（境）团组0个，累计0人次。</w:t>
      </w:r>
    </w:p>
    <w:p>
      <w:pPr>
        <w:keepNext w:val="0"/>
        <w:keepLines w:val="0"/>
        <w:widowControl/>
        <w:suppressLineNumbers w:val="0"/>
        <w:spacing w:before="0" w:beforeAutospacing="1" w:after="0" w:afterAutospacing="1"/>
        <w:ind w:left="0" w:right="0" w:firstLine="640"/>
        <w:jc w:val="left"/>
      </w:pPr>
      <w:r>
        <w:rPr>
          <w:rFonts w:hint="default" w:ascii="仿宋_GB2312" w:eastAsia="仿宋_GB2312" w:cs="仿宋_GB2312" w:hAnsiTheme="minorHAnsi"/>
          <w:kern w:val="2"/>
          <w:sz w:val="30"/>
          <w:szCs w:val="30"/>
          <w:lang w:val="en-US" w:eastAsia="zh-CN" w:bidi="ar"/>
        </w:rPr>
        <w:t>（二）公务接待费支出年初预算数为1万元，决算数为0.15万元，完成预算的15%，决算数较2020年增加0万元，增长0%，主要原因是:接待上级来访基本持平。全年国内公务接待3批，累计接待40人次，其中外事接待0批，累计接待0人次，主要为：无外事接待。</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其中公务用车购置年初预算数为0万元，决算数为0万元，完成预算的0%，决算数较2020年增加（减少）0万元，增长（下降）0%，主要原因是：无相关支出；全年购置公务用车0辆。决算数较年初预算数无增减的主要原因是：无相关支出；公务用车运行维护费支出年初预算数为0万元，决算数为0万元，完成预算的0%，决算数较2020年增加（减少）0万元，增长（下降）0%，主要原因是：无相关支出；年末公务用车保有0辆。决算数较年初预算数无增减的主要原因是：无相关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本单位不是行政单位或参照公务员法管理事业单位，故无机关运行经费支出。</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0万元，其中：政府采购货物支出0万元、政府采购工程支出0万元、政府采购服务支出0万元。授予中小企业合同金额0万元，占政府采购支出总额的0%，其中：授予小微企业合同金额0万元，占政府采购支出总额的0%；货物采购授予中小企业合同金额占货物支出金额的0%，工程采购授予中小企业合同金额占工程支出金额的0%，服务采购授予中小企业合同金额占服务支出金额的0%。</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shd w:val="clear" w:fill="FFFFFF"/>
        </w:rPr>
        <w:t>十、预算绩效情况说明</w:t>
      </w:r>
    </w:p>
    <w:p>
      <w:pPr>
        <w:pStyle w:val="2"/>
        <w:keepNext w:val="0"/>
        <w:keepLines w:val="0"/>
        <w:widowControl/>
        <w:suppressLineNumbers w:val="0"/>
        <w:shd w:val="clear" w:fill="FFFFFF"/>
        <w:spacing w:before="0" w:beforeAutospacing="0" w:after="105" w:afterAutospacing="0" w:line="240" w:lineRule="atLeast"/>
        <w:ind w:left="0" w:right="0" w:firstLine="420"/>
        <w:jc w:val="both"/>
      </w:pPr>
      <w:r>
        <w:rPr>
          <w:rFonts w:hint="eastAsia" w:ascii="仿宋" w:hAnsi="仿宋" w:eastAsia="仿宋" w:cs="仿宋"/>
          <w:color w:val="000000"/>
          <w:kern w:val="0"/>
          <w:sz w:val="32"/>
          <w:szCs w:val="32"/>
          <w:shd w:val="clear" w:fill="FFFFFF"/>
        </w:rPr>
        <w:t>（一）绩效管理工作开展情况。</w:t>
      </w:r>
    </w:p>
    <w:p>
      <w:pPr>
        <w:pStyle w:val="2"/>
        <w:keepNext w:val="0"/>
        <w:keepLines w:val="0"/>
        <w:widowControl/>
        <w:suppressLineNumbers w:val="0"/>
        <w:shd w:val="clear" w:fill="FFFFFF"/>
        <w:spacing w:before="0" w:beforeAutospacing="0" w:after="105" w:afterAutospacing="0" w:line="240" w:lineRule="atLeast"/>
        <w:ind w:left="0" w:right="0" w:firstLine="640" w:firstLineChars="200"/>
        <w:jc w:val="both"/>
      </w:pPr>
      <w:r>
        <w:rPr>
          <w:rFonts w:hint="eastAsia" w:ascii="仿宋" w:hAnsi="仿宋" w:eastAsia="仿宋" w:cs="仿宋"/>
          <w:color w:val="000000"/>
          <w:kern w:val="0"/>
          <w:sz w:val="32"/>
          <w:szCs w:val="32"/>
          <w:shd w:val="clear" w:fill="FFFFFF"/>
        </w:rPr>
        <w:t>根据预算绩效管理要求，我单位组织对纳入2021年度单位预算范围的二级项目1个公用经费项目全面开展绩效自评。</w:t>
      </w:r>
    </w:p>
    <w:p>
      <w:pPr>
        <w:pStyle w:val="2"/>
        <w:keepNext w:val="0"/>
        <w:keepLines w:val="0"/>
        <w:widowControl/>
        <w:numPr>
          <w:ilvl w:val="0"/>
          <w:numId w:val="0"/>
        </w:numPr>
        <w:suppressLineNumbers w:val="0"/>
        <w:shd w:val="clear" w:fill="FFFFFF"/>
        <w:spacing w:before="0" w:beforeAutospacing="0" w:after="105" w:afterAutospacing="0" w:line="240" w:lineRule="atLeast"/>
        <w:ind w:left="0" w:right="0" w:firstLine="630"/>
        <w:jc w:val="both"/>
      </w:pPr>
      <w:r>
        <w:rPr>
          <w:rFonts w:hint="eastAsia" w:ascii="仿宋" w:hAnsi="仿宋" w:eastAsia="仿宋" w:cs="仿宋"/>
          <w:color w:val="000000"/>
          <w:kern w:val="0"/>
          <w:sz w:val="32"/>
          <w:szCs w:val="32"/>
          <w:shd w:val="clear" w:fill="FFFFFF"/>
        </w:rPr>
        <w:t>（一）单位决算中项目绩效自评情况。</w:t>
      </w:r>
    </w:p>
    <w:p>
      <w:pPr>
        <w:pStyle w:val="2"/>
        <w:keepNext w:val="0"/>
        <w:keepLines w:val="0"/>
        <w:widowControl/>
        <w:suppressLineNumbers w:val="0"/>
        <w:shd w:val="clear" w:fill="FFFFFF"/>
        <w:spacing w:before="0" w:beforeAutospacing="0" w:after="105" w:afterAutospacing="0" w:line="240" w:lineRule="atLeast"/>
        <w:ind w:left="0" w:right="0" w:firstLine="640"/>
        <w:jc w:val="both"/>
      </w:pPr>
      <w:r>
        <w:rPr>
          <w:rFonts w:hint="eastAsia" w:ascii="仿宋" w:hAnsi="仿宋" w:eastAsia="仿宋" w:cs="仿宋"/>
          <w:color w:val="000000"/>
          <w:kern w:val="0"/>
          <w:sz w:val="32"/>
          <w:szCs w:val="32"/>
          <w:shd w:val="clear" w:fill="FFFFFF"/>
        </w:rPr>
        <w:t>我单位今年在单位决算中反映学校生均公用经费项目绩效自评结果。</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color w:val="000000"/>
          <w:kern w:val="2"/>
          <w:sz w:val="32"/>
          <w:szCs w:val="32"/>
          <w:shd w:val="clear" w:fill="FFFFFF"/>
          <w:lang w:val="en-US" w:eastAsia="zh-CN" w:bidi="ar"/>
        </w:rPr>
        <w:t>学校生均公用经费绩效自评综述：根据年初设定的绩效目标，学校生均公用经费绩效自评得分为99.8分。项目全年预算122.42万元，执行数为122.42万元，完成预算的100%。主要产出和效果：保障了学校的正常运行，提高了学校的教育教学质量，学校、家长和学生的满意度为98%。</w:t>
      </w:r>
    </w:p>
    <w:tbl>
      <w:tblPr>
        <w:tblStyle w:val="3"/>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0"/>
        <w:gridCol w:w="1149"/>
        <w:gridCol w:w="944"/>
        <w:gridCol w:w="1027"/>
        <w:gridCol w:w="1286"/>
        <w:gridCol w:w="464"/>
        <w:gridCol w:w="1585"/>
        <w:gridCol w:w="1198"/>
        <w:gridCol w:w="87"/>
        <w:gridCol w:w="536"/>
        <w:gridCol w:w="170"/>
        <w:gridCol w:w="480"/>
        <w:gridCol w:w="352"/>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主管部门</w:t>
            </w:r>
          </w:p>
        </w:tc>
        <w:tc>
          <w:tcPr>
            <w:tcW w:w="4857"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default"/>
                <w:lang w:val="en-US"/>
              </w:rPr>
            </w:pPr>
            <w:r>
              <w:rPr>
                <w:rFonts w:hint="eastAsia" w:ascii="仿宋" w:hAnsi="仿宋" w:eastAsia="仿宋" w:cs="仿宋"/>
                <w:i w:val="0"/>
                <w:iCs w:val="0"/>
                <w:color w:val="000000"/>
                <w:kern w:val="0"/>
                <w:sz w:val="20"/>
                <w:szCs w:val="20"/>
                <w:lang w:val="en-US" w:eastAsia="zh-CN" w:bidi="ar"/>
              </w:rPr>
              <w:t>宁都县钓峰中小学</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122.42</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122.42</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122.42</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122.42</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122.42</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122.42</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标</w:t>
            </w: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一级指标</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产出指标（50分）</w:t>
            </w:r>
          </w:p>
        </w:tc>
        <w:tc>
          <w:tcPr>
            <w:tcW w:w="729"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    2.评分标准：（1） 若为</w:t>
            </w:r>
            <w:r>
              <w:rPr>
                <w:rFonts w:hint="eastAsia" w:ascii="仿宋" w:hAnsi="仿宋" w:eastAsia="仿宋" w:cs="仿宋"/>
                <w:b/>
                <w:bCs/>
                <w:color w:val="000000"/>
                <w:kern w:val="0"/>
                <w:sz w:val="20"/>
                <w:szCs w:val="20"/>
                <w:lang w:val="en-US" w:eastAsia="zh-CN" w:bidi="ar"/>
              </w:rPr>
              <w:t>定性指标</w:t>
            </w:r>
            <w:r>
              <w:rPr>
                <w:rFonts w:hint="eastAsia" w:ascii="仿宋" w:hAnsi="仿宋" w:eastAsia="仿宋" w:cs="仿宋"/>
                <w:color w:val="000000"/>
                <w:kern w:val="0"/>
                <w:sz w:val="20"/>
                <w:szCs w:val="2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   （2）若为</w:t>
            </w:r>
            <w:r>
              <w:rPr>
                <w:rFonts w:hint="eastAsia" w:ascii="仿宋" w:hAnsi="仿宋" w:eastAsia="仿宋" w:cs="仿宋"/>
                <w:b/>
                <w:bCs/>
                <w:color w:val="000000"/>
                <w:kern w:val="0"/>
                <w:sz w:val="20"/>
                <w:szCs w:val="20"/>
                <w:lang w:val="en-US" w:eastAsia="zh-CN" w:bidi="ar"/>
              </w:rPr>
              <w:t>定量指标</w:t>
            </w:r>
            <w:r>
              <w:rPr>
                <w:rFonts w:hint="eastAsia" w:ascii="仿宋" w:hAnsi="仿宋" w:eastAsia="仿宋" w:cs="仿宋"/>
                <w:color w:val="000000"/>
                <w:kern w:val="0"/>
                <w:sz w:val="20"/>
                <w:szCs w:val="2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r>
    </w:tbl>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七、用事业基金弥补收支差额：指事业单位用事业基金弥补当年收支差额的数额。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八、年初结转和结余：指单位上年结转本年使用的基本支出结转、项目支出结转和结余和经营结余。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九、结余分配：指事业单位按规定对非财政补助结余资金提取的职工福利基金、事业基金和缴纳的所得税，以及减少单位按规定应缴回的基本建设竣工项目结余资金。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十一、基本支出：指为保障机构正常运转、完成日常工作任务而发生的人员支出和公用支出。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十二、项目支出：指在基本支出之外为完成特定的行政任务或事业发展目标所发生的支出。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十三、上缴上级支出：指事业单位按照财政单位和主管单位的规定上缴上级单位的支出。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十五、对附属单位补助支出：指事业单位用财政补助收入之外的收入对附属单位补助发生的支出。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六、“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9D071B1-B5EC-4B82-A977-781CE9A511F3}"/>
  </w:font>
  <w:font w:name="黑体">
    <w:panose1 w:val="02010609060101010101"/>
    <w:charset w:val="86"/>
    <w:family w:val="auto"/>
    <w:pitch w:val="default"/>
    <w:sig w:usb0="800002BF" w:usb1="38CF7CFA" w:usb2="00000016" w:usb3="00000000" w:csb0="00040001" w:csb1="00000000"/>
    <w:embedRegular r:id="rId2" w:fontKey="{2FD47B2E-A489-4C49-BADE-753EB5B8F1D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42F88FBC-382E-4266-9E48-8EDC49DBD6F9}"/>
  </w:font>
  <w:font w:name="方正小标宋简体">
    <w:panose1 w:val="02000000000000000000"/>
    <w:charset w:val="86"/>
    <w:family w:val="auto"/>
    <w:pitch w:val="default"/>
    <w:sig w:usb0="00000001" w:usb1="08000000" w:usb2="00000000" w:usb3="00000000" w:csb0="00040000" w:csb1="00000000"/>
    <w:embedRegular r:id="rId4" w:fontKey="{FC43F075-9832-4392-852D-6CA83DF40938}"/>
  </w:font>
  <w:font w:name="仿宋_GB2312">
    <w:altName w:val="仿宋"/>
    <w:panose1 w:val="00000000000000000000"/>
    <w:charset w:val="00"/>
    <w:family w:val="auto"/>
    <w:pitch w:val="default"/>
    <w:sig w:usb0="00000000" w:usb1="00000000" w:usb2="00000000" w:usb3="00000000" w:csb0="00000000" w:csb1="00000000"/>
    <w:embedRegular r:id="rId5" w:fontKey="{9401C61D-DD84-4EEA-B704-5A9A288744CD}"/>
  </w:font>
  <w:font w:name="仿宋">
    <w:panose1 w:val="02010609060101010101"/>
    <w:charset w:val="86"/>
    <w:family w:val="auto"/>
    <w:pitch w:val="default"/>
    <w:sig w:usb0="800002BF" w:usb1="38CF7CFA" w:usb2="00000016" w:usb3="00000000" w:csb0="00040001" w:csb1="00000000"/>
    <w:embedRegular r:id="rId6" w:fontKey="{2286076D-9B95-4D62-8B14-B7AEAA7A768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18893F26"/>
    <w:rsid w:val="008A2C4E"/>
    <w:rsid w:val="18893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2023-10-07T09:04:00Z</dcterms:created>
  <dc:creator>才东东</dc:creator>
  <cp:lastModifiedBy>才东东</cp:lastModifiedBy>
  <dcterms:modified xsi:type="dcterms:W3CDTF">2023-10-09T15:43:39Z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038CCA68B19C4A24AE25397379A6D25C_11</vt:lpwstr>
  </property>
</Properties>
</file>