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宁都县第四中学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eastAsia" w:ascii="宋体" w:hAnsi="宋体" w:eastAsia="宋体" w:cs="宋体"/>
          <w:b w:val="0"/>
          <w:bCs w:val="0"/>
          <w:i w:val="0"/>
          <w:iCs w:val="0"/>
          <w:kern w:val="0"/>
          <w:sz w:val="32"/>
          <w:szCs w:val="32"/>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keepNext w:val="0"/>
        <w:keepLines w:val="0"/>
        <w:widowControl/>
        <w:suppressLineNumbers w:val="0"/>
        <w:spacing w:before="0" w:beforeAutospacing="1" w:after="0" w:afterAutospacing="1" w:line="600" w:lineRule="exact"/>
        <w:ind w:left="1280" w:leftChars="0" w:right="0"/>
        <w:jc w:val="left"/>
      </w:pPr>
      <w:r>
        <w:rPr>
          <w:rFonts w:hint="default" w:ascii="仿宋_GB2312" w:eastAsia="仿宋_GB2312" w:cs="仿宋_GB2312" w:hAnsiTheme="minorHAnsi"/>
          <w:kern w:val="0"/>
          <w:sz w:val="32"/>
          <w:szCs w:val="32"/>
          <w:lang w:val="en-US" w:eastAsia="zh-CN" w:bidi="ar"/>
        </w:rPr>
        <w:t>十、预算绩效情况说明</w:t>
      </w: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numPr>
          <w:ilvl w:val="0"/>
          <w:numId w:val="0"/>
        </w:numPr>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1</w:t>
      </w:r>
      <w:r>
        <w:rPr>
          <w:rFonts w:hint="eastAsia" w:ascii="宋体" w:hAnsi="宋体" w:eastAsia="宋体" w:cs="宋体"/>
          <w:spacing w:val="7"/>
          <w:kern w:val="0"/>
          <w:sz w:val="24"/>
          <w:szCs w:val="24"/>
        </w:rPr>
        <w:t>、认真贯彻党和国家的教育方针政策，根据教育法规，依法治校，</w:t>
      </w:r>
      <w:r>
        <w:rPr>
          <w:rFonts w:hint="eastAsia" w:ascii="宋体" w:hAnsi="宋体" w:eastAsia="宋体" w:cs="宋体"/>
          <w:kern w:val="0"/>
          <w:sz w:val="24"/>
          <w:szCs w:val="24"/>
        </w:rPr>
        <w:t>努力按教育规律办学，全面完成中学教育任务。坚持依法办学，遵守学校章程，维护学校利益。</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2</w:t>
      </w:r>
      <w:r>
        <w:rPr>
          <w:rFonts w:hint="eastAsia" w:ascii="宋体" w:hAnsi="宋体" w:eastAsia="宋体" w:cs="宋体"/>
          <w:spacing w:val="7"/>
          <w:kern w:val="0"/>
          <w:sz w:val="24"/>
          <w:szCs w:val="24"/>
        </w:rPr>
        <w:t>、组织制定与实施学校发展规划和学年、学期工作计划。</w:t>
      </w:r>
      <w:r>
        <w:rPr>
          <w:rFonts w:hint="eastAsia" w:ascii="宋体" w:hAnsi="宋体" w:eastAsia="宋体" w:cs="宋体"/>
          <w:kern w:val="0"/>
          <w:sz w:val="24"/>
          <w:szCs w:val="24"/>
        </w:rPr>
        <w:t>组织教育教学、科学研究活动，保证教育教学质量。</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3 、坚持以教学为中心来安排各项工作，</w:t>
      </w:r>
      <w:r>
        <w:rPr>
          <w:rFonts w:hint="eastAsia" w:ascii="宋体" w:hAnsi="宋体" w:eastAsia="宋体" w:cs="宋体"/>
          <w:spacing w:val="-28"/>
          <w:kern w:val="0"/>
          <w:sz w:val="24"/>
          <w:szCs w:val="24"/>
        </w:rPr>
        <w:t>保证教学计划的实施，</w:t>
      </w:r>
      <w:r>
        <w:rPr>
          <w:rFonts w:hint="eastAsia" w:ascii="宋体" w:hAnsi="宋体" w:eastAsia="宋体" w:cs="宋体"/>
          <w:kern w:val="0"/>
          <w:sz w:val="24"/>
          <w:szCs w:val="24"/>
        </w:rPr>
        <w:t>从实际出发，提出教学改革的要求和教育教学科研项目。注意引导教师改进教学方法，加强基础知识的教学和基本技能的训练，注意学生智力的发展和能力的培养，组织学生开展课外文体、科技活动，发展学生的特长。 </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5、 </w:t>
      </w:r>
      <w:r>
        <w:rPr>
          <w:rFonts w:hint="eastAsia" w:ascii="宋体" w:hAnsi="宋体" w:eastAsia="宋体" w:cs="宋体"/>
          <w:spacing w:val="41"/>
          <w:kern w:val="0"/>
          <w:sz w:val="24"/>
          <w:szCs w:val="24"/>
        </w:rPr>
        <w:t>领导学生的思想政治教育工作</w:t>
      </w:r>
      <w:r>
        <w:rPr>
          <w:rFonts w:hint="eastAsia" w:ascii="宋体" w:hAnsi="宋体" w:eastAsia="宋体" w:cs="宋体"/>
          <w:spacing w:val="31"/>
          <w:kern w:val="0"/>
          <w:sz w:val="24"/>
          <w:szCs w:val="24"/>
        </w:rPr>
        <w:t>，加强对学</w:t>
      </w:r>
      <w:r>
        <w:rPr>
          <w:rFonts w:hint="eastAsia" w:ascii="宋体" w:hAnsi="宋体" w:eastAsia="宋体" w:cs="宋体"/>
          <w:kern w:val="0"/>
          <w:sz w:val="24"/>
          <w:szCs w:val="24"/>
        </w:rPr>
        <w:t>生的辩证唯物主义世界观、人生观和共产主义道德品质的教育，注意研究青少年学生思想的特点及教育规律，引导教职工坚持正确的教育原则和方法。</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6、</w:t>
      </w:r>
      <w:r>
        <w:rPr>
          <w:rFonts w:hint="eastAsia" w:ascii="宋体" w:hAnsi="宋体" w:eastAsia="宋体" w:cs="宋体"/>
          <w:spacing w:val="-2"/>
          <w:kern w:val="0"/>
          <w:sz w:val="24"/>
          <w:szCs w:val="24"/>
        </w:rPr>
        <w:t>认真执行中学体育工作和卫生工作的条例，积极推行</w:t>
      </w:r>
      <w:r>
        <w:rPr>
          <w:rFonts w:hint="eastAsia" w:ascii="宋体" w:hAnsi="宋体" w:eastAsia="宋体" w:cs="宋体"/>
          <w:kern w:val="0"/>
          <w:sz w:val="24"/>
          <w:szCs w:val="24"/>
        </w:rPr>
        <w:t>《国家体育锻炼标准》，加强学生的卫生保健工作，关心学生的生活，保护和增进学生的健康。</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7、</w:t>
      </w:r>
      <w:r>
        <w:rPr>
          <w:rFonts w:hint="eastAsia" w:ascii="宋体" w:hAnsi="宋体" w:eastAsia="宋体" w:cs="宋体"/>
          <w:spacing w:val="-12"/>
          <w:kern w:val="0"/>
          <w:sz w:val="24"/>
          <w:szCs w:val="24"/>
        </w:rPr>
        <w:t>积极创造条件，妥善安排学生的劳动技术教育，培养学生的劳动观点、劳动习</w:t>
      </w:r>
      <w:r>
        <w:rPr>
          <w:rFonts w:hint="eastAsia" w:ascii="宋体" w:hAnsi="宋体" w:eastAsia="宋体" w:cs="宋体"/>
          <w:kern w:val="0"/>
          <w:sz w:val="24"/>
          <w:szCs w:val="24"/>
        </w:rPr>
        <w:t>惯和一定的劳动技能，通过教育、教导和课外活动加强美育。 </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8、</w:t>
      </w:r>
      <w:r>
        <w:rPr>
          <w:rFonts w:hint="eastAsia" w:ascii="宋体" w:hAnsi="宋体" w:eastAsia="宋体" w:cs="宋体"/>
          <w:spacing w:val="-11"/>
          <w:kern w:val="0"/>
          <w:sz w:val="24"/>
          <w:szCs w:val="24"/>
        </w:rPr>
        <w:t>深入细致地做好教职</w:t>
      </w:r>
      <w:r>
        <w:rPr>
          <w:rFonts w:hint="eastAsia" w:ascii="宋体" w:hAnsi="宋体" w:eastAsia="宋体" w:cs="宋体"/>
          <w:kern w:val="0"/>
          <w:sz w:val="24"/>
          <w:szCs w:val="24"/>
        </w:rPr>
        <w:t>工的思想政治工作，业务上要积极培养和提高教师，帮助他们积累和总结经验，关心教职工生活。 </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9、</w:t>
      </w:r>
      <w:r>
        <w:rPr>
          <w:rFonts w:hint="eastAsia" w:ascii="宋体" w:hAnsi="宋体" w:eastAsia="宋体" w:cs="宋体"/>
          <w:spacing w:val="-11"/>
          <w:kern w:val="0"/>
          <w:sz w:val="24"/>
          <w:szCs w:val="24"/>
        </w:rPr>
        <w:t>坚持勤俭办学的方针，努力改善办学条件。</w:t>
      </w:r>
    </w:p>
    <w:p>
      <w:pPr>
        <w:pStyle w:val="2"/>
        <w:keepNext w:val="0"/>
        <w:keepLines w:val="0"/>
        <w:widowControl/>
        <w:suppressLineNumbers w:val="0"/>
        <w:spacing w:before="0" w:beforeAutospacing="0" w:after="0" w:afterAutospacing="0" w:line="480" w:lineRule="exact"/>
        <w:ind w:left="0" w:righ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w:t>
      </w:r>
      <w:r>
        <w:rPr>
          <w:rFonts w:hint="eastAsia" w:ascii="宋体" w:hAnsi="宋体" w:eastAsia="宋体" w:cs="宋体"/>
          <w:spacing w:val="7"/>
          <w:kern w:val="0"/>
          <w:sz w:val="24"/>
          <w:szCs w:val="24"/>
        </w:rPr>
        <w:t>建立和健全学校的各项规章制度，并认真检查执行情况，保证学生的正常秩</w:t>
      </w:r>
      <w:r>
        <w:rPr>
          <w:rFonts w:hint="eastAsia" w:ascii="宋体" w:hAnsi="宋体" w:eastAsia="宋体" w:cs="宋体"/>
          <w:kern w:val="0"/>
          <w:sz w:val="24"/>
          <w:szCs w:val="24"/>
        </w:rPr>
        <w:t>序。</w:t>
      </w:r>
    </w:p>
    <w:p>
      <w:pPr>
        <w:pStyle w:val="2"/>
        <w:keepNext w:val="0"/>
        <w:keepLines w:val="0"/>
        <w:widowControl/>
        <w:suppressLineNumbers w:val="0"/>
        <w:spacing w:before="0" w:beforeAutospacing="0" w:after="0" w:afterAutospacing="0" w:line="480" w:lineRule="exact"/>
        <w:ind w:left="0" w:right="0" w:firstLine="480" w:firstLineChars="200"/>
        <w:rPr>
          <w:rFonts w:hint="eastAsia" w:ascii="宋体" w:hAnsi="宋体" w:eastAsia="宋体" w:cs="宋体"/>
          <w:kern w:val="0"/>
          <w:sz w:val="24"/>
          <w:szCs w:val="24"/>
        </w:rPr>
      </w:pP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本单位2021年年末实有人数299人，其中在职人员245  人，离休人员 0  人，退休人员49 人（含由养老保险基金发放养老金的离退休人员）；年末其他人员 5 人；年末学生人数 4730 人。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object>
          <v:shape id="_x0000_i1025" o:spt="75" type="#_x0000_t75" style="height:416.65pt;width:415.1pt;" o:ole="t" filled="f" o:preferrelative="t" stroked="f" coordsize="21600,21600">
            <v:path/>
            <v:fill on="f" focussize="0,0"/>
            <v:stroke on="f"/>
            <v:imagedata r:id="rId5" o:title=""/>
            <o:lock v:ext="edit" aspectratio="f"/>
            <w10:wrap type="none"/>
            <w10:anchorlock/>
          </v:shape>
          <o:OLEObject Type="Embed" ProgID="Excel.Sheet.12" ShapeID="_x0000_i1025" DrawAspect="Content" ObjectID="_1468075725" r:id="rId4">
            <o:LockedField>false</o:LockedField>
          </o:OLEObject>
        </w:object>
      </w:r>
    </w:p>
    <w:p>
      <w:pPr>
        <w:autoSpaceDE w:val="0"/>
        <w:autoSpaceDN w:val="0"/>
        <w:adjustRightInd w:val="0"/>
        <w:spacing w:line="360" w:lineRule="auto"/>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w: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object>
          <v:shape id="_x0000_i1026" o:spt="75" type="#_x0000_t75" style="height:151.85pt;width:414.85pt;" o:ole="t" filled="f" o:preferrelative="t" stroked="f" coordsize="21600,21600">
            <v:path/>
            <v:fill on="f" focussize="0,0"/>
            <v:stroke on="f"/>
            <v:imagedata r:id="rId7" o:title=""/>
            <o:lock v:ext="edit" aspectratio="f"/>
            <w10:wrap type="none"/>
            <w10:anchorlock/>
          </v:shape>
          <o:OLEObject Type="Embed" ProgID="Excel.Sheet.12" ShapeID="_x0000_i1026" DrawAspect="Content" ObjectID="_1468075726" r:id="rId6">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rFonts w:hint="eastAsia"/>
          <w:color w:val="000000"/>
        </w:rPr>
      </w:pPr>
    </w:p>
    <w:p>
      <w:pPr>
        <w:autoSpaceDE w:val="0"/>
        <w:autoSpaceDN w:val="0"/>
        <w:adjustRightInd w:val="0"/>
        <w:spacing w:line="360" w:lineRule="auto"/>
        <w:jc w:val="left"/>
        <w:rPr>
          <w:color w:val="000000"/>
        </w:rPr>
      </w:pPr>
      <w:r>
        <w:rPr>
          <w:color w:val="000000"/>
        </w:rPr>
        <w:object>
          <v:shape id="_x0000_i1027" o:spt="75" type="#_x0000_t75" style="height:147.65pt;width:415pt;" o:ole="t" filled="f" o:preferrelative="t" stroked="f" coordsize="21600,21600">
            <v:path/>
            <v:fill on="f" focussize="0,0"/>
            <v:stroke on="f"/>
            <v:imagedata r:id="rId9" o:title=""/>
            <o:lock v:ext="edit" aspectratio="f"/>
            <w10:wrap type="none"/>
            <w10:anchorlock/>
          </v:shape>
          <o:OLEObject Type="Embed" ProgID="Excel.Sheet.12" ShapeID="_x0000_i1027" DrawAspect="Content" ObjectID="_1468075727" r:id="rId8">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object>
          <v:shape id="_x0000_i1028" o:spt="75" type="#_x0000_t75" style="height:302.95pt;width:414.8pt;" o:ole="t" filled="f" o:preferrelative="t" stroked="f" coordsize="21600,21600">
            <v:path/>
            <v:fill on="f" focussize="0,0"/>
            <v:stroke on="f"/>
            <v:imagedata r:id="rId11" o:title=""/>
            <o:lock v:ext="edit" aspectratio="f"/>
            <w10:wrap type="none"/>
            <w10:anchorlock/>
          </v:shape>
          <o:OLEObject Type="Embed" ProgID="Excel.Sheet.12" ShapeID="_x0000_i1028" DrawAspect="Content" ObjectID="_1468075728" r:id="rId10">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object>
          <v:shape id="_x0000_i1029" o:spt="75" type="#_x0000_t75" style="height:214.05pt;width:414.95pt;" o:ole="t" filled="f" o:preferrelative="t" stroked="f" coordsize="21600,21600">
            <v:path/>
            <v:fill on="f" focussize="0,0"/>
            <v:stroke on="f"/>
            <v:imagedata r:id="rId13" o:title=""/>
            <o:lock v:ext="edit" aspectratio="f"/>
            <w10:wrap type="none"/>
            <w10:anchorlock/>
          </v:shape>
          <o:OLEObject Type="Embed" ProgID="Excel.Sheet.12" ShapeID="_x0000_i1029" DrawAspect="Content" ObjectID="_1468075729" r:id="rId12">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p>
    <w:p>
      <w:pPr>
        <w:autoSpaceDE w:val="0"/>
        <w:autoSpaceDN w:val="0"/>
        <w:adjustRightInd w:val="0"/>
        <w:spacing w:line="360" w:lineRule="auto"/>
        <w:jc w:val="left"/>
        <w:rPr>
          <w:color w:val="000000"/>
        </w:rPr>
      </w:pPr>
      <w:r>
        <w:rPr>
          <w:color w:val="000000"/>
        </w:rPr>
        <w:object>
          <v:shape id="_x0000_i1030" o:spt="75" type="#_x0000_t75" style="height:644.45pt;width:415.15pt;" o:ole="t" filled="f" o:preferrelative="t" stroked="f" coordsize="21600,21600">
            <v:path/>
            <v:fill on="f" focussize="0,0"/>
            <v:stroke on="f"/>
            <v:imagedata r:id="rId15" o:title=""/>
            <o:lock v:ext="edit" aspectratio="f"/>
            <w10:wrap type="none"/>
            <w10:anchorlock/>
          </v:shape>
          <o:OLEObject Type="Embed" ProgID="Excel.Sheet.12" ShapeID="_x0000_i1030" DrawAspect="Content" ObjectID="_1468075730" r:id="rId14">
            <o:LockedField>false</o:LockedField>
          </o:OLEObject>
        </w:object>
      </w:r>
    </w:p>
    <w:p>
      <w:pPr>
        <w:autoSpaceDE w:val="0"/>
        <w:autoSpaceDN w:val="0"/>
        <w:adjustRightInd w:val="0"/>
        <w:spacing w:line="360" w:lineRule="auto"/>
        <w:jc w:val="left"/>
        <w:rPr>
          <w:color w:val="00000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r>
        <w:rPr>
          <w:rFonts w:hint="eastAsia"/>
          <w:color w:val="000000"/>
          <w:szCs w:val="30"/>
        </w:rPr>
        <w:object>
          <v:shape id="_x0000_i1031" o:spt="75" type="#_x0000_t75" style="height:356.15pt;width:415.1pt;" o:ole="t" filled="f" o:preferrelative="t" stroked="f" coordsize="21600,21600">
            <v:path/>
            <v:fill on="f" focussize="0,0"/>
            <v:stroke on="f"/>
            <v:imagedata r:id="rId17" o:title=""/>
            <o:lock v:ext="edit" aspectratio="f"/>
            <w10:wrap type="none"/>
            <w10:anchorlock/>
          </v:shape>
          <o:OLEObject Type="Embed" ProgID="Excel.Sheet.12" ShapeID="_x0000_i1031" DrawAspect="Content" ObjectID="_1468075731" r:id="rId16">
            <o:LockedField>false</o:LockedField>
          </o:OLEObject>
        </w:object>
      </w: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r>
        <w:rPr>
          <w:rFonts w:hint="eastAsia"/>
          <w:color w:val="000000"/>
          <w:szCs w:val="30"/>
        </w:rPr>
        <w:object>
          <v:shape id="_x0000_i1032" o:spt="75" type="#_x0000_t75" style="height:144.3pt;width:414.75pt;" o:ole="t" filled="f" o:preferrelative="t" stroked="f" coordsize="21600,21600">
            <v:path/>
            <v:fill on="f" focussize="0,0"/>
            <v:stroke on="f"/>
            <v:imagedata r:id="rId19" o:title=""/>
            <o:lock v:ext="edit" aspectratio="f"/>
            <w10:wrap type="none"/>
            <w10:anchorlock/>
          </v:shape>
          <o:OLEObject Type="Embed" ProgID="Excel.Sheet.12" ShapeID="_x0000_i1032" DrawAspect="Content" ObjectID="_1468075732" r:id="rId18">
            <o:LockedField>false</o:LockedField>
          </o:OLEObject>
        </w:object>
      </w: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r>
        <w:rPr>
          <w:rFonts w:hint="eastAsia"/>
          <w:color w:val="000000"/>
          <w:szCs w:val="30"/>
        </w:rPr>
        <w:object>
          <v:shape id="_x0000_i1033" o:spt="75" type="#_x0000_t75" style="height:216.3pt;width:414.85pt;" o:ole="t" filled="f" o:preferrelative="t" stroked="f" coordsize="21600,21600">
            <v:path/>
            <v:fill on="f" focussize="0,0"/>
            <v:stroke on="f"/>
            <v:imagedata r:id="rId21" o:title=""/>
            <o:lock v:ext="edit" aspectratio="f"/>
            <w10:wrap type="none"/>
            <w10:anchorlock/>
          </v:shape>
          <o:OLEObject Type="Embed" ProgID="Excel.Sheet.12" ShapeID="_x0000_i1033" DrawAspect="Content" ObjectID="_1468075733" r:id="rId20">
            <o:LockedField>false</o:LockedField>
          </o:OLEObject>
        </w:object>
      </w: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r>
        <w:rPr>
          <w:rFonts w:hint="eastAsia"/>
          <w:color w:val="000000"/>
          <w:szCs w:val="30"/>
        </w:rPr>
        <w:object>
          <v:shape id="_x0000_i1034" o:spt="75" type="#_x0000_t75" style="height:254.15pt;width:414.9pt;" o:ole="t" filled="f" o:preferrelative="t" stroked="f" coordsize="21600,21600">
            <v:path/>
            <v:fill on="f" focussize="0,0"/>
            <v:stroke on="f"/>
            <v:imagedata r:id="rId23" o:title=""/>
            <o:lock v:ext="edit" aspectratio="f"/>
            <w10:wrap type="none"/>
            <w10:anchorlock/>
          </v:shape>
          <o:OLEObject Type="Embed" ProgID="Excel.Sheet.12" ShapeID="_x0000_i1034" DrawAspect="Content" ObjectID="_1468075734" r:id="rId22">
            <o:LockedField>false</o:LockedField>
          </o:OLEObject>
        </w:object>
      </w: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autoSpaceDE w:val="0"/>
        <w:autoSpaceDN w:val="0"/>
        <w:adjustRightInd w:val="0"/>
        <w:spacing w:line="360" w:lineRule="auto"/>
        <w:jc w:val="left"/>
        <w:rPr>
          <w:rFonts w:hint="eastAsia"/>
          <w:color w:val="000000"/>
          <w:szCs w:val="30"/>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10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
        <w:gridCol w:w="1069"/>
        <w:gridCol w:w="783"/>
        <w:gridCol w:w="1455"/>
        <w:gridCol w:w="1397"/>
        <w:gridCol w:w="630"/>
        <w:gridCol w:w="1227"/>
        <w:gridCol w:w="870"/>
        <w:gridCol w:w="284"/>
        <w:gridCol w:w="423"/>
        <w:gridCol w:w="355"/>
        <w:gridCol w:w="405"/>
        <w:gridCol w:w="646"/>
        <w:gridCol w:w="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515"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515"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350" w:type="dxa"/>
            <w:gridSpan w:val="2"/>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项目名称</w:t>
            </w:r>
          </w:p>
        </w:tc>
        <w:tc>
          <w:tcPr>
            <w:tcW w:w="9165" w:type="dxa"/>
            <w:gridSpan w:val="1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高中生均公用经费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主管单位</w:t>
            </w:r>
          </w:p>
        </w:tc>
        <w:tc>
          <w:tcPr>
            <w:tcW w:w="4650" w:type="dxa"/>
            <w:gridSpan w:val="5"/>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宁都县财政局</w:t>
            </w:r>
          </w:p>
        </w:tc>
        <w:tc>
          <w:tcPr>
            <w:tcW w:w="1335"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实施单位</w:t>
            </w:r>
          </w:p>
        </w:tc>
        <w:tc>
          <w:tcPr>
            <w:tcW w:w="3180" w:type="dxa"/>
            <w:gridSpan w:val="5"/>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宁都县第四中学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350" w:type="dxa"/>
            <w:gridSpan w:val="2"/>
            <w:vMerge w:val="restart"/>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（万元）</w:t>
            </w:r>
          </w:p>
        </w:tc>
        <w:tc>
          <w:tcPr>
            <w:tcW w:w="201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106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年初预算数</w:t>
            </w:r>
          </w:p>
        </w:tc>
        <w:tc>
          <w:tcPr>
            <w:tcW w:w="157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全年预算数（A&amp; #41;</w:t>
            </w:r>
          </w:p>
        </w:tc>
        <w:tc>
          <w:tcPr>
            <w:tcW w:w="1335"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全年执行数&amp; #40;B&amp; #41;</w:t>
            </w:r>
          </w:p>
        </w:tc>
        <w:tc>
          <w:tcPr>
            <w:tcW w:w="1080"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分值</w:t>
            </w:r>
          </w:p>
        </w:tc>
        <w:tc>
          <w:tcPr>
            <w:tcW w:w="1185"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执行率&amp; #40;B/A&amp; #41;</w:t>
            </w:r>
          </w:p>
        </w:tc>
        <w:tc>
          <w:tcPr>
            <w:tcW w:w="915" w:type="dxa"/>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350" w:type="dxa"/>
            <w:gridSpan w:val="2"/>
            <w:vMerge w:val="continue"/>
            <w:tcBorders>
              <w:top w:val="nil"/>
            </w:tcBorders>
            <w:shd w:val="clear" w:color="auto" w:fill="auto"/>
            <w:vAlign w:val="center"/>
          </w:tcPr>
          <w:p>
            <w:pPr>
              <w:rPr>
                <w:rFonts w:hint="eastAsia" w:ascii="宋体"/>
                <w:sz w:val="24"/>
                <w:szCs w:val="24"/>
              </w:rPr>
            </w:pPr>
          </w:p>
        </w:tc>
        <w:tc>
          <w:tcPr>
            <w:tcW w:w="201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0"/>
                <w:sz w:val="20"/>
                <w:szCs w:val="20"/>
                <w:lang w:val="en-US" w:eastAsia="zh-CN" w:bidi="ar"/>
              </w:rPr>
              <w:t>年度资金总额</w:t>
            </w:r>
          </w:p>
        </w:tc>
        <w:tc>
          <w:tcPr>
            <w:tcW w:w="106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488.55</w:t>
            </w:r>
          </w:p>
        </w:tc>
        <w:tc>
          <w:tcPr>
            <w:tcW w:w="157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488.55</w:t>
            </w:r>
          </w:p>
        </w:tc>
        <w:tc>
          <w:tcPr>
            <w:tcW w:w="133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488.55</w:t>
            </w:r>
          </w:p>
        </w:tc>
        <w:tc>
          <w:tcPr>
            <w:tcW w:w="108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w:t>
            </w:r>
          </w:p>
        </w:tc>
        <w:tc>
          <w:tcPr>
            <w:tcW w:w="118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91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vMerge w:val="continue"/>
            <w:tcBorders>
              <w:top w:val="nil"/>
            </w:tcBorders>
            <w:shd w:val="clear" w:color="auto" w:fill="auto"/>
            <w:vAlign w:val="center"/>
          </w:tcPr>
          <w:p>
            <w:pPr>
              <w:rPr>
                <w:rFonts w:hint="eastAsia" w:ascii="宋体"/>
                <w:sz w:val="24"/>
                <w:szCs w:val="24"/>
              </w:rPr>
            </w:pPr>
          </w:p>
        </w:tc>
        <w:tc>
          <w:tcPr>
            <w:tcW w:w="201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其中：当年财政拨款</w:t>
            </w:r>
          </w:p>
        </w:tc>
        <w:tc>
          <w:tcPr>
            <w:tcW w:w="106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 488.55</w:t>
            </w:r>
          </w:p>
        </w:tc>
        <w:tc>
          <w:tcPr>
            <w:tcW w:w="157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 488.55</w:t>
            </w:r>
          </w:p>
        </w:tc>
        <w:tc>
          <w:tcPr>
            <w:tcW w:w="133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488.55 </w:t>
            </w:r>
          </w:p>
        </w:tc>
        <w:tc>
          <w:tcPr>
            <w:tcW w:w="108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w:t>
            </w:r>
          </w:p>
        </w:tc>
        <w:tc>
          <w:tcPr>
            <w:tcW w:w="118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91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350" w:type="dxa"/>
            <w:gridSpan w:val="2"/>
            <w:vMerge w:val="continue"/>
            <w:tcBorders>
              <w:top w:val="nil"/>
            </w:tcBorders>
            <w:shd w:val="clear" w:color="auto" w:fill="auto"/>
            <w:vAlign w:val="center"/>
          </w:tcPr>
          <w:p>
            <w:pPr>
              <w:rPr>
                <w:rFonts w:hint="eastAsia" w:ascii="宋体"/>
                <w:sz w:val="24"/>
                <w:szCs w:val="24"/>
              </w:rPr>
            </w:pPr>
          </w:p>
        </w:tc>
        <w:tc>
          <w:tcPr>
            <w:tcW w:w="201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      上年结转资金</w:t>
            </w:r>
          </w:p>
        </w:tc>
        <w:tc>
          <w:tcPr>
            <w:tcW w:w="106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157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133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108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w:t>
            </w:r>
          </w:p>
        </w:tc>
        <w:tc>
          <w:tcPr>
            <w:tcW w:w="118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91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50" w:type="dxa"/>
            <w:gridSpan w:val="2"/>
            <w:vMerge w:val="continue"/>
            <w:tcBorders>
              <w:top w:val="nil"/>
            </w:tcBorders>
            <w:shd w:val="clear" w:color="auto" w:fill="auto"/>
            <w:vAlign w:val="center"/>
          </w:tcPr>
          <w:p>
            <w:pPr>
              <w:rPr>
                <w:rFonts w:hint="eastAsia" w:ascii="宋体"/>
                <w:sz w:val="24"/>
                <w:szCs w:val="24"/>
              </w:rPr>
            </w:pPr>
          </w:p>
        </w:tc>
        <w:tc>
          <w:tcPr>
            <w:tcW w:w="201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    其他资金</w:t>
            </w:r>
          </w:p>
        </w:tc>
        <w:tc>
          <w:tcPr>
            <w:tcW w:w="106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157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133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108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w:t>
            </w:r>
          </w:p>
        </w:tc>
        <w:tc>
          <w:tcPr>
            <w:tcW w:w="118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c>
          <w:tcPr>
            <w:tcW w:w="915"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 w:type="dxa"/>
            <w:vMerge w:val="restart"/>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年度总体目标</w:t>
            </w:r>
          </w:p>
        </w:tc>
        <w:tc>
          <w:tcPr>
            <w:tcW w:w="5550" w:type="dxa"/>
            <w:gridSpan w:val="6"/>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预期目标</w:t>
            </w:r>
          </w:p>
        </w:tc>
        <w:tc>
          <w:tcPr>
            <w:tcW w:w="4515" w:type="dxa"/>
            <w:gridSpan w:val="7"/>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5550" w:type="dxa"/>
            <w:gridSpan w:val="6"/>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目标1：按省定标准下达公用经费                                                   目标2：按学生人数下达公用经费                                                        目标3：基本保障普通高中学校日常运行                                                             目标4：提高普通高中学校教育教学质量</w:t>
            </w:r>
          </w:p>
        </w:tc>
        <w:tc>
          <w:tcPr>
            <w:tcW w:w="4515" w:type="dxa"/>
            <w:gridSpan w:val="7"/>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0" w:type="dxa"/>
            <w:vMerge w:val="restart"/>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标</w:t>
            </w:r>
          </w:p>
        </w:tc>
        <w:tc>
          <w:tcPr>
            <w:tcW w:w="900"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一级指标</w:t>
            </w:r>
          </w:p>
        </w:tc>
        <w:tc>
          <w:tcPr>
            <w:tcW w:w="555"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二级指标</w:t>
            </w:r>
          </w:p>
        </w:tc>
        <w:tc>
          <w:tcPr>
            <w:tcW w:w="3150" w:type="dxa"/>
            <w:gridSpan w:val="3"/>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三级指标</w:t>
            </w:r>
          </w:p>
        </w:tc>
        <w:tc>
          <w:tcPr>
            <w:tcW w:w="945" w:type="dxa"/>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年度指标值（A&amp; #41;</w:t>
            </w:r>
          </w:p>
        </w:tc>
        <w:tc>
          <w:tcPr>
            <w:tcW w:w="870" w:type="dxa"/>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实际完成值&amp; #40;B&amp; #41;</w:t>
            </w:r>
          </w:p>
        </w:tc>
        <w:tc>
          <w:tcPr>
            <w:tcW w:w="930" w:type="dxa"/>
            <w:gridSpan w:val="2"/>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分值</w:t>
            </w:r>
          </w:p>
        </w:tc>
        <w:tc>
          <w:tcPr>
            <w:tcW w:w="1020" w:type="dxa"/>
            <w:gridSpan w:val="2"/>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得分</w:t>
            </w:r>
          </w:p>
        </w:tc>
        <w:tc>
          <w:tcPr>
            <w:tcW w:w="1695" w:type="dxa"/>
            <w:gridSpan w:val="2"/>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vMerge w:val="continue"/>
            <w:tcBorders>
              <w:top w:val="nil"/>
              <w:left w:val="nil"/>
            </w:tcBorders>
            <w:shd w:val="clear" w:color="auto" w:fill="auto"/>
            <w:vAlign w:val="center"/>
          </w:tcPr>
          <w:p>
            <w:pPr>
              <w:rPr>
                <w:rFonts w:hint="eastAsia" w:ascii="宋体"/>
                <w:sz w:val="24"/>
                <w:szCs w:val="24"/>
              </w:rPr>
            </w:pPr>
          </w:p>
        </w:tc>
        <w:tc>
          <w:tcPr>
            <w:tcW w:w="3150" w:type="dxa"/>
            <w:gridSpan w:val="3"/>
            <w:vMerge w:val="continue"/>
            <w:tcBorders>
              <w:left w:val="nil"/>
            </w:tcBorders>
            <w:shd w:val="clear" w:color="auto" w:fill="auto"/>
            <w:vAlign w:val="center"/>
          </w:tcPr>
          <w:p>
            <w:pPr>
              <w:rPr>
                <w:rFonts w:hint="eastAsia" w:ascii="宋体"/>
                <w:sz w:val="24"/>
                <w:szCs w:val="24"/>
              </w:rPr>
            </w:pPr>
          </w:p>
        </w:tc>
        <w:tc>
          <w:tcPr>
            <w:tcW w:w="945" w:type="dxa"/>
            <w:vMerge w:val="continue"/>
            <w:tcBorders>
              <w:left w:val="nil"/>
            </w:tcBorders>
            <w:shd w:val="clear" w:color="auto" w:fill="auto"/>
            <w:vAlign w:val="center"/>
          </w:tcPr>
          <w:p>
            <w:pPr>
              <w:rPr>
                <w:rFonts w:hint="eastAsia" w:ascii="宋体"/>
                <w:sz w:val="24"/>
                <w:szCs w:val="24"/>
              </w:rPr>
            </w:pPr>
          </w:p>
        </w:tc>
        <w:tc>
          <w:tcPr>
            <w:tcW w:w="870" w:type="dxa"/>
            <w:vMerge w:val="continue"/>
            <w:tcBorders>
              <w:left w:val="nil"/>
            </w:tcBorders>
            <w:shd w:val="clear" w:color="auto" w:fill="auto"/>
            <w:vAlign w:val="center"/>
          </w:tcPr>
          <w:p>
            <w:pPr>
              <w:rPr>
                <w:rFonts w:hint="eastAsia" w:ascii="宋体"/>
                <w:sz w:val="24"/>
                <w:szCs w:val="24"/>
              </w:rPr>
            </w:pPr>
          </w:p>
        </w:tc>
        <w:tc>
          <w:tcPr>
            <w:tcW w:w="930" w:type="dxa"/>
            <w:gridSpan w:val="2"/>
            <w:vMerge w:val="continue"/>
            <w:tcBorders>
              <w:left w:val="nil"/>
            </w:tcBorders>
            <w:shd w:val="clear" w:color="auto" w:fill="auto"/>
            <w:vAlign w:val="center"/>
          </w:tcPr>
          <w:p>
            <w:pPr>
              <w:rPr>
                <w:rFonts w:hint="eastAsia" w:ascii="宋体"/>
                <w:sz w:val="24"/>
                <w:szCs w:val="24"/>
              </w:rPr>
            </w:pPr>
          </w:p>
        </w:tc>
        <w:tc>
          <w:tcPr>
            <w:tcW w:w="1020" w:type="dxa"/>
            <w:gridSpan w:val="2"/>
            <w:vMerge w:val="continue"/>
            <w:tcBorders>
              <w:left w:val="nil"/>
            </w:tcBorders>
            <w:shd w:val="clear" w:color="auto" w:fill="auto"/>
            <w:vAlign w:val="center"/>
          </w:tcPr>
          <w:p>
            <w:pPr>
              <w:rPr>
                <w:rFonts w:hint="eastAsia" w:ascii="宋体"/>
                <w:sz w:val="24"/>
                <w:szCs w:val="24"/>
              </w:rPr>
            </w:pPr>
          </w:p>
        </w:tc>
        <w:tc>
          <w:tcPr>
            <w:tcW w:w="1695" w:type="dxa"/>
            <w:gridSpan w:val="2"/>
            <w:vMerge w:val="continue"/>
            <w:tcBorders>
              <w:lef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产出指标（50分）</w:t>
            </w:r>
          </w:p>
        </w:tc>
        <w:tc>
          <w:tcPr>
            <w:tcW w:w="555" w:type="dxa"/>
            <w:vMerge w:val="restart"/>
            <w:tcBorders>
              <w:top w:val="nil"/>
              <w:left w:val="nil"/>
              <w:bottom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数量指标</w:t>
            </w: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普通高中生均公用经费执行标准</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不低于省规定的标准</w:t>
            </w:r>
          </w:p>
        </w:tc>
        <w:tc>
          <w:tcPr>
            <w:tcW w:w="870" w:type="dxa"/>
            <w:tcBorders>
              <w:top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不低于省规定的标准</w:t>
            </w:r>
          </w:p>
        </w:tc>
        <w:tc>
          <w:tcPr>
            <w:tcW w:w="930" w:type="dxa"/>
            <w:gridSpan w:val="2"/>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8</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8</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vMerge w:val="continue"/>
            <w:tcBorders>
              <w:top w:val="nil"/>
              <w:left w:val="nil"/>
              <w:bottom w:val="nil"/>
            </w:tcBorders>
            <w:shd w:val="clear" w:color="auto" w:fill="auto"/>
            <w:vAlign w:val="center"/>
          </w:tcPr>
          <w:p>
            <w:pPr>
              <w:rPr>
                <w:rFonts w:hint="eastAsia" w:ascii="宋体"/>
                <w:sz w:val="24"/>
                <w:szCs w:val="24"/>
              </w:rPr>
            </w:pP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普通高中生均公用经费拨付到位率</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vMerge w:val="continue"/>
            <w:tcBorders>
              <w:top w:val="nil"/>
              <w:left w:val="nil"/>
              <w:bottom w:val="nil"/>
            </w:tcBorders>
            <w:shd w:val="clear" w:color="auto" w:fill="auto"/>
            <w:vAlign w:val="center"/>
          </w:tcPr>
          <w:p>
            <w:pPr>
              <w:rPr>
                <w:rFonts w:hint="eastAsia" w:ascii="宋体"/>
                <w:sz w:val="24"/>
                <w:szCs w:val="24"/>
              </w:rPr>
            </w:pP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普通高中生均公用经费拨付及时率</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8</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8</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质量指标</w:t>
            </w: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保障普通高中学校正常运行</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正常运行</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正常运行</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时效指标</w:t>
            </w: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资金按规定及时拨付率</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7</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7</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vMerge w:val="continue"/>
            <w:tcBorders>
              <w:top w:val="nil"/>
              <w:left w:val="nil"/>
            </w:tcBorders>
            <w:shd w:val="clear" w:color="auto" w:fill="auto"/>
            <w:vAlign w:val="center"/>
          </w:tcPr>
          <w:p>
            <w:pPr>
              <w:rPr>
                <w:rFonts w:hint="eastAsia" w:ascii="宋体"/>
                <w:sz w:val="24"/>
                <w:szCs w:val="24"/>
              </w:rPr>
            </w:pP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年度预算执行进度</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7</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7</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效益指标（30分）</w:t>
            </w:r>
          </w:p>
        </w:tc>
        <w:tc>
          <w:tcPr>
            <w:tcW w:w="555"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指标</w:t>
            </w: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教学活动开展有序，办学水平不断提高</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提高</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提高</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15</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15</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vMerge w:val="continue"/>
            <w:tcBorders>
              <w:top w:val="nil"/>
              <w:left w:val="nil"/>
            </w:tcBorders>
            <w:shd w:val="clear" w:color="auto" w:fill="auto"/>
            <w:vAlign w:val="center"/>
          </w:tcPr>
          <w:p>
            <w:pPr>
              <w:rPr>
                <w:rFonts w:hint="eastAsia" w:ascii="宋体"/>
                <w:sz w:val="24"/>
                <w:szCs w:val="24"/>
              </w:rPr>
            </w:pP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教育教学质量</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提高</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提高</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15</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15</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（10分）</w:t>
            </w:r>
          </w:p>
        </w:tc>
        <w:tc>
          <w:tcPr>
            <w:tcW w:w="555"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服务对象满意度指标</w:t>
            </w: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学校和教师满意度</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≥85%</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96%</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5</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4.8</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50" w:type="dxa"/>
            <w:vMerge w:val="continue"/>
            <w:tcBorders>
              <w:top w:val="nil"/>
            </w:tcBorders>
            <w:shd w:val="clear" w:color="auto" w:fill="auto"/>
            <w:vAlign w:val="center"/>
          </w:tcPr>
          <w:p>
            <w:pPr>
              <w:rPr>
                <w:rFonts w:hint="eastAsia" w:ascii="宋体"/>
                <w:sz w:val="24"/>
                <w:szCs w:val="24"/>
              </w:rPr>
            </w:pPr>
          </w:p>
        </w:tc>
        <w:tc>
          <w:tcPr>
            <w:tcW w:w="900" w:type="dxa"/>
            <w:vMerge w:val="continue"/>
            <w:tcBorders>
              <w:top w:val="nil"/>
              <w:left w:val="nil"/>
            </w:tcBorders>
            <w:shd w:val="clear" w:color="auto" w:fill="auto"/>
            <w:vAlign w:val="center"/>
          </w:tcPr>
          <w:p>
            <w:pPr>
              <w:rPr>
                <w:rFonts w:hint="eastAsia" w:ascii="宋体"/>
                <w:sz w:val="24"/>
                <w:szCs w:val="24"/>
              </w:rPr>
            </w:pPr>
          </w:p>
        </w:tc>
        <w:tc>
          <w:tcPr>
            <w:tcW w:w="555" w:type="dxa"/>
            <w:vMerge w:val="continue"/>
            <w:tcBorders>
              <w:top w:val="nil"/>
              <w:left w:val="nil"/>
            </w:tcBorders>
            <w:shd w:val="clear" w:color="auto" w:fill="auto"/>
            <w:vAlign w:val="center"/>
          </w:tcPr>
          <w:p>
            <w:pPr>
              <w:rPr>
                <w:rFonts w:hint="eastAsia" w:ascii="宋体"/>
                <w:sz w:val="24"/>
                <w:szCs w:val="24"/>
              </w:rPr>
            </w:pPr>
          </w:p>
        </w:tc>
        <w:tc>
          <w:tcPr>
            <w:tcW w:w="3150"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家长和学生满意度</w:t>
            </w:r>
          </w:p>
        </w:tc>
        <w:tc>
          <w:tcPr>
            <w:tcW w:w="945" w:type="dxa"/>
            <w:tcBorders>
              <w:top w:val="nil"/>
              <w:left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≥85%</w:t>
            </w:r>
          </w:p>
        </w:tc>
        <w:tc>
          <w:tcPr>
            <w:tcW w:w="870" w:type="dxa"/>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96%</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5</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4.8</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70" w:type="dxa"/>
            <w:gridSpan w:val="8"/>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总分</w:t>
            </w:r>
          </w:p>
        </w:tc>
        <w:tc>
          <w:tcPr>
            <w:tcW w:w="93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100</w:t>
            </w:r>
          </w:p>
        </w:tc>
        <w:tc>
          <w:tcPr>
            <w:tcW w:w="102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99.6</w:t>
            </w:r>
          </w:p>
        </w:tc>
        <w:tc>
          <w:tcPr>
            <w:tcW w:w="169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515"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lang w:val="en-US" w:eastAsia="zh-CN" w:bidi="ar"/>
              </w:rPr>
              <w:t>    2.评分标准：（1） 若为</w:t>
            </w:r>
            <w:r>
              <w:rPr>
                <w:rFonts w:hint="eastAsia" w:ascii="宋体" w:hAnsi="宋体" w:eastAsia="宋体" w:cs="宋体"/>
                <w:b/>
                <w:bCs/>
                <w:i w:val="0"/>
                <w:iCs w:val="0"/>
                <w:kern w:val="0"/>
                <w:sz w:val="20"/>
                <w:szCs w:val="20"/>
                <w:lang w:val="en-US" w:eastAsia="zh-CN" w:bidi="ar"/>
              </w:rPr>
              <w:t>定性指标</w:t>
            </w:r>
            <w:r>
              <w:rPr>
                <w:rFonts w:hint="eastAsia" w:ascii="宋体" w:hAnsi="宋体" w:eastAsia="宋体" w:cs="宋体"/>
                <w:i w:val="0"/>
                <w:iCs w:val="0"/>
                <w:kern w:val="0"/>
                <w:sz w:val="20"/>
                <w:szCs w:val="2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0515"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   （2）若为</w:t>
            </w:r>
            <w:r>
              <w:rPr>
                <w:rFonts w:hint="eastAsia" w:ascii="宋体" w:hAnsi="宋体" w:eastAsia="宋体" w:cs="宋体"/>
                <w:b/>
                <w:bCs/>
                <w:i w:val="0"/>
                <w:iCs w:val="0"/>
                <w:kern w:val="0"/>
                <w:sz w:val="20"/>
                <w:szCs w:val="20"/>
                <w:lang w:val="en-US" w:eastAsia="zh-CN" w:bidi="ar"/>
              </w:rPr>
              <w:t>定量指标</w:t>
            </w:r>
            <w:r>
              <w:rPr>
                <w:rFonts w:hint="eastAsia" w:ascii="宋体" w:hAnsi="宋体" w:eastAsia="宋体" w:cs="宋体"/>
                <w:i w:val="0"/>
                <w:iCs w:val="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本单位2021年度收入总计3756.05 万元，较2020年增加198.68万元，增长5.59  %，其中:年初结转和结余 0 万元，较2020年增加</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万元，增长</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  %；本年收入合计3756.05万元，较2020年增加198.68万元，增长5.59  %，主要原因是：增加教师人员，财政加大学校教育投入。</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本年收入的具体构成为：财政拨款收入3148.05 万元，占83.81 %；事业收入608万元，占16.19  %；经营收入  0 万元，占 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本单位2021年度支出总计3756.05 万元，其中本年支出合计3756.05万元，较2020年增加198.68万元，增长5.59  %，主要原因是：增加教师人员，增长教师工资绩效等；年末结转和结余  0 万元，较2020年增加（减少） 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本年支出的具体构成为：基本支出3756.05万元，占100  %；项目支出  0 万元，占 0  %；经营支出 0  万元，占  %；其他支出（对附属单位补助支出、上缴上级支出） 0  万元，占0  %。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本单位2021年度财政拨款本年支出年初预算数为2237.39   万元，决算数为3148.05  万元，完成年初预算的167.87  %。其中：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教育支出年初预算数为2237.39 万元，决算数为3148.05 万元，完成年初预算的167.87  %，主要原因是：人员及教师绩效增加。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本单位2021年度一般公共预算财政拨款基本支出3148.05  万元，其中：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2613.31 万元，较2020年增加362.13  万元，增长16.09  %，主要原因是：人员及教师绩效增加。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（二）商品和服务支出452.19 万元，较2020年减少130.45  万元，下降22.38  %，主要原因是：压缩一般性支出。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 46.19 万元，较2020年增加7  万元，增长17.86  %，主要原因是：增加遗属人员补助标准。</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36.36 万元，较2020年减少18 万元，下降33.11  %，主要原因是：减少项目投入。</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本单位2021年度一般公共预算财政拨款“三公”经费支出年初预算数为10 万元，决算数为1.39  万元，完成预算的13.9  %，决算数较2020年增加（减少）0  万元，增长（下降） 0 %，其中：</w:t>
      </w:r>
    </w:p>
    <w:p>
      <w:pPr>
        <w:keepNext w:val="0"/>
        <w:keepLines w:val="0"/>
        <w:widowControl/>
        <w:numPr>
          <w:ilvl w:val="0"/>
          <w:numId w:val="0"/>
        </w:numPr>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 0 万元，决算数为0  万元，完成预算的0 %，决算数较2020年增加（减少） 0 万元，增长（下降） 0 %。</w:t>
      </w:r>
    </w:p>
    <w:p>
      <w:pPr>
        <w:keepNext w:val="0"/>
        <w:keepLines w:val="0"/>
        <w:widowControl/>
        <w:numPr>
          <w:ilvl w:val="0"/>
          <w:numId w:val="0"/>
        </w:numPr>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（二）公务接待费支出年初预算数为10 万元，决算数为 1.39 万元，完成预算的 13.9%，决算数较2020年增加（减少）  0万元，增长（下降）0  %，主要原因是无增减。决算数较年初预算数减少的主要原因是：疫情减少公务接待。全年国内公务接待 12 批，累计接待 120 人次，主要为县外及乡镇学校交流学习。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0  万元。年末公务用车保有0辆。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rPr>
          <w:b w:val="0"/>
          <w:bCs w:val="0"/>
        </w:rPr>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 0万元、政府采购工程支出 0 万元、政府采购服务支出 0 万元。</w:t>
      </w:r>
    </w:p>
    <w:p>
      <w:pPr>
        <w:keepNext w:val="0"/>
        <w:keepLines w:val="0"/>
        <w:widowControl/>
        <w:suppressLineNumbers w:val="0"/>
        <w:spacing w:before="0" w:beforeAutospacing="1" w:after="0" w:afterAutospacing="1"/>
        <w:ind w:left="0" w:right="0" w:firstLine="640" w:firstLineChars="200"/>
        <w:jc w:val="left"/>
      </w:pPr>
      <w:r>
        <w:rPr>
          <w:rFonts w:hint="eastAsia" w:ascii="黑体" w:hAnsi="宋体" w:eastAsia="黑体" w:cs="黑体"/>
          <w:i w:val="0"/>
          <w:iCs w:val="0"/>
          <w:kern w:val="0"/>
          <w:sz w:val="32"/>
          <w:szCs w:val="32"/>
          <w:lang w:val="en-US" w:eastAsia="zh-CN" w:bidi="ar"/>
        </w:rPr>
        <w:t>八、国有资本经营预算财政拨款支出情况说明</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3" w:firstLineChars="200"/>
        <w:jc w:val="both"/>
      </w:pPr>
      <w:r>
        <w:rPr>
          <w:rFonts w:hint="eastAsia" w:ascii="黑体" w:hAnsi="宋体" w:eastAsia="黑体" w:cs="黑体"/>
          <w:b/>
          <w:bCs/>
          <w:i w:val="0"/>
          <w:iCs w:val="0"/>
          <w:caps w:val="0"/>
          <w:spacing w:val="0"/>
          <w:kern w:val="0"/>
          <w:sz w:val="32"/>
          <w:szCs w:val="32"/>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rPr>
        <w:t>（三）单位决算中项目绩效自评情况。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rPr>
        <w:t>学校生均公用经费绩效自评综述：根据年初设定的绩效目标，学校生均公用经费绩效自评得分为99.6分。项目全年预算为488.55万元，执行数为488.55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default" w:ascii="方正小标宋简体" w:hAnsi="方正小标宋简体" w:eastAsia="方正小标宋简体" w:cs="方正小标宋简体"/>
          <w:b w:val="0"/>
          <w:bCs w:val="0"/>
          <w:kern w:val="0"/>
          <w:sz w:val="44"/>
          <w:szCs w:val="44"/>
          <w:lang w:val="en-US" w:eastAsia="zh-CN" w:bidi="ar"/>
        </w:rPr>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val="0"/>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pPr>
      <w:bookmarkStart w:id="0" w:name="_GoBack"/>
      <w:bookmarkEnd w:id="0"/>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AF6F67-18A3-457C-AEB5-4D715F63CB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0F2868-B03F-4C92-BDF9-3D84EF8EFD88}"/>
  </w:font>
  <w:font w:name="方正小标宋简体">
    <w:panose1 w:val="02000000000000000000"/>
    <w:charset w:val="86"/>
    <w:family w:val="auto"/>
    <w:pitch w:val="default"/>
    <w:sig w:usb0="00000001" w:usb1="08000000" w:usb2="00000000" w:usb3="00000000" w:csb0="00040000" w:csb1="00000000"/>
    <w:embedRegular r:id="rId3" w:fontKey="{F9D35705-C1AE-4A1C-AC51-8DB0676A4558}"/>
  </w:font>
  <w:font w:name="仿宋_GB2312">
    <w:altName w:val="仿宋"/>
    <w:panose1 w:val="00000000000000000000"/>
    <w:charset w:val="00"/>
    <w:family w:val="auto"/>
    <w:pitch w:val="default"/>
    <w:sig w:usb0="00000000" w:usb1="00000000" w:usb2="00000000" w:usb3="00000000" w:csb0="00000000" w:csb1="00000000"/>
    <w:embedRegular r:id="rId4" w:fontKey="{CD887D7F-0D18-4729-ADE9-180692B54BB8}"/>
  </w:font>
  <w:font w:name="仿宋">
    <w:panose1 w:val="02010609060101010101"/>
    <w:charset w:val="86"/>
    <w:family w:val="auto"/>
    <w:pitch w:val="default"/>
    <w:sig w:usb0="800002BF" w:usb1="38CF7CFA" w:usb2="00000016" w:usb3="00000000" w:csb0="00040001" w:csb1="00000000"/>
    <w:embedRegular r:id="rId5" w:fontKey="{B3E5F24C-01A1-4BE7-A154-4A964C2EAA7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56B3562"/>
    <w:rsid w:val="122123FD"/>
    <w:rsid w:val="2D0A5992"/>
    <w:rsid w:val="556B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2023-10-07T05:22:00Z</dcterms:created>
  <dc:creator>才东东</dc:creator>
  <cp:lastModifiedBy>才东东</cp:lastModifiedBy>
  <dcterms:modified xsi:type="dcterms:W3CDTF">2023-10-08T08:01:15Z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21F35069234340C4846C2AB40A8C9096_11</vt:lpwstr>
  </property>
</Properties>
</file>