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宁都县会同乡公立幼儿园</w:t>
      </w:r>
      <w:r>
        <w:rPr>
          <w:rFonts w:hint="eastAsia"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Times New Roman"/>
          <w:kern w:val="2"/>
          <w:sz w:val="44"/>
          <w:szCs w:val="44"/>
          <w:lang w:val="en-US" w:eastAsia="zh-CN" w:bidi="ar"/>
        </w:rPr>
        <w:t> </w:t>
      </w: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Times New Roman"/>
          <w:kern w:val="2"/>
          <w:sz w:val="32"/>
          <w:szCs w:val="32"/>
          <w:lang w:val="en-US" w:eastAsia="zh-CN" w:bidi="ar"/>
        </w:rPr>
        <w:t> </w:t>
      </w:r>
      <w:r>
        <w:rPr>
          <w:rFonts w:hint="eastAsia" w:ascii="黑体" w:hAnsi="宋体" w:eastAsia="黑体" w:cs="黑体"/>
          <w:b/>
          <w:bCs w:val="0"/>
          <w:kern w:val="2"/>
          <w:sz w:val="32"/>
          <w:szCs w:val="32"/>
          <w:lang w:val="en-US" w:eastAsia="zh-CN" w:bidi="ar"/>
        </w:rPr>
        <w:t>第一部分</w:t>
      </w:r>
      <w:r>
        <w:rPr>
          <w:rFonts w:hint="eastAsia" w:ascii="黑体" w:hAnsi="宋体" w:eastAsia="黑体" w:cs="Times New Roman"/>
          <w:b/>
          <w:bCs w:val="0"/>
          <w:kern w:val="2"/>
          <w:sz w:val="32"/>
          <w:szCs w:val="32"/>
          <w:lang w:val="en-US" w:eastAsia="zh-CN" w:bidi="ar"/>
        </w:rPr>
        <w:t xml:space="preserve">  </w:t>
      </w:r>
      <w:r>
        <w:rPr>
          <w:rFonts w:hint="eastAsia" w:ascii="黑体" w:hAnsi="宋体" w:eastAsia="黑体" w:cs="黑体"/>
          <w:b/>
          <w:bCs w:val="0"/>
          <w:kern w:val="2"/>
          <w:sz w:val="32"/>
          <w:szCs w:val="32"/>
          <w:lang w:val="en-US" w:eastAsia="zh-CN" w:bidi="ar"/>
        </w:rPr>
        <w:t>宁都县会同公立幼儿园学校概况</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hAnsi="Calibri" w:eastAsia="仿宋_GB2312" w:cs="Times New Roman"/>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十、</w:t>
      </w:r>
      <w:r>
        <w:rPr>
          <w:rFonts w:hint="eastAsia"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十一、</w:t>
      </w:r>
      <w:r>
        <w:rPr>
          <w:rFonts w:hint="eastAsia" w:ascii="仿宋_GB2312" w:eastAsia="仿宋_GB2312" w:cs="仿宋_GB2312" w:hAnsiTheme="minorHAnsi"/>
          <w:kern w:val="0"/>
          <w:sz w:val="32"/>
          <w:szCs w:val="32"/>
          <w:lang w:val="en-US" w:eastAsia="zh-CN" w:bidi="ar"/>
        </w:rPr>
        <w:t>项目支出绩效自评表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Times New Roman" w:hAnsiTheme="minorHAnsi"/>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Times New Roman" w:hAnsiTheme="minorHAnsi"/>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Times New Roman" w:hAnsiTheme="minorHAnsi"/>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名词解释</w:t>
      </w:r>
    </w:p>
    <w:p>
      <w:pPr>
        <w:keepNext w:val="0"/>
        <w:keepLines w:val="0"/>
        <w:widowControl/>
        <w:numPr>
          <w:numId w:val="0"/>
        </w:numPr>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line="580" w:lineRule="exact"/>
        <w:ind w:left="0" w:right="0"/>
        <w:jc w:val="both"/>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（一）、认真贯彻执行幼儿教育《纲要》和《幼儿园工作规程》精神,从严治园,以促进幼儿体、智、德、美全面发展为各项工作的目标,坚持改革,不断提高教育质量。</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 （二）、严格执行幼儿安全、卫生、保健制度，制定年度工作目标、规划、学期工作任务，认真做好组织实施。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（三）、建立和健全各项规章制度并认真组织和实施。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（四）、加强教职工的考核工作，检查、指导、评估工作质量，制定奖惩措施。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（五）、加强财务管理，科学管理、合理使用学校的设施和经费，并积极筹措资金，改善办学条件。</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（六）、加强思想政治工作，组织文化业务学习，有计划开展业务培训，提高教师业务水平。</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（七）、关心教职工业务和生活，加强职工道德教育。 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color w:val="000000"/>
          <w:kern w:val="2"/>
          <w:sz w:val="30"/>
          <w:szCs w:val="30"/>
          <w:lang w:val="en-US" w:eastAsia="zh-CN" w:bidi="ar"/>
        </w:rPr>
        <w:t>本单位2021年年末实有人数7人，其中在职人员7人，退休人员0人（含由养老保险基金发放养老金的离退休人员）；年末其他人员6人。年末学生人数132人，其中小学0人，初中 0人，幼儿园132人。</w:t>
      </w:r>
    </w:p>
    <w:p>
      <w:pPr>
        <w:keepNext w:val="0"/>
        <w:keepLines w:val="0"/>
        <w:widowControl/>
        <w:suppressLineNumbers w:val="0"/>
        <w:spacing w:before="0" w:beforeAutospacing="1" w:after="0" w:afterAutospacing="1"/>
        <w:ind w:left="0" w:right="0"/>
        <w:jc w:val="left"/>
      </w:pPr>
      <w:r>
        <w:rPr>
          <w:rFonts w:hint="eastAsia" w:ascii="仿宋_GB2312" w:eastAsia="仿宋_GB2312" w:cs="Times New Roman" w:hAnsiTheme="minorHAnsi"/>
          <w:color w:val="0000FF"/>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974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53"/>
        <w:gridCol w:w="16"/>
        <w:gridCol w:w="1029"/>
        <w:gridCol w:w="11"/>
        <w:gridCol w:w="832"/>
        <w:gridCol w:w="1"/>
        <w:gridCol w:w="2917"/>
        <w:gridCol w:w="31"/>
        <w:gridCol w:w="803"/>
        <w:gridCol w:w="31"/>
        <w:gridCol w:w="981"/>
        <w:gridCol w:w="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540" w:hRule="atLeast"/>
        </w:trPr>
        <w:tc>
          <w:tcPr>
            <w:tcW w:w="9726" w:type="dxa"/>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255" w:hRule="atLeast"/>
        </w:trPr>
        <w:tc>
          <w:tcPr>
            <w:tcW w:w="2935"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05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15"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2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36"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255" w:hRule="atLeast"/>
        </w:trPr>
        <w:tc>
          <w:tcPr>
            <w:tcW w:w="2935"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编制单位：宁都县会同乡公立幼儿园</w:t>
            </w:r>
          </w:p>
        </w:tc>
        <w:tc>
          <w:tcPr>
            <w:tcW w:w="105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015"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2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36"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277" w:hRule="atLeast"/>
        </w:trPr>
        <w:tc>
          <w:tcPr>
            <w:tcW w:w="4853" w:type="dxa"/>
            <w:gridSpan w:val="6"/>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4873" w:type="dxa"/>
            <w:gridSpan w:val="5"/>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86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0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6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22.05</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23"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0" w:type="dxa"/>
          <w:trHeight w:val="308" w:hRule="atLeast"/>
        </w:trPr>
        <w:tc>
          <w:tcPr>
            <w:tcW w:w="2935"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10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865" w:type="dxa"/>
            <w:gridSpan w:val="3"/>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103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91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108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8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98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88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1021"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91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08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8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98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88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1021"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91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08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8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298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88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1021"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9743" w:type="dxa"/>
            <w:gridSpan w:val="12"/>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trPr>
        <w:tc>
          <w:tcPr>
            <w:tcW w:w="9743" w:type="dxa"/>
            <w:gridSpan w:val="1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tbl>
      <w:tblPr>
        <w:tblW w:w="105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65"/>
        <w:gridCol w:w="658"/>
        <w:gridCol w:w="635"/>
        <w:gridCol w:w="1502"/>
        <w:gridCol w:w="1218"/>
        <w:gridCol w:w="1218"/>
        <w:gridCol w:w="855"/>
        <w:gridCol w:w="959"/>
        <w:gridCol w:w="946"/>
        <w:gridCol w:w="854"/>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564" w:type="dxa"/>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56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0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5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4578" w:type="dxa"/>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2073"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9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008"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360"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21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121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85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959"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94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854"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1154"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50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21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5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4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5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5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50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5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4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5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5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50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5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4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5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5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565"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65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63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5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2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9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9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5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15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565"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65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3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2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12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8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22.05</w:t>
            </w:r>
          </w:p>
        </w:tc>
        <w:tc>
          <w:tcPr>
            <w:tcW w:w="9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5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2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12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8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22.05</w:t>
            </w:r>
          </w:p>
        </w:tc>
        <w:tc>
          <w:tcPr>
            <w:tcW w:w="9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5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2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12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8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22.05</w:t>
            </w:r>
          </w:p>
        </w:tc>
        <w:tc>
          <w:tcPr>
            <w:tcW w:w="9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5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15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12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12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8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22.05</w:t>
            </w:r>
          </w:p>
        </w:tc>
        <w:tc>
          <w:tcPr>
            <w:tcW w:w="9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jc w:val="center"/>
        </w:trPr>
        <w:tc>
          <w:tcPr>
            <w:tcW w:w="10564" w:type="dxa"/>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spacing w:before="0" w:beforeAutospacing="1" w:after="0" w:afterAutospacing="1" w:line="600" w:lineRule="exact"/>
        <w:ind w:left="0" w:right="0"/>
        <w:jc w:val="both"/>
      </w:pPr>
      <w:r>
        <w:rPr>
          <w:rFonts w:hint="eastAsia" w:ascii="方正小标宋简体" w:hAnsi="方正小标宋简体" w:eastAsia="方正小标宋简体" w:cs="方正小标宋简体"/>
          <w:b w:val="0"/>
          <w:bCs/>
          <w:kern w:val="2"/>
          <w:sz w:val="44"/>
          <w:szCs w:val="44"/>
          <w:lang w:val="en-US" w:eastAsia="zh-CN" w:bidi="ar"/>
        </w:rPr>
        <w:t> </w:t>
      </w:r>
    </w:p>
    <w:tbl>
      <w:tblPr>
        <w:tblW w:w="822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6"/>
        <w:gridCol w:w="436"/>
        <w:gridCol w:w="436"/>
        <w:gridCol w:w="1316"/>
        <w:gridCol w:w="766"/>
        <w:gridCol w:w="1066"/>
        <w:gridCol w:w="656"/>
        <w:gridCol w:w="656"/>
        <w:gridCol w:w="6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right"/>
        </w:trPr>
        <w:tc>
          <w:tcPr>
            <w:tcW w:w="8220"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3570" w:type="dxa"/>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80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6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106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6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6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6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161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7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7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99.25</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jc w:val="right"/>
        </w:trPr>
        <w:tc>
          <w:tcPr>
            <w:tcW w:w="8220"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10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819"/>
        <w:gridCol w:w="525"/>
        <w:gridCol w:w="1022"/>
        <w:gridCol w:w="2357"/>
        <w:gridCol w:w="473"/>
        <w:gridCol w:w="935"/>
        <w:gridCol w:w="1239"/>
        <w:gridCol w:w="1073"/>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700"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81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5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2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366"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编制单位：宁都县会同乡中心幼儿园</w:t>
            </w:r>
          </w:p>
        </w:tc>
        <w:tc>
          <w:tcPr>
            <w:tcW w:w="23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30"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3366"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7334"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02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235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47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93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23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107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125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jc w:val="center"/>
        </w:trPr>
        <w:tc>
          <w:tcPr>
            <w:tcW w:w="1819"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22"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35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3"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3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73"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5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9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0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2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8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10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9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10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jc w:val="center"/>
        </w:trPr>
        <w:tc>
          <w:tcPr>
            <w:tcW w:w="10700"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rPr>
          <w:rFonts w:hint="default" w:ascii="Calibri" w:hAnsi="Calibri" w:eastAsia="宋体" w:cs="Times New Roman"/>
          <w:kern w:val="2"/>
          <w:sz w:val="21"/>
          <w:szCs w:val="21"/>
        </w:rPr>
      </w:pPr>
    </w:p>
    <w:p>
      <w:pPr>
        <w:rPr>
          <w:rFonts w:hint="default" w:ascii="Calibri" w:hAnsi="Calibri" w:eastAsia="宋体" w:cs="Times New Roman"/>
          <w:kern w:val="2"/>
          <w:sz w:val="21"/>
          <w:szCs w:val="21"/>
        </w:rPr>
      </w:pPr>
    </w:p>
    <w:p>
      <w:pPr>
        <w:rPr>
          <w:rFonts w:hint="default" w:ascii="Calibri" w:hAnsi="Calibri" w:eastAsia="宋体" w:cs="Times New Roman"/>
          <w:kern w:val="2"/>
          <w:sz w:val="21"/>
          <w:szCs w:val="21"/>
        </w:rPr>
      </w:pPr>
    </w:p>
    <w:p>
      <w:pPr>
        <w:rPr>
          <w:rFonts w:hint="default" w:ascii="Calibri" w:hAnsi="Calibri" w:eastAsia="宋体" w:cs="Times New Roman"/>
          <w:kern w:val="2"/>
          <w:sz w:val="21"/>
          <w:szCs w:val="21"/>
        </w:rPr>
        <w:sectPr>
          <w:pgSz w:w="12242" w:h="15842"/>
          <w:pgMar w:top="1440" w:right="1800" w:bottom="1440" w:left="1800" w:header="851" w:footer="992" w:gutter="0"/>
          <w:cols w:space="425" w:num="1"/>
          <w:docGrid w:type="lines" w:linePitch="312" w:charSpace="0"/>
        </w:sectPr>
      </w:pPr>
    </w:p>
    <w:tbl>
      <w:tblPr>
        <w:tblW w:w="98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436"/>
        <w:gridCol w:w="436"/>
        <w:gridCol w:w="1316"/>
        <w:gridCol w:w="1536"/>
        <w:gridCol w:w="10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9852"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2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42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2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9852"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
      <w:pPr>
        <w:rPr>
          <w:vanish/>
          <w:sz w:val="24"/>
          <w:szCs w:val="24"/>
        </w:rPr>
      </w:pPr>
    </w:p>
    <w:tbl>
      <w:tblPr>
        <w:tblW w:w="8974"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82"/>
        <w:gridCol w:w="1258"/>
        <w:gridCol w:w="911"/>
        <w:gridCol w:w="808"/>
        <w:gridCol w:w="1223"/>
        <w:gridCol w:w="808"/>
        <w:gridCol w:w="842"/>
        <w:gridCol w:w="1315"/>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7" w:hRule="atLeast"/>
        </w:trPr>
        <w:tc>
          <w:tcPr>
            <w:tcW w:w="8974"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7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2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0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2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0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42"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759"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编制单位：宁都县会同乡中心幼儿园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122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0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42"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7" w:hRule="atLeast"/>
        </w:trPr>
        <w:tc>
          <w:tcPr>
            <w:tcW w:w="2951"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6023"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8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2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9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80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2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84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3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0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65.78</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11.43</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26.79</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3.11</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4.36</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2.06</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伙食补助费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0.15</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15.09</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0.27</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6.37</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3.49</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1.88</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0.78</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2.25</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7.37</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0.72</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退职（役）费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0.12</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0.88</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0.03</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12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0.70</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其他对企业补助助</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2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2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2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2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7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2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13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04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9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65.78</w:t>
            </w:r>
          </w:p>
        </w:tc>
        <w:tc>
          <w:tcPr>
            <w:tcW w:w="499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10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11.43</w:t>
            </w:r>
          </w:p>
        </w:tc>
      </w:tr>
    </w:tbl>
    <w:p/>
    <w:p/>
    <w:p/>
    <w:p>
      <w:pPr>
        <w:rPr>
          <w:vanish/>
          <w:sz w:val="24"/>
          <w:szCs w:val="24"/>
        </w:rPr>
      </w:pPr>
    </w:p>
    <w:tbl>
      <w:tblPr>
        <w:tblW w:w="87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919"/>
        <w:gridCol w:w="1118"/>
        <w:gridCol w:w="1381"/>
        <w:gridCol w:w="2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39"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11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1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编制单位：宁都县会同乡中心幼儿园</w:t>
            </w:r>
          </w:p>
        </w:tc>
        <w:tc>
          <w:tcPr>
            <w:tcW w:w="111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3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1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391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1118"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381"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2212"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3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22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9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13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22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8739"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8739" w:type="dxa"/>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w:t>
      </w:r>
    </w:p>
    <w:p>
      <w:pPr>
        <w:rPr>
          <w:rFonts w:hint="default" w:ascii="Calibri" w:hAnsi="Calibri" w:eastAsia="宋体" w:cs="Times New Roman"/>
          <w:kern w:val="2"/>
          <w:sz w:val="21"/>
          <w:szCs w:val="21"/>
        </w:rPr>
        <w:sectPr>
          <w:pgSz w:w="12242" w:h="15842"/>
          <w:pgMar w:top="1440" w:right="1800" w:bottom="1440" w:left="1800" w:header="851" w:footer="992" w:gutter="0"/>
          <w:cols w:space="425" w:num="1"/>
          <w:docGrid w:type="lines" w:linePitch="312" w:charSpace="0"/>
        </w:sectPr>
      </w:pPr>
    </w:p>
    <w:tbl>
      <w:tblPr>
        <w:tblW w:w="852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1"/>
        <w:gridCol w:w="436"/>
        <w:gridCol w:w="436"/>
        <w:gridCol w:w="1087"/>
        <w:gridCol w:w="436"/>
        <w:gridCol w:w="1087"/>
        <w:gridCol w:w="652"/>
        <w:gridCol w:w="1087"/>
        <w:gridCol w:w="1087"/>
        <w:gridCol w:w="1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8522"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right"/>
        </w:trPr>
        <w:tc>
          <w:tcPr>
            <w:tcW w:w="61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0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3006" w:type="dxa"/>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1739"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0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right"/>
        </w:trPr>
        <w:tc>
          <w:tcPr>
            <w:tcW w:w="2570"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43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1087"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2826" w:type="dxa"/>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1603"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08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3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8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5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108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08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160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0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8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5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0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0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8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5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0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right"/>
        </w:trPr>
        <w:tc>
          <w:tcPr>
            <w:tcW w:w="611"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0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6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0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0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6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611"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48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48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right"/>
        </w:trPr>
        <w:tc>
          <w:tcPr>
            <w:tcW w:w="8522"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right"/>
        </w:trPr>
        <w:tc>
          <w:tcPr>
            <w:tcW w:w="8522"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61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0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w:t>
      </w:r>
    </w:p>
    <w:tbl>
      <w:tblPr>
        <w:tblW w:w="9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436"/>
        <w:gridCol w:w="436"/>
        <w:gridCol w:w="1096"/>
        <w:gridCol w:w="1443"/>
        <w:gridCol w:w="703"/>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225"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8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84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69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6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9225"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w:t>
      </w:r>
    </w:p>
    <w:tbl>
      <w:tblPr>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right="0"/>
        <w:jc w:val="left"/>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 </w:t>
      </w:r>
    </w:p>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6"/>
        <w:gridCol w:w="932"/>
        <w:gridCol w:w="641"/>
        <w:gridCol w:w="959"/>
        <w:gridCol w:w="935"/>
        <w:gridCol w:w="470"/>
        <w:gridCol w:w="1140"/>
        <w:gridCol w:w="1089"/>
        <w:gridCol w:w="162"/>
        <w:gridCol w:w="460"/>
        <w:gridCol w:w="178"/>
        <w:gridCol w:w="384"/>
        <w:gridCol w:w="294"/>
        <w:gridCol w:w="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5000" w:type="pct"/>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000" w:type="pct"/>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4179" w:type="pct"/>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2377" w:type="pct"/>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747"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1053" w:type="pct"/>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宁都县会同乡公立幼儿园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jc w:val="center"/>
        </w:trPr>
        <w:tc>
          <w:tcPr>
            <w:tcW w:w="819" w:type="pct"/>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915"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92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747"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36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428"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25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19" w:type="pct"/>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15"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5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11.43</w:t>
            </w:r>
          </w:p>
        </w:tc>
        <w:tc>
          <w:tcPr>
            <w:tcW w:w="92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11.43</w:t>
            </w:r>
          </w:p>
        </w:tc>
        <w:tc>
          <w:tcPr>
            <w:tcW w:w="747"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11.43</w:t>
            </w:r>
          </w:p>
        </w:tc>
        <w:tc>
          <w:tcPr>
            <w:tcW w:w="36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428"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25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19" w:type="pct"/>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15"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5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 11.43</w:t>
            </w:r>
          </w:p>
        </w:tc>
        <w:tc>
          <w:tcPr>
            <w:tcW w:w="92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11.43 </w:t>
            </w:r>
          </w:p>
        </w:tc>
        <w:tc>
          <w:tcPr>
            <w:tcW w:w="747"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11.43 </w:t>
            </w:r>
          </w:p>
        </w:tc>
        <w:tc>
          <w:tcPr>
            <w:tcW w:w="36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428"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25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19" w:type="pct"/>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15"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5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92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47"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36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428"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25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19" w:type="pct"/>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15"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5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92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47"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369"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428"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25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289"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2909" w:type="pct"/>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1801" w:type="pct"/>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909" w:type="pct"/>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1801" w:type="pct"/>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289"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531"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356"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1366" w:type="pct"/>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653"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653"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361" w:type="pct"/>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342" w:type="pct"/>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443" w:type="pct"/>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56"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66" w:type="pct"/>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653"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653"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61" w:type="pct"/>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42" w:type="pct"/>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43" w:type="pct"/>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356" w:type="pct"/>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65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65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36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34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56" w:type="pct"/>
            <w:vMerge w:val="continue"/>
            <w:tcBorders>
              <w:top w:val="nil"/>
              <w:left w:val="nil"/>
              <w:bottom w:val="nil"/>
              <w:right w:val="single" w:color="000000" w:sz="4" w:space="0"/>
            </w:tcBorders>
            <w:shd w:val="clear"/>
            <w:vAlign w:val="center"/>
          </w:tcPr>
          <w:p>
            <w:pPr>
              <w:rPr>
                <w:rFonts w:hint="eastAsia" w:ascii="宋体"/>
                <w:sz w:val="24"/>
                <w:szCs w:val="24"/>
              </w:rPr>
            </w:pP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65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65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36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34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56" w:type="pct"/>
            <w:vMerge w:val="continue"/>
            <w:tcBorders>
              <w:top w:val="nil"/>
              <w:left w:val="nil"/>
              <w:bottom w:val="nil"/>
              <w:right w:val="single" w:color="000000" w:sz="4" w:space="0"/>
            </w:tcBorders>
            <w:shd w:val="clear"/>
            <w:vAlign w:val="center"/>
          </w:tcPr>
          <w:p>
            <w:pPr>
              <w:rPr>
                <w:rFonts w:hint="eastAsia" w:ascii="宋体"/>
                <w:sz w:val="24"/>
                <w:szCs w:val="24"/>
              </w:rPr>
            </w:pP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65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65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36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34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5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361" w:type="pct"/>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342" w:type="pct"/>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56"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36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34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56"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36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34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356"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361" w:type="pct"/>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342" w:type="pct"/>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56"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361" w:type="pct"/>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342" w:type="pct"/>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356"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65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361" w:type="pct"/>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34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89"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31"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56"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6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653" w:type="pc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65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361" w:type="pct"/>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34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3851"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36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34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443"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5000" w:type="pct"/>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jc w:val="center"/>
        </w:trPr>
        <w:tc>
          <w:tcPr>
            <w:tcW w:w="5000" w:type="pct"/>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5000" w:type="pct"/>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4315" w:type="pct"/>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240" w:type="pct"/>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187" w:type="pct"/>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w:t>
      </w:r>
    </w:p>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w:t>
      </w:r>
    </w:p>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w:t>
      </w:r>
    </w:p>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Times New Roman"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本单位2021年度收入总计99.25万元，较2020年增长32.49万元，增长48.67%，其中：年初结转和结余0万元，较2020年增长0万元，增长0%；本年收入合计99.25万元，较2020年增长32.49万元，增长48.67%，</w:t>
      </w:r>
      <w:r>
        <w:rPr>
          <w:rFonts w:hint="eastAsia" w:ascii="仿宋_GB2312" w:eastAsia="仿宋_GB2312" w:cs="仿宋_GB2312" w:hAnsiTheme="minorHAnsi"/>
          <w:color w:val="000000"/>
          <w:kern w:val="2"/>
          <w:sz w:val="30"/>
          <w:szCs w:val="30"/>
          <w:lang w:val="en-US" w:eastAsia="zh-CN" w:bidi="ar"/>
        </w:rPr>
        <w:t>主要原因是：教职工和学生数增加。</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本年收入的具体构成为：财政拨款收入77.21万元，占77.8%；事业收入22.05万元，占22.2%；经营收入0万元，占0%；其他收入0万元，占0%。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本单位2021年度支出总计99.25万元，其中本年支出合计99.25万元，较2020年增长32.49，增长48.67%，</w:t>
      </w:r>
      <w:r>
        <w:rPr>
          <w:rFonts w:hint="eastAsia" w:ascii="仿宋_GB2312" w:eastAsia="仿宋_GB2312" w:cs="仿宋_GB2312" w:hAnsiTheme="minorHAnsi"/>
          <w:color w:val="000000"/>
          <w:kern w:val="2"/>
          <w:sz w:val="30"/>
          <w:szCs w:val="30"/>
          <w:lang w:val="en-US" w:eastAsia="zh-CN" w:bidi="ar"/>
        </w:rPr>
        <w:t>主要原因是：教职和工学生数增加；</w:t>
      </w:r>
      <w:r>
        <w:rPr>
          <w:rFonts w:hint="eastAsia" w:ascii="仿宋_GB2312" w:eastAsia="仿宋_GB2312" w:cs="仿宋_GB2312" w:hAnsiTheme="minorHAnsi"/>
          <w:kern w:val="2"/>
          <w:sz w:val="30"/>
          <w:szCs w:val="30"/>
          <w:lang w:val="en-US" w:eastAsia="zh-CN" w:bidi="ar"/>
        </w:rPr>
        <w:t>年末结转和结余0万元，较2020年增加0万元，增长0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本年支出的具体构成为：基本支出99.25万元，占100%；项目支出 0万元，占0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%；经营支出0万元，占0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本单位2021年度财政拨款本年支出年初预算数为25.26万元，决算数为77.21万元，完成年初预算的305%。其中：</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0"/>
          <w:sz w:val="30"/>
          <w:szCs w:val="30"/>
          <w:lang w:val="en-US" w:eastAsia="zh-CN" w:bidi="ar"/>
        </w:rPr>
        <w:t>教育</w:t>
      </w:r>
      <w:r>
        <w:rPr>
          <w:rFonts w:hint="eastAsia" w:ascii="仿宋_GB2312" w:eastAsia="仿宋_GB2312" w:cs="仿宋_GB2312" w:hAnsiTheme="minorHAnsi"/>
          <w:kern w:val="2"/>
          <w:sz w:val="30"/>
          <w:szCs w:val="30"/>
          <w:lang w:val="en-US" w:eastAsia="zh-CN" w:bidi="ar"/>
        </w:rPr>
        <w:t>支出年初预算数为25.26万元，决算数为77.21万元，完成年初预算的305%，</w:t>
      </w:r>
      <w:r>
        <w:rPr>
          <w:rFonts w:hint="eastAsia" w:ascii="仿宋_GB2312" w:eastAsia="仿宋_GB2312" w:cs="仿宋_GB2312" w:hAnsiTheme="minorHAnsi"/>
          <w:color w:val="000000"/>
          <w:kern w:val="2"/>
          <w:sz w:val="30"/>
          <w:szCs w:val="30"/>
          <w:lang w:val="en-US" w:eastAsia="zh-CN" w:bidi="ar"/>
        </w:rPr>
        <w:t>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本单位2021年度一般公共预算财政拨款基本支出77.21万元，其中：</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（一）工资福利支出65.78万元，较2020年增长16.28</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万元，增长32.89%，</w:t>
      </w:r>
      <w:r>
        <w:rPr>
          <w:rFonts w:hint="eastAsia" w:ascii="仿宋_GB2312" w:eastAsia="仿宋_GB2312" w:cs="仿宋_GB2312" w:hAnsiTheme="minorHAnsi"/>
          <w:color w:val="000000"/>
          <w:kern w:val="2"/>
          <w:sz w:val="30"/>
          <w:szCs w:val="30"/>
          <w:lang w:val="en-US" w:eastAsia="zh-CN" w:bidi="ar"/>
        </w:rPr>
        <w:t>主要原因是：学校人员增加导致工资福利增加</w:t>
      </w:r>
      <w:r>
        <w:rPr>
          <w:rFonts w:hint="eastAsia"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（二）商品和服务支出11.42万元，较2020年增长3.32</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万元，增长40.99</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w:t>
      </w:r>
      <w:r>
        <w:rPr>
          <w:rFonts w:hint="eastAsia" w:ascii="仿宋_GB2312" w:eastAsia="仿宋_GB2312" w:cs="仿宋_GB2312" w:hAnsiTheme="minorHAnsi"/>
          <w:color w:val="000000"/>
          <w:kern w:val="2"/>
          <w:sz w:val="30"/>
          <w:szCs w:val="30"/>
          <w:lang w:val="en-US" w:eastAsia="zh-CN" w:bidi="ar"/>
        </w:rPr>
        <w:t>主要原因是：学校人员增加导致商品和服务支出增加</w:t>
      </w:r>
      <w:r>
        <w:rPr>
          <w:rFonts w:hint="eastAsia"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（三）对个人和家庭补助支出0万元，较2020年减少0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万元，下降0%。</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（四）资本性支出0万元，较2020年增加（减少）0万元，增长（下降）0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w:t>
      </w:r>
      <w:r>
        <w:rPr>
          <w:rFonts w:hint="eastAsia"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本单位2021年度一般公共预算财政拨款“三公”经费支出年初预算数为0元，决算数为0万元，完成预算的0%，决算数较2020年减少0万元，下降0%，其中：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（一）因公出国（境）支出年初预算数为0万元，决算数为</w:t>
      </w:r>
      <w:r>
        <w:rPr>
          <w:rFonts w:hint="eastAsia" w:ascii="仿宋_GB2312" w:eastAsia="仿宋_GB2312" w:cs="Times New Roman" w:hAnsiTheme="minorHAnsi"/>
          <w:kern w:val="2"/>
          <w:sz w:val="30"/>
          <w:szCs w:val="30"/>
          <w:lang w:val="en-US" w:eastAsia="zh-CN" w:bidi="ar"/>
        </w:rPr>
        <w:t xml:space="preserve">  </w:t>
      </w:r>
      <w:r>
        <w:rPr>
          <w:rFonts w:hint="eastAsia" w:ascii="仿宋_GB2312" w:eastAsia="仿宋_GB2312" w:cs="仿宋_GB2312" w:hAnsiTheme="minorHAnsi"/>
          <w:kern w:val="2"/>
          <w:sz w:val="30"/>
          <w:szCs w:val="30"/>
          <w:lang w:val="en-US" w:eastAsia="zh-CN" w:bidi="ar"/>
        </w:rPr>
        <w:t>0万元，完成预算的0%，决算数较2020年增加（减少）0万元，增长（下降）0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（二）公务接待费支出年初预算数为0万元，决算数为</w:t>
      </w:r>
      <w:r>
        <w:rPr>
          <w:rFonts w:hint="eastAsia" w:ascii="仿宋_GB2312" w:eastAsia="仿宋_GB2312" w:cs="Times New Roman" w:hAnsiTheme="minorHAnsi"/>
          <w:kern w:val="2"/>
          <w:sz w:val="30"/>
          <w:szCs w:val="30"/>
          <w:lang w:val="en-US" w:eastAsia="zh-CN" w:bidi="ar"/>
        </w:rPr>
        <w:t xml:space="preserve"> </w:t>
      </w:r>
      <w:r>
        <w:rPr>
          <w:rFonts w:hint="eastAsia" w:ascii="仿宋_GB2312" w:eastAsia="仿宋_GB2312" w:cs="仿宋_GB2312" w:hAnsiTheme="minorHAnsi"/>
          <w:kern w:val="2"/>
          <w:sz w:val="30"/>
          <w:szCs w:val="30"/>
          <w:lang w:val="en-US" w:eastAsia="zh-CN" w:bidi="ar"/>
        </w:rPr>
        <w:t>0万元，完成预算的0%，决算数较2020年增加（减少）0万元，增长（下降）0%，主要原因是认真执行八项规定，节约三公经费开支。</w:t>
      </w:r>
      <w:r>
        <w:rPr>
          <w:rFonts w:hint="eastAsia" w:ascii="仿宋_GB2312" w:eastAsia="仿宋_GB2312" w:cs="仿宋_GB2312" w:hAnsiTheme="minorHAnsi"/>
          <w:color w:val="000000"/>
          <w:kern w:val="2"/>
          <w:sz w:val="30"/>
          <w:szCs w:val="30"/>
          <w:lang w:val="en-US" w:eastAsia="zh-CN" w:bidi="ar"/>
        </w:rPr>
        <w:t>全年国内公务接待0批，累计接待0人次。</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（三）公务用车购置及运行维护费支出</w:t>
      </w:r>
      <w:r>
        <w:rPr>
          <w:rFonts w:hint="eastAsia" w:ascii="仿宋_GB2312" w:eastAsia="仿宋_GB2312" w:cs="Times New Roman" w:hAnsiTheme="minorHAnsi"/>
          <w:kern w:val="2"/>
          <w:sz w:val="30"/>
          <w:szCs w:val="30"/>
          <w:lang w:val="en-US" w:eastAsia="zh-CN" w:bidi="ar"/>
        </w:rPr>
        <w:t xml:space="preserve"> </w:t>
      </w:r>
      <w:r>
        <w:rPr>
          <w:rFonts w:hint="eastAsia" w:ascii="仿宋_GB2312" w:eastAsia="仿宋_GB2312" w:cs="仿宋_GB2312" w:hAnsiTheme="minorHAnsi"/>
          <w:kern w:val="2"/>
          <w:sz w:val="30"/>
          <w:szCs w:val="30"/>
          <w:lang w:val="en-US" w:eastAsia="zh-CN" w:bidi="ar"/>
        </w:rPr>
        <w:t>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万元，其中公务用车购置年初预算数为0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万元，决算数为</w:t>
      </w:r>
      <w:r>
        <w:rPr>
          <w:rFonts w:hint="eastAsia" w:ascii="仿宋_GB2312" w:eastAsia="仿宋_GB2312" w:cs="Times New Roman" w:hAnsiTheme="minorHAnsi"/>
          <w:kern w:val="2"/>
          <w:sz w:val="30"/>
          <w:szCs w:val="30"/>
          <w:lang w:val="en-US" w:eastAsia="zh-CN" w:bidi="ar"/>
        </w:rPr>
        <w:t xml:space="preserve">  </w:t>
      </w:r>
      <w:r>
        <w:rPr>
          <w:rFonts w:hint="eastAsia" w:ascii="仿宋_GB2312" w:eastAsia="仿宋_GB2312" w:cs="仿宋_GB2312" w:hAnsiTheme="minorHAnsi"/>
          <w:kern w:val="2"/>
          <w:sz w:val="30"/>
          <w:szCs w:val="30"/>
          <w:lang w:val="en-US" w:eastAsia="zh-CN" w:bidi="ar"/>
        </w:rPr>
        <w:t>0万元，完成预算的</w:t>
      </w:r>
      <w:r>
        <w:rPr>
          <w:rFonts w:hint="eastAsia" w:ascii="仿宋_GB2312" w:eastAsia="仿宋_GB2312" w:cs="Times New Roman" w:hAnsiTheme="minorHAnsi"/>
          <w:kern w:val="2"/>
          <w:sz w:val="30"/>
          <w:szCs w:val="30"/>
          <w:lang w:val="en-US" w:eastAsia="zh-CN" w:bidi="ar"/>
        </w:rPr>
        <w:t xml:space="preserve"> </w:t>
      </w:r>
      <w:r>
        <w:rPr>
          <w:rFonts w:hint="eastAsia" w:ascii="仿宋_GB2312" w:eastAsia="仿宋_GB2312" w:cs="仿宋_GB2312" w:hAnsiTheme="minorHAnsi"/>
          <w:kern w:val="2"/>
          <w:sz w:val="30"/>
          <w:szCs w:val="30"/>
          <w:lang w:val="en-US" w:eastAsia="zh-CN" w:bidi="ar"/>
        </w:rPr>
        <w:t>0%，决算数较2020年增加（减少）</w:t>
      </w:r>
      <w:r>
        <w:rPr>
          <w:rFonts w:hint="eastAsia" w:ascii="仿宋_GB2312" w:eastAsia="仿宋_GB2312" w:cs="Times New Roman" w:hAnsiTheme="minorHAnsi"/>
          <w:kern w:val="2"/>
          <w:sz w:val="30"/>
          <w:szCs w:val="30"/>
          <w:lang w:val="en-US" w:eastAsia="zh-CN" w:bidi="ar"/>
        </w:rPr>
        <w:t xml:space="preserve"> </w:t>
      </w:r>
      <w:r>
        <w:rPr>
          <w:rFonts w:hint="eastAsia" w:ascii="仿宋_GB2312" w:eastAsia="仿宋_GB2312" w:cs="仿宋_GB2312" w:hAnsiTheme="minorHAnsi"/>
          <w:kern w:val="2"/>
          <w:sz w:val="30"/>
          <w:szCs w:val="30"/>
          <w:lang w:val="en-US" w:eastAsia="zh-CN" w:bidi="ar"/>
        </w:rPr>
        <w:t>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万元，增长（下降）0</w:t>
      </w:r>
      <w:r>
        <w:rPr>
          <w:rFonts w:hint="eastAsia" w:ascii="仿宋_GB2312" w:eastAsia="仿宋_GB2312" w:cs="Times New Roman" w:hAnsiTheme="minorHAnsi"/>
          <w:kern w:val="2"/>
          <w:sz w:val="30"/>
          <w:szCs w:val="30"/>
          <w:lang w:val="en-US" w:eastAsia="zh-CN" w:bidi="ar"/>
        </w:rPr>
        <w:t>  </w:t>
      </w:r>
      <w:r>
        <w:rPr>
          <w:rFonts w:hint="eastAsia" w:ascii="仿宋_GB2312" w:eastAsia="仿宋_GB2312" w:cs="仿宋_GB2312" w:hAnsiTheme="minorHAnsi"/>
          <w:kern w:val="2"/>
          <w:sz w:val="30"/>
          <w:szCs w:val="30"/>
          <w:lang w:val="en-US" w:eastAsia="zh-CN" w:bidi="ar"/>
        </w:rPr>
        <w:t>%，主要原因是无公务用车。</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b w:val="0"/>
          <w:bCs w:val="0"/>
          <w:kern w:val="2"/>
          <w:sz w:val="30"/>
          <w:szCs w:val="30"/>
          <w:lang w:val="en-US" w:eastAsia="zh-CN" w:bidi="ar"/>
        </w:rPr>
        <w:t>本单位不是行政单位或参照公务员法管理事业单位，故无机关运行经费支出。</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Times New Roman"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本单位2021年度政府采购支出总额</w:t>
      </w:r>
      <w:r>
        <w:rPr>
          <w:rFonts w:hint="eastAsia" w:ascii="仿宋_GB2312" w:eastAsia="仿宋_GB2312" w:cs="Times New Roman"/>
          <w:kern w:val="0"/>
          <w:sz w:val="30"/>
          <w:szCs w:val="30"/>
        </w:rPr>
        <w:t xml:space="preserve"> </w:t>
      </w:r>
      <w:r>
        <w:rPr>
          <w:rFonts w:hint="eastAsia" w:ascii="仿宋_GB2312" w:eastAsia="仿宋_GB2312" w:cs="仿宋_GB2312"/>
          <w:kern w:val="0"/>
          <w:sz w:val="30"/>
          <w:szCs w:val="30"/>
        </w:rPr>
        <w:t>0</w:t>
      </w:r>
      <w:r>
        <w:rPr>
          <w:rFonts w:hint="eastAsia" w:ascii="仿宋_GB2312" w:eastAsia="仿宋_GB2312" w:cs="Times New Roman"/>
          <w:kern w:val="0"/>
          <w:sz w:val="30"/>
          <w:szCs w:val="30"/>
        </w:rPr>
        <w:t> </w:t>
      </w:r>
      <w:r>
        <w:rPr>
          <w:rFonts w:hint="eastAsia" w:ascii="仿宋_GB2312" w:eastAsia="仿宋_GB2312" w:cs="仿宋_GB2312"/>
          <w:kern w:val="0"/>
          <w:sz w:val="30"/>
          <w:szCs w:val="30"/>
        </w:rPr>
        <w:t>万元，其中：政府采购货物支出</w:t>
      </w:r>
      <w:r>
        <w:rPr>
          <w:rFonts w:hint="eastAsia" w:ascii="仿宋_GB2312" w:eastAsia="仿宋_GB2312" w:cs="Times New Roman"/>
          <w:kern w:val="0"/>
          <w:sz w:val="30"/>
          <w:szCs w:val="30"/>
        </w:rPr>
        <w:t xml:space="preserve"> </w:t>
      </w:r>
      <w:r>
        <w:rPr>
          <w:rFonts w:hint="eastAsia" w:ascii="仿宋_GB2312" w:eastAsia="仿宋_GB2312" w:cs="仿宋_GB2312"/>
          <w:kern w:val="0"/>
          <w:sz w:val="30"/>
          <w:szCs w:val="30"/>
        </w:rPr>
        <w:t>0</w:t>
      </w:r>
      <w:r>
        <w:rPr>
          <w:rFonts w:hint="eastAsia" w:ascii="仿宋_GB2312" w:eastAsia="仿宋_GB2312" w:cs="Times New Roman"/>
          <w:kern w:val="0"/>
          <w:sz w:val="30"/>
          <w:szCs w:val="30"/>
        </w:rPr>
        <w:t> </w:t>
      </w:r>
      <w:r>
        <w:rPr>
          <w:rFonts w:hint="eastAsia" w:ascii="仿宋_GB2312" w:eastAsia="仿宋_GB2312" w:cs="仿宋_GB2312"/>
          <w:kern w:val="0"/>
          <w:sz w:val="30"/>
          <w:szCs w:val="30"/>
        </w:rPr>
        <w:t>万元、政府采购工程支出0</w:t>
      </w:r>
      <w:r>
        <w:rPr>
          <w:rFonts w:hint="eastAsia" w:ascii="仿宋_GB2312" w:eastAsia="仿宋_GB2312" w:cs="Times New Roman"/>
          <w:kern w:val="0"/>
          <w:sz w:val="30"/>
          <w:szCs w:val="30"/>
        </w:rPr>
        <w:t>  </w:t>
      </w:r>
      <w:r>
        <w:rPr>
          <w:rFonts w:hint="eastAsia" w:ascii="仿宋_GB2312" w:eastAsia="仿宋_GB2312" w:cs="仿宋_GB2312"/>
          <w:kern w:val="0"/>
          <w:sz w:val="30"/>
          <w:szCs w:val="30"/>
        </w:rPr>
        <w:t>万元、政府采购服务支出</w:t>
      </w:r>
      <w:r>
        <w:rPr>
          <w:rFonts w:hint="eastAsia" w:ascii="仿宋_GB2312" w:eastAsia="仿宋_GB2312" w:cs="Times New Roman"/>
          <w:kern w:val="0"/>
          <w:sz w:val="30"/>
          <w:szCs w:val="30"/>
        </w:rPr>
        <w:t xml:space="preserve"> </w:t>
      </w:r>
      <w:r>
        <w:rPr>
          <w:rFonts w:hint="eastAsia" w:ascii="仿宋_GB2312" w:eastAsia="仿宋_GB2312" w:cs="仿宋_GB2312"/>
          <w:kern w:val="0"/>
          <w:sz w:val="30"/>
          <w:szCs w:val="30"/>
        </w:rPr>
        <w:t>0</w:t>
      </w:r>
      <w:r>
        <w:rPr>
          <w:rFonts w:hint="eastAsia" w:ascii="仿宋_GB2312" w:eastAsia="仿宋_GB2312" w:cs="Times New Roman"/>
          <w:kern w:val="0"/>
          <w:sz w:val="30"/>
          <w:szCs w:val="30"/>
        </w:rPr>
        <w:t> </w:t>
      </w:r>
      <w:r>
        <w:rPr>
          <w:rFonts w:hint="eastAsia" w:ascii="仿宋_GB2312" w:eastAsia="仿宋_GB2312" w:cs="仿宋_GB2312"/>
          <w:kern w:val="0"/>
          <w:sz w:val="30"/>
          <w:szCs w:val="30"/>
        </w:rPr>
        <w:t>万元。授予中小企业合同金额0</w:t>
      </w:r>
      <w:r>
        <w:rPr>
          <w:rFonts w:hint="eastAsia" w:ascii="仿宋_GB2312" w:eastAsia="仿宋_GB2312" w:cs="Times New Roman"/>
          <w:kern w:val="0"/>
          <w:sz w:val="30"/>
          <w:szCs w:val="30"/>
        </w:rPr>
        <w:t>  </w:t>
      </w:r>
      <w:r>
        <w:rPr>
          <w:rFonts w:hint="eastAsia" w:ascii="仿宋_GB2312" w:eastAsia="仿宋_GB2312" w:cs="仿宋_GB2312"/>
          <w:kern w:val="0"/>
          <w:sz w:val="30"/>
          <w:szCs w:val="30"/>
        </w:rPr>
        <w:t>万元，占政府采购支出总额的0</w:t>
      </w:r>
      <w:r>
        <w:rPr>
          <w:rFonts w:hint="eastAsia" w:ascii="仿宋_GB2312" w:eastAsia="仿宋_GB2312" w:cs="Times New Roman"/>
          <w:kern w:val="0"/>
          <w:sz w:val="30"/>
          <w:szCs w:val="30"/>
        </w:rPr>
        <w:t>  </w:t>
      </w:r>
      <w:r>
        <w:rPr>
          <w:rFonts w:hint="eastAsia" w:ascii="仿宋_GB2312" w:eastAsia="仿宋_GB2312" w:cs="仿宋_GB2312"/>
          <w:kern w:val="0"/>
          <w:sz w:val="30"/>
          <w:szCs w:val="30"/>
        </w:rPr>
        <w:t>%，其中：授予小微企业合同金额0</w:t>
      </w:r>
      <w:r>
        <w:rPr>
          <w:rFonts w:hint="eastAsia" w:ascii="仿宋_GB2312" w:eastAsia="仿宋_GB2312" w:cs="Times New Roman"/>
          <w:kern w:val="0"/>
          <w:sz w:val="30"/>
          <w:szCs w:val="30"/>
        </w:rPr>
        <w:t>  </w:t>
      </w:r>
      <w:r>
        <w:rPr>
          <w:rFonts w:hint="eastAsia" w:ascii="仿宋_GB2312" w:eastAsia="仿宋_GB2312" w:cs="仿宋_GB2312"/>
          <w:kern w:val="0"/>
          <w:sz w:val="30"/>
          <w:szCs w:val="30"/>
        </w:rPr>
        <w:t>万元，占政府采购支出总额的0</w:t>
      </w:r>
      <w:r>
        <w:rPr>
          <w:rFonts w:hint="eastAsia" w:ascii="仿宋_GB2312" w:eastAsia="仿宋_GB2312" w:cs="Times New Roman"/>
          <w:kern w:val="0"/>
          <w:sz w:val="30"/>
          <w:szCs w:val="30"/>
        </w:rPr>
        <w:t>  </w:t>
      </w:r>
      <w:r>
        <w:rPr>
          <w:rFonts w:hint="eastAsia" w:ascii="仿宋_GB2312" w:eastAsia="仿宋_GB2312" w:cs="仿宋_GB2312"/>
          <w:kern w:val="0"/>
          <w:sz w:val="30"/>
          <w:szCs w:val="30"/>
        </w:rPr>
        <w:t>%；货物采购授予中小企业合同金额占货物支出金额的0    %，工程采购授予中小企业合同金额占工程支出金额的 0   %，服务采购授予中小企业合同金额占服务支出金额的    0 %。</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630" w:leftChars="0" w:right="0" w:right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（二）单位决算中项目绩效自评情况。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keepNext w:val="0"/>
        <w:keepLines w:val="0"/>
        <w:widowControl/>
        <w:suppressLineNumbers w:val="0"/>
        <w:autoSpaceDE w:val="0"/>
        <w:autoSpaceDN w:val="0"/>
        <w:adjustRightInd w:val="0"/>
        <w:spacing w:before="0" w:beforeAutospacing="1" w:after="0" w:afterAutospacing="1" w:line="23" w:lineRule="atLeast"/>
        <w:ind w:left="0" w:right="0" w:firstLine="640" w:firstLineChars="200"/>
        <w:jc w:val="left"/>
      </w:pPr>
      <w:r>
        <w:rPr>
          <w:rFonts w:hint="eastAsia" w:ascii="仿宋" w:hAnsi="仿宋" w:eastAsia="仿宋" w:cs="仿宋"/>
          <w:i w:val="0"/>
          <w:iCs w:val="0"/>
          <w:caps w:val="0"/>
          <w:color w:val="000000"/>
          <w:spacing w:val="0"/>
          <w:kern w:val="2"/>
          <w:sz w:val="32"/>
          <w:szCs w:val="32"/>
          <w:shd w:val="clear" w:fill="FFFFFF"/>
          <w:lang w:val="en-US" w:eastAsia="zh-CN" w:bidi="ar"/>
        </w:rPr>
        <w:t>学校生均公用经费绩效自评综述：根据年初设定的绩效目标，学校生均公用经费绩效自评得分为100分。项目全年预算为11.43万元，执行数为11.43万元，完成预算的100%。主要产出和效果：保障了学校的正常运行，提高了学校的教育教学质量，学校、家长和学生的满意度为96%。</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rPr>
          <w:rFonts w:hint="eastAsia" w:ascii="方正小标宋简体" w:hAnsi="方正小标宋简体" w:eastAsia="方正小标宋简体" w:cs="方正小标宋简体"/>
          <w:b w:val="0"/>
          <w:bCs w:val="0"/>
          <w:kern w:val="0"/>
          <w:sz w:val="44"/>
          <w:szCs w:val="44"/>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rPr>
          <w:rFonts w:hint="eastAsia" w:ascii="方正小标宋简体" w:hAnsi="方正小标宋简体" w:eastAsia="方正小标宋简体" w:cs="方正小标宋简体"/>
          <w:b w:val="0"/>
          <w:bCs w:val="0"/>
          <w:kern w:val="0"/>
          <w:sz w:val="44"/>
          <w:szCs w:val="44"/>
          <w:lang w:val="en-US" w:eastAsia="zh-CN" w:bidi="ar"/>
        </w:rPr>
      </w:pPr>
      <w:bookmarkStart w:id="0" w:name="_GoBack"/>
      <w:bookmarkEnd w:id="0"/>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Times New Roman"/>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w:t>
      </w:r>
      <w:r>
        <w:rPr>
          <w:rFonts w:hint="eastAsia" w:ascii="仿宋" w:hAnsi="仿宋" w:eastAsia="仿宋" w:cs="Times New Roman"/>
          <w:kern w:val="0"/>
          <w:sz w:val="30"/>
          <w:szCs w:val="30"/>
          <w:lang w:val="en-US" w:eastAsia="zh-CN" w:bidi="ar"/>
        </w:rPr>
        <w:t xml:space="preserve"> </w:t>
      </w:r>
      <w:r>
        <w:rPr>
          <w:rFonts w:hint="eastAsia" w:ascii="仿宋" w:hAnsi="仿宋" w:eastAsia="仿宋" w:cs="仿宋"/>
          <w:kern w:val="0"/>
          <w:sz w:val="30"/>
          <w:szCs w:val="30"/>
          <w:lang w:val="en-US" w:eastAsia="zh-CN" w:bidi="ar"/>
        </w:rPr>
        <w:t>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w:t>
      </w:r>
      <w:r>
        <w:rPr>
          <w:rFonts w:hint="eastAsia" w:ascii="仿宋" w:hAnsi="仿宋" w:eastAsia="仿宋" w:cs="Times New Roman"/>
          <w:kern w:val="0"/>
          <w:sz w:val="30"/>
          <w:szCs w:val="30"/>
          <w:lang w:val="en-US" w:eastAsia="zh-CN" w:bidi="ar"/>
        </w:rPr>
        <w:t xml:space="preserve"> </w:t>
      </w:r>
      <w:r>
        <w:rPr>
          <w:rFonts w:hint="eastAsia" w:ascii="仿宋" w:hAnsi="仿宋" w:eastAsia="仿宋" w:cs="仿宋"/>
          <w:kern w:val="0"/>
          <w:sz w:val="30"/>
          <w:szCs w:val="30"/>
          <w:lang w:val="en-US" w:eastAsia="zh-CN" w:bidi="ar"/>
        </w:rPr>
        <w:t>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十一、</w:t>
      </w:r>
      <w:r>
        <w:rPr>
          <w:rFonts w:hint="eastAsia" w:ascii="仿宋" w:hAnsi="仿宋" w:eastAsia="仿宋" w:cs="Times New Roman"/>
          <w:kern w:val="0"/>
          <w:sz w:val="30"/>
          <w:szCs w:val="30"/>
          <w:lang w:val="en-US" w:eastAsia="zh-CN" w:bidi="ar"/>
        </w:rPr>
        <w:t xml:space="preserve"> </w:t>
      </w:r>
      <w:r>
        <w:rPr>
          <w:rFonts w:hint="eastAsia" w:ascii="仿宋" w:hAnsi="仿宋" w:eastAsia="仿宋" w:cs="仿宋"/>
          <w:kern w:val="0"/>
          <w:sz w:val="30"/>
          <w:szCs w:val="30"/>
          <w:lang w:val="en-US" w:eastAsia="zh-CN" w:bidi="ar"/>
        </w:rPr>
        <w:t>项目支出：指在基本支出之外为完成特定的行政任务或事业发展目标所发生的支出。</w:t>
      </w:r>
      <w:r>
        <w:rPr>
          <w:rFonts w:hint="eastAsia" w:ascii="仿宋" w:hAnsi="仿宋" w:eastAsia="仿宋" w:cs="Times New Roman"/>
          <w:kern w:val="0"/>
          <w:sz w:val="30"/>
          <w:szCs w:val="30"/>
          <w:lang w:val="en-US" w:eastAsia="zh-CN" w:bidi="ar"/>
        </w:rPr>
        <w:t xml:space="preserve">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hint="eastAsia" w:ascii="仿宋" w:hAnsi="仿宋" w:eastAsia="仿宋" w:cs="Times New Roman"/>
          <w:kern w:val="0"/>
          <w:sz w:val="30"/>
          <w:szCs w:val="30"/>
          <w:lang w:val="en-US" w:eastAsia="zh-CN" w:bidi="ar"/>
        </w:rPr>
        <w:t xml:space="preserve">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5F2B9F-E3D3-429D-9656-7E9E6635DF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2963E4D-BD1A-4E95-9688-5C0E3630C8D4}"/>
  </w:font>
  <w:font w:name="方正小标宋简体">
    <w:panose1 w:val="02000000000000000000"/>
    <w:charset w:val="86"/>
    <w:family w:val="auto"/>
    <w:pitch w:val="default"/>
    <w:sig w:usb0="00000001" w:usb1="08000000" w:usb2="00000000" w:usb3="00000000" w:csb0="00040000" w:csb1="00000000"/>
    <w:embedRegular r:id="rId3" w:fontKey="{8D4CF93C-3BA9-4670-9568-317098723CC1}"/>
  </w:font>
  <w:font w:name="仿宋_GB2312">
    <w:panose1 w:val="02010609030101010101"/>
    <w:charset w:val="86"/>
    <w:family w:val="auto"/>
    <w:pitch w:val="default"/>
    <w:sig w:usb0="00000001" w:usb1="080E0000" w:usb2="00000000" w:usb3="00000000" w:csb0="00040000" w:csb1="00000000"/>
    <w:embedRegular r:id="rId4" w:fontKey="{B826BC63-48AF-4057-8768-D89C17FD28E4}"/>
  </w:font>
  <w:font w:name="仿宋">
    <w:panose1 w:val="02010609060101010101"/>
    <w:charset w:val="86"/>
    <w:family w:val="auto"/>
    <w:pitch w:val="default"/>
    <w:sig w:usb0="800002BF" w:usb1="38CF7CFA" w:usb2="00000016" w:usb3="00000000" w:csb0="00040001" w:csb1="00000000"/>
    <w:embedRegular r:id="rId5" w:fontKey="{01D9746B-28D5-4F5B-A196-586FCDD59E8C}"/>
  </w:font>
  <w:font w:name="Arial">
    <w:panose1 w:val="020B0604020202020204"/>
    <w:charset w:val="00"/>
    <w:family w:val="auto"/>
    <w:pitch w:val="default"/>
    <w:sig w:usb0="E0002EFF" w:usb1="C000785B" w:usb2="00000009" w:usb3="00000000" w:csb0="400001FF" w:csb1="FFFF0000"/>
    <w:embedRegular r:id="rId6" w:fontKey="{949E9804-58BF-4642-BF76-E0D945FDCA4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2F924DBF"/>
    <w:rsid w:val="2F924DBF"/>
    <w:rsid w:val="3931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2023-10-07T15:29:00Z</dcterms:created>
  <dc:creator>才东东</dc:creator>
  <cp:lastModifiedBy>才东东</cp:lastModifiedBy>
  <dcterms:modified xsi:type="dcterms:W3CDTF">2023-10-07T15:41:19Z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333E056868834643A3B4C8745B08960F_11</vt:lpwstr>
  </property>
</Properties>
</file>