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hint="eastAsia" w:ascii="宋体" w:hAnsi="宋体" w:eastAsia="宋体" w:cs="宋体"/>
          <w:b/>
          <w:bCs/>
          <w:kern w:val="2"/>
          <w:sz w:val="44"/>
          <w:szCs w:val="44"/>
          <w:lang w:val="en-US" w:eastAsia="zh-CN" w:bidi="ar"/>
        </w:rPr>
        <w:t>宁都县东山坝中心小学2021年度单位</w:t>
      </w:r>
      <w:r>
        <w:rPr>
          <w:rFonts w:hint="eastAsia" w:ascii="宋体" w:hAnsi="宋体" w:eastAsia="宋体" w:cs="宋体"/>
          <w:b/>
          <w:bCs/>
          <w:kern w:val="0"/>
          <w:sz w:val="44"/>
          <w:szCs w:val="44"/>
          <w:lang w:val="en-US" w:eastAsia="zh-CN" w:bidi="ar"/>
        </w:rPr>
        <w:t>决算</w:t>
      </w:r>
    </w:p>
    <w:p>
      <w:pPr>
        <w:keepNext w:val="0"/>
        <w:keepLines w:val="0"/>
        <w:widowControl/>
        <w:suppressLineNumbers w:val="0"/>
        <w:spacing w:before="0" w:beforeAutospacing="1" w:after="0" w:afterAutospacing="1" w:line="600" w:lineRule="exact"/>
        <w:ind w:left="0" w:right="0"/>
        <w:jc w:val="left"/>
      </w:pPr>
      <w:r>
        <w:rPr>
          <w:rFonts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r>
        <w:rPr>
          <w:rFonts w:ascii="黑体" w:hAnsi="宋体" w:eastAsia="黑体" w:cs="黑体"/>
          <w:b/>
          <w:bCs w:val="0"/>
          <w:kern w:val="2"/>
          <w:sz w:val="32"/>
          <w:szCs w:val="32"/>
          <w:lang w:val="en-US" w:eastAsia="zh-CN" w:bidi="ar"/>
        </w:rPr>
        <w:t>第一部分</w:t>
      </w:r>
      <w:r>
        <w:rPr>
          <w:rFonts w:hint="eastAsia" w:ascii="黑体" w:hAnsi="宋体" w:eastAsia="黑体" w:cs="黑体"/>
          <w:b/>
          <w:bCs w:val="0"/>
          <w:kern w:val="2"/>
          <w:sz w:val="32"/>
          <w:szCs w:val="32"/>
          <w:lang w:val="en-US" w:eastAsia="zh-CN" w:bidi="ar"/>
        </w:rPr>
        <w:t xml:space="preserve"> 东山坝中心小学</w:t>
      </w:r>
      <w:r>
        <w:rPr>
          <w:rFonts w:hint="eastAsia" w:ascii="黑体" w:hAnsi="宋体" w:eastAsia="黑体" w:cs="黑体"/>
          <w:kern w:val="2"/>
          <w:sz w:val="32"/>
          <w:szCs w:val="32"/>
          <w:lang w:val="en-US" w:eastAsia="zh-CN" w:bidi="ar"/>
        </w:rPr>
        <w:t>单位</w:t>
      </w:r>
      <w:r>
        <w:rPr>
          <w:rFonts w:hint="eastAsia" w:ascii="黑体" w:hAnsi="宋体" w:eastAsia="黑体" w:cs="黑体"/>
          <w:b/>
          <w:bCs w:val="0"/>
          <w:kern w:val="2"/>
          <w:sz w:val="32"/>
          <w:szCs w:val="32"/>
          <w:lang w:val="en-US" w:eastAsia="zh-CN" w:bidi="ar"/>
        </w:rPr>
        <w:t>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一、单位主要职责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 2021年度单位决算表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right="0" w:firstLine="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    </w:t>
      </w:r>
      <w:r>
        <w:rPr>
          <w:rFonts w:hint="eastAsia" w:ascii="黑体" w:hAnsi="宋体" w:eastAsia="黑体" w:cs="黑体"/>
          <w:kern w:val="0"/>
          <w:sz w:val="32"/>
          <w:szCs w:val="32"/>
          <w:lang w:val="en-US" w:eastAsia="zh-CN" w:bidi="ar"/>
        </w:rPr>
        <w:t>第三部分  2021年度单位决算情况说明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w:t>
      </w: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ind w:left="0" w:right="0" w:firstLine="630"/>
        <w:jc w:val="center"/>
      </w:pPr>
      <w:r>
        <w:rPr>
          <w:rFonts w:hint="eastAsia" w:ascii="宋体" w:hAnsi="宋体" w:eastAsia="宋体" w:cs="宋体"/>
          <w:b/>
          <w:bCs w:val="0"/>
          <w:kern w:val="2"/>
          <w:sz w:val="36"/>
          <w:szCs w:val="36"/>
          <w:lang w:val="en-US" w:eastAsia="zh-CN" w:bidi="ar"/>
        </w:rPr>
        <w:t> </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一、单位主要职能</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1</w:t>
      </w:r>
      <w:r>
        <w:rPr>
          <w:rFonts w:hint="eastAsia" w:ascii="仿宋" w:hAnsi="仿宋" w:eastAsia="仿宋" w:cs="仿宋"/>
          <w:color w:val="000000"/>
          <w:spacing w:val="7"/>
          <w:kern w:val="0"/>
          <w:sz w:val="30"/>
          <w:szCs w:val="30"/>
          <w:shd w:val="clear" w:fill="FFFFFF"/>
        </w:rPr>
        <w:t>、负责贯彻党的教育方针，坚持社会主义办学方向，对学生进行德</w:t>
      </w:r>
      <w:r>
        <w:rPr>
          <w:rFonts w:hint="eastAsia" w:ascii="仿宋" w:hAnsi="仿宋" w:eastAsia="仿宋" w:cs="仿宋"/>
          <w:color w:val="000000"/>
          <w:spacing w:val="-9"/>
          <w:kern w:val="0"/>
          <w:sz w:val="30"/>
          <w:szCs w:val="30"/>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2</w:t>
      </w:r>
      <w:r>
        <w:rPr>
          <w:rFonts w:hint="eastAsia" w:ascii="仿宋" w:hAnsi="仿宋" w:eastAsia="仿宋" w:cs="仿宋"/>
          <w:color w:val="000000"/>
          <w:spacing w:val="7"/>
          <w:kern w:val="0"/>
          <w:sz w:val="30"/>
          <w:szCs w:val="30"/>
          <w:shd w:val="clear" w:fill="FFFFFF"/>
        </w:rPr>
        <w:t>、负责配合各级人民政府依法动员适龄儿童、少年入学，严格控制</w:t>
      </w:r>
      <w:r>
        <w:rPr>
          <w:rFonts w:hint="eastAsia" w:ascii="仿宋" w:hAnsi="仿宋" w:eastAsia="仿宋" w:cs="仿宋"/>
          <w:color w:val="000000"/>
          <w:spacing w:val="-11"/>
          <w:kern w:val="0"/>
          <w:sz w:val="30"/>
          <w:szCs w:val="30"/>
          <w:shd w:val="clear" w:fill="FFFFFF"/>
        </w:rPr>
        <w:t>学生辍学，依法保证适龄儿童、少年接受九年义务教育。</w:t>
      </w:r>
      <w:r>
        <w:rPr>
          <w:rFonts w:hint="eastAsia" w:ascii="仿宋" w:hAnsi="仿宋" w:eastAsia="仿宋" w:cs="仿宋"/>
          <w:color w:val="000000"/>
          <w:kern w:val="0"/>
          <w:sz w:val="30"/>
          <w:szCs w:val="30"/>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3</w:t>
      </w:r>
      <w:r>
        <w:rPr>
          <w:rFonts w:hint="eastAsia" w:ascii="仿宋" w:hAnsi="仿宋" w:eastAsia="仿宋" w:cs="仿宋"/>
          <w:color w:val="000000"/>
          <w:spacing w:val="-9"/>
          <w:kern w:val="0"/>
          <w:sz w:val="30"/>
          <w:szCs w:val="30"/>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 4</w:t>
      </w:r>
      <w:r>
        <w:rPr>
          <w:rFonts w:hint="eastAsia" w:ascii="仿宋" w:hAnsi="仿宋" w:eastAsia="仿宋" w:cs="仿宋"/>
          <w:color w:val="000000"/>
          <w:spacing w:val="7"/>
          <w:kern w:val="0"/>
          <w:sz w:val="30"/>
          <w:szCs w:val="30"/>
          <w:shd w:val="clear" w:fill="FFFFFF"/>
        </w:rPr>
        <w:t>、负责按照教育主管单位发布的指导性教学计划、教学大纲，组织</w:t>
      </w:r>
      <w:r>
        <w:rPr>
          <w:rFonts w:hint="eastAsia" w:ascii="仿宋" w:hAnsi="仿宋" w:eastAsia="仿宋" w:cs="仿宋"/>
          <w:color w:val="000000"/>
          <w:spacing w:val="-11"/>
          <w:kern w:val="0"/>
          <w:sz w:val="30"/>
          <w:szCs w:val="30"/>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5</w:t>
      </w:r>
      <w:r>
        <w:rPr>
          <w:rFonts w:hint="eastAsia" w:ascii="仿宋" w:hAnsi="仿宋" w:eastAsia="仿宋" w:cs="仿宋"/>
          <w:color w:val="000000"/>
          <w:spacing w:val="7"/>
          <w:kern w:val="0"/>
          <w:sz w:val="30"/>
          <w:szCs w:val="30"/>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 6</w:t>
      </w:r>
      <w:r>
        <w:rPr>
          <w:rFonts w:hint="eastAsia" w:ascii="仿宋" w:hAnsi="仿宋" w:eastAsia="仿宋" w:cs="仿宋"/>
          <w:color w:val="000000"/>
          <w:spacing w:val="-4"/>
          <w:kern w:val="0"/>
          <w:sz w:val="30"/>
          <w:szCs w:val="30"/>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 7</w:t>
      </w:r>
      <w:r>
        <w:rPr>
          <w:rFonts w:hint="eastAsia" w:ascii="仿宋" w:hAnsi="仿宋" w:eastAsia="仿宋" w:cs="仿宋"/>
          <w:color w:val="000000"/>
          <w:spacing w:val="-9"/>
          <w:kern w:val="0"/>
          <w:sz w:val="30"/>
          <w:szCs w:val="30"/>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 8</w:t>
      </w:r>
      <w:r>
        <w:rPr>
          <w:rFonts w:hint="eastAsia" w:ascii="仿宋" w:hAnsi="仿宋" w:eastAsia="仿宋" w:cs="仿宋"/>
          <w:color w:val="000000"/>
          <w:spacing w:val="7"/>
          <w:kern w:val="0"/>
          <w:sz w:val="30"/>
          <w:szCs w:val="30"/>
          <w:shd w:val="clear" w:fill="FFFFFF"/>
        </w:rPr>
        <w:t>、负责科学管理、合理使用学校的设施和经费，并积极筹措资金，</w:t>
      </w:r>
      <w:r>
        <w:rPr>
          <w:rFonts w:hint="eastAsia" w:ascii="仿宋" w:hAnsi="仿宋" w:eastAsia="仿宋" w:cs="仿宋"/>
          <w:color w:val="000000"/>
          <w:spacing w:val="-5"/>
          <w:kern w:val="0"/>
          <w:sz w:val="30"/>
          <w:szCs w:val="30"/>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600" w:firstLineChars="200"/>
      </w:pPr>
      <w:r>
        <w:rPr>
          <w:rFonts w:hint="eastAsia" w:ascii="仿宋" w:hAnsi="仿宋" w:eastAsia="仿宋" w:cs="仿宋"/>
          <w:color w:val="000000"/>
          <w:kern w:val="0"/>
          <w:sz w:val="30"/>
          <w:szCs w:val="30"/>
          <w:shd w:val="clear" w:fill="FFFFFF"/>
        </w:rPr>
        <w:t> 9</w:t>
      </w:r>
      <w:r>
        <w:rPr>
          <w:rFonts w:hint="eastAsia" w:ascii="仿宋" w:hAnsi="仿宋" w:eastAsia="仿宋" w:cs="仿宋"/>
          <w:color w:val="000000"/>
          <w:spacing w:val="7"/>
          <w:kern w:val="0"/>
          <w:sz w:val="30"/>
          <w:szCs w:val="30"/>
          <w:shd w:val="clear" w:fill="FFFFFF"/>
        </w:rPr>
        <w:t>、负责维护学校、师生的合法权益，有权拒绝任何组织和个人对教</w:t>
      </w:r>
      <w:r>
        <w:rPr>
          <w:rFonts w:hint="eastAsia" w:ascii="仿宋" w:hAnsi="仿宋" w:eastAsia="仿宋" w:cs="仿宋"/>
          <w:color w:val="000000"/>
          <w:spacing w:val="-8"/>
          <w:kern w:val="0"/>
          <w:sz w:val="30"/>
          <w:szCs w:val="30"/>
          <w:shd w:val="clear" w:fill="FFFFFF"/>
        </w:rPr>
        <w:t>育教学活动进行非法干涉。</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color w:val="000000"/>
          <w:kern w:val="2"/>
          <w:sz w:val="30"/>
          <w:szCs w:val="30"/>
          <w:lang w:val="en-US" w:eastAsia="zh-CN" w:bidi="ar"/>
        </w:rPr>
        <w:t> </w:t>
      </w:r>
      <w:r>
        <w:rPr>
          <w:rFonts w:hint="eastAsia" w:ascii="仿宋" w:hAnsi="仿宋" w:eastAsia="仿宋" w:cs="仿宋"/>
          <w:color w:val="000000"/>
          <w:spacing w:val="-9"/>
          <w:kern w:val="2"/>
          <w:sz w:val="30"/>
          <w:szCs w:val="30"/>
          <w:lang w:val="en-US" w:eastAsia="zh-CN" w:bidi="ar"/>
        </w:rPr>
        <w:t>10、依法接受各级教育行政单位的检查指导和人民群众的监督。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二、单位基本情况</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纳入本套单位决算汇编范围的单位共  1 个。</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本单位2021年年末实有人数 151 人，其中在职人员 65人，离休人员  0 人，退休人员  86 人（含由养老保险基金发放养老金的离退休人员）；年末其他人员 0 人；年末学生人数722   人。</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宋体" w:hAnsi="宋体" w:eastAsia="宋体" w:cs="宋体"/>
          <w:b/>
          <w:bCs w:val="0"/>
          <w:kern w:val="2"/>
          <w:sz w:val="32"/>
          <w:szCs w:val="32"/>
          <w:lang w:val="en-US" w:eastAsia="zh-CN" w:bidi="ar"/>
        </w:rPr>
        <w:t> </w:t>
      </w:r>
    </w:p>
    <w:p>
      <w:pPr>
        <w:keepNext w:val="0"/>
        <w:keepLines w:val="0"/>
        <w:widowControl/>
        <w:numPr>
          <w:ilvl w:val="0"/>
          <w:numId w:val="1"/>
        </w:numPr>
        <w:suppressLineNumbers w:val="0"/>
        <w:spacing w:before="0" w:beforeAutospacing="1" w:after="0" w:afterAutospacing="1" w:line="600" w:lineRule="exact"/>
        <w:ind w:left="0" w:right="0" w:firstLine="640"/>
        <w:jc w:val="center"/>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kern w:val="2"/>
          <w:sz w:val="44"/>
          <w:szCs w:val="44"/>
          <w:lang w:val="en-US" w:eastAsia="zh-CN" w:bidi="ar"/>
        </w:rPr>
        <w:t> 2021年度单位决算表</w:t>
      </w:r>
    </w:p>
    <w:p>
      <w:pPr>
        <w:keepNext w:val="0"/>
        <w:keepLines w:val="0"/>
        <w:widowControl/>
        <w:numPr>
          <w:numId w:val="0"/>
        </w:numPr>
        <w:suppressLineNumbers w:val="0"/>
        <w:spacing w:before="0" w:beforeAutospacing="1" w:after="0" w:afterAutospacing="1" w:line="600" w:lineRule="exact"/>
        <w:ind w:left="640" w:leftChars="0" w:right="0" w:rightChars="0"/>
        <w:jc w:val="both"/>
        <w:rPr>
          <w:rFonts w:hint="eastAsia" w:ascii="方正小标宋简体" w:hAnsi="方正小标宋简体" w:eastAsia="方正小标宋简体" w:cs="方正小标宋简体"/>
          <w:bCs/>
          <w:kern w:val="2"/>
          <w:sz w:val="44"/>
          <w:szCs w:val="44"/>
          <w:lang w:val="en-US" w:eastAsia="zh-CN" w:bidi="ar"/>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p>
    <w:p>
      <w:pPr>
        <w:autoSpaceDE w:val="0"/>
        <w:autoSpaceDN w:val="0"/>
        <w:adjustRightInd w:val="0"/>
        <w:spacing w:line="360" w:lineRule="auto"/>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r>
        <w:drawing>
          <wp:inline distT="0" distB="0" distL="114300" distR="114300">
            <wp:extent cx="5095875" cy="5057775"/>
            <wp:effectExtent l="0" t="0" r="9525" b="952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pic:cNvPicPr>
                      <a:picLocks noChangeAspect="1"/>
                    </pic:cNvPicPr>
                  </pic:nvPicPr>
                  <pic:blipFill>
                    <a:blip r:embed="rId4"/>
                    <a:stretch>
                      <a:fillRect/>
                    </a:stretch>
                  </pic:blipFill>
                  <pic:spPr>
                    <a:xfrm>
                      <a:off x="0" y="0"/>
                      <a:ext cx="5095875" cy="505777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135" cy="2259965"/>
            <wp:effectExtent l="0" t="0" r="5715" b="6985"/>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5"/>
                    <a:stretch>
                      <a:fillRect/>
                    </a:stretch>
                  </pic:blipFill>
                  <pic:spPr>
                    <a:xfrm>
                      <a:off x="0" y="0"/>
                      <a:ext cx="5271135" cy="225996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040" cy="2663825"/>
            <wp:effectExtent l="0" t="0" r="3810" b="317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6"/>
                    <a:stretch>
                      <a:fillRect/>
                    </a:stretch>
                  </pic:blipFill>
                  <pic:spPr>
                    <a:xfrm>
                      <a:off x="0" y="0"/>
                      <a:ext cx="5273040" cy="266382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840095" cy="4417695"/>
            <wp:effectExtent l="0" t="0" r="8255" b="1905"/>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7"/>
                    <a:stretch>
                      <a:fillRect/>
                    </a:stretch>
                  </pic:blipFill>
                  <pic:spPr>
                    <a:xfrm>
                      <a:off x="0" y="0"/>
                      <a:ext cx="5840095" cy="4417695"/>
                    </a:xfrm>
                    <a:prstGeom prst="rect">
                      <a:avLst/>
                    </a:prstGeom>
                    <a:noFill/>
                    <a:ln>
                      <a:noFill/>
                    </a:ln>
                  </pic:spPr>
                </pic:pic>
              </a:graphicData>
            </a:graphic>
          </wp:inline>
        </w:drawing>
      </w:r>
    </w:p>
    <w:p>
      <w:pPr>
        <w:autoSpaceDE w:val="0"/>
        <w:autoSpaceDN w:val="0"/>
        <w:adjustRightInd w:val="0"/>
        <w:spacing w:line="360" w:lineRule="auto"/>
        <w:jc w:val="left"/>
        <w:rPr>
          <w:rFonts w:hint="eastAsia"/>
        </w:rP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1770" cy="2664460"/>
            <wp:effectExtent l="0" t="0" r="5080" b="2540"/>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8"/>
                    <a:stretch>
                      <a:fillRect/>
                    </a:stretch>
                  </pic:blipFill>
                  <pic:spPr>
                    <a:xfrm>
                      <a:off x="0" y="0"/>
                      <a:ext cx="5271770" cy="266446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4310" cy="8633460"/>
            <wp:effectExtent l="0" t="0" r="2540" b="1524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9"/>
                    <a:srcRect b="4953"/>
                    <a:stretch>
                      <a:fillRect/>
                    </a:stretch>
                  </pic:blipFill>
                  <pic:spPr>
                    <a:xfrm>
                      <a:off x="0" y="0"/>
                      <a:ext cx="5274310" cy="863346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69230" cy="4203700"/>
            <wp:effectExtent l="0" t="0" r="7620" b="6350"/>
            <wp:docPr id="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pic:cNvPicPr>
                      <a:picLocks noChangeAspect="1"/>
                    </pic:cNvPicPr>
                  </pic:nvPicPr>
                  <pic:blipFill>
                    <a:blip r:embed="rId10"/>
                    <a:srcRect b="12492"/>
                    <a:stretch>
                      <a:fillRect/>
                    </a:stretch>
                  </pic:blipFill>
                  <pic:spPr>
                    <a:xfrm>
                      <a:off x="0" y="0"/>
                      <a:ext cx="5269230" cy="420370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69865" cy="2493010"/>
            <wp:effectExtent l="0" t="0" r="6985" b="2540"/>
            <wp:docPr id="1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pic:cNvPicPr>
                      <a:picLocks noChangeAspect="1"/>
                    </pic:cNvPicPr>
                  </pic:nvPicPr>
                  <pic:blipFill>
                    <a:blip r:embed="rId11"/>
                    <a:stretch>
                      <a:fillRect/>
                    </a:stretch>
                  </pic:blipFill>
                  <pic:spPr>
                    <a:xfrm>
                      <a:off x="0" y="0"/>
                      <a:ext cx="5269865" cy="24930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675" cy="2373630"/>
            <wp:effectExtent l="0" t="0" r="3175" b="7620"/>
            <wp:docPr id="1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pic:cNvPicPr>
                      <a:picLocks noChangeAspect="1"/>
                    </pic:cNvPicPr>
                  </pic:nvPicPr>
                  <pic:blipFill>
                    <a:blip r:embed="rId12"/>
                    <a:stretch>
                      <a:fillRect/>
                    </a:stretch>
                  </pic:blipFill>
                  <pic:spPr>
                    <a:xfrm>
                      <a:off x="0" y="0"/>
                      <a:ext cx="5273675" cy="237363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73040" cy="3142615"/>
            <wp:effectExtent l="0" t="0" r="3810" b="635"/>
            <wp:docPr id="1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pic:cNvPicPr>
                      <a:picLocks noChangeAspect="1"/>
                    </pic:cNvPicPr>
                  </pic:nvPicPr>
                  <pic:blipFill>
                    <a:blip r:embed="rId13"/>
                    <a:stretch>
                      <a:fillRect/>
                    </a:stretch>
                  </pic:blipFill>
                  <pic:spPr>
                    <a:xfrm>
                      <a:off x="0" y="0"/>
                      <a:ext cx="5273040" cy="314261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keepNext w:val="0"/>
        <w:keepLines w:val="0"/>
        <w:widowControl/>
        <w:numPr>
          <w:numId w:val="0"/>
        </w:numPr>
        <w:suppressLineNumbers w:val="0"/>
        <w:spacing w:before="0" w:beforeAutospacing="1" w:after="0" w:afterAutospacing="1" w:line="600" w:lineRule="exact"/>
        <w:ind w:left="640" w:leftChars="0" w:right="0" w:rightChars="0"/>
        <w:jc w:val="both"/>
        <w:rPr>
          <w:rFonts w:hint="eastAsia" w:ascii="方正小标宋简体" w:hAnsi="方正小标宋简体" w:eastAsia="方正小标宋简体" w:cs="方正小标宋简体"/>
          <w:bCs/>
          <w:kern w:val="2"/>
          <w:sz w:val="44"/>
          <w:szCs w:val="44"/>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cs="Calibri" w:eastAsiaTheme="minorEastAsia"/>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r>
        <w:rPr>
          <w:rFonts w:hint="eastAsia" w:ascii="方正小标宋简体" w:hAnsi="方正小标宋简体" w:eastAsia="方正小标宋简体" w:cs="方正小标宋简体"/>
          <w:bCs/>
          <w:kern w:val="2"/>
          <w:sz w:val="44"/>
          <w:szCs w:val="44"/>
          <w:lang w:val="en-US" w:eastAsia="zh-CN" w:bidi="ar"/>
        </w:rPr>
        <w:t>第三部分  2021年度单位决算情况说明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本单位2021年度收入总计944.15万元，较2020年减少192.72  万元，下降 16.95 %，其中：年初结转和结余0万元，较2020年减少 0 万元，下降 0 %；本年收入合计  944.15万元，较2020年减少192.72  万元，下降 16.95 %，主要原因是：生源减少,产生收入减少。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 944.15 万元，占 100 %；事业收入 0  万元，占 0 %；经营收入  0 万元，占 0 %；其他收入 0  万元，占 0 %。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  944.15  万元，其中本年支出合计  944.15 万元，较2020年（减少） 156.11 万元，（下降）14.19 0 %，主要原因是：</w:t>
      </w:r>
      <w:r>
        <w:rPr>
          <w:rFonts w:hint="eastAsia" w:ascii="仿宋" w:hAnsi="仿宋" w:eastAsia="仿宋" w:cs="仿宋"/>
          <w:kern w:val="2"/>
          <w:sz w:val="30"/>
          <w:szCs w:val="30"/>
          <w:lang w:val="en-US" w:eastAsia="zh-CN" w:bidi="ar"/>
        </w:rPr>
        <w:t>生源减少</w:t>
      </w:r>
      <w:r>
        <w:rPr>
          <w:rFonts w:hint="default" w:ascii="仿宋_GB2312" w:eastAsia="仿宋_GB2312" w:cs="仿宋_GB2312" w:hAnsiTheme="minorHAnsi"/>
          <w:kern w:val="2"/>
          <w:sz w:val="30"/>
          <w:szCs w:val="30"/>
          <w:lang w:val="en-US" w:eastAsia="zh-CN" w:bidi="ar"/>
        </w:rPr>
        <w:t>；年末结转和结余  0 万元，较2020年增加（减少） 0 万元，增长（下降） 0 %，主要原因是：生源减少,产生收入减少。</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 944.15  万元，占 100 %；项目支出  0 万元，占  0 %；经营支出  0 万元，占0  %；其他支出（对附属单位补助支出、上缴上级支出）  0 万元，占 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  944.15 万元，决算数为 944.15 万元，完成年初预算的 100 %。其中：</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2"/>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  915.23 万元，决算数为 915.23 万元，完成年初预算的 100 %，主要原因是：维持收支平衡。</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w:t>
      </w:r>
      <w:r>
        <w:rPr>
          <w:rFonts w:hint="default" w:ascii="仿宋_GB2312" w:eastAsia="仿宋_GB2312" w:cs="仿宋_GB2312" w:hAnsiTheme="minorHAnsi"/>
          <w:kern w:val="0"/>
          <w:sz w:val="30"/>
          <w:szCs w:val="30"/>
          <w:lang w:val="en-US" w:eastAsia="zh-CN" w:bidi="ar"/>
        </w:rPr>
        <w:t>2021年度一般公共预算财政拨款基本支出 915.23 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 749.24万元，较2020年减少117.7  万元，下降13.58 %，主要原因是：</w:t>
      </w:r>
      <w:r>
        <w:rPr>
          <w:rFonts w:hint="eastAsia" w:ascii="仿宋" w:hAnsi="仿宋" w:eastAsia="仿宋" w:cs="仿宋"/>
          <w:kern w:val="2"/>
          <w:sz w:val="30"/>
          <w:szCs w:val="30"/>
          <w:lang w:val="en-US" w:eastAsia="zh-CN" w:bidi="ar"/>
        </w:rPr>
        <w:t>教师调出</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 xml:space="preserve">（二）商品和服务支出 124.6万元，较2020年增加 47.94 万元，增长 </w:t>
      </w:r>
      <w:r>
        <w:rPr>
          <w:rFonts w:hint="default" w:ascii="仿宋_GB2312" w:eastAsia="仿宋_GB2312" w:cs="仿宋_GB2312" w:hAnsiTheme="minorHAnsi"/>
          <w:kern w:val="0"/>
          <w:sz w:val="30"/>
          <w:szCs w:val="30"/>
          <w:lang w:val="en-US" w:eastAsia="zh-CN" w:bidi="ar"/>
        </w:rPr>
        <w:t>62.54 </w:t>
      </w:r>
      <w:r>
        <w:rPr>
          <w:rFonts w:hint="default" w:ascii="仿宋_GB2312" w:eastAsia="仿宋_GB2312" w:cs="仿宋_GB2312" w:hAnsiTheme="minorHAnsi"/>
          <w:kern w:val="2"/>
          <w:sz w:val="30"/>
          <w:szCs w:val="30"/>
          <w:lang w:val="en-US" w:eastAsia="zh-CN" w:bidi="ar"/>
        </w:rPr>
        <w:t>%，主要原因是：</w:t>
      </w:r>
      <w:r>
        <w:rPr>
          <w:rFonts w:hint="eastAsia" w:ascii="仿宋" w:hAnsi="仿宋" w:eastAsia="仿宋" w:cs="仿宋"/>
          <w:kern w:val="2"/>
          <w:sz w:val="30"/>
          <w:szCs w:val="30"/>
          <w:lang w:val="en-US" w:eastAsia="zh-CN" w:bidi="ar"/>
        </w:rPr>
        <w:t>师学生支出增加</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 34.44万元，较2020年增加19.1万元，增长124.51%，主要原因是：</w:t>
      </w:r>
      <w:r>
        <w:rPr>
          <w:rFonts w:hint="eastAsia" w:ascii="仿宋" w:hAnsi="仿宋" w:eastAsia="仿宋" w:cs="仿宋"/>
          <w:kern w:val="2"/>
          <w:sz w:val="30"/>
          <w:szCs w:val="30"/>
          <w:lang w:val="en-US" w:eastAsia="zh-CN" w:bidi="ar"/>
        </w:rPr>
        <w:t>退休教师增加</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 6.95万元，较2020年增加</w:t>
      </w:r>
      <w:r>
        <w:rPr>
          <w:rFonts w:hint="default" w:ascii="仿宋_GB2312" w:eastAsia="仿宋_GB2312" w:cs="仿宋_GB2312" w:hAnsiTheme="minorHAnsi"/>
          <w:kern w:val="0"/>
          <w:sz w:val="30"/>
          <w:szCs w:val="30"/>
          <w:lang w:val="en-US" w:eastAsia="zh-CN" w:bidi="ar"/>
        </w:rPr>
        <w:t>1.94</w:t>
      </w:r>
      <w:r>
        <w:rPr>
          <w:rFonts w:hint="default" w:ascii="仿宋_GB2312" w:eastAsia="仿宋_GB2312" w:cs="仿宋_GB2312" w:hAnsiTheme="minorHAnsi"/>
          <w:kern w:val="2"/>
          <w:sz w:val="30"/>
          <w:szCs w:val="30"/>
          <w:lang w:val="en-US" w:eastAsia="zh-CN" w:bidi="ar"/>
        </w:rPr>
        <w:t>万元，增加 38.72 %，主要原因是：增添</w:t>
      </w:r>
      <w:r>
        <w:rPr>
          <w:rFonts w:hint="eastAsia" w:ascii="仿宋" w:hAnsi="仿宋" w:eastAsia="仿宋" w:cs="仿宋"/>
          <w:kern w:val="2"/>
          <w:sz w:val="30"/>
          <w:szCs w:val="30"/>
          <w:lang w:val="en-US" w:eastAsia="zh-CN" w:bidi="ar"/>
        </w:rPr>
        <w:t>教学设备</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  1.5 万元，决算数为  0.78万元，完成预算的 52 %，决算数较2020年增加0.6 万元，增长56.52 %，其中：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  0 万元，决算数为 0 万元，完成预算的0 %，决算数较2020年增加减少 0 万元，增长下降0  %，主要原因是无因公出国（境）支出预算数。决算数较年初预算数没有变化，主要原因是：无因公出国（境）支出。全年安排因公出国（境）团组 0 个，累计  0人次。</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 1.5万元，决算数为  0.78万元，完成预算的52 %，决算数较2020年增加 0.06 万元，增长7.96  %，主要原因是</w:t>
      </w:r>
      <w:r>
        <w:rPr>
          <w:rFonts w:hint="default" w:ascii="仿宋_GB2312" w:eastAsia="仿宋_GB2312" w:cs="仿宋_GB2312" w:hAnsiTheme="minorHAnsi"/>
          <w:kern w:val="0"/>
          <w:sz w:val="30"/>
          <w:szCs w:val="30"/>
          <w:lang w:val="en-US" w:eastAsia="zh-CN" w:bidi="ar"/>
        </w:rPr>
        <w:t>业务量增加，</w:t>
      </w:r>
      <w:r>
        <w:rPr>
          <w:rFonts w:hint="default" w:ascii="仿宋_GB2312" w:eastAsia="仿宋_GB2312" w:cs="仿宋_GB2312" w:hAnsiTheme="minorHAnsi"/>
          <w:kern w:val="2"/>
          <w:sz w:val="30"/>
          <w:szCs w:val="30"/>
          <w:lang w:val="en-US" w:eastAsia="zh-CN" w:bidi="ar"/>
        </w:rPr>
        <w:t>公务接待次数增加。决算数较年初预算数（减少）的主要原因是：</w:t>
      </w:r>
      <w:r>
        <w:rPr>
          <w:rFonts w:hint="eastAsia" w:ascii="仿宋" w:hAnsi="仿宋" w:eastAsia="仿宋" w:cs="仿宋"/>
          <w:kern w:val="2"/>
          <w:sz w:val="30"/>
          <w:szCs w:val="30"/>
          <w:lang w:val="en-US" w:eastAsia="zh-CN" w:bidi="ar"/>
        </w:rPr>
        <w:t>严格执行规定</w:t>
      </w:r>
      <w:r>
        <w:rPr>
          <w:rFonts w:hint="default" w:ascii="仿宋_GB2312" w:eastAsia="仿宋_GB2312" w:cs="仿宋_GB2312" w:hAnsiTheme="minorHAnsi"/>
          <w:kern w:val="2"/>
          <w:sz w:val="30"/>
          <w:szCs w:val="30"/>
          <w:lang w:val="en-US" w:eastAsia="zh-CN" w:bidi="ar"/>
        </w:rPr>
        <w:t>。全年国内公务接待 10 批，累计接待 120 人次，其中外事接待 0  批，累计接待  0人次，主要为：学校交流活动。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   0万元，其中公务用车购置年初预算数为  0 万元，决算数为  0万元，完成预算的0 %，决算数较2020年增加（减少）  0万元，增长（下降）0  %，主要原因是：无公务用车设备及运行维护支出，全年购置公务用车  0 辆。决算数较年初预算数增加（减少）的主要原因是：本单位无公车；公务用车运行维护费支出年初预算数为  0 万元，决算数为 0 万元，完成预算的0 %，决算数较2020年增加（减少） 0 万元，增长（下降）0  %，主要原因是本单位无公车，年末公务用车保有 0 辆。决算数较年初预算数增加（减少）的主要原因是：本单位无公车。</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bCs/>
          <w:kern w:val="2"/>
          <w:sz w:val="30"/>
          <w:szCs w:val="30"/>
          <w:lang w:val="en-US" w:eastAsia="zh-CN" w:bidi="ar"/>
        </w:rPr>
        <w:t>本单位不是行政单位或参照公务员法管理事业单位，故无机关运行经费支出。</w:t>
      </w: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本单位2021年度政府采购支出总额 0 万元，其中：政府采购货物支出 0 万元、政府采购工程支出 0 万元、政府采购服务支出 0 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r>
        <w:rPr>
          <w:rFonts w:hint="default" w:ascii="仿宋_GB2312" w:eastAsia="仿宋_GB2312" w:cs="仿宋_GB2312" w:hAnsiTheme="minorHAnsi"/>
          <w:kern w:val="0"/>
          <w:sz w:val="30"/>
          <w:szCs w:val="30"/>
          <w:lang w:val="en-US" w:eastAsia="zh-CN" w:bidi="ar"/>
        </w:rPr>
        <w:t>本单位无其他用车。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shd w:val="clear" w:fill="FFFFFF"/>
        <w:spacing w:before="0" w:beforeAutospacing="1" w:after="105" w:afterAutospacing="0" w:line="240" w:lineRule="atLeast"/>
        <w:ind w:left="0" w:right="0" w:firstLine="420"/>
        <w:jc w:val="both"/>
      </w:pPr>
      <w:r>
        <w:rPr>
          <w:rFonts w:hint="eastAsia" w:ascii="仿宋" w:hAnsi="仿宋" w:eastAsia="仿宋" w:cs="仿宋"/>
          <w:color w:val="000000"/>
          <w:kern w:val="0"/>
          <w:sz w:val="32"/>
          <w:szCs w:val="32"/>
          <w:shd w:val="clear" w:fill="FFFFFF"/>
        </w:rPr>
        <w:t> （一）绩效管理工作开展情况。</w:t>
      </w:r>
    </w:p>
    <w:p>
      <w:pPr>
        <w:pStyle w:val="2"/>
        <w:keepNext w:val="0"/>
        <w:keepLines w:val="0"/>
        <w:widowControl/>
        <w:suppressLineNumbers w:val="0"/>
        <w:shd w:val="clear" w:fill="FFFFFF"/>
        <w:spacing w:before="0" w:beforeAutospacing="1" w:after="105" w:afterAutospacing="0" w:line="240" w:lineRule="atLeast"/>
        <w:ind w:left="0" w:right="0" w:firstLine="640" w:firstLineChars="200"/>
        <w:jc w:val="both"/>
      </w:pPr>
      <w:r>
        <w:rPr>
          <w:rFonts w:hint="eastAsia" w:ascii="仿宋" w:hAnsi="仿宋" w:eastAsia="仿宋" w:cs="仿宋"/>
          <w:color w:val="000000"/>
          <w:kern w:val="0"/>
          <w:sz w:val="32"/>
          <w:szCs w:val="32"/>
          <w:shd w:val="clear" w:fill="FFFFFF"/>
        </w:rPr>
        <w:t>根据预算绩效管理要求，我单位组织对纳入2021年度单位预算范围的二级项目1个公用经费项目全面开展绩效自评。</w:t>
      </w:r>
    </w:p>
    <w:p>
      <w:pPr>
        <w:pStyle w:val="2"/>
        <w:keepNext w:val="0"/>
        <w:keepLines w:val="0"/>
        <w:widowControl/>
        <w:numPr>
          <w:numId w:val="0"/>
        </w:numPr>
        <w:suppressLineNumbers w:val="0"/>
        <w:shd w:val="clear" w:fill="FFFFFF"/>
        <w:spacing w:before="0" w:beforeAutospacing="1" w:after="105" w:afterAutospacing="0" w:line="240" w:lineRule="atLeast"/>
        <w:ind w:left="0" w:right="0" w:firstLine="630"/>
        <w:jc w:val="both"/>
      </w:pPr>
      <w:r>
        <w:rPr>
          <w:rFonts w:hint="eastAsia" w:ascii="仿宋" w:hAnsi="仿宋" w:eastAsia="仿宋" w:cs="仿宋"/>
          <w:color w:val="000000"/>
          <w:kern w:val="0"/>
          <w:sz w:val="32"/>
          <w:szCs w:val="32"/>
          <w:shd w:val="clear" w:fill="FFFFFF"/>
        </w:rPr>
        <w:t>（一）单位决算中项目绩效自评情况。</w:t>
      </w:r>
    </w:p>
    <w:p>
      <w:pPr>
        <w:pStyle w:val="2"/>
        <w:keepNext w:val="0"/>
        <w:keepLines w:val="0"/>
        <w:widowControl/>
        <w:suppressLineNumbers w:val="0"/>
        <w:shd w:val="clear" w:fill="FFFFFF"/>
        <w:spacing w:before="0" w:beforeAutospacing="1" w:after="105" w:afterAutospacing="0" w:line="240" w:lineRule="atLeast"/>
        <w:ind w:left="0" w:right="0" w:firstLine="640"/>
        <w:jc w:val="both"/>
      </w:pPr>
      <w:r>
        <w:rPr>
          <w:rFonts w:hint="eastAsia" w:ascii="仿宋" w:hAnsi="仿宋" w:eastAsia="仿宋" w:cs="仿宋"/>
          <w:color w:val="000000"/>
          <w:kern w:val="0"/>
          <w:sz w:val="32"/>
          <w:szCs w:val="32"/>
          <w:shd w:val="clear" w:fill="FFFFFF"/>
        </w:rPr>
        <w:t>我单位今年在单位决算中反映学校生均公用经费项目绩效自评结果。</w:t>
      </w:r>
    </w:p>
    <w:p>
      <w:pPr>
        <w:pStyle w:val="2"/>
        <w:keepNext w:val="0"/>
        <w:keepLines w:val="0"/>
        <w:widowControl/>
        <w:suppressLineNumbers w:val="0"/>
        <w:shd w:val="clear" w:fill="FFFFFF"/>
        <w:spacing w:before="0" w:beforeAutospacing="1" w:after="105" w:afterAutospacing="0" w:line="240" w:lineRule="atLeast"/>
        <w:ind w:left="0" w:right="0" w:firstLine="640"/>
        <w:jc w:val="both"/>
      </w:pPr>
      <w:r>
        <w:rPr>
          <w:rFonts w:hint="eastAsia" w:ascii="仿宋" w:hAnsi="仿宋" w:eastAsia="仿宋" w:cs="仿宋"/>
          <w:color w:val="000000"/>
          <w:kern w:val="0"/>
          <w:sz w:val="32"/>
          <w:szCs w:val="32"/>
          <w:shd w:val="clear" w:fill="FFFFFF"/>
        </w:rPr>
        <w:t>学校生均公用经费绩效自评综述：根据年初设定的绩效目标，学校生均公用经费绩效自评得分为99.6分。项目全年预算为92.24万元，执行数为92.24万元，完成预算的100%。主要产出和效果：保障了学校的正常运行，提高了学校的教育教学质量，学校、家长和学生的满意度为96%。</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1"/>
        <w:gridCol w:w="1161"/>
        <w:gridCol w:w="954"/>
        <w:gridCol w:w="1035"/>
        <w:gridCol w:w="1232"/>
        <w:gridCol w:w="467"/>
        <w:gridCol w:w="1604"/>
        <w:gridCol w:w="1198"/>
        <w:gridCol w:w="87"/>
        <w:gridCol w:w="536"/>
        <w:gridCol w:w="170"/>
        <w:gridCol w:w="480"/>
        <w:gridCol w:w="352"/>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主管部门</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宁都县教育科技体育局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92.24</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92.24</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92.24</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92.24</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92.24</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92.24</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96%</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96%</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99.6</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firstLine="600"/>
        <w:jc w:val="left"/>
      </w:pPr>
      <w:r>
        <w:rPr>
          <w:rFonts w:hint="eastAsia" w:ascii="方正小标宋简体" w:hAnsi="方正小标宋简体" w:eastAsia="方正小标宋简体" w:cs="方正小标宋简体"/>
          <w:kern w:val="0"/>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eastAsia" w:ascii="方正小标宋简体" w:hAnsi="方正小标宋简体" w:eastAsia="方正小标宋简体" w:cs="方正小标宋简体"/>
          <w:kern w:val="2"/>
          <w:sz w:val="44"/>
          <w:szCs w:val="44"/>
          <w:lang w:val="en-US" w:eastAsia="zh-CN" w:bidi="ar"/>
        </w:rPr>
        <w:t> </w:t>
      </w:r>
      <w:bookmarkStart w:id="0" w:name="_GoBack"/>
      <w:bookmarkEnd w:id="0"/>
      <w:r>
        <w:rPr>
          <w:rFonts w:hint="eastAsia" w:ascii="方正小标宋简体" w:hAnsi="方正小标宋简体" w:eastAsia="方正小标宋简体" w:cs="方正小标宋简体"/>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keepNext w:val="0"/>
        <w:keepLines w:val="0"/>
        <w:widowControl/>
        <w:suppressLineNumbers w:val="0"/>
        <w:spacing w:before="0" w:beforeAutospacing="1" w:after="0" w:afterAutospacing="1"/>
        <w:ind w:left="0" w:right="0" w:firstLine="600"/>
        <w:jc w:val="left"/>
      </w:pPr>
      <w:r>
        <w:rPr>
          <w:rFonts w:hint="default" w:ascii="仿宋_GB2312" w:eastAsia="仿宋_GB2312" w:cs="仿宋_GB2312" w:hAnsiTheme="minorHAnsi"/>
          <w:kern w:val="0"/>
          <w:sz w:val="30"/>
          <w:szCs w:val="3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6626B6-09D8-4EBD-AA68-6889FFB5C2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9E64BD0-D30E-45B8-80F8-54BC4EE9E745}"/>
  </w:font>
  <w:font w:name="方正小标宋简体">
    <w:panose1 w:val="02000000000000000000"/>
    <w:charset w:val="86"/>
    <w:family w:val="auto"/>
    <w:pitch w:val="default"/>
    <w:sig w:usb0="00000001" w:usb1="08000000" w:usb2="00000000" w:usb3="00000000" w:csb0="00040000" w:csb1="00000000"/>
    <w:embedRegular r:id="rId3" w:fontKey="{23A59858-78C9-4B9C-A7C5-E1A3A2C41449}"/>
  </w:font>
  <w:font w:name="仿宋_GB2312">
    <w:altName w:val="仿宋"/>
    <w:panose1 w:val="00000000000000000000"/>
    <w:charset w:val="00"/>
    <w:family w:val="auto"/>
    <w:pitch w:val="default"/>
    <w:sig w:usb0="00000000" w:usb1="00000000" w:usb2="00000000" w:usb3="00000000" w:csb0="00000000" w:csb1="00000000"/>
    <w:embedRegular r:id="rId4" w:fontKey="{C37EF582-D9D1-40B9-864A-3F119BCBE639}"/>
  </w:font>
  <w:font w:name="仿宋">
    <w:panose1 w:val="02010609060101010101"/>
    <w:charset w:val="86"/>
    <w:family w:val="auto"/>
    <w:pitch w:val="default"/>
    <w:sig w:usb0="800002BF" w:usb1="38CF7CFA" w:usb2="00000016" w:usb3="00000000" w:csb0="00040001" w:csb1="00000000"/>
    <w:embedRegular r:id="rId5" w:fontKey="{2EDB8B83-29AE-4263-9A65-953CAC297E9A}"/>
  </w:font>
  <w:font w:name="仿宋_GB2312">
    <w:altName w:val="仿宋"/>
    <w:panose1 w:val="02010609030101010101"/>
    <w:charset w:val="86"/>
    <w:family w:val="modern"/>
    <w:pitch w:val="default"/>
    <w:sig w:usb0="00000000" w:usb1="00000000" w:usb2="00000000" w:usb3="00000000" w:csb0="00040000" w:csb1="00000000"/>
    <w:embedRegular r:id="rId6" w:fontKey="{14463BE5-1640-4CB4-9D7F-788F174F71A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325FD"/>
    <w:multiLevelType w:val="singleLevel"/>
    <w:tmpl w:val="064325FD"/>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63E1F5B"/>
    <w:rsid w:val="463E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2023-10-07T12:43:00Z</dcterms:created>
  <dc:creator>才东东</dc:creator>
  <cp:lastModifiedBy>才东东</cp:lastModifiedBy>
  <dcterms:modified xsi:type="dcterms:W3CDTF">2023-10-07T12:47:34Z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5455E2EF5E5E456BAB72B290C94F1EE5_11</vt:lpwstr>
  </property>
</Properties>
</file>