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宁都县教育科技体育局本级</w:t>
      </w:r>
      <w:r>
        <w:rPr>
          <w:rFonts w:hint="default" w:ascii="方正小标宋简体" w:hAnsi="方正小标宋简体" w:eastAsia="方正小标宋简体" w:cs="方正小标宋简体"/>
          <w:b w:val="0"/>
          <w:bCs w:val="0"/>
          <w:kern w:val="2"/>
          <w:sz w:val="44"/>
          <w:szCs w:val="44"/>
          <w:lang w:val="en-US" w:eastAsia="zh-CN" w:bidi="ar"/>
        </w:rPr>
        <w:t>2021年度决算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宁都县教育科技体育局</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    八、国有资产占用情况说明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    九、预算绩效情况说明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 宁都县教育科技体育局概况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2"/>
          <w:szCs w:val="32"/>
          <w:lang w:val="en-US" w:eastAsia="zh-CN" w:bidi="ar"/>
        </w:rPr>
        <w:t>一、单位主要职能</w:t>
      </w:r>
    </w:p>
    <w:p>
      <w:pPr>
        <w:keepNext w:val="0"/>
        <w:keepLines w:val="0"/>
        <w:widowControl/>
        <w:suppressLineNumbers w:val="0"/>
        <w:autoSpaceDE w:val="0"/>
        <w:autoSpaceDN/>
        <w:spacing w:before="0" w:beforeAutospacing="1" w:after="0" w:afterAutospacing="1" w:line="420" w:lineRule="exact"/>
        <w:ind w:left="0" w:right="0" w:firstLine="640"/>
        <w:jc w:val="left"/>
      </w:pPr>
      <w:r>
        <w:rPr>
          <w:rFonts w:ascii="仿宋" w:hAnsi="仿宋" w:eastAsia="仿宋" w:cs="仿宋"/>
          <w:kern w:val="0"/>
          <w:sz w:val="32"/>
          <w:szCs w:val="32"/>
          <w:lang w:val="en-US" w:eastAsia="zh-CN" w:bidi="ar"/>
        </w:rPr>
        <w:t>宁都县教育科技体育局是主管教育科技体育工作的县政府（县委）组成部门（直属机构），主要职责是：</w:t>
      </w:r>
    </w:p>
    <w:p>
      <w:pPr>
        <w:keepNext w:val="0"/>
        <w:keepLines w:val="0"/>
        <w:widowControl/>
        <w:suppressLineNumbers w:val="0"/>
        <w:autoSpaceDE w:val="0"/>
        <w:autoSpaceDN/>
        <w:spacing w:before="0" w:beforeAutospacing="1" w:after="0" w:afterAutospacing="1" w:line="420" w:lineRule="exact"/>
        <w:ind w:left="106" w:right="106" w:firstLine="640"/>
        <w:jc w:val="left"/>
      </w:pPr>
      <w:r>
        <w:rPr>
          <w:rFonts w:hint="eastAsia" w:ascii="仿宋" w:hAnsi="仿宋" w:eastAsia="仿宋" w:cs="仿宋"/>
          <w:spacing w:val="5"/>
          <w:kern w:val="0"/>
          <w:sz w:val="32"/>
          <w:szCs w:val="32"/>
          <w:lang w:val="en-US" w:eastAsia="zh-CN" w:bidi="ar"/>
        </w:rPr>
        <w:t>（一</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贯彻执行党和国家有关教育、科技和体育的方针政</w:t>
      </w:r>
      <w:r>
        <w:rPr>
          <w:rFonts w:hint="eastAsia" w:ascii="仿宋" w:hAnsi="仿宋" w:eastAsia="仿宋" w:cs="仿宋"/>
          <w:spacing w:val="-7"/>
          <w:kern w:val="0"/>
          <w:sz w:val="32"/>
          <w:szCs w:val="32"/>
          <w:lang w:val="en-US" w:eastAsia="zh-CN" w:bidi="ar"/>
        </w:rPr>
        <w:t>策和法律法规。</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（二</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承担县委教育工作领导小组具体工作，组织研究、 </w:t>
      </w:r>
      <w:r>
        <w:rPr>
          <w:rFonts w:hint="eastAsia" w:ascii="仿宋" w:hAnsi="仿宋" w:eastAsia="仿宋" w:cs="仿宋"/>
          <w:kern w:val="0"/>
          <w:sz w:val="32"/>
          <w:szCs w:val="32"/>
          <w:lang w:val="en-US" w:eastAsia="zh-CN" w:bidi="ar"/>
        </w:rPr>
        <w:t>拟定全县教育系统党的建设和思想政治建设重大政策、教育发 展规划、重大改革方案，协调督促落实县委教育工作领导小组 决定事项、工作部署和要求等。</w:t>
      </w:r>
    </w:p>
    <w:p>
      <w:pPr>
        <w:keepNext w:val="0"/>
        <w:keepLines w:val="0"/>
        <w:widowControl/>
        <w:suppressLineNumbers w:val="0"/>
        <w:autoSpaceDE w:val="0"/>
        <w:autoSpaceDN/>
        <w:spacing w:before="0" w:beforeAutospacing="1" w:after="0" w:afterAutospacing="1" w:line="420" w:lineRule="exact"/>
        <w:ind w:left="106" w:right="103" w:firstLine="640"/>
        <w:jc w:val="left"/>
      </w:pPr>
      <w:r>
        <w:rPr>
          <w:rFonts w:hint="eastAsia" w:ascii="仿宋" w:hAnsi="仿宋" w:eastAsia="仿宋" w:cs="仿宋"/>
          <w:kern w:val="0"/>
          <w:sz w:val="32"/>
          <w:szCs w:val="32"/>
          <w:lang w:val="en-US" w:eastAsia="zh-CN" w:bidi="ar"/>
        </w:rPr>
        <w:t>（三）研究提出全县教育科技体育改革发展思路，编制全县教育科技体育事业发展规划。</w:t>
      </w:r>
    </w:p>
    <w:p>
      <w:pPr>
        <w:keepNext w:val="0"/>
        <w:keepLines w:val="0"/>
        <w:widowControl/>
        <w:suppressLineNumbers w:val="0"/>
        <w:autoSpaceDE w:val="0"/>
        <w:autoSpaceDN/>
        <w:spacing w:before="111" w:beforeAutospacing="0"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（四</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统筹管理教育科技体育经费。会同有关部门制订筹</w:t>
      </w:r>
      <w:r>
        <w:rPr>
          <w:rFonts w:hint="eastAsia" w:ascii="仿宋" w:hAnsi="仿宋" w:eastAsia="仿宋" w:cs="仿宋"/>
          <w:kern w:val="0"/>
          <w:sz w:val="32"/>
          <w:szCs w:val="32"/>
          <w:lang w:val="en-US" w:eastAsia="zh-CN" w:bidi="ar"/>
        </w:rPr>
        <w:t>措教育科技体育经费、拨款、基建投资的政策和规划，管理中央、省、市对县转移支付的各 项教育科技体育经费。</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（五</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统筹管理全县基础教育、中初等职业教育、中初等 </w:t>
      </w:r>
      <w:r>
        <w:rPr>
          <w:rFonts w:hint="eastAsia" w:ascii="仿宋" w:hAnsi="仿宋" w:eastAsia="仿宋" w:cs="仿宋"/>
          <w:kern w:val="0"/>
          <w:sz w:val="32"/>
          <w:szCs w:val="32"/>
          <w:lang w:val="en-US" w:eastAsia="zh-CN" w:bidi="ar"/>
        </w:rPr>
        <w:t>成人教育、学前教育、特殊教育等工作。规划申报县城中心城区 范围内的中小学校布局，审核义务教育阶段学校的设置。管理初中、小学学籍，协助市教育局管理全县普通 高中、职业高中学籍。</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（六</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指导教育督导工作。受县政府委托，负责对同级</w:t>
      </w:r>
      <w:r>
        <w:rPr>
          <w:rFonts w:hint="eastAsia" w:ascii="仿宋" w:hAnsi="仿宋" w:eastAsia="仿宋" w:cs="仿宋"/>
          <w:spacing w:val="1"/>
          <w:kern w:val="0"/>
          <w:sz w:val="32"/>
          <w:szCs w:val="32"/>
          <w:lang w:val="en-US" w:eastAsia="zh-CN" w:bidi="ar"/>
        </w:rPr>
        <w:t>人民政府有关部门、乡</w:t>
      </w:r>
      <w:r>
        <w:rPr>
          <w:rFonts w:hint="eastAsia" w:ascii="仿宋" w:hAnsi="仿宋" w:eastAsia="仿宋" w:cs="仿宋"/>
          <w:spacing w:val="5"/>
          <w:kern w:val="0"/>
          <w:sz w:val="32"/>
          <w:szCs w:val="32"/>
          <w:lang w:val="en-US" w:eastAsia="zh-CN" w:bidi="ar"/>
        </w:rPr>
        <w:t>（镇）</w:t>
      </w:r>
      <w:r>
        <w:rPr>
          <w:rFonts w:hint="eastAsia" w:ascii="仿宋" w:hAnsi="仿宋" w:eastAsia="仿宋" w:cs="仿宋"/>
          <w:kern w:val="0"/>
          <w:sz w:val="32"/>
          <w:szCs w:val="32"/>
          <w:lang w:val="en-US" w:eastAsia="zh-CN" w:bidi="ar"/>
        </w:rPr>
        <w:t>人民政府履行教育工作职责情况的 督导检查。</w:t>
      </w:r>
    </w:p>
    <w:p>
      <w:pPr>
        <w:keepNext w:val="0"/>
        <w:keepLines w:val="0"/>
        <w:widowControl/>
        <w:suppressLineNumbers w:val="0"/>
        <w:autoSpaceDE w:val="0"/>
        <w:autoSpaceDN/>
        <w:spacing w:before="111" w:beforeAutospacing="0" w:after="0" w:afterAutospacing="1" w:line="420" w:lineRule="exact"/>
        <w:ind w:left="106" w:right="106" w:firstLine="640"/>
        <w:jc w:val="left"/>
      </w:pPr>
      <w:r>
        <w:rPr>
          <w:rFonts w:hint="eastAsia" w:ascii="仿宋" w:hAnsi="仿宋" w:eastAsia="仿宋" w:cs="仿宋"/>
          <w:kern w:val="0"/>
          <w:sz w:val="32"/>
          <w:szCs w:val="32"/>
          <w:lang w:val="en-US" w:eastAsia="zh-CN" w:bidi="ar"/>
        </w:rPr>
        <w:t>（七）统筹规划、协调管理全县社会力量办学工作。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（八</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主管全县教育系统教师工作。</w:t>
      </w:r>
      <w:r>
        <w:rPr>
          <w:rFonts w:hint="eastAsia" w:ascii="仿宋" w:hAnsi="仿宋" w:eastAsia="仿宋" w:cs="仿宋"/>
          <w:kern w:val="0"/>
          <w:sz w:val="32"/>
          <w:szCs w:val="32"/>
          <w:lang w:val="en-US" w:eastAsia="zh-CN" w:bidi="ar"/>
        </w:rPr>
        <w:t>指导并协调全县教育系统学校人事 和分配制度改革。</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（九</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管理全县普通高等学校和中等专业学校招生考试、 </w:t>
      </w:r>
      <w:r>
        <w:rPr>
          <w:rFonts w:hint="eastAsia" w:ascii="仿宋" w:hAnsi="仿宋" w:eastAsia="仿宋" w:cs="仿宋"/>
          <w:kern w:val="0"/>
          <w:sz w:val="32"/>
          <w:szCs w:val="32"/>
          <w:lang w:val="en-US" w:eastAsia="zh-CN" w:bidi="ar"/>
        </w:rPr>
        <w:t>成人高等教育招生考试、高等教育自学教育、普通高中毕业会 考等工作。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（十</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统筹规划、管理全县各级各类学校的思想政治、品 </w:t>
      </w:r>
      <w:r>
        <w:rPr>
          <w:rFonts w:hint="eastAsia" w:ascii="仿宋" w:hAnsi="仿宋" w:eastAsia="仿宋" w:cs="仿宋"/>
          <w:kern w:val="0"/>
          <w:sz w:val="32"/>
          <w:szCs w:val="32"/>
          <w:lang w:val="en-US" w:eastAsia="zh-CN" w:bidi="ar"/>
        </w:rPr>
        <w:t>德教育、体育卫生与艺术教育、国防教育、科技教育及安全教 育管理等工作。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（十一</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会同有关部门做好全县普通院校毕业研究生、大 </w:t>
      </w:r>
      <w:r>
        <w:rPr>
          <w:rFonts w:hint="eastAsia" w:ascii="仿宋" w:hAnsi="仿宋" w:eastAsia="仿宋" w:cs="仿宋"/>
          <w:kern w:val="0"/>
          <w:sz w:val="32"/>
          <w:szCs w:val="32"/>
          <w:lang w:val="en-US" w:eastAsia="zh-CN" w:bidi="ar"/>
        </w:rPr>
        <w:t>中专毕业生就业指导服务和大中专毕业生就业制度改革工作。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（十二</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规划并指导全县各级各类学校的教育科学研究、 教学研究和调查研究工作。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kern w:val="0"/>
          <w:sz w:val="32"/>
          <w:szCs w:val="32"/>
          <w:lang w:val="en-US" w:eastAsia="zh-CN" w:bidi="ar"/>
        </w:rPr>
        <w:t>（</w:t>
      </w:r>
      <w:r>
        <w:rPr>
          <w:rFonts w:hint="eastAsia" w:ascii="仿宋" w:hAnsi="仿宋" w:eastAsia="仿宋" w:cs="仿宋"/>
          <w:spacing w:val="5"/>
          <w:kern w:val="0"/>
          <w:sz w:val="32"/>
          <w:szCs w:val="32"/>
          <w:lang w:val="en-US" w:eastAsia="zh-CN" w:bidi="ar"/>
        </w:rPr>
        <w:t>十三）</w:t>
      </w:r>
      <w:r>
        <w:rPr>
          <w:rFonts w:hint="eastAsia" w:ascii="仿宋" w:hAnsi="仿宋" w:eastAsia="仿宋" w:cs="仿宋"/>
          <w:spacing w:val="2"/>
          <w:kern w:val="0"/>
          <w:sz w:val="32"/>
          <w:szCs w:val="32"/>
          <w:lang w:val="en-US" w:eastAsia="zh-CN" w:bidi="ar"/>
        </w:rPr>
        <w:t xml:space="preserve">贯彻执行国家语言文字工作的法律法规和方针政 </w:t>
      </w:r>
      <w:r>
        <w:rPr>
          <w:rFonts w:hint="eastAsia" w:ascii="仿宋" w:hAnsi="仿宋" w:eastAsia="仿宋" w:cs="仿宋"/>
          <w:kern w:val="0"/>
          <w:sz w:val="32"/>
          <w:szCs w:val="32"/>
          <w:lang w:val="en-US" w:eastAsia="zh-CN" w:bidi="ar"/>
        </w:rPr>
        <w:t>策、统筹管理全县语言文字工作，编制全县语言文字工作的中 长期规划。</w:t>
      </w:r>
    </w:p>
    <w:p>
      <w:pPr>
        <w:keepNext w:val="0"/>
        <w:keepLines w:val="0"/>
        <w:widowControl/>
        <w:suppressLineNumbers w:val="0"/>
        <w:autoSpaceDE w:val="0"/>
        <w:autoSpaceDN/>
        <w:spacing w:before="111" w:beforeAutospacing="0" w:after="0" w:afterAutospacing="1" w:line="420" w:lineRule="exact"/>
        <w:ind w:left="106" w:right="267" w:firstLine="640"/>
        <w:jc w:val="left"/>
      </w:pPr>
      <w:r>
        <w:rPr>
          <w:rFonts w:hint="eastAsia" w:ascii="仿宋" w:hAnsi="仿宋" w:eastAsia="仿宋" w:cs="仿宋"/>
          <w:kern w:val="0"/>
          <w:sz w:val="32"/>
          <w:szCs w:val="32"/>
          <w:lang w:val="en-US" w:eastAsia="zh-CN" w:bidi="ar"/>
        </w:rPr>
        <w:t>（</w:t>
      </w:r>
      <w:r>
        <w:rPr>
          <w:rFonts w:hint="eastAsia" w:ascii="仿宋" w:hAnsi="仿宋" w:eastAsia="仿宋" w:cs="仿宋"/>
          <w:spacing w:val="5"/>
          <w:kern w:val="0"/>
          <w:sz w:val="32"/>
          <w:szCs w:val="32"/>
          <w:lang w:val="en-US" w:eastAsia="zh-CN" w:bidi="ar"/>
        </w:rPr>
        <w:t>十四）</w:t>
      </w:r>
      <w:r>
        <w:rPr>
          <w:rFonts w:hint="eastAsia" w:ascii="仿宋" w:hAnsi="仿宋" w:eastAsia="仿宋" w:cs="仿宋"/>
          <w:spacing w:val="2"/>
          <w:kern w:val="0"/>
          <w:sz w:val="32"/>
          <w:szCs w:val="32"/>
          <w:lang w:val="en-US" w:eastAsia="zh-CN" w:bidi="ar"/>
        </w:rPr>
        <w:t>负责全县教育系统的信息化建设工作</w:t>
      </w:r>
      <w:r>
        <w:rPr>
          <w:rFonts w:hint="eastAsia" w:ascii="仿宋" w:hAnsi="仿宋" w:eastAsia="仿宋" w:cs="仿宋"/>
          <w:kern w:val="0"/>
          <w:sz w:val="32"/>
          <w:szCs w:val="32"/>
          <w:lang w:val="en-US" w:eastAsia="zh-CN" w:bidi="ar"/>
        </w:rPr>
        <w:t>。</w:t>
      </w:r>
    </w:p>
    <w:p>
      <w:pPr>
        <w:keepNext w:val="0"/>
        <w:keepLines w:val="0"/>
        <w:widowControl/>
        <w:suppressLineNumbers w:val="0"/>
        <w:autoSpaceDE w:val="0"/>
        <w:autoSpaceDN/>
        <w:spacing w:before="0" w:beforeAutospacing="1" w:after="0" w:afterAutospacing="1" w:line="420" w:lineRule="exact"/>
        <w:ind w:left="106" w:right="265" w:firstLine="640"/>
        <w:jc w:val="left"/>
      </w:pPr>
      <w:r>
        <w:rPr>
          <w:rFonts w:hint="eastAsia" w:ascii="仿宋" w:hAnsi="仿宋" w:eastAsia="仿宋" w:cs="仿宋"/>
          <w:spacing w:val="5"/>
          <w:kern w:val="0"/>
          <w:sz w:val="32"/>
          <w:szCs w:val="32"/>
          <w:lang w:val="en-US" w:eastAsia="zh-CN" w:bidi="ar"/>
        </w:rPr>
        <w:t>（十五</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统筹规划、指导全县中小学勤工俭学、校办产业 和风险管理工作。</w:t>
      </w:r>
    </w:p>
    <w:p>
      <w:pPr>
        <w:keepNext w:val="0"/>
        <w:keepLines w:val="0"/>
        <w:widowControl/>
        <w:suppressLineNumbers w:val="0"/>
        <w:autoSpaceDE w:val="0"/>
        <w:autoSpaceDN/>
        <w:spacing w:before="0" w:beforeAutospacing="1" w:after="0" w:afterAutospacing="1" w:line="420" w:lineRule="exact"/>
        <w:ind w:left="106" w:right="265" w:firstLine="648"/>
        <w:jc w:val="left"/>
      </w:pPr>
      <w:r>
        <w:rPr>
          <w:rFonts w:hint="eastAsia" w:ascii="仿宋" w:hAnsi="仿宋" w:eastAsia="仿宋" w:cs="仿宋"/>
          <w:kern w:val="0"/>
          <w:sz w:val="32"/>
          <w:szCs w:val="32"/>
          <w:lang w:val="en-US" w:eastAsia="zh-CN" w:bidi="ar"/>
        </w:rPr>
        <w:t>（十六）负责全县教育科技体育系统对外交流工作。</w:t>
      </w:r>
    </w:p>
    <w:p>
      <w:pPr>
        <w:keepNext w:val="0"/>
        <w:keepLines w:val="0"/>
        <w:widowControl/>
        <w:suppressLineNumbers w:val="0"/>
        <w:autoSpaceDE w:val="0"/>
        <w:autoSpaceDN/>
        <w:spacing w:before="0" w:beforeAutospacing="1" w:after="0" w:afterAutospacing="1" w:line="420" w:lineRule="exact"/>
        <w:ind w:left="106" w:right="106" w:firstLine="640"/>
        <w:jc w:val="left"/>
      </w:pPr>
      <w:r>
        <w:rPr>
          <w:rFonts w:hint="eastAsia" w:ascii="仿宋" w:hAnsi="仿宋" w:eastAsia="仿宋" w:cs="仿宋"/>
          <w:spacing w:val="5"/>
          <w:kern w:val="0"/>
          <w:sz w:val="32"/>
          <w:szCs w:val="32"/>
          <w:lang w:val="en-US" w:eastAsia="zh-CN" w:bidi="ar"/>
        </w:rPr>
        <w:t>（十七</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负责组织制订实施全县各类科技计划和重大科技</w:t>
      </w:r>
      <w:r>
        <w:rPr>
          <w:rFonts w:hint="eastAsia" w:ascii="仿宋" w:hAnsi="仿宋" w:eastAsia="仿宋" w:cs="仿宋"/>
          <w:kern w:val="0"/>
          <w:sz w:val="32"/>
          <w:szCs w:val="32"/>
          <w:lang w:val="en-US" w:eastAsia="zh-CN" w:bidi="ar"/>
        </w:rPr>
        <w:t>专项工程，负责统筹协调基础研究、应用技术研究和社会公益性技术研究以及国民经济与社会发展重大关键技术攻关。</w:t>
      </w:r>
    </w:p>
    <w:p>
      <w:pPr>
        <w:keepNext w:val="0"/>
        <w:keepLines w:val="0"/>
        <w:widowControl/>
        <w:suppressLineNumbers w:val="0"/>
        <w:autoSpaceDE w:val="0"/>
        <w:autoSpaceDN/>
        <w:spacing w:before="0" w:beforeAutospacing="1" w:after="0" w:afterAutospacing="1" w:line="420" w:lineRule="exact"/>
        <w:ind w:left="106" w:right="265" w:firstLine="640"/>
        <w:jc w:val="left"/>
      </w:pPr>
      <w:r>
        <w:rPr>
          <w:rFonts w:hint="eastAsia" w:ascii="仿宋" w:hAnsi="仿宋" w:eastAsia="仿宋" w:cs="仿宋"/>
          <w:spacing w:val="5"/>
          <w:kern w:val="0"/>
          <w:sz w:val="32"/>
          <w:szCs w:val="32"/>
          <w:lang w:val="en-US" w:eastAsia="zh-CN" w:bidi="ar"/>
        </w:rPr>
        <w:t>（十八</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负责科技奖励评审的组织工作，指导科技成果转 </w:t>
      </w:r>
      <w:r>
        <w:rPr>
          <w:rFonts w:hint="eastAsia" w:ascii="仿宋" w:hAnsi="仿宋" w:eastAsia="仿宋" w:cs="仿宋"/>
          <w:kern w:val="0"/>
          <w:sz w:val="32"/>
          <w:szCs w:val="32"/>
          <w:lang w:val="en-US" w:eastAsia="zh-CN" w:bidi="ar"/>
        </w:rPr>
        <w:t>化工作，推动企业自主创新 能力。组织开展全县国防科技动员工作。</w:t>
      </w:r>
    </w:p>
    <w:p>
      <w:pPr>
        <w:keepNext w:val="0"/>
        <w:keepLines w:val="0"/>
        <w:widowControl/>
        <w:suppressLineNumbers w:val="0"/>
        <w:autoSpaceDE w:val="0"/>
        <w:autoSpaceDN/>
        <w:spacing w:before="1" w:beforeAutospacing="0"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（十九</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拟订全县体育工作的政策措施和体育事业发展规 </w:t>
      </w:r>
      <w:r>
        <w:rPr>
          <w:rFonts w:hint="eastAsia" w:ascii="仿宋" w:hAnsi="仿宋" w:eastAsia="仿宋" w:cs="仿宋"/>
          <w:kern w:val="0"/>
          <w:sz w:val="32"/>
          <w:szCs w:val="32"/>
          <w:lang w:val="en-US" w:eastAsia="zh-CN" w:bidi="ar"/>
        </w:rPr>
        <w:t>划，推进体 育公共服务和体育体制改革。</w:t>
      </w:r>
    </w:p>
    <w:p>
      <w:pPr>
        <w:keepNext w:val="0"/>
        <w:keepLines w:val="0"/>
        <w:widowControl/>
        <w:suppressLineNumbers w:val="0"/>
        <w:autoSpaceDE w:val="0"/>
        <w:autoSpaceDN/>
        <w:spacing w:before="0" w:beforeAutospacing="1" w:after="0" w:afterAutospacing="1" w:line="420" w:lineRule="exact"/>
        <w:ind w:left="106" w:right="267" w:firstLine="648"/>
        <w:jc w:val="left"/>
      </w:pPr>
      <w:r>
        <w:rPr>
          <w:rFonts w:hint="eastAsia" w:ascii="仿宋" w:hAnsi="仿宋" w:eastAsia="仿宋" w:cs="仿宋"/>
          <w:kern w:val="0"/>
          <w:sz w:val="32"/>
          <w:szCs w:val="32"/>
          <w:lang w:val="en-US" w:eastAsia="zh-CN" w:bidi="ar"/>
        </w:rPr>
        <w:t>（二十）统筹规划全县竞技体育和青少年体育发展。</w:t>
      </w:r>
    </w:p>
    <w:p>
      <w:pPr>
        <w:keepNext w:val="0"/>
        <w:keepLines w:val="0"/>
        <w:widowControl/>
        <w:suppressLineNumbers w:val="0"/>
        <w:autoSpaceDE w:val="0"/>
        <w:autoSpaceDN/>
        <w:spacing w:before="0" w:beforeAutospacing="1" w:after="0" w:afterAutospacing="1" w:line="420" w:lineRule="exact"/>
        <w:ind w:left="106" w:right="265" w:firstLine="648"/>
        <w:jc w:val="left"/>
      </w:pPr>
      <w:r>
        <w:rPr>
          <w:rFonts w:hint="eastAsia" w:ascii="仿宋" w:hAnsi="仿宋" w:eastAsia="仿宋" w:cs="仿宋"/>
          <w:kern w:val="0"/>
          <w:sz w:val="32"/>
          <w:szCs w:val="32"/>
          <w:lang w:val="en-US" w:eastAsia="zh-CN" w:bidi="ar"/>
        </w:rPr>
        <w:t>（二十一）负责对各类体育社团、各类体育学校、体育项 目俱乐部的资格审查、业务指导工作。</w:t>
      </w:r>
    </w:p>
    <w:p>
      <w:pPr>
        <w:keepNext w:val="0"/>
        <w:keepLines w:val="0"/>
        <w:widowControl/>
        <w:suppressLineNumbers w:val="0"/>
        <w:autoSpaceDE w:val="0"/>
        <w:autoSpaceDN/>
        <w:spacing w:before="0" w:beforeAutospacing="1" w:after="0" w:afterAutospacing="1" w:line="420" w:lineRule="exact"/>
        <w:ind w:left="106" w:right="106" w:firstLine="640"/>
        <w:jc w:val="left"/>
      </w:pPr>
      <w:r>
        <w:rPr>
          <w:rFonts w:hint="eastAsia" w:ascii="仿宋" w:hAnsi="仿宋" w:eastAsia="仿宋" w:cs="仿宋"/>
          <w:kern w:val="0"/>
          <w:sz w:val="32"/>
          <w:szCs w:val="32"/>
          <w:lang w:val="en-US" w:eastAsia="zh-CN" w:bidi="ar"/>
        </w:rPr>
        <w:t>（二十二</w:t>
      </w:r>
      <w:r>
        <w:rPr>
          <w:rFonts w:hint="eastAsia" w:ascii="仿宋" w:hAnsi="仿宋" w:eastAsia="仿宋" w:cs="仿宋"/>
          <w:spacing w:val="-65"/>
          <w:kern w:val="0"/>
          <w:sz w:val="32"/>
          <w:szCs w:val="32"/>
          <w:lang w:val="en-US" w:eastAsia="zh-CN" w:bidi="ar"/>
        </w:rPr>
        <w:t>）</w:t>
      </w:r>
      <w:r>
        <w:rPr>
          <w:rFonts w:hint="eastAsia" w:ascii="仿宋" w:hAnsi="仿宋" w:eastAsia="仿宋" w:cs="仿宋"/>
          <w:kern w:val="0"/>
          <w:sz w:val="32"/>
          <w:szCs w:val="32"/>
          <w:lang w:val="en-US" w:eastAsia="zh-CN" w:bidi="ar"/>
        </w:rPr>
        <w:t>指导全县教育科技体育系统干部人事制度改革、 统战工作、人才工作和干部培训工作。指导全县教育科技体育系统党建、廉政建设工作。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（二十三</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 xml:space="preserve">加强落实安全生产方面职责。组织、指导、监 </w:t>
      </w:r>
      <w:r>
        <w:rPr>
          <w:rFonts w:hint="eastAsia" w:ascii="仿宋" w:hAnsi="仿宋" w:eastAsia="仿宋" w:cs="仿宋"/>
          <w:kern w:val="0"/>
          <w:sz w:val="32"/>
          <w:szCs w:val="32"/>
          <w:lang w:val="en-US" w:eastAsia="zh-CN" w:bidi="ar"/>
        </w:rPr>
        <w:t>督检查全县各类学校安全管理和教育工作；牵头组织、指导协调全县各类学校安全事故应急救援工作。</w:t>
      </w:r>
    </w:p>
    <w:p>
      <w:pPr>
        <w:keepNext w:val="0"/>
        <w:keepLines w:val="0"/>
        <w:widowControl/>
        <w:suppressLineNumbers w:val="0"/>
        <w:autoSpaceDE w:val="0"/>
        <w:autoSpaceDN/>
        <w:spacing w:before="0" w:beforeAutospacing="1" w:after="0" w:afterAutospacing="1" w:line="420" w:lineRule="exact"/>
        <w:ind w:left="106" w:right="267" w:firstLine="640"/>
        <w:jc w:val="left"/>
      </w:pPr>
      <w:r>
        <w:rPr>
          <w:rFonts w:hint="eastAsia" w:ascii="仿宋" w:hAnsi="仿宋" w:eastAsia="仿宋" w:cs="仿宋"/>
          <w:spacing w:val="5"/>
          <w:kern w:val="0"/>
          <w:sz w:val="32"/>
          <w:szCs w:val="32"/>
          <w:lang w:val="en-US" w:eastAsia="zh-CN" w:bidi="ar"/>
        </w:rPr>
        <w:t>（二十四</w:t>
      </w:r>
      <w:r>
        <w:rPr>
          <w:rFonts w:hint="eastAsia" w:ascii="仿宋" w:hAnsi="仿宋" w:eastAsia="仿宋" w:cs="仿宋"/>
          <w:kern w:val="0"/>
          <w:sz w:val="32"/>
          <w:szCs w:val="32"/>
          <w:lang w:val="en-US" w:eastAsia="zh-CN" w:bidi="ar"/>
        </w:rPr>
        <w:t>）</w:t>
      </w:r>
      <w:r>
        <w:rPr>
          <w:rFonts w:hint="eastAsia" w:ascii="仿宋" w:hAnsi="仿宋" w:eastAsia="仿宋" w:cs="仿宋"/>
          <w:spacing w:val="2"/>
          <w:kern w:val="0"/>
          <w:sz w:val="32"/>
          <w:szCs w:val="32"/>
          <w:lang w:val="en-US" w:eastAsia="zh-CN" w:bidi="ar"/>
        </w:rPr>
        <w:t>落实生态环境保护方面职责</w:t>
      </w:r>
      <w:r>
        <w:rPr>
          <w:rFonts w:hint="eastAsia" w:ascii="仿宋" w:hAnsi="仿宋" w:eastAsia="仿宋" w:cs="仿宋"/>
          <w:kern w:val="0"/>
          <w:sz w:val="32"/>
          <w:szCs w:val="32"/>
          <w:lang w:val="en-US" w:eastAsia="zh-CN" w:bidi="ar"/>
        </w:rPr>
        <w:t>，培育学生的生态文明理念和环境保护意识。</w:t>
      </w:r>
    </w:p>
    <w:p>
      <w:pPr>
        <w:keepNext w:val="0"/>
        <w:keepLines w:val="0"/>
        <w:widowControl/>
        <w:suppressLineNumbers w:val="0"/>
        <w:autoSpaceDE w:val="0"/>
        <w:autoSpaceDN/>
        <w:spacing w:before="0" w:beforeAutospacing="1" w:after="0" w:afterAutospacing="1" w:line="420" w:lineRule="exact"/>
        <w:ind w:left="0" w:right="0" w:firstLine="640" w:firstLineChars="200"/>
        <w:jc w:val="left"/>
      </w:pPr>
      <w:r>
        <w:rPr>
          <w:rFonts w:hint="eastAsia" w:ascii="仿宋" w:hAnsi="仿宋" w:eastAsia="仿宋" w:cs="仿宋"/>
          <w:kern w:val="0"/>
          <w:sz w:val="32"/>
          <w:szCs w:val="32"/>
          <w:lang w:val="en-US" w:eastAsia="zh-CN" w:bidi="ar"/>
        </w:rPr>
        <w:t>（二十五）完成县委、县政府交办的其他任务。</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纳入本套单位决算汇编范围的单位共3个，包括：县教科体局机关和</w:t>
      </w:r>
      <w:r>
        <w:rPr>
          <w:rFonts w:hint="eastAsia" w:ascii="仿宋" w:hAnsi="仿宋" w:eastAsia="仿宋" w:cs="仿宋"/>
          <w:kern w:val="2"/>
          <w:sz w:val="32"/>
          <w:szCs w:val="32"/>
          <w:lang w:val="en-US" w:eastAsia="zh-CN" w:bidi="ar"/>
        </w:rPr>
        <w:t>2个下属机构，分别是宁都县教育体育事业发展中心，宁都县考试中心。</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本部门2021年年末实有人数98人，其中在职人员49人，离休人员0人，退休人员49人（不含由养老保险基金发放养老金的离退休人员）；年末其他人员0人。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977"/>
        <w:gridCol w:w="514"/>
        <w:gridCol w:w="886"/>
        <w:gridCol w:w="3467"/>
        <w:gridCol w:w="514"/>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7"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2"/>
                <w:szCs w:val="32"/>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3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5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9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299"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2700" w:type="pct"/>
            <w:gridSpan w:val="3"/>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一、一般公共预算财政拨款收入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一、一般公共服务支出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二、政府性基金预算财政拨款收入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二、外交支出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三、国有资本经营预算财政拨款收入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三、国防支出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四、上级补助收入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四、公共安全支出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五、事业收入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五、教育支出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六、经营收入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六、科学技术支出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七、附属单位上缴收入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七、文化旅游体育与传媒支出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八、其他收入</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八、社会保障和就业支出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九、卫生健康支出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十、节能环保支出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十一、城乡社区支出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十二、农林水支出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十三、交通运输支出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十四、资源勘探工业信息等支出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十五、商业服务业等支出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十六、金融支出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十七、援助其他地区支出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十八、自然资源海洋气象等支出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十九、住房保障支出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二十、粮油物资储备支出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二十一、国有资本经营预算支出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二十二、灾害防治及应急管理支出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二十三、其他支出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二十四、债务还本支出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二十五、债务付息支出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二十六、抗疫特别国债安排的支出</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本年支出合计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  使用非财政拨款结余</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  结余分配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  年初结转和结余</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2,998.50</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  年末结转和结余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8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59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158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3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79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5000" w:type="pct"/>
            <w:gridSpan w:val="6"/>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注：1.本表反映部门本年度的总收支和年末结转结余情况。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44"/>
        <w:gridCol w:w="328"/>
        <w:gridCol w:w="1278"/>
        <w:gridCol w:w="890"/>
        <w:gridCol w:w="890"/>
        <w:gridCol w:w="890"/>
        <w:gridCol w:w="665"/>
        <w:gridCol w:w="665"/>
        <w:gridCol w:w="441"/>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9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1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6"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525"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525"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财政拨款收入</w:t>
            </w:r>
          </w:p>
        </w:tc>
        <w:tc>
          <w:tcPr>
            <w:tcW w:w="525"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上级补助收入</w:t>
            </w:r>
          </w:p>
        </w:tc>
        <w:tc>
          <w:tcPr>
            <w:tcW w:w="374"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事业收入</w:t>
            </w:r>
          </w:p>
        </w:tc>
        <w:tc>
          <w:tcPr>
            <w:tcW w:w="374"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经营收入</w:t>
            </w:r>
          </w:p>
        </w:tc>
        <w:tc>
          <w:tcPr>
            <w:tcW w:w="224"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附属单位上缴收入</w:t>
            </w:r>
          </w:p>
        </w:tc>
        <w:tc>
          <w:tcPr>
            <w:tcW w:w="555"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785"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224" w:type="pct"/>
            <w:vMerge w:val="continue"/>
            <w:tcBorders>
              <w:left w:val="nil"/>
            </w:tcBorders>
            <w:shd w:val="clear"/>
            <w:vAlign w:val="center"/>
          </w:tcPr>
          <w:p>
            <w:pPr>
              <w:rPr>
                <w:rFonts w:hint="eastAsia" w:ascii="宋体"/>
                <w:sz w:val="24"/>
                <w:szCs w:val="24"/>
              </w:rPr>
            </w:pPr>
          </w:p>
        </w:tc>
        <w:tc>
          <w:tcPr>
            <w:tcW w:w="555"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111" w:type="pct"/>
            <w:gridSpan w:val="2"/>
            <w:vMerge w:val="continue"/>
            <w:tcBorders>
              <w:top w:val="nil"/>
            </w:tcBorders>
            <w:shd w:val="clear"/>
            <w:vAlign w:val="center"/>
          </w:tcPr>
          <w:p>
            <w:pPr>
              <w:rPr>
                <w:rFonts w:hint="eastAsia" w:ascii="宋体"/>
                <w:sz w:val="24"/>
                <w:szCs w:val="24"/>
              </w:rPr>
            </w:pPr>
          </w:p>
        </w:tc>
        <w:tc>
          <w:tcPr>
            <w:tcW w:w="785" w:type="pct"/>
            <w:vMerge w:val="continue"/>
            <w:tcBorders>
              <w:top w:val="nil"/>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224" w:type="pct"/>
            <w:vMerge w:val="continue"/>
            <w:tcBorders>
              <w:left w:val="nil"/>
            </w:tcBorders>
            <w:shd w:val="clear"/>
            <w:vAlign w:val="center"/>
          </w:tcPr>
          <w:p>
            <w:pPr>
              <w:rPr>
                <w:rFonts w:hint="eastAsia" w:ascii="宋体"/>
                <w:sz w:val="24"/>
                <w:szCs w:val="24"/>
              </w:rPr>
            </w:pPr>
          </w:p>
        </w:tc>
        <w:tc>
          <w:tcPr>
            <w:tcW w:w="555"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vMerge w:val="continue"/>
            <w:tcBorders>
              <w:top w:val="nil"/>
            </w:tcBorders>
            <w:shd w:val="clear"/>
            <w:vAlign w:val="center"/>
          </w:tcPr>
          <w:p>
            <w:pPr>
              <w:rPr>
                <w:rFonts w:hint="eastAsia" w:ascii="宋体"/>
                <w:sz w:val="24"/>
                <w:szCs w:val="24"/>
              </w:rPr>
            </w:pPr>
          </w:p>
        </w:tc>
        <w:tc>
          <w:tcPr>
            <w:tcW w:w="785" w:type="pct"/>
            <w:vMerge w:val="continue"/>
            <w:tcBorders>
              <w:top w:val="nil"/>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525"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374" w:type="pct"/>
            <w:vMerge w:val="continue"/>
            <w:tcBorders>
              <w:left w:val="nil"/>
            </w:tcBorders>
            <w:shd w:val="clear"/>
            <w:noWrap/>
            <w:vAlign w:val="center"/>
          </w:tcPr>
          <w:p>
            <w:pPr>
              <w:rPr>
                <w:rFonts w:hint="eastAsia" w:ascii="宋体"/>
                <w:sz w:val="24"/>
                <w:szCs w:val="24"/>
              </w:rPr>
            </w:pPr>
          </w:p>
        </w:tc>
        <w:tc>
          <w:tcPr>
            <w:tcW w:w="224" w:type="pct"/>
            <w:vMerge w:val="continue"/>
            <w:tcBorders>
              <w:left w:val="nil"/>
            </w:tcBorders>
            <w:shd w:val="clear"/>
            <w:vAlign w:val="center"/>
          </w:tcPr>
          <w:p>
            <w:pPr>
              <w:rPr>
                <w:rFonts w:hint="eastAsia" w:ascii="宋体"/>
                <w:sz w:val="24"/>
                <w:szCs w:val="24"/>
              </w:rPr>
            </w:pPr>
          </w:p>
        </w:tc>
        <w:tc>
          <w:tcPr>
            <w:tcW w:w="555"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1"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49"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61" w:type="pct"/>
            <w:vMerge w:val="continue"/>
            <w:tcBorders>
              <w:top w:val="nil"/>
            </w:tcBorders>
            <w:shd w:val="clear"/>
            <w:noWrap/>
            <w:vAlign w:val="center"/>
          </w:tcPr>
          <w:p>
            <w:pPr>
              <w:rPr>
                <w:rFonts w:hint="eastAsia" w:ascii="宋体"/>
                <w:sz w:val="24"/>
                <w:szCs w:val="24"/>
              </w:rPr>
            </w:pPr>
          </w:p>
        </w:tc>
        <w:tc>
          <w:tcPr>
            <w:tcW w:w="149" w:type="pct"/>
            <w:vMerge w:val="continue"/>
            <w:tcBorders>
              <w:top w:val="nil"/>
              <w:left w:val="nil"/>
            </w:tcBorders>
            <w:shd w:val="clear"/>
            <w:noWrap/>
            <w:vAlign w:val="center"/>
          </w:tcPr>
          <w:p>
            <w:pPr>
              <w:rPr>
                <w:rFonts w:hint="eastAsia" w:ascii="宋体"/>
                <w:sz w:val="24"/>
                <w:szCs w:val="24"/>
              </w:rPr>
            </w:pP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教育支出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65,908.77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65,908.77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20501</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教育管理事务</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725.48</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725.48</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2050101</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  行政运行</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445.80</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445.80</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2050199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  其他教育管理事务支出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279.68</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279.68</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20502</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普通教育</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49,999.67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49,999.67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2050299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  其他普通教育支出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49,999.67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49,999.67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教育费附加安排的支出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1,310.37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1,310.37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2050999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  其他教育费附加安排的支出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1,310.37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1,310.37</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20599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其他教育支出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13,873.25</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13,873.25</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2059999</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  其他教育支出</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13,873.25</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13,873.25</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11"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5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7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22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55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35"/>
        <w:gridCol w:w="345"/>
        <w:gridCol w:w="345"/>
        <w:gridCol w:w="1735"/>
        <w:gridCol w:w="794"/>
        <w:gridCol w:w="794"/>
        <w:gridCol w:w="794"/>
        <w:gridCol w:w="473"/>
        <w:gridCol w:w="473"/>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0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1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4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90"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461"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461"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461"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25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上缴上级支出</w:t>
            </w:r>
          </w:p>
        </w:tc>
        <w:tc>
          <w:tcPr>
            <w:tcW w:w="25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经营支出</w:t>
            </w:r>
          </w:p>
        </w:tc>
        <w:tc>
          <w:tcPr>
            <w:tcW w:w="622"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1078"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622"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vMerge w:val="continue"/>
            <w:tcBorders>
              <w:top w:val="nil"/>
            </w:tcBorders>
            <w:shd w:val="clear"/>
            <w:vAlign w:val="center"/>
          </w:tcPr>
          <w:p>
            <w:pPr>
              <w:rPr>
                <w:rFonts w:hint="eastAsia" w:ascii="宋体"/>
                <w:sz w:val="24"/>
                <w:szCs w:val="24"/>
              </w:rPr>
            </w:pPr>
          </w:p>
        </w:tc>
        <w:tc>
          <w:tcPr>
            <w:tcW w:w="1078" w:type="pct"/>
            <w:vMerge w:val="continue"/>
            <w:tcBorders>
              <w:top w:val="nil"/>
              <w:left w:val="nil"/>
            </w:tcBorders>
            <w:shd w:val="clear"/>
            <w:noWrap/>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622"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vMerge w:val="continue"/>
            <w:tcBorders>
              <w:top w:val="nil"/>
            </w:tcBorders>
            <w:shd w:val="clear"/>
            <w:vAlign w:val="center"/>
          </w:tcPr>
          <w:p>
            <w:pPr>
              <w:rPr>
                <w:rFonts w:hint="eastAsia" w:ascii="宋体"/>
                <w:sz w:val="24"/>
                <w:szCs w:val="24"/>
              </w:rPr>
            </w:pPr>
          </w:p>
        </w:tc>
        <w:tc>
          <w:tcPr>
            <w:tcW w:w="1078" w:type="pct"/>
            <w:vMerge w:val="continue"/>
            <w:tcBorders>
              <w:top w:val="nil"/>
              <w:left w:val="nil"/>
            </w:tcBorders>
            <w:shd w:val="clear"/>
            <w:noWrap/>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461"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250" w:type="pct"/>
            <w:vMerge w:val="continue"/>
            <w:tcBorders>
              <w:left w:val="nil"/>
            </w:tcBorders>
            <w:shd w:val="clear"/>
            <w:vAlign w:val="center"/>
          </w:tcPr>
          <w:p>
            <w:pPr>
              <w:rPr>
                <w:rFonts w:hint="eastAsia" w:ascii="宋体"/>
                <w:sz w:val="24"/>
                <w:szCs w:val="24"/>
              </w:rPr>
            </w:pPr>
          </w:p>
        </w:tc>
        <w:tc>
          <w:tcPr>
            <w:tcW w:w="622"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8"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6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66"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8" w:type="pct"/>
            <w:vMerge w:val="continue"/>
            <w:tcBorders>
              <w:top w:val="nil"/>
            </w:tcBorders>
            <w:shd w:val="clear"/>
            <w:noWrap/>
            <w:vAlign w:val="center"/>
          </w:tcPr>
          <w:p>
            <w:pPr>
              <w:rPr>
                <w:rFonts w:hint="eastAsia" w:ascii="宋体"/>
                <w:sz w:val="24"/>
                <w:szCs w:val="24"/>
              </w:rPr>
            </w:pPr>
          </w:p>
        </w:tc>
        <w:tc>
          <w:tcPr>
            <w:tcW w:w="166" w:type="pct"/>
            <w:vMerge w:val="continue"/>
            <w:tcBorders>
              <w:top w:val="nil"/>
              <w:left w:val="nil"/>
            </w:tcBorders>
            <w:shd w:val="clear"/>
            <w:noWrap/>
            <w:vAlign w:val="center"/>
          </w:tcPr>
          <w:p>
            <w:pPr>
              <w:rPr>
                <w:rFonts w:hint="eastAsia" w:ascii="宋体"/>
                <w:sz w:val="24"/>
                <w:szCs w:val="24"/>
              </w:rPr>
            </w:pPr>
          </w:p>
        </w:tc>
        <w:tc>
          <w:tcPr>
            <w:tcW w:w="166" w:type="pct"/>
            <w:vMerge w:val="continue"/>
            <w:tcBorders>
              <w:top w:val="nil"/>
              <w:left w:val="nil"/>
            </w:tcBorders>
            <w:shd w:val="clear"/>
            <w:noWrap/>
            <w:vAlign w:val="center"/>
          </w:tcPr>
          <w:p>
            <w:pPr>
              <w:rPr>
                <w:rFonts w:hint="eastAsia" w:ascii="宋体"/>
                <w:sz w:val="24"/>
                <w:szCs w:val="24"/>
              </w:rPr>
            </w:pP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25,072.51</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43,834.76</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25,072.51</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43,834.76</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20501</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教育管理事务</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725.48</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725.48</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2050101</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  行政运行</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445.80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445.80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2050199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  其他教育管理事务支出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279.68</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279.68</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20502</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普通教育</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52,998.17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24,347.03</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28,651.14</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2050299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  其他普通教育支出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52,998.17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24,347.03</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28,651.14</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教育费附加安排的支出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2050999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  其他教育费附加安排的支出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20599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其他教育支出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2059999</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  其他教育支出</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1"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6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2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85"/>
        <w:gridCol w:w="357"/>
        <w:gridCol w:w="851"/>
        <w:gridCol w:w="1756"/>
        <w:gridCol w:w="357"/>
        <w:gridCol w:w="851"/>
        <w:gridCol w:w="851"/>
        <w:gridCol w:w="499"/>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7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827"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3172" w:type="pct"/>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54"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78"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494"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金额</w:t>
            </w:r>
          </w:p>
        </w:tc>
        <w:tc>
          <w:tcPr>
            <w:tcW w:w="107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178"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494"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494"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一般公共预算财政拨款</w:t>
            </w:r>
          </w:p>
        </w:tc>
        <w:tc>
          <w:tcPr>
            <w:tcW w:w="268"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政府性基金预算财政拨款</w:t>
            </w:r>
          </w:p>
        </w:tc>
        <w:tc>
          <w:tcPr>
            <w:tcW w:w="665"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1154" w:type="pct"/>
            <w:vMerge w:val="continue"/>
            <w:tcBorders>
              <w:top w:val="nil"/>
            </w:tcBorders>
            <w:shd w:val="clear"/>
            <w:noWrap/>
            <w:vAlign w:val="center"/>
          </w:tcPr>
          <w:p>
            <w:pPr>
              <w:rPr>
                <w:rFonts w:hint="eastAsia" w:ascii="宋体"/>
                <w:sz w:val="24"/>
                <w:szCs w:val="24"/>
              </w:rPr>
            </w:pPr>
          </w:p>
        </w:tc>
        <w:tc>
          <w:tcPr>
            <w:tcW w:w="178" w:type="pct"/>
            <w:vMerge w:val="continue"/>
            <w:tcBorders>
              <w:top w:val="nil"/>
              <w:left w:val="nil"/>
            </w:tcBorders>
            <w:shd w:val="clear"/>
            <w:vAlign w:val="center"/>
          </w:tcPr>
          <w:p>
            <w:pPr>
              <w:rPr>
                <w:rFonts w:hint="eastAsia" w:ascii="宋体"/>
                <w:sz w:val="24"/>
                <w:szCs w:val="24"/>
              </w:rPr>
            </w:pPr>
          </w:p>
        </w:tc>
        <w:tc>
          <w:tcPr>
            <w:tcW w:w="494" w:type="pct"/>
            <w:vMerge w:val="continue"/>
            <w:tcBorders>
              <w:top w:val="nil"/>
              <w:left w:val="nil"/>
            </w:tcBorders>
            <w:shd w:val="clear"/>
            <w:vAlign w:val="center"/>
          </w:tcPr>
          <w:p>
            <w:pPr>
              <w:rPr>
                <w:rFonts w:hint="eastAsia" w:ascii="宋体"/>
                <w:sz w:val="24"/>
                <w:szCs w:val="24"/>
              </w:rPr>
            </w:pPr>
          </w:p>
        </w:tc>
        <w:tc>
          <w:tcPr>
            <w:tcW w:w="1072" w:type="pct"/>
            <w:vMerge w:val="continue"/>
            <w:tcBorders>
              <w:top w:val="nil"/>
              <w:left w:val="nil"/>
            </w:tcBorders>
            <w:shd w:val="clear"/>
            <w:noWrap/>
            <w:vAlign w:val="center"/>
          </w:tcPr>
          <w:p>
            <w:pPr>
              <w:rPr>
                <w:rFonts w:hint="eastAsia" w:ascii="宋体"/>
                <w:sz w:val="24"/>
                <w:szCs w:val="24"/>
              </w:rPr>
            </w:pPr>
          </w:p>
        </w:tc>
        <w:tc>
          <w:tcPr>
            <w:tcW w:w="178" w:type="pct"/>
            <w:vMerge w:val="continue"/>
            <w:tcBorders>
              <w:top w:val="nil"/>
              <w:left w:val="nil"/>
            </w:tcBorders>
            <w:shd w:val="clear"/>
            <w:vAlign w:val="center"/>
          </w:tcPr>
          <w:p>
            <w:pPr>
              <w:rPr>
                <w:rFonts w:hint="eastAsia" w:ascii="宋体"/>
                <w:sz w:val="24"/>
                <w:szCs w:val="24"/>
              </w:rPr>
            </w:pPr>
          </w:p>
        </w:tc>
        <w:tc>
          <w:tcPr>
            <w:tcW w:w="494" w:type="pct"/>
            <w:vMerge w:val="continue"/>
            <w:tcBorders>
              <w:top w:val="nil"/>
              <w:left w:val="nil"/>
            </w:tcBorders>
            <w:shd w:val="clear"/>
            <w:noWrap/>
            <w:vAlign w:val="center"/>
          </w:tcPr>
          <w:p>
            <w:pPr>
              <w:rPr>
                <w:rFonts w:hint="eastAsia" w:ascii="宋体"/>
                <w:sz w:val="24"/>
                <w:szCs w:val="24"/>
              </w:rPr>
            </w:pPr>
          </w:p>
        </w:tc>
        <w:tc>
          <w:tcPr>
            <w:tcW w:w="494" w:type="pct"/>
            <w:vMerge w:val="continue"/>
            <w:tcBorders>
              <w:top w:val="nil"/>
              <w:left w:val="nil"/>
            </w:tcBorders>
            <w:shd w:val="clear"/>
            <w:vAlign w:val="center"/>
          </w:tcPr>
          <w:p>
            <w:pPr>
              <w:rPr>
                <w:rFonts w:hint="eastAsia" w:ascii="宋体"/>
                <w:sz w:val="24"/>
                <w:szCs w:val="24"/>
              </w:rPr>
            </w:pPr>
          </w:p>
        </w:tc>
        <w:tc>
          <w:tcPr>
            <w:tcW w:w="268" w:type="pct"/>
            <w:vMerge w:val="continue"/>
            <w:tcBorders>
              <w:top w:val="nil"/>
              <w:left w:val="nil"/>
            </w:tcBorders>
            <w:shd w:val="clear"/>
            <w:vAlign w:val="center"/>
          </w:tcPr>
          <w:p>
            <w:pPr>
              <w:rPr>
                <w:rFonts w:hint="eastAsia" w:ascii="宋体"/>
                <w:sz w:val="24"/>
                <w:szCs w:val="24"/>
              </w:rPr>
            </w:pPr>
          </w:p>
        </w:tc>
        <w:tc>
          <w:tcPr>
            <w:tcW w:w="665" w:type="pct"/>
            <w:vMerge w:val="continue"/>
            <w:tcBorders>
              <w:top w:val="nil"/>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栏    次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栏    次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一、一般公共服务支出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二、政府性基金预算财政拨款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二、外交支出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三、国有资本经营预算财政拨款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三、国防支出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四、公共安全支出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五、教育支出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六、科学技术支出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七、文化旅游体育与传媒支出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八、社会保障和就业支出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九、卫生健康支出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十、节能环保支出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十一、城乡社区支出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十二、农林水支出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十三、交通运输支出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十四、资源勘探工业信息等支出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十五、商业服务业等支出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十六、金融支出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十七、援助其他地区支出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十八、自然资源海洋气象等支出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十九、住房保障支出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二十、粮油物资储备支出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二十一、国有资本经营预算支出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二十二、灾害防治及应急管理支出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二十三、其他支出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二十四、债务还本支出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二十五、债务付息支出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二十六、抗疫特别国债安排的支出</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本年收入合计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65,908.77</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本年支出合计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年初财政拨款结转和结余</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2,998.50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年末财政拨款结转和结余</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2,998.50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二、政府性基金预算财政拨款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三、国有资本经营预算财政拨款</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63</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5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8"/>
                <w:szCs w:val="18"/>
                <w:bdr w:val="none" w:color="auto" w:sz="0" w:space="0"/>
                <w:lang w:val="en-US" w:eastAsia="zh-CN" w:bidi="ar"/>
              </w:rPr>
              <w:t>总计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107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总计</w:t>
            </w:r>
          </w:p>
        </w:tc>
        <w:tc>
          <w:tcPr>
            <w:tcW w:w="17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64</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49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2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6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13"/>
        <w:gridCol w:w="376"/>
        <w:gridCol w:w="376"/>
        <w:gridCol w:w="2302"/>
        <w:gridCol w:w="1179"/>
        <w:gridCol w:w="938"/>
        <w:gridCol w:w="1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2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3039"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689"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542"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728"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138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689" w:type="pct"/>
            <w:vMerge w:val="continue"/>
            <w:tcBorders>
              <w:left w:val="nil"/>
            </w:tcBorders>
            <w:shd w:val="clear"/>
            <w:noWrap/>
            <w:vAlign w:val="center"/>
          </w:tcPr>
          <w:p>
            <w:pPr>
              <w:rPr>
                <w:rFonts w:hint="eastAsia" w:ascii="宋体"/>
                <w:sz w:val="24"/>
                <w:szCs w:val="24"/>
              </w:rPr>
            </w:pPr>
          </w:p>
        </w:tc>
        <w:tc>
          <w:tcPr>
            <w:tcW w:w="542" w:type="pct"/>
            <w:vMerge w:val="continue"/>
            <w:tcBorders>
              <w:left w:val="nil"/>
            </w:tcBorders>
            <w:shd w:val="clear"/>
            <w:noWrap/>
            <w:vAlign w:val="center"/>
          </w:tcPr>
          <w:p>
            <w:pPr>
              <w:rPr>
                <w:rFonts w:hint="eastAsia" w:ascii="宋体"/>
                <w:sz w:val="24"/>
                <w:szCs w:val="24"/>
              </w:rPr>
            </w:pPr>
          </w:p>
        </w:tc>
        <w:tc>
          <w:tcPr>
            <w:tcW w:w="728"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657" w:type="pct"/>
            <w:gridSpan w:val="3"/>
            <w:vMerge w:val="continue"/>
            <w:tcBorders>
              <w:top w:val="nil"/>
            </w:tcBorders>
            <w:shd w:val="clear"/>
            <w:vAlign w:val="center"/>
          </w:tcPr>
          <w:p>
            <w:pPr>
              <w:rPr>
                <w:rFonts w:hint="eastAsia" w:ascii="宋体"/>
                <w:sz w:val="24"/>
                <w:szCs w:val="24"/>
              </w:rPr>
            </w:pPr>
          </w:p>
        </w:tc>
        <w:tc>
          <w:tcPr>
            <w:tcW w:w="1382" w:type="pct"/>
            <w:vMerge w:val="continue"/>
            <w:tcBorders>
              <w:top w:val="nil"/>
              <w:left w:val="nil"/>
            </w:tcBorders>
            <w:shd w:val="clear"/>
            <w:noWrap/>
            <w:vAlign w:val="center"/>
          </w:tcPr>
          <w:p>
            <w:pPr>
              <w:rPr>
                <w:rFonts w:hint="eastAsia" w:ascii="宋体"/>
                <w:sz w:val="24"/>
                <w:szCs w:val="24"/>
              </w:rPr>
            </w:pPr>
          </w:p>
        </w:tc>
        <w:tc>
          <w:tcPr>
            <w:tcW w:w="689" w:type="pct"/>
            <w:vMerge w:val="continue"/>
            <w:tcBorders>
              <w:left w:val="nil"/>
            </w:tcBorders>
            <w:shd w:val="clear"/>
            <w:noWrap/>
            <w:vAlign w:val="center"/>
          </w:tcPr>
          <w:p>
            <w:pPr>
              <w:rPr>
                <w:rFonts w:hint="eastAsia" w:ascii="宋体"/>
                <w:sz w:val="24"/>
                <w:szCs w:val="24"/>
              </w:rPr>
            </w:pPr>
          </w:p>
        </w:tc>
        <w:tc>
          <w:tcPr>
            <w:tcW w:w="542" w:type="pct"/>
            <w:vMerge w:val="continue"/>
            <w:tcBorders>
              <w:left w:val="nil"/>
            </w:tcBorders>
            <w:shd w:val="clear"/>
            <w:noWrap/>
            <w:vAlign w:val="center"/>
          </w:tcPr>
          <w:p>
            <w:pPr>
              <w:rPr>
                <w:rFonts w:hint="eastAsia" w:ascii="宋体"/>
                <w:sz w:val="24"/>
                <w:szCs w:val="24"/>
              </w:rPr>
            </w:pPr>
          </w:p>
        </w:tc>
        <w:tc>
          <w:tcPr>
            <w:tcW w:w="728"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vMerge w:val="continue"/>
            <w:tcBorders>
              <w:top w:val="nil"/>
            </w:tcBorders>
            <w:shd w:val="clear"/>
            <w:vAlign w:val="center"/>
          </w:tcPr>
          <w:p>
            <w:pPr>
              <w:rPr>
                <w:rFonts w:hint="eastAsia" w:ascii="宋体"/>
                <w:sz w:val="24"/>
                <w:szCs w:val="24"/>
              </w:rPr>
            </w:pPr>
          </w:p>
        </w:tc>
        <w:tc>
          <w:tcPr>
            <w:tcW w:w="1382" w:type="pct"/>
            <w:vMerge w:val="continue"/>
            <w:tcBorders>
              <w:top w:val="nil"/>
              <w:left w:val="nil"/>
            </w:tcBorders>
            <w:shd w:val="clear"/>
            <w:noWrap/>
            <w:vAlign w:val="center"/>
          </w:tcPr>
          <w:p>
            <w:pPr>
              <w:rPr>
                <w:rFonts w:hint="eastAsia" w:ascii="宋体"/>
                <w:sz w:val="24"/>
                <w:szCs w:val="24"/>
              </w:rPr>
            </w:pPr>
          </w:p>
        </w:tc>
        <w:tc>
          <w:tcPr>
            <w:tcW w:w="689" w:type="pct"/>
            <w:vMerge w:val="continue"/>
            <w:tcBorders>
              <w:left w:val="nil"/>
            </w:tcBorders>
            <w:shd w:val="clear"/>
            <w:noWrap/>
            <w:vAlign w:val="center"/>
          </w:tcPr>
          <w:p>
            <w:pPr>
              <w:rPr>
                <w:rFonts w:hint="eastAsia" w:ascii="宋体"/>
                <w:sz w:val="24"/>
                <w:szCs w:val="24"/>
              </w:rPr>
            </w:pPr>
          </w:p>
        </w:tc>
        <w:tc>
          <w:tcPr>
            <w:tcW w:w="542" w:type="pct"/>
            <w:vMerge w:val="continue"/>
            <w:tcBorders>
              <w:left w:val="nil"/>
            </w:tcBorders>
            <w:shd w:val="clear"/>
            <w:noWrap/>
            <w:vAlign w:val="center"/>
          </w:tcPr>
          <w:p>
            <w:pPr>
              <w:rPr>
                <w:rFonts w:hint="eastAsia" w:ascii="宋体"/>
                <w:sz w:val="24"/>
                <w:szCs w:val="24"/>
              </w:rPr>
            </w:pPr>
          </w:p>
        </w:tc>
        <w:tc>
          <w:tcPr>
            <w:tcW w:w="728" w:type="pct"/>
            <w:vMerge w:val="continue"/>
            <w:tcBorders>
              <w:left w:val="nil"/>
            </w:tcBorders>
            <w:shd w:val="clear"/>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265"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195"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195"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65" w:type="pct"/>
            <w:vMerge w:val="continue"/>
            <w:tcBorders>
              <w:top w:val="nil"/>
            </w:tcBorders>
            <w:shd w:val="clear"/>
            <w:noWrap/>
            <w:vAlign w:val="center"/>
          </w:tcPr>
          <w:p>
            <w:pPr>
              <w:rPr>
                <w:rFonts w:hint="eastAsia" w:ascii="宋体"/>
                <w:sz w:val="24"/>
                <w:szCs w:val="24"/>
              </w:rPr>
            </w:pPr>
          </w:p>
        </w:tc>
        <w:tc>
          <w:tcPr>
            <w:tcW w:w="195" w:type="pct"/>
            <w:vMerge w:val="continue"/>
            <w:tcBorders>
              <w:top w:val="nil"/>
              <w:left w:val="nil"/>
            </w:tcBorders>
            <w:shd w:val="clear"/>
            <w:noWrap/>
            <w:vAlign w:val="center"/>
          </w:tcPr>
          <w:p>
            <w:pPr>
              <w:rPr>
                <w:rFonts w:hint="eastAsia" w:ascii="宋体"/>
                <w:sz w:val="24"/>
                <w:szCs w:val="24"/>
              </w:rPr>
            </w:pPr>
          </w:p>
        </w:tc>
        <w:tc>
          <w:tcPr>
            <w:tcW w:w="195" w:type="pct"/>
            <w:vMerge w:val="continue"/>
            <w:tcBorders>
              <w:top w:val="nil"/>
              <w:left w:val="nil"/>
            </w:tcBorders>
            <w:shd w:val="clear"/>
            <w:noWrap/>
            <w:vAlign w:val="center"/>
          </w:tcPr>
          <w:p>
            <w:pPr>
              <w:rPr>
                <w:rFonts w:hint="eastAsia" w:ascii="宋体"/>
                <w:sz w:val="24"/>
                <w:szCs w:val="24"/>
              </w:rPr>
            </w:pP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25,072.51</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43,834.76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68,907.27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25,072.51</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43,834.76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20501</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教育管理事务</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725.48</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725.48</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2050101</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  行政运行</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445.80</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445.80</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2050199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  其他教育管理事务支出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279.68</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279.68</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52,998.17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24,347.03</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28,651.14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2050299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  其他普通教育支出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52,998.17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24,347.03</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28,651.14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教育费附加安排的支出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2050999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  其他教育费附加安排的支出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20599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其他教育支出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2059999</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  其他教育支出</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13,873.25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8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8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4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2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59"/>
        <w:gridCol w:w="719"/>
        <w:gridCol w:w="782"/>
        <w:gridCol w:w="530"/>
        <w:gridCol w:w="884"/>
        <w:gridCol w:w="719"/>
        <w:gridCol w:w="593"/>
        <w:gridCol w:w="719"/>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1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32"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人员经费</w:t>
            </w:r>
          </w:p>
        </w:tc>
        <w:tc>
          <w:tcPr>
            <w:tcW w:w="2766" w:type="pct"/>
            <w:gridSpan w:val="6"/>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8" w:hRule="atLeast"/>
        </w:trPr>
        <w:tc>
          <w:tcPr>
            <w:tcW w:w="1364" w:type="pc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298"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51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337"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工资福利支出</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4,658.70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302</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商品和服务支出</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5,738.70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307</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债务利息及费用支出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9"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  基本工资</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2,566.05</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30201</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  办公费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30.77</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  国内债务付息</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  津贴补贴</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102.35</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30202</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  印刷费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2.15</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  国外债务付息</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  奖金</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55.84</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30203</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  咨询费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  国内债务发行费用</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30106</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  伙食补助费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30204</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  手续费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30704</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  国外债务发行费用</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30107</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  绩效工资</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559.70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30205</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  水费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5.65</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310</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资本性支出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794.51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30108</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  机关事业单位基本养老保险缴费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1,077.49</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30206</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  电费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10.60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  房屋建筑物购建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30109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  职业年金缴费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30207</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  邮电费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2.30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  办公设备购置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30110</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  职工基本医疗保险缴费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289.54</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30208</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  取暖费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5.72</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  专用设备购置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765.50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  公务员医疗补助缴款</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30209</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  物业管理费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31005</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  基础设施建设</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  其他社会保障缴费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1.80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30211</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  差旅费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6.90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31006</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  大型修缮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  住房公积金</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30212</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  因公出国（境）费用</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31007</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  信息网络及软件购置更新</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30114</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  医疗费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30213</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  维修（护）费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5,470.80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31008</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  物资储备</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30199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  其他工资福利支出</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5.93</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30214</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  租赁费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31009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  土地补偿</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对个人和家庭的补助</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13,880.60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30215</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  会议费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31010</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  安置补助</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  离休费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30216</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  培训费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144.85</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310111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  地上附着物和青苗补偿</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  退休费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30217</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  公务接待费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25.27</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  拆迁补偿</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  退职（役）费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30218</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  专用材料费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  公务用车购置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30304</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  抚恤金</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30224</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  被装购置费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31019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  其他交通工具购置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30305</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  生活补贴</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7,335.20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30225</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  专用燃料费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31021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  文物和陈列品购置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30306</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  救济费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30226</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  劳务费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31022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  无形资产购置</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30307</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  医疗费补助</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30227</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  委托业务费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31099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  其他资本性支出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30308</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  助学金</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3,546.90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30228</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  工会经费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1.50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312</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对企业补助</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30309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  奖励金</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30229</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  福利费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1.20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  资本金注入</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30310</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  个人农业生产补贴</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30231</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  公务用车运行维护费</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31203</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  政府投资基金股权投资</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30311</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代缴社会保险费</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30239</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  其他交通费用</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15.00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31204</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  费用补贴</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30399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  其他对个人和家庭的补助支出</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2,998.50</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30240</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  税金及附加费用</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31205</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  利息补贴</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30299</w:t>
            </w:r>
          </w:p>
        </w:tc>
        <w:tc>
          <w:tcPr>
            <w:tcW w:w="516"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  其他商品和服务支出</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16.00</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31299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  其他对企业补助</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16"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399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6"/>
                <w:szCs w:val="16"/>
                <w:bdr w:val="none" w:color="auto" w:sz="0" w:space="0"/>
                <w:lang w:val="en-US" w:eastAsia="zh-CN" w:bidi="ar"/>
              </w:rPr>
              <w:t>其他支出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16"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39906</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  赠与</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364" w:type="pct"/>
            <w:tcBorders>
              <w:top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16"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39907</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  国家赔偿费用支出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16"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39908</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  对民间非营利组织和群众性自治组织补贴</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64" w:type="pct"/>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298"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16" w:type="pct"/>
            <w:tcBorders>
              <w:top w:val="nil"/>
              <w:lef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41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337"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39999</w:t>
            </w:r>
          </w:p>
        </w:tc>
        <w:tc>
          <w:tcPr>
            <w:tcW w:w="414" w:type="pct"/>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  其他支出</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779" w:type="pct"/>
            <w:gridSpan w:val="2"/>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人员经费合计</w:t>
            </w:r>
          </w:p>
        </w:tc>
        <w:tc>
          <w:tcPr>
            <w:tcW w:w="45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18,539.30</w:t>
            </w:r>
          </w:p>
        </w:tc>
        <w:tc>
          <w:tcPr>
            <w:tcW w:w="1981" w:type="pct"/>
            <w:gridSpan w:val="5"/>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公用支出合计</w:t>
            </w:r>
          </w:p>
        </w:tc>
        <w:tc>
          <w:tcPr>
            <w:tcW w:w="78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6,533.21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注：本表反映部门本年度一般公共预算财政拨款基本支出明细情况。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14"/>
        <w:gridCol w:w="1173"/>
        <w:gridCol w:w="1449"/>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6"/>
                <w:szCs w:val="36"/>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414" w:type="pct"/>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w:t>
            </w:r>
          </w:p>
        </w:tc>
        <w:tc>
          <w:tcPr>
            <w:tcW w:w="688"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50"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年初预算数</w:t>
            </w:r>
          </w:p>
        </w:tc>
        <w:tc>
          <w:tcPr>
            <w:tcW w:w="1046"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一、“三公”经费支出</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  2.公务用车购置及运行维护费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    （1）公务用车购置费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    （2）公务用车运行维护费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  3.公务接待费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26.00</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    （1）国内接待费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    （2）国（境）外接待费</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二、相关统计数</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  1.因公出国（境）团组数（个）</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  2.因公出国（境）人次数（人）</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  3.公务用车购置数（辆）</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  4.公务用车保有量（辆）</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  5.国内公务接待批次（个）</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    其中：外事接待批次（个）</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  6.国内公务接待人次（人）</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    其中：外事接待人次（人）</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  7.国（境）外公务接待批次（个）</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  8.国（境）外公务接待人次（人）</w:t>
            </w:r>
          </w:p>
        </w:tc>
        <w:tc>
          <w:tcPr>
            <w:tcW w:w="68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85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046"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35"/>
        <w:gridCol w:w="378"/>
        <w:gridCol w:w="378"/>
        <w:gridCol w:w="865"/>
        <w:gridCol w:w="378"/>
        <w:gridCol w:w="865"/>
        <w:gridCol w:w="541"/>
        <w:gridCol w:w="866"/>
        <w:gridCol w:w="86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0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0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217"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20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年初结转和结余</w:t>
            </w:r>
          </w:p>
        </w:tc>
        <w:tc>
          <w:tcPr>
            <w:tcW w:w="508" w:type="pct"/>
            <w:vMerge w:val="restar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w:t>
            </w:r>
          </w:p>
        </w:tc>
        <w:tc>
          <w:tcPr>
            <w:tcW w:w="1320" w:type="pct"/>
            <w:gridSpan w:val="3"/>
            <w:tcBorders>
              <w:left w:val="nil"/>
              <w:bottom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w:t>
            </w:r>
          </w:p>
        </w:tc>
        <w:tc>
          <w:tcPr>
            <w:tcW w:w="751"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9"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508"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200" w:type="pct"/>
            <w:vMerge w:val="continue"/>
            <w:tcBorders>
              <w:left w:val="nil"/>
            </w:tcBorders>
            <w:shd w:val="clear"/>
            <w:vAlign w:val="center"/>
          </w:tcPr>
          <w:p>
            <w:pPr>
              <w:rPr>
                <w:rFonts w:hint="eastAsia" w:ascii="宋体"/>
                <w:sz w:val="24"/>
                <w:szCs w:val="24"/>
              </w:rPr>
            </w:pPr>
          </w:p>
        </w:tc>
        <w:tc>
          <w:tcPr>
            <w:tcW w:w="508" w:type="pct"/>
            <w:vMerge w:val="continue"/>
            <w:tcBorders>
              <w:left w:val="nil"/>
            </w:tcBorders>
            <w:shd w:val="clear"/>
            <w:noWrap/>
            <w:vAlign w:val="center"/>
          </w:tcPr>
          <w:p>
            <w:pPr>
              <w:rPr>
                <w:rFonts w:hint="eastAsia" w:ascii="宋体"/>
                <w:sz w:val="24"/>
                <w:szCs w:val="24"/>
              </w:rPr>
            </w:pPr>
          </w:p>
        </w:tc>
        <w:tc>
          <w:tcPr>
            <w:tcW w:w="302"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小计</w:t>
            </w:r>
          </w:p>
        </w:tc>
        <w:tc>
          <w:tcPr>
            <w:tcW w:w="508"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508"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751"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9" w:type="pct"/>
            <w:gridSpan w:val="3"/>
            <w:vMerge w:val="continue"/>
            <w:tcBorders>
              <w:top w:val="nil"/>
            </w:tcBorders>
            <w:shd w:val="clear"/>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200" w:type="pct"/>
            <w:vMerge w:val="continue"/>
            <w:tcBorders>
              <w:left w:val="nil"/>
            </w:tcBorders>
            <w:shd w:val="clear"/>
            <w:vAlign w:val="center"/>
          </w:tcPr>
          <w:p>
            <w:pPr>
              <w:rPr>
                <w:rFonts w:hint="eastAsia" w:ascii="宋体"/>
                <w:sz w:val="24"/>
                <w:szCs w:val="24"/>
              </w:rPr>
            </w:pPr>
          </w:p>
        </w:tc>
        <w:tc>
          <w:tcPr>
            <w:tcW w:w="508" w:type="pct"/>
            <w:vMerge w:val="continue"/>
            <w:tcBorders>
              <w:left w:val="nil"/>
            </w:tcBorders>
            <w:shd w:val="clear"/>
            <w:noWrap/>
            <w:vAlign w:val="center"/>
          </w:tcPr>
          <w:p>
            <w:pPr>
              <w:rPr>
                <w:rFonts w:hint="eastAsia" w:ascii="宋体"/>
                <w:sz w:val="24"/>
                <w:szCs w:val="24"/>
              </w:rPr>
            </w:pPr>
          </w:p>
        </w:tc>
        <w:tc>
          <w:tcPr>
            <w:tcW w:w="302" w:type="pct"/>
            <w:vMerge w:val="continue"/>
            <w:tcBorders>
              <w:top w:val="nil"/>
              <w:left w:val="nil"/>
            </w:tcBorders>
            <w:shd w:val="clear"/>
            <w:noWrap/>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751"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vMerge w:val="continue"/>
            <w:tcBorders>
              <w:top w:val="nil"/>
            </w:tcBorders>
            <w:shd w:val="clear"/>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200" w:type="pct"/>
            <w:vMerge w:val="continue"/>
            <w:tcBorders>
              <w:left w:val="nil"/>
            </w:tcBorders>
            <w:shd w:val="clear"/>
            <w:vAlign w:val="center"/>
          </w:tcPr>
          <w:p>
            <w:pPr>
              <w:rPr>
                <w:rFonts w:hint="eastAsia" w:ascii="宋体"/>
                <w:sz w:val="24"/>
                <w:szCs w:val="24"/>
              </w:rPr>
            </w:pPr>
          </w:p>
        </w:tc>
        <w:tc>
          <w:tcPr>
            <w:tcW w:w="508" w:type="pct"/>
            <w:vMerge w:val="continue"/>
            <w:tcBorders>
              <w:left w:val="nil"/>
            </w:tcBorders>
            <w:shd w:val="clear"/>
            <w:noWrap/>
            <w:vAlign w:val="center"/>
          </w:tcPr>
          <w:p>
            <w:pPr>
              <w:rPr>
                <w:rFonts w:hint="eastAsia" w:ascii="宋体"/>
                <w:sz w:val="24"/>
                <w:szCs w:val="24"/>
              </w:rPr>
            </w:pPr>
          </w:p>
        </w:tc>
        <w:tc>
          <w:tcPr>
            <w:tcW w:w="302" w:type="pct"/>
            <w:vMerge w:val="continue"/>
            <w:tcBorders>
              <w:top w:val="nil"/>
              <w:left w:val="nil"/>
            </w:tcBorders>
            <w:shd w:val="clear"/>
            <w:noWrap/>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508" w:type="pct"/>
            <w:vMerge w:val="continue"/>
            <w:tcBorders>
              <w:top w:val="nil"/>
              <w:left w:val="nil"/>
            </w:tcBorders>
            <w:shd w:val="clear"/>
            <w:noWrap/>
            <w:vAlign w:val="center"/>
          </w:tcPr>
          <w:p>
            <w:pPr>
              <w:rPr>
                <w:rFonts w:hint="eastAsia" w:ascii="宋体"/>
                <w:sz w:val="24"/>
                <w:szCs w:val="24"/>
              </w:rPr>
            </w:pPr>
          </w:p>
        </w:tc>
        <w:tc>
          <w:tcPr>
            <w:tcW w:w="751"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06"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0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00"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6" w:type="pct"/>
            <w:vMerge w:val="continue"/>
            <w:tcBorders>
              <w:top w:val="nil"/>
            </w:tcBorders>
            <w:shd w:val="clear"/>
            <w:noWrap/>
            <w:vAlign w:val="center"/>
          </w:tcPr>
          <w:p>
            <w:pPr>
              <w:rPr>
                <w:rFonts w:hint="eastAsia" w:ascii="宋体"/>
                <w:sz w:val="24"/>
                <w:szCs w:val="24"/>
              </w:rPr>
            </w:pPr>
          </w:p>
        </w:tc>
        <w:tc>
          <w:tcPr>
            <w:tcW w:w="200" w:type="pct"/>
            <w:vMerge w:val="continue"/>
            <w:tcBorders>
              <w:top w:val="nil"/>
              <w:left w:val="nil"/>
            </w:tcBorders>
            <w:shd w:val="clear"/>
            <w:noWrap/>
            <w:vAlign w:val="center"/>
          </w:tcPr>
          <w:p>
            <w:pPr>
              <w:rPr>
                <w:rFonts w:hint="eastAsia" w:ascii="宋体"/>
                <w:sz w:val="24"/>
                <w:szCs w:val="24"/>
              </w:rPr>
            </w:pPr>
          </w:p>
        </w:tc>
        <w:tc>
          <w:tcPr>
            <w:tcW w:w="200" w:type="pct"/>
            <w:vMerge w:val="continue"/>
            <w:tcBorders>
              <w:top w:val="nil"/>
              <w:left w:val="nil"/>
            </w:tcBorders>
            <w:shd w:val="clear"/>
            <w:noWrap/>
            <w:vAlign w:val="center"/>
          </w:tcPr>
          <w:p>
            <w:pPr>
              <w:rPr>
                <w:rFonts w:hint="eastAsia" w:ascii="宋体"/>
                <w:sz w:val="24"/>
                <w:szCs w:val="24"/>
              </w:rPr>
            </w:pP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09"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20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02"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0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5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说明：当此表数据为零时，即本部门无政府性基金预算财政拨款收入、支出。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436"/>
        <w:gridCol w:w="436"/>
        <w:gridCol w:w="1096"/>
        <w:gridCol w:w="1138"/>
        <w:gridCol w:w="98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0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63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20" w:type="pct"/>
            <w:gridSpan w:val="4"/>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725"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634"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920" w:type="pct"/>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623"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725" w:type="pct"/>
            <w:vMerge w:val="continue"/>
            <w:tcBorders>
              <w:left w:val="nil"/>
            </w:tcBorders>
            <w:shd w:val="clear"/>
            <w:vAlign w:val="center"/>
          </w:tcPr>
          <w:p>
            <w:pPr>
              <w:rPr>
                <w:rFonts w:hint="eastAsia" w:ascii="宋体"/>
                <w:sz w:val="24"/>
                <w:szCs w:val="24"/>
              </w:rPr>
            </w:pPr>
          </w:p>
        </w:tc>
        <w:tc>
          <w:tcPr>
            <w:tcW w:w="634" w:type="pct"/>
            <w:vMerge w:val="continue"/>
            <w:tcBorders>
              <w:left w:val="nil"/>
            </w:tcBorders>
            <w:shd w:val="clear"/>
            <w:vAlign w:val="center"/>
          </w:tcPr>
          <w:p>
            <w:pPr>
              <w:rPr>
                <w:rFonts w:hint="eastAsia" w:ascii="宋体"/>
                <w:sz w:val="24"/>
                <w:szCs w:val="24"/>
              </w:rPr>
            </w:pPr>
          </w:p>
        </w:tc>
        <w:tc>
          <w:tcPr>
            <w:tcW w:w="92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6" w:type="pct"/>
            <w:gridSpan w:val="3"/>
            <w:vMerge w:val="continue"/>
            <w:tcBorders>
              <w:top w:val="nil"/>
            </w:tcBorders>
            <w:shd w:val="clear"/>
            <w:vAlign w:val="center"/>
          </w:tcPr>
          <w:p>
            <w:pPr>
              <w:rPr>
                <w:rFonts w:hint="eastAsia" w:ascii="宋体"/>
                <w:sz w:val="24"/>
                <w:szCs w:val="24"/>
              </w:rPr>
            </w:pPr>
          </w:p>
        </w:tc>
        <w:tc>
          <w:tcPr>
            <w:tcW w:w="623" w:type="pct"/>
            <w:vMerge w:val="continue"/>
            <w:tcBorders>
              <w:top w:val="nil"/>
              <w:left w:val="nil"/>
            </w:tcBorders>
            <w:shd w:val="clear"/>
            <w:noWrap/>
            <w:vAlign w:val="center"/>
          </w:tcPr>
          <w:p>
            <w:pPr>
              <w:rPr>
                <w:rFonts w:hint="eastAsia" w:ascii="宋体"/>
                <w:sz w:val="24"/>
                <w:szCs w:val="24"/>
              </w:rPr>
            </w:pPr>
          </w:p>
        </w:tc>
        <w:tc>
          <w:tcPr>
            <w:tcW w:w="725" w:type="pct"/>
            <w:vMerge w:val="continue"/>
            <w:tcBorders>
              <w:left w:val="nil"/>
            </w:tcBorders>
            <w:shd w:val="clear"/>
            <w:vAlign w:val="center"/>
          </w:tcPr>
          <w:p>
            <w:pPr>
              <w:rPr>
                <w:rFonts w:hint="eastAsia" w:ascii="宋体"/>
                <w:sz w:val="24"/>
                <w:szCs w:val="24"/>
              </w:rPr>
            </w:pPr>
          </w:p>
        </w:tc>
        <w:tc>
          <w:tcPr>
            <w:tcW w:w="634" w:type="pct"/>
            <w:vMerge w:val="continue"/>
            <w:tcBorders>
              <w:left w:val="nil"/>
            </w:tcBorders>
            <w:shd w:val="clear"/>
            <w:vAlign w:val="center"/>
          </w:tcPr>
          <w:p>
            <w:pPr>
              <w:rPr>
                <w:rFonts w:hint="eastAsia" w:ascii="宋体"/>
                <w:sz w:val="24"/>
                <w:szCs w:val="24"/>
              </w:rPr>
            </w:pPr>
          </w:p>
        </w:tc>
        <w:tc>
          <w:tcPr>
            <w:tcW w:w="92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vMerge w:val="continue"/>
            <w:tcBorders>
              <w:top w:val="nil"/>
            </w:tcBorders>
            <w:shd w:val="clear"/>
            <w:vAlign w:val="center"/>
          </w:tcPr>
          <w:p>
            <w:pPr>
              <w:rPr>
                <w:rFonts w:hint="eastAsia" w:ascii="宋体"/>
                <w:sz w:val="24"/>
                <w:szCs w:val="24"/>
              </w:rPr>
            </w:pPr>
          </w:p>
        </w:tc>
        <w:tc>
          <w:tcPr>
            <w:tcW w:w="623" w:type="pct"/>
            <w:vMerge w:val="continue"/>
            <w:tcBorders>
              <w:top w:val="nil"/>
              <w:left w:val="nil"/>
            </w:tcBorders>
            <w:shd w:val="clear"/>
            <w:noWrap/>
            <w:vAlign w:val="center"/>
          </w:tcPr>
          <w:p>
            <w:pPr>
              <w:rPr>
                <w:rFonts w:hint="eastAsia" w:ascii="宋体"/>
                <w:sz w:val="24"/>
                <w:szCs w:val="24"/>
              </w:rPr>
            </w:pPr>
          </w:p>
        </w:tc>
        <w:tc>
          <w:tcPr>
            <w:tcW w:w="725" w:type="pct"/>
            <w:vMerge w:val="continue"/>
            <w:tcBorders>
              <w:left w:val="nil"/>
            </w:tcBorders>
            <w:shd w:val="clear"/>
            <w:vAlign w:val="center"/>
          </w:tcPr>
          <w:p>
            <w:pPr>
              <w:rPr>
                <w:rFonts w:hint="eastAsia" w:ascii="宋体"/>
                <w:sz w:val="24"/>
                <w:szCs w:val="24"/>
              </w:rPr>
            </w:pPr>
          </w:p>
        </w:tc>
        <w:tc>
          <w:tcPr>
            <w:tcW w:w="634" w:type="pct"/>
            <w:vMerge w:val="continue"/>
            <w:tcBorders>
              <w:left w:val="nil"/>
            </w:tcBorders>
            <w:shd w:val="clear"/>
            <w:vAlign w:val="center"/>
          </w:tcPr>
          <w:p>
            <w:pPr>
              <w:rPr>
                <w:rFonts w:hint="eastAsia" w:ascii="宋体"/>
                <w:sz w:val="24"/>
                <w:szCs w:val="24"/>
              </w:rPr>
            </w:pPr>
          </w:p>
        </w:tc>
        <w:tc>
          <w:tcPr>
            <w:tcW w:w="920" w:type="pct"/>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01"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47"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47" w:type="pct"/>
            <w:vMerge w:val="restar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01" w:type="pct"/>
            <w:vMerge w:val="continue"/>
            <w:tcBorders>
              <w:top w:val="nil"/>
            </w:tcBorders>
            <w:shd w:val="clear"/>
            <w:noWrap/>
            <w:vAlign w:val="center"/>
          </w:tcPr>
          <w:p>
            <w:pPr>
              <w:rPr>
                <w:rFonts w:hint="eastAsia" w:ascii="宋体"/>
                <w:sz w:val="24"/>
                <w:szCs w:val="24"/>
              </w:rPr>
            </w:pPr>
          </w:p>
        </w:tc>
        <w:tc>
          <w:tcPr>
            <w:tcW w:w="247" w:type="pct"/>
            <w:vMerge w:val="continue"/>
            <w:tcBorders>
              <w:top w:val="nil"/>
              <w:left w:val="nil"/>
            </w:tcBorders>
            <w:shd w:val="clear"/>
            <w:noWrap/>
            <w:vAlign w:val="center"/>
          </w:tcPr>
          <w:p>
            <w:pPr>
              <w:rPr>
                <w:rFonts w:hint="eastAsia" w:ascii="宋体"/>
                <w:sz w:val="24"/>
                <w:szCs w:val="24"/>
              </w:rPr>
            </w:pPr>
          </w:p>
        </w:tc>
        <w:tc>
          <w:tcPr>
            <w:tcW w:w="247" w:type="pct"/>
            <w:vMerge w:val="continue"/>
            <w:tcBorders>
              <w:top w:val="nil"/>
              <w:left w:val="nil"/>
            </w:tcBorders>
            <w:shd w:val="clear"/>
            <w:noWrap/>
            <w:vAlign w:val="center"/>
          </w:tcPr>
          <w:p>
            <w:pPr>
              <w:rPr>
                <w:rFonts w:hint="eastAsia" w:ascii="宋体"/>
                <w:sz w:val="24"/>
                <w:szCs w:val="24"/>
              </w:rPr>
            </w:pP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096"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2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25"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3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2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bdr w:val="none" w:color="auto" w:sz="0" w:space="0"/>
                <w:lang w:val="en-US" w:eastAsia="zh-CN" w:bidi="ar"/>
              </w:rPr>
              <w:t>说明：当此表数据为空时，即本部门无国有资本经营预算财政拨款支出。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编制单位：宁都县教育局本级</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3184" w:type="pct"/>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670"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144"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一、车辆数合计&amp; #40;台、辆&amp; #41;</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  1.副部（省）级及以上领导用车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  2.主要领导干部用车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  3.机要通信用车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  4.应急保障用车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  5.执法执勤用车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  6.特种专业技术用车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  7.离退休干部用车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  8.其他用车</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二、单价50万元（含）以上通用设备（台，套）</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三、单价100万元（含）以上专用设备（台，套）</w:t>
            </w:r>
          </w:p>
        </w:tc>
        <w:tc>
          <w:tcPr>
            <w:tcW w:w="67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114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说明：当此表数据为空时，即本部门（单位）无相关资产。</w:t>
            </w:r>
          </w:p>
        </w:tc>
      </w:tr>
    </w:tbl>
    <w:p>
      <w:pPr>
        <w:keepNext w:val="0"/>
        <w:keepLines w:val="0"/>
        <w:widowControl/>
        <w:suppressLineNumbers w:val="0"/>
        <w:spacing w:before="0" w:beforeAutospacing="1" w:after="0" w:afterAutospacing="1" w:line="600" w:lineRule="exact"/>
        <w:ind w:left="0" w:right="0" w:firstLine="420" w:firstLineChars="200"/>
        <w:jc w:val="both"/>
      </w:pPr>
    </w:p>
    <w:p>
      <w:pPr>
        <w:keepNext w:val="0"/>
        <w:keepLines w:val="0"/>
        <w:widowControl/>
        <w:suppressLineNumbers w:val="0"/>
        <w:spacing w:before="0" w:beforeAutospacing="1" w:after="0" w:afterAutospacing="1" w:line="600" w:lineRule="exact"/>
        <w:ind w:left="0" w:right="0" w:firstLine="880" w:firstLineChars="200"/>
        <w:jc w:val="both"/>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68907.27   万元，其中年初结转和结余2998.5  万元，较2020年减少5035.94  万元，下降6.8  %；本年收入合计65908.77  万元，较2020年减少5035.94  万元，下降7.1  %，主要原因是：学生人数减少，重大工程项目完工。</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本年收入的具体构成为：财政拨款收入65908.77  万元，占100  %；事业收入  0 万元，占 0 %；经营收入   0万元，占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68907.27   万元，其中本年支出合计68907.27 万元，较2020年减少5035.94  万元，下降6.8  %，主要原因是学生人数减少，重大工程项目完工；年末结转和结余 0  万元，较2020年增加2998.5万元，增长100%，主要原因是：年末结转结余转入本年度支出。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本年支出的具体构成为：基本支出25072.51   万元，占 36.39 %；项目支出43834.76 万元，占63.61 %；经营支出 0  万元，占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 49500  万元，决算数为  65908.77 万元，完成年初预算的139.2   %。其中：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教育支出年初预算数为 49500 万元，决算数为68907.27 万元，完成年初预算的 139.2 %，主要原因是：</w:t>
      </w:r>
      <w:r>
        <w:rPr>
          <w:rFonts w:hint="eastAsia" w:ascii="仿宋" w:hAnsi="仿宋" w:eastAsia="仿宋" w:cs="仿宋"/>
          <w:i w:val="0"/>
          <w:iCs w:val="0"/>
          <w:caps w:val="0"/>
          <w:spacing w:val="0"/>
          <w:kern w:val="2"/>
          <w:sz w:val="30"/>
          <w:szCs w:val="30"/>
          <w:lang w:val="en-US" w:eastAsia="zh-CN" w:bidi="ar"/>
        </w:rPr>
        <w:t>局机关只列入人员经费等，项目经费没有列入局机关预算。</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本单位2021年度一般公共预算财政拨款基本支出68907.27  万元，其中：</w:t>
      </w:r>
    </w:p>
    <w:p>
      <w:pPr>
        <w:keepNext w:val="0"/>
        <w:keepLines w:val="0"/>
        <w:widowControl/>
        <w:numPr>
          <w:numId w:val="0"/>
        </w:numPr>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（一）工资福利支出4658.7万元，较2020年增加386.71 万元，增长9.05 %，主要原因是：由县教科体局统发工资的特岗教师人数增加，人员工资增长。</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5738.7  万元，较2020年增加85.72  万元，增长1.5%，主要原因是：其他普通教育维修增长。</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（三）对个人和家庭补助支出13880.6   万元，较2020年增加3000.5  万元，增长27.58%，主要原因是：其他普通教育生活补助增加。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（四）资本性支出794.51   万元，较2020年增加44.51  万元，增长5.9 %，主要原因是：</w:t>
      </w:r>
      <w:r>
        <w:rPr>
          <w:rFonts w:hint="eastAsia" w:ascii="仿宋" w:hAnsi="仿宋" w:eastAsia="仿宋" w:cs="仿宋"/>
          <w:i w:val="0"/>
          <w:iCs w:val="0"/>
          <w:caps w:val="0"/>
          <w:spacing w:val="0"/>
          <w:kern w:val="2"/>
          <w:sz w:val="30"/>
          <w:szCs w:val="30"/>
          <w:lang w:val="en-US" w:eastAsia="zh-CN" w:bidi="ar"/>
        </w:rPr>
        <w:t>其他普通教育专用设备购置费增加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本单位2021年度一般公共预算财政拨款“三公”经费支出年初预算数为26   万元，决算数为 25.27 万元，完成预算的97.2  %，决算数较2020年增加8.99 万元，增长54.22  %，其中：</w:t>
      </w:r>
    </w:p>
    <w:p>
      <w:pPr>
        <w:keepNext w:val="0"/>
        <w:keepLines w:val="0"/>
        <w:widowControl/>
        <w:numPr>
          <w:numId w:val="0"/>
        </w:numPr>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 0 万元，决算数为0  万元，决算数较2020年增加 0 万元。</w:t>
      </w:r>
    </w:p>
    <w:p>
      <w:pPr>
        <w:keepNext w:val="0"/>
        <w:keepLines w:val="0"/>
        <w:widowControl/>
        <w:numPr>
          <w:numId w:val="0"/>
        </w:numPr>
        <w:suppressLineNumbers w:val="0"/>
        <w:spacing w:before="0" w:beforeAutospacing="1" w:after="0" w:afterAutospacing="1"/>
        <w:ind w:left="0" w:leftChars="0" w:right="0" w:firstLine="630" w:firstLineChars="0"/>
        <w:jc w:val="left"/>
      </w:pPr>
      <w:r>
        <w:rPr>
          <w:rFonts w:hint="default" w:ascii="仿宋_GB2312" w:eastAsia="仿宋_GB2312" w:cs="仿宋_GB2312" w:hAnsiTheme="minorHAnsi"/>
          <w:kern w:val="2"/>
          <w:sz w:val="30"/>
          <w:szCs w:val="30"/>
          <w:lang w:val="en-US" w:eastAsia="zh-CN" w:bidi="ar"/>
        </w:rPr>
        <w:t>（二）公务接待费支出年初预算数为 26  万元，决算数为 25.27 万元，完成预算的97.2 %，决算数较2020年增加8.99万元，增长54.22%，主要原因是体育局合并造成。决算数较年初预算数增加的主要原因是：体育局合并造成。全年国内公务接待235  批，累计接待2110  人次，其中外事接待 0  批，累计接待0  人次。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（三）公务用车购置及运行维护费支出0 万元，其中公务用车购置年初预算数为 0  万元，决算数为 0 万元，决算数较2020年增加0 万元。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本单位2021年度机关运行经费支出6533.21 万元（与单位决算中行政单位和参照公务员法管理事业单位一般公共预算财政拨款基本支出中公用经费之和一致），较上年决算数增加130.23万元，增长2.03  %，主要原因是：办公设施设备购置经费增加。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15204.5 万元，其中：政府采购货物支出14837.2  万元、政府采购工程支出  0万元，政府采购服务支出 3672.7 万元。</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八、国有资产占用情况说明。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截止2021年12月31日，本单位国有资产占用情况见公开10表《国有资产占用情况表》。</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九、预算绩效情况说明</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   （一）绩效管理工作开展情况。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firstLine="600"/>
        <w:jc w:val="left"/>
      </w:pPr>
      <w:r>
        <w:rPr>
          <w:rFonts w:hint="eastAsia" w:ascii="仿宋" w:hAnsi="仿宋" w:eastAsia="仿宋" w:cs="仿宋"/>
          <w:i w:val="0"/>
          <w:iCs w:val="0"/>
          <w:caps w:val="0"/>
          <w:spacing w:val="0"/>
          <w:kern w:val="0"/>
          <w:sz w:val="30"/>
          <w:szCs w:val="30"/>
          <w:bdr w:val="none" w:color="auto" w:sz="0" w:space="0"/>
          <w:lang w:val="en-US" w:eastAsia="zh-CN" w:bidi="ar"/>
        </w:rPr>
        <w:t>根据预算绩效管理要求，组织对学生资助项目开展了部门评价，涉及一般公共预算支出</w:t>
      </w:r>
      <w:r>
        <w:rPr>
          <w:rFonts w:hint="eastAsia" w:ascii="仿宋" w:hAnsi="仿宋" w:eastAsia="仿宋" w:cs="仿宋"/>
          <w:kern w:val="0"/>
          <w:sz w:val="30"/>
          <w:szCs w:val="30"/>
          <w:bdr w:val="none" w:color="auto" w:sz="0" w:space="0"/>
          <w:lang w:val="en-US" w:eastAsia="zh-CN" w:bidi="ar"/>
        </w:rPr>
        <w:t>1610.8</w:t>
      </w:r>
      <w:r>
        <w:rPr>
          <w:rFonts w:hint="eastAsia" w:ascii="仿宋" w:hAnsi="仿宋" w:eastAsia="仿宋" w:cs="仿宋"/>
          <w:i w:val="0"/>
          <w:iCs w:val="0"/>
          <w:caps w:val="0"/>
          <w:spacing w:val="0"/>
          <w:kern w:val="0"/>
          <w:sz w:val="30"/>
          <w:szCs w:val="30"/>
          <w:bdr w:val="none" w:color="auto" w:sz="0" w:space="0"/>
          <w:lang w:val="en-US" w:eastAsia="zh-CN" w:bidi="ar"/>
        </w:rPr>
        <w:t>万元，政府性基金预算支出  0万元。从评价情况来看，整体运行良好，保障了贫困学生能不会因为贫困辍学，资金运行平稳，按时到位。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firstLine="600"/>
        <w:jc w:val="left"/>
      </w:pPr>
      <w:r>
        <w:rPr>
          <w:rFonts w:hint="eastAsia" w:ascii="仿宋" w:hAnsi="仿宋" w:eastAsia="仿宋" w:cs="仿宋"/>
          <w:kern w:val="0"/>
          <w:sz w:val="30"/>
          <w:szCs w:val="30"/>
          <w:bdr w:val="none" w:color="auto" w:sz="0" w:space="0"/>
          <w:lang w:val="en-US" w:eastAsia="zh-CN" w:bidi="ar"/>
        </w:rPr>
        <w:t>（二）单位决算中学生资助补助经费项目绩效自评情况。</w:t>
      </w:r>
    </w:p>
    <w:p>
      <w:pPr>
        <w:pStyle w:val="2"/>
        <w:keepNext w:val="0"/>
        <w:keepLines w:val="0"/>
        <w:widowControl/>
        <w:suppressLineNumbers w:val="0"/>
        <w:spacing w:before="0" w:beforeAutospacing="1" w:after="0" w:afterAutospacing="1" w:line="520" w:lineRule="exact"/>
        <w:ind w:left="0" w:right="0" w:firstLine="602" w:firstLineChars="200"/>
        <w:jc w:val="left"/>
      </w:pPr>
      <w:r>
        <w:rPr>
          <w:rFonts w:hint="eastAsia" w:ascii="仿宋" w:hAnsi="仿宋" w:eastAsia="仿宋" w:cs="仿宋"/>
          <w:b/>
          <w:bCs w:val="0"/>
          <w:kern w:val="0"/>
          <w:sz w:val="30"/>
          <w:szCs w:val="30"/>
        </w:rPr>
        <w:t>1、绩效目标分解下达情况</w:t>
      </w:r>
    </w:p>
    <w:p>
      <w:pPr>
        <w:pStyle w:val="2"/>
        <w:keepNext w:val="0"/>
        <w:keepLines w:val="0"/>
        <w:widowControl/>
        <w:suppressLineNumbers w:val="0"/>
        <w:spacing w:before="0" w:beforeAutospacing="1" w:after="0" w:afterAutospacing="1" w:line="520" w:lineRule="exact"/>
        <w:ind w:left="0" w:leftChars="0" w:right="0" w:firstLine="600" w:firstLineChars="200"/>
        <w:jc w:val="left"/>
      </w:pPr>
      <w:r>
        <w:rPr>
          <w:rFonts w:hint="eastAsia" w:ascii="仿宋" w:hAnsi="仿宋" w:eastAsia="仿宋" w:cs="仿宋"/>
          <w:kern w:val="0"/>
          <w:sz w:val="30"/>
          <w:szCs w:val="30"/>
        </w:rPr>
        <w:t>学生资助补助经费上级转移支付资金1610.8万元，其中中央资金1289.3万元，地方资金321.5万元。</w:t>
      </w:r>
    </w:p>
    <w:p>
      <w:pPr>
        <w:pStyle w:val="2"/>
        <w:keepNext w:val="0"/>
        <w:keepLines w:val="0"/>
        <w:widowControl/>
        <w:suppressLineNumbers w:val="0"/>
        <w:spacing w:before="0" w:beforeAutospacing="1" w:after="0" w:afterAutospacing="1" w:line="520" w:lineRule="exact"/>
        <w:ind w:left="0" w:leftChars="0" w:right="0" w:firstLine="600" w:firstLineChars="200"/>
        <w:jc w:val="left"/>
      </w:pPr>
      <w:r>
        <w:rPr>
          <w:rFonts w:hint="eastAsia" w:ascii="仿宋" w:hAnsi="仿宋" w:eastAsia="仿宋" w:cs="仿宋"/>
          <w:kern w:val="0"/>
          <w:sz w:val="30"/>
          <w:szCs w:val="30"/>
        </w:rPr>
        <w:t>年度总体目标：1.高中阶段教育各项国家资助按规定得到落实 2.提升中职教育吸引力</w:t>
      </w:r>
    </w:p>
    <w:p>
      <w:pPr>
        <w:pStyle w:val="2"/>
        <w:keepNext w:val="0"/>
        <w:keepLines w:val="0"/>
        <w:widowControl/>
        <w:suppressLineNumbers w:val="0"/>
        <w:spacing w:before="0" w:beforeAutospacing="1" w:after="0" w:afterAutospacing="1" w:line="520" w:lineRule="exact"/>
        <w:ind w:left="695" w:leftChars="331" w:right="0"/>
        <w:jc w:val="left"/>
      </w:pPr>
      <w:r>
        <w:rPr>
          <w:rFonts w:hint="eastAsia" w:ascii="仿宋" w:hAnsi="仿宋" w:eastAsia="仿宋" w:cs="仿宋"/>
          <w:b/>
          <w:bCs w:val="0"/>
          <w:kern w:val="0"/>
          <w:sz w:val="30"/>
          <w:szCs w:val="30"/>
        </w:rPr>
        <w:t>2、绩效目标完成情况分析</w:t>
      </w:r>
    </w:p>
    <w:p>
      <w:pPr>
        <w:keepNext w:val="0"/>
        <w:keepLines w:val="0"/>
        <w:widowControl/>
        <w:suppressLineNumbers w:val="0"/>
        <w:spacing w:before="0" w:beforeAutospacing="1" w:after="0" w:afterAutospacing="1" w:line="520" w:lineRule="exact"/>
        <w:ind w:left="0" w:right="0" w:firstLine="600" w:firstLineChars="200"/>
        <w:jc w:val="left"/>
      </w:pPr>
      <w:r>
        <w:rPr>
          <w:rFonts w:hint="eastAsia" w:ascii="仿宋" w:hAnsi="仿宋" w:eastAsia="仿宋" w:cs="仿宋"/>
          <w:kern w:val="0"/>
          <w:sz w:val="30"/>
          <w:szCs w:val="30"/>
          <w:lang w:val="en-US" w:eastAsia="zh-CN" w:bidi="ar"/>
        </w:rPr>
        <w:t>（一）资金投入情况分析</w:t>
      </w:r>
    </w:p>
    <w:p>
      <w:pPr>
        <w:keepNext w:val="0"/>
        <w:keepLines w:val="0"/>
        <w:widowControl/>
        <w:suppressLineNumbers w:val="0"/>
        <w:adjustRightInd w:val="0"/>
        <w:snapToGrid w:val="0"/>
        <w:spacing w:before="0" w:beforeAutospacing="1" w:after="0" w:afterAutospacing="1" w:line="520" w:lineRule="exact"/>
        <w:ind w:left="0" w:right="0" w:firstLine="750" w:firstLineChars="250"/>
        <w:jc w:val="left"/>
      </w:pPr>
      <w:r>
        <w:rPr>
          <w:rFonts w:hint="eastAsia" w:ascii="仿宋" w:hAnsi="仿宋" w:eastAsia="仿宋" w:cs="仿宋"/>
          <w:kern w:val="0"/>
          <w:sz w:val="30"/>
          <w:szCs w:val="30"/>
          <w:lang w:val="en-US" w:eastAsia="zh-CN" w:bidi="ar"/>
        </w:rPr>
        <w:t>2021年学生资助补助经费上级转移支付资金1610.8万元，其中普高部分1329.4万元，中职部分281.4万元，年度资金预算执行率100%。</w:t>
      </w:r>
    </w:p>
    <w:p>
      <w:pPr>
        <w:keepNext w:val="0"/>
        <w:keepLines w:val="0"/>
        <w:widowControl/>
        <w:suppressLineNumbers w:val="0"/>
        <w:spacing w:before="0" w:beforeAutospacing="1" w:after="0" w:afterAutospacing="1" w:line="520" w:lineRule="exact"/>
        <w:ind w:left="0" w:right="0" w:firstLine="600" w:firstLineChars="200"/>
        <w:jc w:val="left"/>
      </w:pPr>
      <w:r>
        <w:rPr>
          <w:rFonts w:hint="eastAsia" w:ascii="仿宋" w:hAnsi="仿宋" w:eastAsia="仿宋" w:cs="仿宋"/>
          <w:kern w:val="0"/>
          <w:sz w:val="30"/>
          <w:szCs w:val="30"/>
          <w:lang w:val="en-US" w:eastAsia="zh-CN" w:bidi="ar"/>
        </w:rPr>
        <w:t>（二）总体绩效完成情况分析</w:t>
      </w:r>
    </w:p>
    <w:p>
      <w:pPr>
        <w:keepNext w:val="0"/>
        <w:keepLines w:val="0"/>
        <w:widowControl/>
        <w:suppressLineNumbers w:val="0"/>
        <w:spacing w:before="0" w:beforeAutospacing="1" w:after="0" w:afterAutospacing="1" w:line="520" w:lineRule="exact"/>
        <w:ind w:left="0" w:right="0" w:firstLine="750" w:firstLineChars="250"/>
        <w:jc w:val="left"/>
      </w:pPr>
      <w:r>
        <w:rPr>
          <w:rFonts w:hint="eastAsia" w:ascii="仿宋" w:hAnsi="仿宋" w:eastAsia="仿宋" w:cs="仿宋"/>
          <w:kern w:val="0"/>
          <w:sz w:val="30"/>
          <w:szCs w:val="30"/>
          <w:lang w:val="en-US" w:eastAsia="zh-CN" w:bidi="ar"/>
        </w:rPr>
        <w:t>2021年全年共发放普通高中免学费6764人次，233.858万元；普通高中国家助学金6915人次，856.45万元；中职免学费4359人次，185.2575万元；中职国家助学金3679人次，367.9万元，合计发放免学费与助学金1643.4655万元，做到了高中阶段教育各项国家资助按规定得到落实，应助尽助；提升了中职教育吸引力。</w:t>
      </w:r>
    </w:p>
    <w:p>
      <w:pPr>
        <w:keepNext w:val="0"/>
        <w:keepLines w:val="0"/>
        <w:widowControl/>
        <w:suppressLineNumbers w:val="0"/>
        <w:spacing w:before="0" w:beforeAutospacing="1" w:after="0" w:afterAutospacing="1" w:line="520" w:lineRule="exact"/>
        <w:ind w:left="0" w:right="0" w:firstLine="300" w:firstLineChars="100"/>
        <w:jc w:val="left"/>
      </w:pPr>
      <w:r>
        <w:rPr>
          <w:rFonts w:hint="eastAsia" w:ascii="仿宋" w:hAnsi="仿宋" w:eastAsia="仿宋" w:cs="仿宋"/>
          <w:kern w:val="0"/>
          <w:sz w:val="30"/>
          <w:szCs w:val="30"/>
          <w:lang w:val="en-US" w:eastAsia="zh-CN" w:bidi="ar"/>
        </w:rPr>
        <w:t>（三）绩效指标完成情况分析</w:t>
      </w:r>
    </w:p>
    <w:p>
      <w:pPr>
        <w:pStyle w:val="2"/>
        <w:keepNext w:val="0"/>
        <w:keepLines w:val="0"/>
        <w:widowControl/>
        <w:suppressLineNumbers w:val="0"/>
        <w:spacing w:before="0" w:beforeAutospacing="1" w:after="0" w:afterAutospacing="1" w:line="520" w:lineRule="exact"/>
        <w:ind w:left="0" w:leftChars="0" w:right="0" w:firstLine="600" w:firstLineChars="200"/>
      </w:pPr>
      <w:r>
        <w:rPr>
          <w:rFonts w:hint="eastAsia" w:ascii="仿宋" w:hAnsi="仿宋" w:eastAsia="仿宋" w:cs="仿宋"/>
          <w:kern w:val="0"/>
          <w:sz w:val="30"/>
          <w:szCs w:val="30"/>
        </w:rPr>
        <w:t>数量指标</w:t>
      </w:r>
    </w:p>
    <w:p>
      <w:pPr>
        <w:pStyle w:val="2"/>
        <w:keepNext w:val="0"/>
        <w:keepLines w:val="0"/>
        <w:widowControl/>
        <w:suppressLineNumbers w:val="0"/>
        <w:spacing w:before="0" w:beforeAutospacing="1" w:after="0" w:afterAutospacing="1" w:line="520" w:lineRule="exact"/>
        <w:ind w:left="0" w:right="0"/>
      </w:pPr>
      <w:r>
        <w:rPr>
          <w:rFonts w:hint="eastAsia" w:ascii="仿宋" w:hAnsi="仿宋" w:eastAsia="仿宋" w:cs="仿宋"/>
          <w:kern w:val="0"/>
          <w:sz w:val="30"/>
          <w:szCs w:val="30"/>
        </w:rPr>
        <w:t>2021年我县学生资助补助经费对受助学生应助尽助，高中阶段免学费和国家助学金应受助学生受助率为100%。</w:t>
      </w:r>
    </w:p>
    <w:p>
      <w:pPr>
        <w:pStyle w:val="2"/>
        <w:keepNext w:val="0"/>
        <w:keepLines w:val="0"/>
        <w:widowControl/>
        <w:suppressLineNumbers w:val="0"/>
        <w:spacing w:before="0" w:beforeAutospacing="1" w:after="0" w:afterAutospacing="1" w:line="520" w:lineRule="exact"/>
        <w:ind w:left="630" w:leftChars="0" w:right="0"/>
      </w:pPr>
      <w:r>
        <w:rPr>
          <w:rFonts w:hint="eastAsia" w:ascii="仿宋" w:hAnsi="仿宋" w:eastAsia="仿宋" w:cs="仿宋"/>
          <w:kern w:val="0"/>
          <w:sz w:val="30"/>
          <w:szCs w:val="30"/>
        </w:rPr>
        <w:t>质量指标</w:t>
      </w:r>
    </w:p>
    <w:p>
      <w:pPr>
        <w:pStyle w:val="2"/>
        <w:keepNext w:val="0"/>
        <w:keepLines w:val="0"/>
        <w:widowControl/>
        <w:suppressLineNumbers w:val="0"/>
        <w:spacing w:before="0" w:beforeAutospacing="1" w:after="0" w:afterAutospacing="1" w:line="520" w:lineRule="exact"/>
        <w:ind w:left="0" w:right="0"/>
      </w:pPr>
      <w:r>
        <w:rPr>
          <w:rFonts w:hint="eastAsia" w:ascii="仿宋" w:hAnsi="仿宋" w:eastAsia="仿宋" w:cs="仿宋"/>
          <w:kern w:val="0"/>
          <w:sz w:val="30"/>
          <w:szCs w:val="30"/>
        </w:rPr>
        <w:t>   高中阶段职普比大体相当，中职就业率高达98%。</w:t>
      </w:r>
    </w:p>
    <w:p>
      <w:pPr>
        <w:pStyle w:val="2"/>
        <w:keepNext w:val="0"/>
        <w:keepLines w:val="0"/>
        <w:widowControl/>
        <w:suppressLineNumbers w:val="0"/>
        <w:spacing w:before="0" w:beforeAutospacing="1" w:after="0" w:afterAutospacing="1" w:line="520" w:lineRule="exact"/>
        <w:ind w:left="630" w:leftChars="0" w:right="0"/>
      </w:pPr>
      <w:r>
        <w:rPr>
          <w:rFonts w:hint="eastAsia" w:ascii="仿宋" w:hAnsi="仿宋" w:eastAsia="仿宋" w:cs="仿宋"/>
          <w:kern w:val="0"/>
          <w:sz w:val="30"/>
          <w:szCs w:val="30"/>
        </w:rPr>
        <w:t>时效指标</w:t>
      </w:r>
    </w:p>
    <w:p>
      <w:pPr>
        <w:pStyle w:val="2"/>
        <w:keepNext w:val="0"/>
        <w:keepLines w:val="0"/>
        <w:widowControl/>
        <w:suppressLineNumbers w:val="0"/>
        <w:spacing w:before="0" w:beforeAutospacing="1" w:after="0" w:afterAutospacing="1" w:line="520" w:lineRule="exact"/>
        <w:ind w:left="0" w:right="0" w:firstLine="600" w:firstLineChars="200"/>
      </w:pPr>
      <w:r>
        <w:rPr>
          <w:rFonts w:hint="eastAsia" w:ascii="仿宋" w:hAnsi="仿宋" w:eastAsia="仿宋" w:cs="仿宋"/>
          <w:kern w:val="0"/>
          <w:sz w:val="30"/>
          <w:szCs w:val="30"/>
        </w:rPr>
        <w:t>资金按规定及时拨付率100%，年度预算执行进度为100%，已足额发放到位，发放中没有挤占、挪用资金、弄虚作假套取资金行为，资金到账后分学期足额发放。</w:t>
      </w:r>
    </w:p>
    <w:p>
      <w:pPr>
        <w:pStyle w:val="2"/>
        <w:keepNext w:val="0"/>
        <w:keepLines w:val="0"/>
        <w:widowControl/>
        <w:suppressLineNumbers w:val="0"/>
        <w:spacing w:before="0" w:beforeAutospacing="1" w:after="0" w:afterAutospacing="1" w:line="520" w:lineRule="exact"/>
        <w:ind w:left="630" w:leftChars="0" w:right="0"/>
      </w:pPr>
      <w:r>
        <w:rPr>
          <w:rFonts w:hint="eastAsia" w:ascii="仿宋" w:hAnsi="仿宋" w:eastAsia="仿宋" w:cs="仿宋"/>
          <w:kern w:val="0"/>
          <w:sz w:val="30"/>
          <w:szCs w:val="30"/>
        </w:rPr>
        <w:t>成本指标：</w:t>
      </w:r>
    </w:p>
    <w:p>
      <w:pPr>
        <w:pStyle w:val="2"/>
        <w:keepNext w:val="0"/>
        <w:keepLines w:val="0"/>
        <w:widowControl/>
        <w:suppressLineNumbers w:val="0"/>
        <w:spacing w:before="0" w:beforeAutospacing="1" w:after="0" w:afterAutospacing="1" w:line="520" w:lineRule="exact"/>
        <w:ind w:left="0" w:right="0"/>
      </w:pPr>
      <w:r>
        <w:rPr>
          <w:rFonts w:hint="eastAsia" w:ascii="仿宋" w:hAnsi="仿宋" w:eastAsia="仿宋" w:cs="仿宋"/>
          <w:kern w:val="0"/>
          <w:sz w:val="30"/>
          <w:szCs w:val="30"/>
        </w:rPr>
        <w:t>   高中阶段教育免学费和国家助学金政策均按国家和地方有关政策规定落实。</w:t>
      </w:r>
    </w:p>
    <w:p>
      <w:pPr>
        <w:pStyle w:val="2"/>
        <w:keepNext w:val="0"/>
        <w:keepLines w:val="0"/>
        <w:widowControl/>
        <w:suppressLineNumbers w:val="0"/>
        <w:spacing w:before="0" w:beforeAutospacing="1" w:after="0" w:afterAutospacing="1" w:line="520" w:lineRule="exact"/>
        <w:ind w:left="0" w:right="0" w:firstLine="600" w:firstLineChars="200"/>
      </w:pPr>
      <w:r>
        <w:rPr>
          <w:rFonts w:hint="eastAsia" w:ascii="仿宋" w:hAnsi="仿宋" w:eastAsia="仿宋" w:cs="仿宋"/>
          <w:kern w:val="0"/>
          <w:sz w:val="30"/>
          <w:szCs w:val="30"/>
        </w:rPr>
        <w:t>普通高中免学费免除对象：原建档立卡脱贫户、三类人员、低保、特困救助供养学生、城镇支出型低收入家庭学生、残疾学生。其中：原建档立卡脱贫户由乡村振兴局部门认定；低保家庭学生、特困人员救助供养学生、城镇支出型低收入家庭学生由民政部门认定；残疾学生由残联部门认定（赣市教助字[2019]17号）。免除标准：重点高中（宁都中学）800元/生/年；特色高中（宁都四中）免学费比照省重点高中标准执行；重点建设高中（宁师中学）720元/生/年；一般高中（私立英才、私立春晖）360元/生/年。</w:t>
      </w:r>
    </w:p>
    <w:p>
      <w:pPr>
        <w:pStyle w:val="2"/>
        <w:keepNext w:val="0"/>
        <w:keepLines w:val="0"/>
        <w:widowControl/>
        <w:suppressLineNumbers w:val="0"/>
        <w:spacing w:before="0" w:beforeAutospacing="1" w:after="0" w:afterAutospacing="1" w:line="520" w:lineRule="exact"/>
        <w:ind w:left="0" w:right="0" w:firstLine="600" w:firstLineChars="200"/>
      </w:pPr>
      <w:r>
        <w:rPr>
          <w:rFonts w:hint="eastAsia" w:ascii="仿宋" w:hAnsi="仿宋" w:eastAsia="仿宋" w:cs="仿宋"/>
          <w:kern w:val="0"/>
          <w:sz w:val="30"/>
          <w:szCs w:val="30"/>
        </w:rPr>
        <w:t>普通高中国家助学金资助对象：普通高中学校（含民办）的原建档立卡脱贫户、三类人员、低保、特困、残疾及其他家庭经济特别困难学生。资助标准：平均2000元/生/年，各校可视困难情况分1500元、2000元、2500元3个档次。</w:t>
      </w:r>
    </w:p>
    <w:p>
      <w:pPr>
        <w:pStyle w:val="2"/>
        <w:keepNext w:val="0"/>
        <w:keepLines w:val="0"/>
        <w:widowControl/>
        <w:suppressLineNumbers w:val="0"/>
        <w:spacing w:before="0" w:beforeAutospacing="1" w:after="0" w:afterAutospacing="1" w:line="520" w:lineRule="exact"/>
        <w:ind w:left="0" w:right="0" w:firstLine="600" w:firstLineChars="200"/>
      </w:pPr>
      <w:r>
        <w:rPr>
          <w:rFonts w:hint="eastAsia" w:ascii="仿宋" w:hAnsi="仿宋" w:eastAsia="仿宋" w:cs="仿宋"/>
          <w:kern w:val="0"/>
          <w:sz w:val="30"/>
          <w:szCs w:val="30"/>
        </w:rPr>
        <w:t>中职免学费对象：一、二、三年级全日制正式学籍在校生中所有农村（含县镇）学生、城市涉农专业学生和城市非涉农专业中10%家庭经济困难学生（艺术类相关表演专业学生除外）。标准：850元/生/年。</w:t>
      </w:r>
    </w:p>
    <w:p>
      <w:pPr>
        <w:pStyle w:val="2"/>
        <w:keepNext w:val="0"/>
        <w:keepLines w:val="0"/>
        <w:widowControl/>
        <w:suppressLineNumbers w:val="0"/>
        <w:spacing w:before="0" w:beforeAutospacing="1" w:after="0" w:afterAutospacing="1" w:line="520" w:lineRule="exact"/>
        <w:ind w:left="0" w:right="0" w:firstLine="600" w:firstLineChars="200"/>
      </w:pPr>
      <w:r>
        <w:rPr>
          <w:rFonts w:hint="eastAsia" w:ascii="仿宋" w:hAnsi="仿宋" w:eastAsia="仿宋" w:cs="仿宋"/>
          <w:kern w:val="0"/>
          <w:sz w:val="30"/>
          <w:szCs w:val="30"/>
        </w:rPr>
        <w:t>中职国家助学金对象：一、二年级全日制正式学籍在校生中所有罗霄山区集中连片特困地区（我市11个县，宁都属于）农村籍学生（不含县城）、其他户籍中的所有涉农专业学生及非涉农专业中家庭经济困难学生。标准：2000元/生/年。</w:t>
      </w:r>
    </w:p>
    <w:p>
      <w:pPr>
        <w:pStyle w:val="2"/>
        <w:keepNext w:val="0"/>
        <w:keepLines w:val="0"/>
        <w:widowControl/>
        <w:suppressLineNumbers w:val="0"/>
        <w:spacing w:before="0" w:beforeAutospacing="1" w:after="0" w:afterAutospacing="1" w:line="520" w:lineRule="exact"/>
        <w:ind w:left="0" w:leftChars="0" w:right="0" w:firstLine="600" w:firstLineChars="200"/>
      </w:pPr>
      <w:r>
        <w:rPr>
          <w:rFonts w:hint="eastAsia" w:ascii="仿宋" w:hAnsi="仿宋" w:eastAsia="仿宋" w:cs="仿宋"/>
          <w:kern w:val="0"/>
          <w:sz w:val="30"/>
          <w:szCs w:val="30"/>
        </w:rPr>
        <w:t>社会效益指标</w:t>
      </w:r>
    </w:p>
    <w:p>
      <w:pPr>
        <w:pStyle w:val="2"/>
        <w:keepNext w:val="0"/>
        <w:keepLines w:val="0"/>
        <w:widowControl/>
        <w:suppressLineNumbers w:val="0"/>
        <w:spacing w:before="0" w:beforeAutospacing="1" w:after="0" w:afterAutospacing="1" w:line="520" w:lineRule="exact"/>
        <w:ind w:left="0" w:leftChars="0" w:right="0" w:firstLine="600" w:firstLineChars="200"/>
      </w:pPr>
      <w:r>
        <w:rPr>
          <w:rFonts w:hint="eastAsia" w:ascii="仿宋" w:hAnsi="仿宋" w:eastAsia="仿宋" w:cs="仿宋"/>
          <w:kern w:val="0"/>
          <w:sz w:val="30"/>
          <w:szCs w:val="30"/>
        </w:rPr>
        <w:t>减轻了普通高中学校学生、中等职业学校学生经济压力，激励学生成长成才，接受资助的普通高中、中职家庭经济困难学生不存在因贫失学现象。</w:t>
      </w:r>
    </w:p>
    <w:p>
      <w:pPr>
        <w:pStyle w:val="2"/>
        <w:keepNext w:val="0"/>
        <w:keepLines w:val="0"/>
        <w:widowControl/>
        <w:suppressLineNumbers w:val="0"/>
        <w:spacing w:before="0" w:beforeAutospacing="1" w:after="0" w:afterAutospacing="1" w:line="520" w:lineRule="exact"/>
        <w:ind w:left="630" w:leftChars="0" w:right="0"/>
      </w:pPr>
      <w:r>
        <w:rPr>
          <w:rFonts w:hint="eastAsia" w:ascii="仿宋" w:hAnsi="仿宋" w:eastAsia="仿宋" w:cs="仿宋"/>
          <w:kern w:val="0"/>
          <w:sz w:val="30"/>
          <w:szCs w:val="30"/>
        </w:rPr>
        <w:t>服务对象满意度指标</w:t>
      </w:r>
    </w:p>
    <w:p>
      <w:pPr>
        <w:pStyle w:val="2"/>
        <w:keepNext w:val="0"/>
        <w:keepLines w:val="0"/>
        <w:widowControl/>
        <w:suppressLineNumbers w:val="0"/>
        <w:spacing w:before="0" w:beforeAutospacing="1" w:after="0" w:afterAutospacing="1" w:line="520" w:lineRule="exact"/>
        <w:ind w:left="0" w:leftChars="0" w:right="0" w:firstLine="0" w:firstLineChars="0"/>
      </w:pPr>
      <w:r>
        <w:rPr>
          <w:rFonts w:hint="eastAsia" w:ascii="仿宋" w:hAnsi="仿宋" w:eastAsia="仿宋" w:cs="仿宋"/>
          <w:kern w:val="0"/>
          <w:sz w:val="30"/>
          <w:szCs w:val="30"/>
        </w:rPr>
        <w:t>社会满意度高。学生、教师、家长都非常满意，感谢党和国家的好政策。</w:t>
      </w:r>
    </w:p>
    <w:p>
      <w:pPr>
        <w:pStyle w:val="2"/>
        <w:keepNext w:val="0"/>
        <w:keepLines w:val="0"/>
        <w:widowControl/>
        <w:suppressLineNumbers w:val="0"/>
        <w:spacing w:before="0" w:beforeAutospacing="1" w:after="0" w:afterAutospacing="1" w:line="520" w:lineRule="exact"/>
        <w:ind w:left="0" w:leftChars="0" w:right="0" w:firstLine="602" w:firstLineChars="200"/>
      </w:pPr>
      <w:r>
        <w:rPr>
          <w:rFonts w:hint="eastAsia" w:ascii="仿宋" w:hAnsi="仿宋" w:eastAsia="仿宋" w:cs="仿宋"/>
          <w:b/>
          <w:bCs w:val="0"/>
          <w:kern w:val="0"/>
          <w:sz w:val="30"/>
          <w:szCs w:val="30"/>
        </w:rPr>
        <w:t>3、偏离绩效目标的原因和下一步改进措施</w:t>
      </w:r>
    </w:p>
    <w:p>
      <w:pPr>
        <w:keepNext w:val="0"/>
        <w:keepLines w:val="0"/>
        <w:widowControl/>
        <w:suppressLineNumbers w:val="0"/>
        <w:spacing w:before="0" w:beforeAutospacing="1" w:after="0" w:afterAutospacing="1" w:line="520" w:lineRule="exact"/>
        <w:ind w:left="0" w:right="0" w:firstLine="600" w:firstLineChars="200"/>
        <w:jc w:val="left"/>
      </w:pPr>
      <w:r>
        <w:rPr>
          <w:rFonts w:hint="eastAsia" w:ascii="仿宋" w:hAnsi="仿宋" w:eastAsia="仿宋" w:cs="仿宋"/>
          <w:kern w:val="0"/>
          <w:sz w:val="30"/>
          <w:szCs w:val="30"/>
          <w:lang w:val="en-US" w:eastAsia="zh-CN" w:bidi="ar"/>
        </w:rPr>
        <w:t>无。</w:t>
      </w:r>
    </w:p>
    <w:p>
      <w:pPr>
        <w:keepNext w:val="0"/>
        <w:keepLines w:val="0"/>
        <w:widowControl/>
        <w:suppressLineNumbers w:val="0"/>
        <w:spacing w:before="0" w:beforeAutospacing="1" w:after="0" w:afterAutospacing="1" w:line="520" w:lineRule="exact"/>
        <w:ind w:left="0" w:right="0" w:firstLine="640"/>
        <w:jc w:val="left"/>
      </w:pPr>
      <w:r>
        <w:rPr>
          <w:rFonts w:hint="eastAsia" w:ascii="仿宋" w:hAnsi="仿宋" w:eastAsia="仿宋" w:cs="仿宋"/>
          <w:b/>
          <w:bCs/>
          <w:kern w:val="0"/>
          <w:sz w:val="30"/>
          <w:szCs w:val="30"/>
          <w:lang w:val="en-US" w:eastAsia="zh-CN" w:bidi="ar"/>
        </w:rPr>
        <w:t>4、绩效自评结果拟应用和公开情况。</w:t>
      </w:r>
    </w:p>
    <w:p>
      <w:pPr>
        <w:keepNext w:val="0"/>
        <w:keepLines w:val="0"/>
        <w:widowControl/>
        <w:suppressLineNumbers w:val="0"/>
        <w:spacing w:before="0" w:beforeAutospacing="1" w:after="0" w:afterAutospacing="1" w:line="520" w:lineRule="exact"/>
        <w:ind w:left="0" w:right="0" w:firstLine="640"/>
        <w:jc w:val="left"/>
      </w:pPr>
      <w:r>
        <w:rPr>
          <w:rFonts w:hint="eastAsia" w:ascii="仿宋" w:hAnsi="仿宋" w:eastAsia="仿宋" w:cs="仿宋"/>
          <w:kern w:val="0"/>
          <w:sz w:val="30"/>
          <w:szCs w:val="30"/>
          <w:lang w:val="en-US" w:eastAsia="zh-CN" w:bidi="ar"/>
        </w:rPr>
        <w:t>学生资助国家和地方政策每学期开学时都做了广泛宣传，使每位学生及家长知晓资助政策。学生资助经费发放前都按规定进行了公示，发放过程公开透明，不存在挤占、挪用资金、弄虚作假套取资金行为。绩效自评结果拟应用到日常工作中，作为今后工作的指导。</w:t>
      </w:r>
    </w:p>
    <w:p>
      <w:pPr>
        <w:keepNext w:val="0"/>
        <w:keepLines w:val="0"/>
        <w:widowControl/>
        <w:suppressLineNumbers w:val="0"/>
        <w:autoSpaceDE w:val="0"/>
        <w:autoSpaceDN w:val="0"/>
        <w:adjustRightInd w:val="0"/>
        <w:spacing w:before="0" w:beforeAutospacing="1" w:after="0" w:afterAutospacing="1" w:line="23" w:lineRule="atLeast"/>
        <w:ind w:left="0" w:right="0" w:firstLine="600" w:firstLineChars="200"/>
        <w:jc w:val="left"/>
      </w:pPr>
      <w:r>
        <w:rPr>
          <w:rFonts w:hint="eastAsia" w:ascii="仿宋" w:hAnsi="仿宋" w:eastAsia="仿宋" w:cs="仿宋"/>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firstLineChars="200"/>
        <w:jc w:val="left"/>
      </w:pPr>
      <w:r>
        <w:rPr>
          <w:rFonts w:hint="eastAsia" w:ascii="仿宋" w:hAnsi="仿宋" w:eastAsia="仿宋" w:cs="仿宋"/>
          <w:kern w:val="0"/>
          <w:sz w:val="30"/>
          <w:szCs w:val="30"/>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2"/>
        <w:gridCol w:w="368"/>
        <w:gridCol w:w="822"/>
        <w:gridCol w:w="1580"/>
        <w:gridCol w:w="1353"/>
        <w:gridCol w:w="1164"/>
        <w:gridCol w:w="1277"/>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rPr>
        <w:tc>
          <w:tcPr>
            <w:tcW w:w="5000" w:type="pct"/>
            <w:gridSpan w:val="8"/>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8"/>
                <w:szCs w:val="28"/>
                <w:bdr w:val="none" w:color="auto" w:sz="0" w:space="0"/>
                <w:lang w:val="en-US" w:eastAsia="zh-CN" w:bidi="ar"/>
              </w:rPr>
              <w:t>2021年宁都县教育转移支资金区域绩效目标自评表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5000" w:type="pct"/>
            <w:gridSpan w:val="8"/>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27" w:type="pct"/>
            <w:gridSpan w:val="3"/>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转移支付（项目）名称</w:t>
            </w:r>
          </w:p>
        </w:tc>
        <w:tc>
          <w:tcPr>
            <w:tcW w:w="4071" w:type="pct"/>
            <w:gridSpan w:val="5"/>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学生资助补助经费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2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中央主管部门</w:t>
            </w:r>
          </w:p>
        </w:tc>
        <w:tc>
          <w:tcPr>
            <w:tcW w:w="4071" w:type="pct"/>
            <w:gridSpan w:val="5"/>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27" w:type="pct"/>
            <w:gridSpan w:val="3"/>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地方主管部门</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县财政局</w:t>
            </w:r>
          </w:p>
        </w:tc>
        <w:tc>
          <w:tcPr>
            <w:tcW w:w="841"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资金使用单位</w:t>
            </w:r>
          </w:p>
        </w:tc>
        <w:tc>
          <w:tcPr>
            <w:tcW w:w="1739" w:type="pct"/>
            <w:gridSpan w:val="2"/>
            <w:tcBorders>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7" w:type="pct"/>
            <w:gridSpan w:val="3"/>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资金情况                    （万元）</w:t>
            </w:r>
          </w:p>
        </w:tc>
        <w:tc>
          <w:tcPr>
            <w:tcW w:w="80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6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w:t>
            </w:r>
          </w:p>
        </w:tc>
        <w:tc>
          <w:tcPr>
            <w:tcW w:w="171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全年执行数（B）</w:t>
            </w:r>
          </w:p>
        </w:tc>
        <w:tc>
          <w:tcPr>
            <w:tcW w:w="869" w:type="pc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预算执行率（B/A&amp;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7" w:type="pct"/>
            <w:gridSpan w:val="3"/>
            <w:vMerge w:val="continue"/>
            <w:tcBorders>
              <w:top w:val="nil"/>
            </w:tcBorders>
            <w:shd w:val="clear"/>
            <w:vAlign w:val="center"/>
          </w:tcPr>
          <w:p>
            <w:pPr>
              <w:rPr>
                <w:rFonts w:hint="eastAsia" w:ascii="宋体"/>
                <w:sz w:val="24"/>
                <w:szCs w:val="24"/>
              </w:rPr>
            </w:pPr>
          </w:p>
        </w:tc>
        <w:tc>
          <w:tcPr>
            <w:tcW w:w="80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6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1610.8</w:t>
            </w:r>
          </w:p>
        </w:tc>
        <w:tc>
          <w:tcPr>
            <w:tcW w:w="171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1610.8</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7" w:type="pct"/>
            <w:gridSpan w:val="3"/>
            <w:vMerge w:val="continue"/>
            <w:tcBorders>
              <w:top w:val="nil"/>
            </w:tcBorders>
            <w:shd w:val="clear"/>
            <w:vAlign w:val="center"/>
          </w:tcPr>
          <w:p>
            <w:pPr>
              <w:rPr>
                <w:rFonts w:hint="eastAsia" w:ascii="宋体"/>
                <w:sz w:val="24"/>
                <w:szCs w:val="24"/>
              </w:rPr>
            </w:pPr>
          </w:p>
        </w:tc>
        <w:tc>
          <w:tcPr>
            <w:tcW w:w="80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其中：中央财政资金</w:t>
            </w:r>
          </w:p>
        </w:tc>
        <w:tc>
          <w:tcPr>
            <w:tcW w:w="6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1289.3</w:t>
            </w:r>
          </w:p>
        </w:tc>
        <w:tc>
          <w:tcPr>
            <w:tcW w:w="171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1289.3</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27" w:type="pct"/>
            <w:gridSpan w:val="3"/>
            <w:vMerge w:val="continue"/>
            <w:tcBorders>
              <w:top w:val="nil"/>
            </w:tcBorders>
            <w:shd w:val="clear"/>
            <w:vAlign w:val="center"/>
          </w:tcPr>
          <w:p>
            <w:pPr>
              <w:rPr>
                <w:rFonts w:hint="eastAsia" w:ascii="宋体"/>
                <w:sz w:val="24"/>
                <w:szCs w:val="24"/>
              </w:rPr>
            </w:pPr>
          </w:p>
        </w:tc>
        <w:tc>
          <w:tcPr>
            <w:tcW w:w="80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地方资金</w:t>
            </w:r>
          </w:p>
        </w:tc>
        <w:tc>
          <w:tcPr>
            <w:tcW w:w="6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321.5</w:t>
            </w:r>
          </w:p>
        </w:tc>
        <w:tc>
          <w:tcPr>
            <w:tcW w:w="171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321.5</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27" w:type="pct"/>
            <w:gridSpan w:val="3"/>
            <w:vMerge w:val="continue"/>
            <w:tcBorders>
              <w:top w:val="nil"/>
            </w:tcBorders>
            <w:shd w:val="clear"/>
            <w:vAlign w:val="center"/>
          </w:tcPr>
          <w:p>
            <w:pPr>
              <w:rPr>
                <w:rFonts w:hint="eastAsia" w:ascii="宋体"/>
                <w:sz w:val="24"/>
                <w:szCs w:val="24"/>
              </w:rPr>
            </w:pPr>
          </w:p>
        </w:tc>
        <w:tc>
          <w:tcPr>
            <w:tcW w:w="803"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0"/>
                <w:szCs w:val="20"/>
                <w:bdr w:val="none" w:color="auto" w:sz="0" w:space="0"/>
                <w:lang w:val="en-US" w:eastAsia="zh-CN" w:bidi="ar"/>
              </w:rPr>
              <w:t>其他资金</w:t>
            </w:r>
          </w:p>
        </w:tc>
        <w:tc>
          <w:tcPr>
            <w:tcW w:w="684"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171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2167" w:type="pct"/>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总体目标</w:t>
            </w:r>
          </w:p>
        </w:tc>
        <w:tc>
          <w:tcPr>
            <w:tcW w:w="2580" w:type="pct"/>
            <w:gridSpan w:val="3"/>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vAlign w:val="center"/>
          </w:tcPr>
          <w:p>
            <w:pPr>
              <w:rPr>
                <w:rFonts w:hint="eastAsia" w:ascii="宋体"/>
                <w:sz w:val="24"/>
                <w:szCs w:val="24"/>
              </w:rPr>
            </w:pPr>
          </w:p>
        </w:tc>
        <w:tc>
          <w:tcPr>
            <w:tcW w:w="2167" w:type="pct"/>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目标1：高中阶段教育各项国家资助按规定得到落实</w:t>
            </w:r>
          </w:p>
        </w:tc>
        <w:tc>
          <w:tcPr>
            <w:tcW w:w="2580" w:type="pct"/>
            <w:gridSpan w:val="3"/>
            <w:tcBorders>
              <w:top w:val="nil"/>
              <w:lef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高中阶段教育各项国家资助按规定得到了落实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continue"/>
            <w:tcBorders>
              <w:top w:val="nil"/>
            </w:tcBorders>
            <w:shd w:val="clear"/>
            <w:vAlign w:val="center"/>
          </w:tcPr>
          <w:p>
            <w:pPr>
              <w:rPr>
                <w:rFonts w:hint="eastAsia" w:ascii="宋体"/>
                <w:sz w:val="24"/>
                <w:szCs w:val="24"/>
              </w:rPr>
            </w:pPr>
          </w:p>
        </w:tc>
        <w:tc>
          <w:tcPr>
            <w:tcW w:w="2167" w:type="pct"/>
            <w:gridSpan w:val="4"/>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目标2：提升中职教育吸引力</w:t>
            </w:r>
          </w:p>
        </w:tc>
        <w:tc>
          <w:tcPr>
            <w:tcW w:w="2580" w:type="pct"/>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中职教育吸引力得到了提升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restar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绩效指标</w:t>
            </w:r>
          </w:p>
        </w:tc>
        <w:tc>
          <w:tcPr>
            <w:tcW w:w="236"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440"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1490" w:type="pct"/>
            <w:gridSpan w:val="2"/>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841" w:type="pc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指标值</w:t>
            </w:r>
          </w:p>
        </w:tc>
        <w:tc>
          <w:tcPr>
            <w:tcW w:w="868" w:type="pct"/>
            <w:tcBorders>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全年实际完成值</w:t>
            </w:r>
          </w:p>
        </w:tc>
        <w:tc>
          <w:tcPr>
            <w:tcW w:w="869" w:type="pc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出</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普通高中国家助学金应受助学生受助率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普通高中免学杂费应受助学生受助率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中职学校国家助学金应受助学生受助率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中职学校免学费应受助学生受助率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高中阶段职普比</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大体相当</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大体相当</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中职学生就业率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95%</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98%</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成本指标</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普通高中国家助学金</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按政策执行</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按政策执行</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普通高中免学杂费</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按政策执行</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按政策执行</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中职学校国家助学金</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2000元/生/年</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2000元/生/年</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中职学校免学费</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850元/生/年</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850元/生/年</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1490" w:type="pct"/>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减轻普通高中、中职学生经济压力，激励普通高中、中职学生成长成才</w:t>
            </w:r>
          </w:p>
        </w:tc>
        <w:tc>
          <w:tcPr>
            <w:tcW w:w="841"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接受资助的普通高中、中职家庭经济困难学生不因贫失学</w:t>
            </w:r>
          </w:p>
        </w:tc>
        <w:tc>
          <w:tcPr>
            <w:tcW w:w="868"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接受资助的普通高中、中职家庭经济困难学生不因贫失学</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适当向农村地区、贫困地区和民族地区倾斜</w:t>
            </w:r>
          </w:p>
        </w:tc>
        <w:tc>
          <w:tcPr>
            <w:tcW w:w="841"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适当倾斜</w:t>
            </w:r>
          </w:p>
        </w:tc>
        <w:tc>
          <w:tcPr>
            <w:tcW w:w="868" w:type="pc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适当倾斜</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满意度指标</w:t>
            </w:r>
          </w:p>
        </w:tc>
        <w:tc>
          <w:tcPr>
            <w:tcW w:w="440" w:type="pct"/>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满意度指标</w:t>
            </w: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50" w:type="pct"/>
            <w:vMerge w:val="continue"/>
            <w:tcBorders>
              <w:top w:val="nil"/>
            </w:tcBorders>
            <w:shd w:val="clear"/>
            <w:noWrap/>
            <w:vAlign w:val="center"/>
          </w:tcPr>
          <w:p>
            <w:pPr>
              <w:rPr>
                <w:rFonts w:hint="eastAsia" w:ascii="宋体"/>
                <w:sz w:val="24"/>
                <w:szCs w:val="24"/>
              </w:rPr>
            </w:pPr>
          </w:p>
        </w:tc>
        <w:tc>
          <w:tcPr>
            <w:tcW w:w="236" w:type="pct"/>
            <w:vMerge w:val="continue"/>
            <w:tcBorders>
              <w:top w:val="nil"/>
              <w:left w:val="nil"/>
            </w:tcBorders>
            <w:shd w:val="clear"/>
            <w:vAlign w:val="center"/>
          </w:tcPr>
          <w:p>
            <w:pPr>
              <w:rPr>
                <w:rFonts w:hint="eastAsia" w:ascii="宋体"/>
                <w:sz w:val="24"/>
                <w:szCs w:val="24"/>
              </w:rPr>
            </w:pPr>
          </w:p>
        </w:tc>
        <w:tc>
          <w:tcPr>
            <w:tcW w:w="440" w:type="pct"/>
            <w:vMerge w:val="continue"/>
            <w:tcBorders>
              <w:top w:val="nil"/>
              <w:left w:val="nil"/>
            </w:tcBorders>
            <w:shd w:val="clear"/>
            <w:vAlign w:val="center"/>
          </w:tcPr>
          <w:p>
            <w:pPr>
              <w:rPr>
                <w:rFonts w:hint="eastAsia" w:ascii="宋体"/>
                <w:sz w:val="24"/>
                <w:szCs w:val="24"/>
              </w:rPr>
            </w:pPr>
          </w:p>
        </w:tc>
        <w:tc>
          <w:tcPr>
            <w:tcW w:w="1490" w:type="pct"/>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841"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868"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69" w:type="pct"/>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0" w:type="pct"/>
            <w:tcBorders>
              <w:top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说明</w:t>
            </w:r>
          </w:p>
        </w:tc>
        <w:tc>
          <w:tcPr>
            <w:tcW w:w="4747" w:type="pct"/>
            <w:gridSpan w:val="7"/>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无</w:t>
            </w:r>
          </w:p>
        </w:tc>
      </w:tr>
    </w:tbl>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一、财政拨款收入：指单位本年度从本级财政部门取得的财政拨款，包括一般公共预算财政拨款和政府性基金预算财政拨款。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二、上级补助收入：指事业单位从主管部门和上级单位取得的非财政补助收入。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十三、上缴上级支出：指事业单位按照财政部门和主管部门的规定上缴上级单位的支出。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0C095E20"/>
    <w:rsid w:val="0C09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2023-10-07T05:14:00Z</dcterms:created>
  <dc:creator>才东东</dc:creator>
  <cp:lastModifiedBy>才东东</cp:lastModifiedBy>
  <dcterms:modified xsi:type="dcterms:W3CDTF">2023-10-07T05:15:59Z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048416256E664859B4D4D599D4EDA486_11</vt:lpwstr>
  </property>
</Properties>
</file>