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val="0"/>
          <w:kern w:val="2"/>
          <w:sz w:val="44"/>
          <w:szCs w:val="44"/>
          <w:lang w:val="en-US" w:eastAsia="zh-CN" w:bidi="ar"/>
        </w:rPr>
      </w:pPr>
      <w:r>
        <w:rPr>
          <w:rFonts w:ascii="方正小标宋简体" w:hAnsi="方正小标宋简体" w:eastAsia="方正小标宋简体" w:cs="方正小标宋简体"/>
          <w:b w:val="0"/>
          <w:bCs w:val="0"/>
          <w:kern w:val="2"/>
          <w:sz w:val="44"/>
          <w:szCs w:val="44"/>
          <w:lang w:val="en-US" w:eastAsia="zh-CN" w:bidi="ar"/>
        </w:rPr>
        <w:t>宁都县蔡江乡公立幼儿园</w:t>
      </w:r>
      <w:r>
        <w:rPr>
          <w:rFonts w:hint="eastAsia" w:ascii="方正小标宋简体" w:hAnsi="方正小标宋简体" w:eastAsia="方正小标宋简体" w:cs="方正小标宋简体"/>
          <w:b w:val="0"/>
          <w:bCs w:val="0"/>
          <w:kern w:val="2"/>
          <w:sz w:val="44"/>
          <w:szCs w:val="44"/>
          <w:lang w:val="en-US" w:eastAsia="zh-CN" w:bidi="ar"/>
        </w:rPr>
        <w:t>2021年度单位</w:t>
      </w:r>
    </w:p>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val="0"/>
          <w:kern w:val="2"/>
          <w:sz w:val="44"/>
          <w:szCs w:val="44"/>
          <w:lang w:val="en-US" w:eastAsia="zh-CN" w:bidi="ar"/>
        </w:rPr>
      </w:pPr>
      <w:r>
        <w:rPr>
          <w:rFonts w:hint="eastAsia" w:ascii="方正小标宋简体" w:hAnsi="方正小标宋简体" w:eastAsia="方正小标宋简体" w:cs="方正小标宋简体"/>
          <w:b w:val="0"/>
          <w:bCs w:val="0"/>
          <w:kern w:val="2"/>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val="0"/>
          <w:kern w:val="2"/>
          <w:sz w:val="44"/>
          <w:szCs w:val="44"/>
          <w:lang w:val="en-US" w:eastAsia="zh-CN" w:bidi="ar"/>
        </w:rPr>
      </w:pP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r>
        <w:rPr>
          <w:rFonts w:hint="eastAsia" w:ascii="仿宋_GB2312" w:eastAsia="仿宋_GB2312" w:cs="仿宋_GB2312" w:hAnsiTheme="minorHAnsi"/>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单位概况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2"/>
          <w:sz w:val="24"/>
          <w:szCs w:val="24"/>
          <w:shd w:val="clear" w:fill="FFFFFF"/>
        </w:rPr>
        <w:t>一、认真贯彻执行幼儿教育《纲要》和《幼儿园工作规程》精神</w:t>
      </w:r>
      <w:r>
        <w:rPr>
          <w:rFonts w:ascii="TimesNewRomanPSMT" w:hAnsi="TimesNewRomanPSMT" w:eastAsia="宋体" w:cs="TimesNewRomanPSMT"/>
          <w:color w:val="000000"/>
          <w:kern w:val="2"/>
          <w:sz w:val="24"/>
          <w:szCs w:val="24"/>
          <w:shd w:val="clear" w:fill="FFFFFF"/>
        </w:rPr>
        <w:t>,</w:t>
      </w:r>
      <w:r>
        <w:rPr>
          <w:rFonts w:hint="eastAsia" w:ascii="宋体" w:hAnsi="宋体" w:eastAsia="宋体" w:cs="宋体"/>
          <w:color w:val="000000"/>
          <w:kern w:val="2"/>
          <w:sz w:val="24"/>
          <w:szCs w:val="24"/>
          <w:shd w:val="clear" w:fill="FFFFFF"/>
        </w:rPr>
        <w:t>从严治园</w:t>
      </w:r>
      <w:r>
        <w:rPr>
          <w:rFonts w:hint="default" w:ascii="TimesNewRomanPSMT" w:hAnsi="TimesNewRomanPSMT" w:eastAsia="宋体" w:cs="TimesNewRomanPSMT"/>
          <w:color w:val="000000"/>
          <w:kern w:val="2"/>
          <w:sz w:val="24"/>
          <w:szCs w:val="24"/>
          <w:shd w:val="clear" w:fill="FFFFFF"/>
        </w:rPr>
        <w:t>,</w:t>
      </w:r>
      <w:r>
        <w:rPr>
          <w:rFonts w:hint="eastAsia" w:ascii="宋体" w:hAnsi="宋体" w:eastAsia="宋体" w:cs="宋体"/>
          <w:color w:val="000000"/>
          <w:kern w:val="2"/>
          <w:sz w:val="24"/>
          <w:szCs w:val="24"/>
          <w:shd w:val="clear" w:fill="FFFFFF"/>
        </w:rPr>
        <w:t>以促进幼儿体、智、德、美全面发展为各项工作的目标</w:t>
      </w:r>
      <w:r>
        <w:rPr>
          <w:rFonts w:hint="default" w:ascii="TimesNewRomanPSMT" w:hAnsi="TimesNewRomanPSMT" w:eastAsia="宋体" w:cs="TimesNewRomanPSMT"/>
          <w:color w:val="000000"/>
          <w:kern w:val="2"/>
          <w:sz w:val="24"/>
          <w:szCs w:val="24"/>
          <w:shd w:val="clear" w:fill="FFFFFF"/>
        </w:rPr>
        <w:t>,</w:t>
      </w:r>
      <w:r>
        <w:rPr>
          <w:rFonts w:hint="eastAsia" w:ascii="宋体" w:hAnsi="宋体" w:eastAsia="宋体" w:cs="宋体"/>
          <w:color w:val="000000"/>
          <w:kern w:val="2"/>
          <w:sz w:val="24"/>
          <w:szCs w:val="24"/>
          <w:shd w:val="clear" w:fill="FFFFFF"/>
        </w:rPr>
        <w:t>坚持改革</w:t>
      </w:r>
      <w:r>
        <w:rPr>
          <w:rFonts w:hint="default" w:ascii="TimesNewRomanPSMT" w:hAnsi="TimesNewRomanPSMT" w:eastAsia="宋体" w:cs="TimesNewRomanPSMT"/>
          <w:color w:val="000000"/>
          <w:kern w:val="2"/>
          <w:sz w:val="24"/>
          <w:szCs w:val="24"/>
          <w:shd w:val="clear" w:fill="FFFFFF"/>
        </w:rPr>
        <w:t>,</w:t>
      </w:r>
      <w:r>
        <w:rPr>
          <w:rFonts w:hint="eastAsia" w:ascii="宋体" w:hAnsi="宋体" w:eastAsia="宋体" w:cs="宋体"/>
          <w:color w:val="000000"/>
          <w:kern w:val="2"/>
          <w:sz w:val="24"/>
          <w:szCs w:val="24"/>
          <w:shd w:val="clear" w:fill="FFFFFF"/>
        </w:rPr>
        <w:t>不断提高教育质量。</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2"/>
          <w:sz w:val="24"/>
          <w:szCs w:val="24"/>
          <w:shd w:val="clear" w:fill="FFFFFF"/>
        </w:rPr>
        <w:t> 二、严格执行幼儿安全、卫生、保健制度，制定年度工作目标、规划、学期工作任务，认真做好组织实施。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2"/>
          <w:sz w:val="24"/>
          <w:szCs w:val="24"/>
          <w:shd w:val="clear" w:fill="FFFFFF"/>
        </w:rPr>
        <w:t>三、建立和健全各项规章制度并认真组织和实施。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2"/>
          <w:sz w:val="24"/>
          <w:szCs w:val="24"/>
          <w:shd w:val="clear" w:fill="FFFFFF"/>
        </w:rPr>
        <w:t> 四、加强教职工的考核工作，检查、指导、评估工作质量，制定奖惩措施。</w:t>
      </w:r>
    </w:p>
    <w:p>
      <w:pPr>
        <w:pStyle w:val="2"/>
        <w:keepNext w:val="0"/>
        <w:keepLines w:val="0"/>
        <w:widowControl/>
        <w:suppressLineNumbers w:val="0"/>
        <w:shd w:val="clear" w:fill="FFFFFF"/>
        <w:spacing w:before="0" w:beforeAutospacing="0" w:after="0" w:afterAutospacing="0" w:line="480" w:lineRule="exact"/>
        <w:ind w:left="0" w:right="0" w:firstLine="508" w:firstLineChars="200"/>
      </w:pPr>
      <w:r>
        <w:rPr>
          <w:rFonts w:hint="eastAsia" w:ascii="宋体" w:hAnsi="宋体" w:eastAsia="宋体" w:cs="宋体"/>
          <w:color w:val="000000"/>
          <w:spacing w:val="7"/>
          <w:kern w:val="2"/>
          <w:sz w:val="24"/>
          <w:szCs w:val="24"/>
          <w:shd w:val="clear" w:fill="FFFFFF"/>
        </w:rPr>
        <w:t>五、</w:t>
      </w:r>
      <w:r>
        <w:rPr>
          <w:rFonts w:hint="eastAsia" w:ascii="宋体" w:hAnsi="宋体" w:eastAsia="宋体" w:cs="宋体"/>
          <w:color w:val="000000"/>
          <w:spacing w:val="-5"/>
          <w:kern w:val="2"/>
          <w:sz w:val="24"/>
          <w:szCs w:val="24"/>
          <w:shd w:val="clear" w:fill="FFFFFF"/>
        </w:rPr>
        <w:t>加强财务管理，</w:t>
      </w:r>
      <w:r>
        <w:rPr>
          <w:rFonts w:hint="eastAsia" w:ascii="宋体" w:hAnsi="宋体" w:eastAsia="宋体" w:cs="宋体"/>
          <w:color w:val="000000"/>
          <w:spacing w:val="7"/>
          <w:kern w:val="2"/>
          <w:sz w:val="24"/>
          <w:szCs w:val="24"/>
          <w:shd w:val="clear" w:fill="FFFFFF"/>
        </w:rPr>
        <w:t>科学管理、合理使用学校的设施和经费，并积极筹措资金，</w:t>
      </w:r>
      <w:r>
        <w:rPr>
          <w:rFonts w:hint="eastAsia" w:ascii="宋体" w:hAnsi="宋体" w:eastAsia="宋体" w:cs="宋体"/>
          <w:color w:val="000000"/>
          <w:spacing w:val="-5"/>
          <w:kern w:val="2"/>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60" w:firstLineChars="200"/>
      </w:pPr>
      <w:r>
        <w:rPr>
          <w:rFonts w:hint="eastAsia" w:ascii="宋体" w:hAnsi="宋体" w:eastAsia="宋体" w:cs="宋体"/>
          <w:color w:val="000000"/>
          <w:spacing w:val="-5"/>
          <w:kern w:val="2"/>
          <w:sz w:val="24"/>
          <w:szCs w:val="24"/>
          <w:shd w:val="clear" w:fill="FFFFFF"/>
        </w:rPr>
        <w:t>六、加强思想政治工作，组织文化业务学习，有计划开展业务培训，提高教师业务水平。</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2"/>
          <w:sz w:val="24"/>
          <w:szCs w:val="24"/>
          <w:shd w:val="clear" w:fill="FFFFFF"/>
        </w:rPr>
        <w:t>七、关心教职工业务和生活，加强职工道德教育。 </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eastAsia" w:ascii="宋体" w:hAnsi="宋体" w:eastAsia="宋体" w:cs="宋体"/>
          <w:color w:val="000000"/>
          <w:spacing w:val="-9"/>
          <w:kern w:val="2"/>
          <w:sz w:val="24"/>
          <w:szCs w:val="24"/>
          <w:shd w:val="clear" w:fill="FFFFFF"/>
        </w:rPr>
        <w:t>八、依法接受各级教育行政单位的检查指导和人民群众的监督。</w:t>
      </w:r>
      <w:r>
        <w:rPr>
          <w:spacing w:val="-9"/>
          <w:sz w:val="32"/>
          <w:szCs w:val="32"/>
          <w:shd w:val="clear" w:fill="FFFFFF"/>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本单位2021年年末实有人数 7 人，其中在职人员7 人，离休人员 0  人，退休人员 0  人（含由养老保险基金发放养老金的离退休人员）；年末其他人员 9  人；年末学生人数140   人。</w:t>
      </w:r>
    </w:p>
    <w:p>
      <w:pPr>
        <w:keepNext w:val="0"/>
        <w:keepLines w:val="0"/>
        <w:widowControl/>
        <w:suppressLineNumbers w:val="0"/>
        <w:spacing w:before="0" w:beforeAutospacing="1" w:after="0" w:afterAutospacing="1" w:line="600" w:lineRule="exact"/>
        <w:ind w:left="0" w:right="0" w:firstLine="640"/>
        <w:jc w:val="center"/>
      </w:pPr>
      <w:r>
        <w:rPr>
          <w:rFonts w:hint="eastAsia" w:ascii="仿宋_GB2312" w:eastAsia="仿宋_GB2312" w:cs="仿宋_GB2312" w:hAnsiTheme="minorHAnsi"/>
          <w:kern w:val="2"/>
          <w:sz w:val="30"/>
          <w:szCs w:val="30"/>
          <w:lang w:val="en-US" w:eastAsia="zh-CN" w:bidi="ar"/>
        </w:rPr>
        <w:t> </w:t>
      </w:r>
      <w:r>
        <w:rPr>
          <w:rFonts w:hint="eastAsia"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autoSpaceDE w:val="0"/>
        <w:autoSpaceDN w:val="0"/>
        <w:adjustRightInd w:val="0"/>
        <w:spacing w:line="360" w:lineRule="auto"/>
        <w:jc w:val="left"/>
        <w:rPr>
          <w:rFonts w:hint="eastAsia"/>
          <w:szCs w:val="30"/>
        </w:rPr>
      </w:pPr>
      <w:r>
        <w:rPr>
          <w:rFonts w:hint="default" w:ascii="Calibri" w:hAnsi="Calibri" w:eastAsia="宋体" w:cs="Calibri"/>
          <w:kern w:val="2"/>
          <w:sz w:val="21"/>
          <w:szCs w:val="21"/>
          <w:lang w:val="en-US" w:eastAsia="zh-CN" w:bidi="ar"/>
        </w:rPr>
        <w:t> </w:t>
      </w:r>
    </w:p>
    <w:p>
      <w:pPr>
        <w:autoSpaceDE w:val="0"/>
        <w:autoSpaceDN w:val="0"/>
        <w:adjustRightInd w:val="0"/>
        <w:spacing w:line="360" w:lineRule="auto"/>
        <w:jc w:val="left"/>
        <w:rPr>
          <w:rFonts w:hint="eastAsia"/>
          <w:szCs w:val="30"/>
        </w:rPr>
      </w:pPr>
      <w:r>
        <w:drawing>
          <wp:inline distT="0" distB="0" distL="114300" distR="114300">
            <wp:extent cx="5270500" cy="5290185"/>
            <wp:effectExtent l="0" t="0" r="635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5270500" cy="529018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r>
        <w:drawing>
          <wp:inline distT="0" distB="0" distL="114300" distR="114300">
            <wp:extent cx="5264150" cy="1504315"/>
            <wp:effectExtent l="0" t="0" r="1270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5264150" cy="15043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0500" cy="1875155"/>
            <wp:effectExtent l="0" t="0" r="6350" b="1079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270500" cy="18751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851910"/>
            <wp:effectExtent l="0" t="0" r="4445" b="152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a:stretch>
                      <a:fillRect/>
                    </a:stretch>
                  </pic:blipFill>
                  <pic:spPr>
                    <a:xfrm>
                      <a:off x="0" y="0"/>
                      <a:ext cx="5272405" cy="38519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865" cy="2721610"/>
            <wp:effectExtent l="0" t="0" r="6985" b="254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8"/>
                    <a:stretch>
                      <a:fillRect/>
                    </a:stretch>
                  </pic:blipFill>
                  <pic:spPr>
                    <a:xfrm>
                      <a:off x="0" y="0"/>
                      <a:ext cx="5269865" cy="2721610"/>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32610"/>
            <wp:effectExtent l="0" t="0" r="9525" b="1524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9"/>
                    <a:stretch>
                      <a:fillRect/>
                    </a:stretch>
                  </pic:blipFill>
                  <pic:spPr>
                    <a:xfrm>
                      <a:off x="0" y="0"/>
                      <a:ext cx="5267325" cy="183261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68595" cy="8175625"/>
            <wp:effectExtent l="0" t="0" r="8255" b="1587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0"/>
                    <a:stretch>
                      <a:fillRect/>
                    </a:stretch>
                  </pic:blipFill>
                  <pic:spPr>
                    <a:xfrm>
                      <a:off x="0" y="0"/>
                      <a:ext cx="5268595" cy="817562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135" cy="5224780"/>
            <wp:effectExtent l="0" t="0" r="5715" b="1397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1"/>
                    <a:stretch>
                      <a:fillRect/>
                    </a:stretch>
                  </pic:blipFill>
                  <pic:spPr>
                    <a:xfrm>
                      <a:off x="0" y="0"/>
                      <a:ext cx="5271135" cy="522478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32610"/>
            <wp:effectExtent l="0" t="0" r="9525" b="15240"/>
            <wp:docPr id="1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9"/>
                    <pic:cNvPicPr>
                      <a:picLocks noChangeAspect="1"/>
                    </pic:cNvPicPr>
                  </pic:nvPicPr>
                  <pic:blipFill>
                    <a:blip r:embed="rId12"/>
                    <a:stretch>
                      <a:fillRect/>
                    </a:stretch>
                  </pic:blipFill>
                  <pic:spPr>
                    <a:xfrm>
                      <a:off x="0" y="0"/>
                      <a:ext cx="5267325" cy="18326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8595" cy="2879090"/>
            <wp:effectExtent l="0" t="0" r="8255" b="16510"/>
            <wp:docPr id="1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pic:cNvPicPr>
                      <a:picLocks noChangeAspect="1"/>
                    </pic:cNvPicPr>
                  </pic:nvPicPr>
                  <pic:blipFill>
                    <a:blip r:embed="rId13"/>
                    <a:stretch>
                      <a:fillRect/>
                    </a:stretch>
                  </pic:blipFill>
                  <pic:spPr>
                    <a:xfrm>
                      <a:off x="0" y="0"/>
                      <a:ext cx="5268595" cy="2879090"/>
                    </a:xfrm>
                    <a:prstGeom prst="rect">
                      <a:avLst/>
                    </a:prstGeom>
                    <a:noFill/>
                    <a:ln>
                      <a:noFill/>
                    </a:ln>
                  </pic:spPr>
                </pic:pic>
              </a:graphicData>
            </a:graphic>
          </wp:inline>
        </w:drawing>
      </w:r>
    </w:p>
    <w:p>
      <w:pPr>
        <w:autoSpaceDE w:val="0"/>
        <w:autoSpaceDN w:val="0"/>
        <w:adjustRightInd w:val="0"/>
        <w:spacing w:line="360" w:lineRule="auto"/>
        <w:jc w:val="left"/>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56"/>
        <w:gridCol w:w="1066"/>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编制单位：宁都县蔡江乡中心幼儿园</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jc w:val="center"/>
      </w:pP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21"/>
          <w:szCs w:val="21"/>
          <w:lang w:val="en-US" w:eastAsia="zh-CN" w:bidi="ar"/>
        </w:rPr>
        <w:t> </w:t>
      </w:r>
      <w:r>
        <w:rPr>
          <w:rFonts w:hint="eastAsia"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 107.41   万元，较2020年增加48.75 万元，增长45.4 %，其中：年初结转和结余 0 万元，较2020年增加0万元，增长0%；本年收入合计 107.41 万元，较2020年增加48.75 万元，增长45.4 %，主要原因是：21年把事业收入纳入单位决算。</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本年收入的具体构成为：财政拨款收入75.87  万元，占 70.6%；事业收入 31.54  万元，占 29.4%；经营收入  0 万元，占 0 %；其他收入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 107.41   万元，其中本年支出合计 107.41  万元，较2020年增加48.75 万元，增长45.4  %，主要原因是21年把事业支出纳入单位决算；年末结转和结余 0  万元，较2020年增加（减少） 0 万元，增长（下降） 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  107.41 万元，占100  %；项目支出  0 万元，占 0  %；经营支出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本单位2021年度财政拨款本年支出年初预算数为41.26   万元，决算数为75.87  万元，完成年初预算的183 %。其中：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教育支出年初预算数为41.26  万元，决算数为  75.87万元，完成年初预算的183  %，主要原因是：年初预算数不包含公用经费、边远山区特殊津贴、乡村教师补助、绩效奖等经费拨款。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 107.41 万元，其中：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 67.47  万元，较2020年增加32.05  万元，增长90  %，主要原因是：教职工人数增加。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 8.4 万元，较2020年减少1.79  万元，下降17.6  %，主要原因是：节约开支。</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（三）对个人和家庭补助支出0  万元，较2020年减少0.2 万元，下降100  %，主要原因是：乡镇工作补贴支出调整到工资福利。</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 0 万元，较2020年减少0.26 万元，下降100  %，主要原因是：减少固定资产支出。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  0 万元，决算数为 0 万元，完成预算的 0 %，决算数较2020年增加（减少）0  万元，增长（下降）0  %，其中：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0 万元，完成预算的0 %，决算数较2020年增加（减少）0  万元，增长（下降）0  。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 1  万元，决算数为  0万元，完成预算的0 %，决算数较2020年减少0 万元，下降100  %，主要为：未纳入公务接待消费平台。</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 0  万元，其中公务用车购置年初预算数为0   万元，决算数为  0万元，完成预算的 0%，决算数较2020年增加（减少） 0 万元，增长（下降）0  %，主要原因是无公务用车。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asciiTheme="minorHAnsi" w:hAnsiTheme="minorHAnsi" w:eastAsiaTheme="minorEastAsia" w:cstheme="minorBidi"/>
          <w:kern w:val="0"/>
          <w:sz w:val="30"/>
          <w:szCs w:val="30"/>
          <w:lang w:val="en-US" w:eastAsia="zh-CN" w:bidi="ar"/>
        </w:rPr>
        <w:t>本单位不是行政单位或参照公务员法管理事业单位，故无机关运行经费支出。</w:t>
      </w: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 0 万元，其中：政府采购货物支出 0 万元、政府采购工程支出0  万元、政府采购服务支出 0 万元。授予中小企业合同金额0  万元，占政府采购支出总额的0  %，其中：授予小微企业合同金额0  万元，占政府采购支出总额的0  %；货物采购授予中小企业合同金额占货物支出金额的0    %，工程采购授予中小企业合同金额占工程支出金额的 0   %，服务采购授予中小企业合同金额占服务支出金额的    0 %。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eastAsia"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rPr>
          <w:rFonts w:hint="eastAsia" w:ascii="仿宋" w:hAnsi="仿宋" w:eastAsia="仿宋" w:cs="仿宋"/>
          <w:i w:val="0"/>
          <w:iCs w:val="0"/>
          <w:caps w:val="0"/>
          <w:color w:val="000000"/>
          <w:spacing w:val="0"/>
          <w:kern w:val="0"/>
          <w:sz w:val="32"/>
          <w:szCs w:val="32"/>
          <w:bdr w:val="none" w:color="auto" w:sz="0" w:space="0"/>
          <w:shd w:val="clear" w:fill="FFFFFF"/>
        </w:rPr>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99.4分。项目全年预算为8.4万元，执行数为8.4万元，完成预算的100%。主要产出和效果：保障了学校的正常运行，提高了学校的教育教学质量，学校、家长和学生的满意度为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rPr>
          <w:rFonts w:hint="eastAsia" w:ascii="仿宋" w:hAnsi="仿宋" w:eastAsia="仿宋" w:cs="仿宋"/>
          <w:i w:val="0"/>
          <w:iCs w:val="0"/>
          <w:caps w:val="0"/>
          <w:color w:val="000000"/>
          <w:spacing w:val="0"/>
          <w:kern w:val="0"/>
          <w:sz w:val="32"/>
          <w:szCs w:val="32"/>
          <w:bdr w:val="none" w:color="auto" w:sz="0" w:space="0"/>
          <w:shd w:val="clear" w:fill="FFFFFF"/>
        </w:rPr>
      </w:pP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21"/>
        <w:gridCol w:w="1280"/>
        <w:gridCol w:w="1081"/>
        <w:gridCol w:w="1149"/>
        <w:gridCol w:w="1208"/>
        <w:gridCol w:w="458"/>
        <w:gridCol w:w="1304"/>
        <w:gridCol w:w="851"/>
        <w:gridCol w:w="319"/>
        <w:gridCol w:w="394"/>
        <w:gridCol w:w="592"/>
        <w:gridCol w:w="207"/>
        <w:gridCol w:w="675"/>
        <w:gridCol w:w="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9" w:hRule="atLeast"/>
          <w:jc w:val="center"/>
        </w:trPr>
        <w:tc>
          <w:tcPr>
            <w:tcW w:w="10515" w:type="dxa"/>
            <w:gridSpan w:val="14"/>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0515" w:type="dxa"/>
            <w:gridSpan w:val="14"/>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673"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1673"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5"/>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宁都县蔡江公立幼儿园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1673" w:type="dxa"/>
            <w:gridSpan w:val="2"/>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0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673" w:type="dxa"/>
            <w:gridSpan w:val="2"/>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98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8.4</w:t>
            </w:r>
          </w:p>
        </w:tc>
        <w:tc>
          <w:tcPr>
            <w:tcW w:w="161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8.4</w:t>
            </w:r>
          </w:p>
        </w:tc>
        <w:tc>
          <w:tcPr>
            <w:tcW w:w="148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8.4</w:t>
            </w:r>
          </w:p>
        </w:tc>
        <w:tc>
          <w:tcPr>
            <w:tcW w:w="11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673" w:type="dxa"/>
            <w:gridSpan w:val="2"/>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98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8.4</w:t>
            </w:r>
          </w:p>
        </w:tc>
        <w:tc>
          <w:tcPr>
            <w:tcW w:w="161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8.4</w:t>
            </w:r>
          </w:p>
        </w:tc>
        <w:tc>
          <w:tcPr>
            <w:tcW w:w="148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8.4</w:t>
            </w:r>
          </w:p>
        </w:tc>
        <w:tc>
          <w:tcPr>
            <w:tcW w:w="11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673" w:type="dxa"/>
            <w:gridSpan w:val="2"/>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98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61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48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1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7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1673" w:type="dxa"/>
            <w:gridSpan w:val="2"/>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98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61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48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11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c>
          <w:tcPr>
            <w:tcW w:w="57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60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7"/>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5731" w:type="dxa"/>
            <w:gridSpan w:val="6"/>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7"/>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jc w:val="center"/>
        </w:trPr>
        <w:tc>
          <w:tcPr>
            <w:tcW w:w="608"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2"/>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13" w:type="dxa"/>
            <w:gridSpan w:val="3"/>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97"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44"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875" w:type="dxa"/>
            <w:gridSpan w:val="2"/>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950" w:type="dxa"/>
            <w:gridSpan w:val="2"/>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307" w:type="dxa"/>
            <w:gridSpan w:val="2"/>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nil"/>
              <w:left w:val="single" w:color="000000" w:sz="8" w:space="0"/>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94%</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jc w:val="center"/>
        </w:trPr>
        <w:tc>
          <w:tcPr>
            <w:tcW w:w="608"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1065"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756"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hAnsi="宋体" w:eastAsia="宋体" w:cs="宋体"/>
                <w:sz w:val="18"/>
                <w:szCs w:val="18"/>
              </w:rPr>
            </w:pPr>
          </w:p>
        </w:tc>
        <w:tc>
          <w:tcPr>
            <w:tcW w:w="2813"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nil"/>
              <w:left w:val="nil"/>
              <w:bottom w:val="single" w:color="000000"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94%</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7383" w:type="dxa"/>
            <w:gridSpan w:val="8"/>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99.4</w:t>
            </w:r>
          </w:p>
        </w:tc>
        <w:tc>
          <w:tcPr>
            <w:tcW w:w="130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olor w:val="00000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0" w:type="auto"/>
            <w:gridSpan w:val="14"/>
            <w:tcBorders>
              <w:top w:val="nil"/>
              <w:left w:val="nil"/>
              <w:bottom w:val="nil"/>
              <w:right w:val="nil"/>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0515" w:type="dxa"/>
            <w:gridSpan w:val="14"/>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10515" w:type="dxa"/>
            <w:gridSpan w:val="14"/>
            <w:tcBorders>
              <w:top w:val="nil"/>
              <w:left w:val="nil"/>
              <w:bottom w:val="nil"/>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18"/>
          <w:szCs w:val="18"/>
        </w:rPr>
      </w:pPr>
      <w:r>
        <w:rPr>
          <w:rFonts w:hint="default" w:ascii="Calibri" w:hAnsi="Calibri" w:eastAsia="宋体" w:cs="Calibri"/>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18"/>
          <w:szCs w:val="18"/>
        </w:rPr>
      </w:pPr>
      <w:r>
        <w:rPr>
          <w:rFonts w:hint="default" w:ascii="Calibri" w:hAnsi="Calibri" w:eastAsia="宋体" w:cs="Calibri"/>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eastAsia" w:ascii="宋体" w:hAnsi="宋体" w:eastAsia="宋体" w:cs="宋体"/>
          <w:i w:val="0"/>
          <w:iCs w:val="0"/>
          <w:caps w:val="0"/>
          <w:color w:val="000000"/>
          <w:spacing w:val="0"/>
          <w:sz w:val="18"/>
          <w:szCs w:val="18"/>
        </w:rPr>
      </w:pPr>
      <w:r>
        <w:rPr>
          <w:rFonts w:hint="default" w:ascii="Calibri" w:hAnsi="Calibri" w:eastAsia="宋体" w:cs="Calibri"/>
          <w:i w:val="0"/>
          <w:iCs w:val="0"/>
          <w:caps w:val="0"/>
          <w:color w:val="000000"/>
          <w:spacing w:val="0"/>
          <w:kern w:val="0"/>
          <w:sz w:val="21"/>
          <w:szCs w:val="21"/>
          <w:bdr w:val="none" w:color="auto" w:sz="0" w:space="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center"/>
      </w:pPr>
      <w:r>
        <w:rPr>
          <w:rFonts w:hint="eastAsia" w:ascii="仿宋_GB2312" w:eastAsia="仿宋_GB2312" w:cs="仿宋_GB2312" w:hAnsiTheme="minorHAnsi"/>
          <w:kern w:val="0"/>
          <w:sz w:val="30"/>
          <w:szCs w:val="30"/>
          <w:lang w:val="en-US" w:eastAsia="zh-CN" w:bidi="ar"/>
        </w:rPr>
        <w:t> </w:t>
      </w:r>
      <w:bookmarkStart w:id="0" w:name="_GoBack"/>
      <w:bookmarkEnd w:id="0"/>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eastAsia"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2B3EE2B-4113-41F0-8FC0-560FDCE2DCF5}"/>
  </w:font>
  <w:font w:name="黑体">
    <w:panose1 w:val="02010609060101010101"/>
    <w:charset w:val="86"/>
    <w:family w:val="auto"/>
    <w:pitch w:val="default"/>
    <w:sig w:usb0="800002BF" w:usb1="38CF7CFA" w:usb2="00000016" w:usb3="00000000" w:csb0="00040001" w:csb1="00000000"/>
    <w:embedRegular r:id="rId2" w:fontKey="{EC8C6B65-C2B1-4AE7-893A-055B6F1642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D0D5FAE-F0ED-482D-B4BD-E5F4BC113CCF}"/>
  </w:font>
  <w:font w:name="方正小标宋简体">
    <w:panose1 w:val="02000000000000000000"/>
    <w:charset w:val="86"/>
    <w:family w:val="auto"/>
    <w:pitch w:val="default"/>
    <w:sig w:usb0="00000001" w:usb1="08000000" w:usb2="00000000" w:usb3="00000000" w:csb0="00040000" w:csb1="00000000"/>
    <w:embedRegular r:id="rId4" w:fontKey="{E3CECCDC-AECB-47E0-B956-C3B6E2D3F355}"/>
  </w:font>
  <w:font w:name="仿宋_GB2312">
    <w:panose1 w:val="02010609030101010101"/>
    <w:charset w:val="86"/>
    <w:family w:val="auto"/>
    <w:pitch w:val="default"/>
    <w:sig w:usb0="00000001" w:usb1="080E0000" w:usb2="00000000" w:usb3="00000000" w:csb0="00040000" w:csb1="00000000"/>
    <w:embedRegular r:id="rId5" w:fontKey="{4C79C3E6-8F06-429A-8E80-A9C384565E36}"/>
  </w:font>
  <w:font w:name="仿宋">
    <w:panose1 w:val="02010609060101010101"/>
    <w:charset w:val="86"/>
    <w:family w:val="auto"/>
    <w:pitch w:val="default"/>
    <w:sig w:usb0="800002BF" w:usb1="38CF7CFA" w:usb2="00000016" w:usb3="00000000" w:csb0="00040001" w:csb1="00000000"/>
    <w:embedRegular r:id="rId6" w:fontKey="{F541BF70-A817-4E2C-9892-914496AE63DE}"/>
  </w:font>
  <w:font w:name="TimesNewRomanPSMT">
    <w:altName w:val="Times New Roman"/>
    <w:panose1 w:val="00000000000000000000"/>
    <w:charset w:val="00"/>
    <w:family w:val="auto"/>
    <w:pitch w:val="default"/>
    <w:sig w:usb0="00000000" w:usb1="00000000" w:usb2="00000000" w:usb3="00000000" w:csb0="00000000" w:csb1="00000000"/>
    <w:embedRegular r:id="rId7" w:fontKey="{DC0D8966-7AC7-4E03-91F1-185CFAB0E4EF}"/>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E105FDB"/>
    <w:rsid w:val="13053004"/>
    <w:rsid w:val="4E105FDB"/>
    <w:rsid w:val="70756248"/>
    <w:rsid w:val="7327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2023-10-08T01:17:00Z</dcterms:created>
  <dc:creator>才东东</dc:creator>
  <cp:lastModifiedBy>才东东</cp:lastModifiedBy>
  <dcterms:modified xsi:type="dcterms:W3CDTF">2023-10-08T01:22:32Z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D036800F47C74D3EACC584C7C0522EBF_11</vt:lpwstr>
  </property>
</Properties>
</file>