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rPr>
          <w:rFonts w:hint="eastAsia" w:ascii="方正小标宋简体" w:hAnsi="方正小标宋简体" w:eastAsia="方正小标宋简体" w:cs="方正小标宋简体"/>
          <w:b w:val="0"/>
          <w:bCs w:val="0"/>
          <w:kern w:val="2"/>
          <w:sz w:val="44"/>
          <w:szCs w:val="44"/>
          <w:lang w:val="en-US" w:eastAsia="zh-CN" w:bidi="ar"/>
        </w:rPr>
      </w:pPr>
      <w:r>
        <w:rPr>
          <w:rFonts w:ascii="方正小标宋简体" w:hAnsi="方正小标宋简体" w:eastAsia="方正小标宋简体" w:cs="方正小标宋简体"/>
          <w:b w:val="0"/>
          <w:bCs w:val="0"/>
          <w:kern w:val="2"/>
          <w:sz w:val="44"/>
          <w:szCs w:val="44"/>
          <w:lang w:val="en-US" w:eastAsia="zh-CN" w:bidi="ar"/>
        </w:rPr>
        <w:t>宁都县大沽乡公立幼儿园</w:t>
      </w:r>
      <w:r>
        <w:rPr>
          <w:rFonts w:hint="eastAsia" w:ascii="方正小标宋简体" w:hAnsi="方正小标宋简体" w:eastAsia="方正小标宋简体" w:cs="方正小标宋简体"/>
          <w:b w:val="0"/>
          <w:bCs w:val="0"/>
          <w:kern w:val="2"/>
          <w:sz w:val="44"/>
          <w:szCs w:val="44"/>
          <w:lang w:val="en-US" w:eastAsia="zh-CN" w:bidi="ar"/>
        </w:rPr>
        <w:t>2021年度单位</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0"/>
          <w:sz w:val="44"/>
          <w:szCs w:val="44"/>
          <w:lang w:val="en-US" w:eastAsia="zh-CN" w:bidi="ar"/>
        </w:rPr>
        <w:t>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十、</w:t>
      </w:r>
      <w:r>
        <w:rPr>
          <w:rFonts w:hint="eastAsia" w:ascii="仿宋_GB2312" w:eastAsia="仿宋_GB2312" w:cs="仿宋_GB2312" w:hAnsiTheme="minorHAnsi"/>
          <w:kern w:val="0"/>
          <w:sz w:val="32"/>
          <w:szCs w:val="32"/>
          <w:lang w:val="en-US" w:eastAsia="zh-CN" w:bidi="ar"/>
        </w:rPr>
        <w:t>国有资产占用情况表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十一、</w:t>
      </w:r>
      <w:r>
        <w:rPr>
          <w:rFonts w:hint="eastAsia" w:ascii="仿宋_GB2312" w:eastAsia="仿宋_GB2312" w:cs="仿宋_GB2312" w:hAnsiTheme="minorHAnsi"/>
          <w:kern w:val="0"/>
          <w:sz w:val="32"/>
          <w:szCs w:val="32"/>
          <w:lang w:val="en-US" w:eastAsia="zh-CN" w:bidi="ar"/>
        </w:rPr>
        <w:t>项目支出绩效自评表</w:t>
      </w:r>
      <w:r>
        <w:rPr>
          <w:rFonts w:hint="eastAsia" w:ascii="仿宋_GB2312" w:eastAsia="仿宋_GB2312" w:cs="仿宋_GB2312" w:hAnsiTheme="minorHAnsi"/>
          <w:kern w:val="0"/>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w:t>
      </w:r>
      <w:r>
        <w:rPr>
          <w:rFonts w:hint="eastAsia" w:ascii="黑体" w:hAnsi="宋体" w:eastAsia="黑体" w:cs="黑体"/>
          <w:kern w:val="0"/>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numPr>
          <w:numId w:val="0"/>
        </w:numPr>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一、认真贯彻执行幼儿教育《纲要》和《幼儿园工作规程》精神</w:t>
      </w:r>
      <w:r>
        <w:rPr>
          <w:rFonts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从严治园</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以促进幼儿体、智、德、美全面发展为各项工作的目标</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坚持改革</w:t>
      </w:r>
      <w:r>
        <w:rPr>
          <w:rFonts w:hint="default" w:ascii="TimesNewRomanPSMT" w:hAnsi="TimesNewRomanPSMT" w:eastAsia="宋体" w:cs="宋体"/>
          <w:color w:val="000000"/>
          <w:kern w:val="0"/>
          <w:sz w:val="24"/>
          <w:szCs w:val="24"/>
          <w:shd w:val="clear" w:fill="FFFFFF"/>
        </w:rPr>
        <w:t>,</w:t>
      </w:r>
      <w:r>
        <w:rPr>
          <w:rFonts w:hint="eastAsia" w:ascii="宋体" w:hAnsi="宋体" w:eastAsia="宋体" w:cs="宋体"/>
          <w:color w:val="000000"/>
          <w:kern w:val="0"/>
          <w:sz w:val="24"/>
          <w:szCs w:val="24"/>
          <w:shd w:val="clear" w:fill="FFFFFF"/>
        </w:rPr>
        <w:t>不断提高教育质量。</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 二、严格执行幼儿安全、卫生、保健制度，制定年度工作目标、规划、学期工作任务，认真做好组织实施。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三、建立和健全各项规章制度并认真组织和实施。</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 四、加强教职工的考核工作，检查、指导、评估工作质量，制定奖惩措施。</w:t>
      </w:r>
    </w:p>
    <w:p>
      <w:pPr>
        <w:pStyle w:val="2"/>
        <w:keepNext w:val="0"/>
        <w:keepLines w:val="0"/>
        <w:widowControl/>
        <w:suppressLineNumbers w:val="0"/>
        <w:shd w:val="clear" w:fill="FFFFFF"/>
        <w:spacing w:before="0" w:beforeAutospacing="0" w:after="0" w:afterAutospacing="0" w:line="480" w:lineRule="exact"/>
        <w:ind w:left="0" w:right="0" w:firstLine="508" w:firstLineChars="200"/>
      </w:pPr>
      <w:r>
        <w:rPr>
          <w:rFonts w:hint="eastAsia" w:ascii="宋体" w:hAnsi="宋体" w:eastAsia="宋体" w:cs="宋体"/>
          <w:color w:val="000000"/>
          <w:spacing w:val="7"/>
          <w:kern w:val="0"/>
          <w:sz w:val="24"/>
          <w:szCs w:val="24"/>
          <w:shd w:val="clear" w:fill="FFFFFF"/>
        </w:rPr>
        <w:t>五、</w:t>
      </w:r>
      <w:r>
        <w:rPr>
          <w:rFonts w:hint="eastAsia" w:ascii="宋体" w:hAnsi="宋体" w:eastAsia="宋体" w:cs="宋体"/>
          <w:color w:val="000000"/>
          <w:spacing w:val="-5"/>
          <w:kern w:val="0"/>
          <w:sz w:val="24"/>
          <w:szCs w:val="24"/>
          <w:shd w:val="clear" w:fill="FFFFFF"/>
        </w:rPr>
        <w:t>加强财务管理，</w:t>
      </w:r>
      <w:r>
        <w:rPr>
          <w:rFonts w:hint="eastAsia" w:ascii="宋体" w:hAnsi="宋体" w:eastAsia="宋体" w:cs="宋体"/>
          <w:color w:val="000000"/>
          <w:spacing w:val="7"/>
          <w:kern w:val="0"/>
          <w:sz w:val="24"/>
          <w:szCs w:val="24"/>
          <w:shd w:val="clear" w:fill="FFFFFF"/>
        </w:rPr>
        <w:t>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60" w:firstLineChars="200"/>
      </w:pPr>
      <w:r>
        <w:rPr>
          <w:rFonts w:hint="eastAsia" w:ascii="宋体" w:hAnsi="宋体" w:eastAsia="宋体" w:cs="宋体"/>
          <w:color w:val="000000"/>
          <w:spacing w:val="-5"/>
          <w:kern w:val="0"/>
          <w:sz w:val="24"/>
          <w:szCs w:val="24"/>
          <w:shd w:val="clear" w:fill="FFFFFF"/>
        </w:rPr>
        <w:t>六、加强思想政治工作，组织文化业务学习，有计划开展业务培训，提高教师业务水平。</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eastAsia" w:ascii="宋体" w:hAnsi="宋体" w:eastAsia="宋体" w:cs="宋体"/>
          <w:color w:val="000000"/>
          <w:kern w:val="0"/>
          <w:sz w:val="24"/>
          <w:szCs w:val="24"/>
          <w:shd w:val="clear" w:fill="FFFFFF"/>
        </w:rPr>
        <w:t>七、关心教职工业务和生活，加强职工道德教育。 </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eastAsia" w:ascii="宋体" w:hAnsi="宋体" w:eastAsia="宋体" w:cs="宋体"/>
          <w:color w:val="000000"/>
          <w:spacing w:val="-9"/>
          <w:kern w:val="0"/>
          <w:sz w:val="24"/>
          <w:szCs w:val="24"/>
          <w:shd w:val="clear" w:fill="FFFFFF"/>
        </w:rPr>
        <w:t>八、依法接受各级教育行政单位的检查指导和人民群众的监督。</w:t>
      </w:r>
      <w:r>
        <w:rPr>
          <w:rFonts w:hint="eastAsia" w:ascii="黑体" w:hAnsi="宋体" w:eastAsia="黑体" w:cs="黑体"/>
          <w:sz w:val="30"/>
          <w:szCs w:val="30"/>
          <w:shd w:val="clear" w:fill="FFFFFF"/>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纳入本套单位决算汇编范围的单位共1个。</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本单位2021年年末实有人数6人，其中在职人员6人，退休人员0人（不含由养老保险基金发放养老金的离退休人员）；年末其他人员0人。年末学生人数85人，其中小学0人，初中  0人，幼儿园85 人。</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95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61"/>
        <w:gridCol w:w="656"/>
        <w:gridCol w:w="1066"/>
        <w:gridCol w:w="3241"/>
        <w:gridCol w:w="614"/>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597" w:type="dxa"/>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8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2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517"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2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73"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4583"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5014"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1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21.54</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2861"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106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32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6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jc w:val="center"/>
        </w:trPr>
        <w:tc>
          <w:tcPr>
            <w:tcW w:w="9597" w:type="dxa"/>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jc w:val="center"/>
        </w:trPr>
        <w:tc>
          <w:tcPr>
            <w:tcW w:w="9597" w:type="dxa"/>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8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2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86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32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110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6"/>
        <w:gridCol w:w="559"/>
        <w:gridCol w:w="559"/>
        <w:gridCol w:w="1401"/>
        <w:gridCol w:w="1118"/>
        <w:gridCol w:w="914"/>
        <w:gridCol w:w="1104"/>
        <w:gridCol w:w="1132"/>
        <w:gridCol w:w="1186"/>
        <w:gridCol w:w="1214"/>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1017" w:type="dxa"/>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5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0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3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4253"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3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28"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135"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118"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91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110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1132"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1186"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1214"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121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40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118"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1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0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3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8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40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18"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1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0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3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8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jc w:val="center"/>
        </w:trPr>
        <w:tc>
          <w:tcPr>
            <w:tcW w:w="173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40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18"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1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0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32"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86"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1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55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55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9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0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3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8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2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2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59"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0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21.54</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21.54</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21.54</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21.54</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734"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1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3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jc w:val="center"/>
        </w:trPr>
        <w:tc>
          <w:tcPr>
            <w:tcW w:w="11017"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0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3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0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1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113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color w:val="0000FF"/>
          <w:kern w:val="2"/>
          <w:sz w:val="21"/>
          <w:szCs w:val="21"/>
          <w:lang w:val="en-US" w:eastAsia="zh-CN" w:bidi="ar"/>
        </w:rPr>
      </w:pPr>
      <w:r>
        <w:rPr>
          <w:rFonts w:hint="eastAsia" w:ascii="Calibri" w:hAnsi="Calibri" w:eastAsia="宋体" w:cs="宋体"/>
          <w:color w:val="0000FF"/>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color w:val="0000FF"/>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color w:val="0000FF"/>
          <w:kern w:val="2"/>
          <w:sz w:val="21"/>
          <w:szCs w:val="21"/>
          <w:lang w:val="en-US" w:eastAsia="zh-CN" w:bidi="ar"/>
        </w:rPr>
      </w:pPr>
    </w:p>
    <w:tbl>
      <w:tblPr>
        <w:tblW w:w="97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6"/>
        <w:gridCol w:w="436"/>
        <w:gridCol w:w="436"/>
        <w:gridCol w:w="1316"/>
        <w:gridCol w:w="1107"/>
        <w:gridCol w:w="1159"/>
        <w:gridCol w:w="1105"/>
        <w:gridCol w:w="1145"/>
        <w:gridCol w:w="1187"/>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706"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911" w:type="dxa"/>
            <w:gridSpan w:val="5"/>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1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386"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0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10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15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10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14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118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119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10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0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8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9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0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0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8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9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10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5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0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4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8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9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1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87.52</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10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5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0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4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8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1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jc w:val="center"/>
        </w:trPr>
        <w:tc>
          <w:tcPr>
            <w:tcW w:w="9706"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0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5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110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8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194"/>
        <w:gridCol w:w="641"/>
        <w:gridCol w:w="1091"/>
        <w:gridCol w:w="1963"/>
        <w:gridCol w:w="600"/>
        <w:gridCol w:w="1173"/>
        <w:gridCol w:w="1077"/>
        <w:gridCol w:w="1064"/>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853"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19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7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114"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926"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9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7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114"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3926"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6927"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4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0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96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6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117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0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106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10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jc w:val="center"/>
        </w:trPr>
        <w:tc>
          <w:tcPr>
            <w:tcW w:w="2194"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64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6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7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7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4"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5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0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7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0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0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0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2"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jc w:val="center"/>
        </w:trPr>
        <w:tc>
          <w:tcPr>
            <w:tcW w:w="219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6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10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6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11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07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5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10853"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19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7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19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4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60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7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77"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6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5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77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9"/>
        <w:gridCol w:w="481"/>
        <w:gridCol w:w="481"/>
        <w:gridCol w:w="1453"/>
        <w:gridCol w:w="1695"/>
        <w:gridCol w:w="1210"/>
        <w:gridCol w:w="1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7723"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5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3034"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6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2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303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9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121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78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45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6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center"/>
        </w:trPr>
        <w:tc>
          <w:tcPr>
            <w:tcW w:w="158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45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453"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9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210"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784"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61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8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81"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4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6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2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7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619"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81"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2050201</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  学前教育</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65.98</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58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45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9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21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center"/>
        </w:trPr>
        <w:tc>
          <w:tcPr>
            <w:tcW w:w="7723"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5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2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9"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5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9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121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8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4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20"/>
        <w:gridCol w:w="2048"/>
        <w:gridCol w:w="843"/>
        <w:gridCol w:w="860"/>
        <w:gridCol w:w="1540"/>
        <w:gridCol w:w="914"/>
        <w:gridCol w:w="863"/>
        <w:gridCol w:w="1774"/>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0493" w:type="dxa"/>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8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04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60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4571"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605"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3711"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6782" w:type="dxa"/>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34" w:hRule="atLeast"/>
          <w:jc w:val="center"/>
        </w:trPr>
        <w:tc>
          <w:tcPr>
            <w:tcW w:w="82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204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4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8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5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91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8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177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58.88</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7.10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23.96</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2.50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6.69</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0.03</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0.36</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4.20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0.75</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1.80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0.53</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0.76</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0.94</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0.86</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3.50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0.40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0.30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15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048"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82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0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6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1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jc w:val="center"/>
        </w:trPr>
        <w:tc>
          <w:tcPr>
            <w:tcW w:w="2868"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84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58.88</w:t>
            </w:r>
          </w:p>
        </w:tc>
        <w:tc>
          <w:tcPr>
            <w:tcW w:w="5951"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83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jc w:val="center"/>
        </w:trPr>
        <w:tc>
          <w:tcPr>
            <w:tcW w:w="10493" w:type="dxa"/>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8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04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7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3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82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04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4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91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63"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774"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31"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4"/>
        <w:gridCol w:w="1168"/>
        <w:gridCol w:w="1442"/>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75"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8475"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8475" w:type="dxa"/>
            <w:gridSpan w:val="4"/>
            <w:vMerge w:val="continue"/>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91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6"/>
        <w:gridCol w:w="548"/>
        <w:gridCol w:w="548"/>
        <w:gridCol w:w="1378"/>
        <w:gridCol w:w="982"/>
        <w:gridCol w:w="955"/>
        <w:gridCol w:w="872"/>
        <w:gridCol w:w="982"/>
        <w:gridCol w:w="996"/>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right"/>
        </w:trPr>
        <w:tc>
          <w:tcPr>
            <w:tcW w:w="8913" w:type="dxa"/>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right"/>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54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7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5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7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032"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right"/>
        </w:trPr>
        <w:tc>
          <w:tcPr>
            <w:tcW w:w="3090"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9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55"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7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82"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032" w:type="dxa"/>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jc w:val="right"/>
        </w:trPr>
        <w:tc>
          <w:tcPr>
            <w:tcW w:w="3090"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982"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95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2850" w:type="dxa"/>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103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37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9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98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9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10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7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8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7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82"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5" w:type="dxa"/>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7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82"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99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jc w:val="right"/>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54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54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95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98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9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0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8"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right"/>
        </w:trPr>
        <w:tc>
          <w:tcPr>
            <w:tcW w:w="1712"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7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8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0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right"/>
        </w:trPr>
        <w:tc>
          <w:tcPr>
            <w:tcW w:w="8913"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9" w:hRule="atLeast"/>
          <w:jc w:val="right"/>
        </w:trPr>
        <w:tc>
          <w:tcPr>
            <w:tcW w:w="8913" w:type="dxa"/>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73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6"/>
        <w:gridCol w:w="436"/>
        <w:gridCol w:w="436"/>
        <w:gridCol w:w="1096"/>
        <w:gridCol w:w="1358"/>
        <w:gridCol w:w="1378"/>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731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7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2584" w:type="dxa"/>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r>
              <w:rPr>
                <w:rFonts w:hint="default" w:ascii="Arial" w:hAnsi="Arial" w:eastAsia="宋体" w:cs="Arial"/>
                <w:i w:val="0"/>
                <w:iCs w:val="0"/>
                <w:color w:val="000000"/>
                <w:kern w:val="2"/>
                <w:sz w:val="20"/>
                <w:szCs w:val="20"/>
                <w:bdr w:val="none" w:color="auto" w:sz="0" w:space="0"/>
                <w:lang w:val="en-US" w:eastAsia="zh-CN" w:bidi="ar"/>
              </w:rPr>
              <w:t> </w:t>
            </w:r>
          </w:p>
        </w:tc>
        <w:tc>
          <w:tcPr>
            <w:tcW w:w="13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37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2584"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35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37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199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109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13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7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9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7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9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35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7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99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616"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1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3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3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9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616" w:type="dxa"/>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09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13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148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35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3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9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jc w:val="center"/>
        </w:trPr>
        <w:tc>
          <w:tcPr>
            <w:tcW w:w="7310"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jc w:val="center"/>
        </w:trPr>
        <w:tc>
          <w:tcPr>
            <w:tcW w:w="7310" w:type="dxa"/>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7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jc w:val="center"/>
        </w:trPr>
        <w:tc>
          <w:tcPr>
            <w:tcW w:w="61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3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96"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35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1378"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90" w:type="dxa"/>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编制单位：宁都县大沽乡中心幼儿园</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 %d —</w:t>
            </w:r>
          </w:p>
        </w:tc>
        <w:tc>
          <w:tcPr>
            <w:tcW w:w="0" w:type="auto"/>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9"/>
        <w:gridCol w:w="1230"/>
        <w:gridCol w:w="1039"/>
        <w:gridCol w:w="1173"/>
        <w:gridCol w:w="1235"/>
        <w:gridCol w:w="470"/>
        <w:gridCol w:w="1302"/>
        <w:gridCol w:w="865"/>
        <w:gridCol w:w="280"/>
        <w:gridCol w:w="385"/>
        <w:gridCol w:w="540"/>
        <w:gridCol w:w="278"/>
        <w:gridCol w:w="38"/>
        <w:gridCol w:w="700"/>
        <w:gridCol w:w="29"/>
        <w:gridCol w:w="421"/>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r>
              <w:rPr>
                <w:rFonts w:hint="eastAsia" w:ascii="宋体" w:hAnsi="宋体" w:eastAsia="宋体" w:cs="宋体"/>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宁都县大沽乡公立幼儿园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 6.5</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 7.1</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  7.1</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 6.5</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  7.1</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 7.1 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    2.评分标准：（1） 若为</w:t>
            </w:r>
            <w:r>
              <w:rPr>
                <w:rFonts w:hint="eastAsia" w:ascii="宋体" w:hAnsi="宋体" w:eastAsia="宋体" w:cs="宋体"/>
                <w:b/>
                <w:bCs/>
                <w:i w:val="0"/>
                <w:iCs w:val="0"/>
                <w:color w:val="000000"/>
                <w:kern w:val="0"/>
                <w:sz w:val="20"/>
                <w:szCs w:val="20"/>
                <w:bdr w:val="none" w:color="auto" w:sz="0" w:space="0"/>
                <w:lang w:val="en-US" w:eastAsia="zh-CN" w:bidi="ar"/>
              </w:rPr>
              <w:t>定性指标</w:t>
            </w:r>
            <w:r>
              <w:rPr>
                <w:rFonts w:hint="eastAsia" w:ascii="宋体" w:hAnsi="宋体" w:eastAsia="宋体" w:cs="宋体"/>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bdr w:val="none" w:color="auto" w:sz="0" w:space="0"/>
                <w:lang w:val="en-US" w:eastAsia="zh-CN" w:bidi="ar"/>
              </w:rPr>
              <w:t>   （2）若为</w:t>
            </w:r>
            <w:r>
              <w:rPr>
                <w:rFonts w:hint="eastAsia" w:ascii="宋体" w:hAnsi="宋体" w:eastAsia="宋体" w:cs="宋体"/>
                <w:b/>
                <w:bCs/>
                <w:i w:val="0"/>
                <w:iCs w:val="0"/>
                <w:color w:val="000000"/>
                <w:kern w:val="0"/>
                <w:sz w:val="20"/>
                <w:szCs w:val="20"/>
                <w:bdr w:val="none" w:color="auto" w:sz="0" w:space="0"/>
                <w:lang w:val="en-US" w:eastAsia="zh-CN" w:bidi="ar"/>
              </w:rPr>
              <w:t>定量指标</w:t>
            </w:r>
            <w:r>
              <w:rPr>
                <w:rFonts w:hint="eastAsia" w:ascii="宋体" w:hAnsi="宋体" w:eastAsia="宋体" w:cs="宋体"/>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bookmarkStart w:id="0" w:name="_GoBack"/>
      <w:bookmarkEnd w:id="0"/>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收入总计87.52万元，较2020年增加28.38万元，增长（下降）47.98 %，其中：年初结转和结余0万元，较2020年增加0万元，增长（下降）0%；本年收入合计87.52万元，较2020年增加28.38万元，增长（下降）47.98 %，主要原因是：教师工资增加。</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本年收入的具体构成为：财政拨款收入65.98万元，占75.39%；事业收入21.54万元，占24.61%；经营收入0万元，占0%；其他收入0万元，占0%。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本单位2021年度支出总计87.52万元，其中本年支出合计87.52万元，较2020年增加28.38万元，增长47.98 %，主要原因是：教师工资增加；年末结转和结余0万元，较2020年增加（减少）0万元，增长（下降）0 %</w:t>
      </w:r>
      <w:r>
        <w:rPr>
          <w:rFonts w:hint="eastAsia"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本年支出的具体构成为：基本支出87.52万元，占100%；项目支出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本单位2021年度财政拨款本年支出年初预算数为49.13万元，决算数为87.52万元，完成年初预算的178.14%。其中：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0"/>
          <w:sz w:val="30"/>
          <w:szCs w:val="30"/>
          <w:lang w:val="en-US" w:eastAsia="zh-CN" w:bidi="ar"/>
        </w:rPr>
        <w:t>教育</w:t>
      </w:r>
      <w:r>
        <w:rPr>
          <w:rFonts w:hint="eastAsia" w:ascii="仿宋_GB2312" w:eastAsia="仿宋_GB2312" w:cs="仿宋_GB2312" w:hAnsiTheme="minorHAnsi"/>
          <w:kern w:val="2"/>
          <w:sz w:val="30"/>
          <w:szCs w:val="30"/>
          <w:lang w:val="en-US" w:eastAsia="zh-CN" w:bidi="ar"/>
        </w:rPr>
        <w:t>支出年初预算数为49.13万元，决算数为65.98万元，完成年初预算的134.3%，</w:t>
      </w:r>
      <w:r>
        <w:rPr>
          <w:rFonts w:hint="eastAsia" w:ascii="仿宋_GB2312" w:eastAsia="仿宋_GB2312" w:cs="仿宋_GB2312" w:hAnsiTheme="minorHAnsi"/>
          <w:kern w:val="0"/>
          <w:sz w:val="30"/>
          <w:szCs w:val="30"/>
          <w:lang w:val="en-US" w:eastAsia="zh-CN" w:bidi="ar"/>
        </w:rPr>
        <w:t>主</w:t>
      </w:r>
      <w:r>
        <w:rPr>
          <w:rFonts w:hint="eastAsia" w:ascii="仿宋_GB2312" w:eastAsia="仿宋_GB2312" w:cs="仿宋_GB2312" w:hAnsiTheme="minorHAnsi"/>
          <w:kern w:val="2"/>
          <w:sz w:val="30"/>
          <w:szCs w:val="30"/>
          <w:lang w:val="en-US" w:eastAsia="zh-CN" w:bidi="ar"/>
        </w:rPr>
        <w:t>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本单位2021年度一般公共预算财政拨款基本支出65.98万元，其中：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（一）工资福利支出58.88万元，较2020年增加8.69 万元，下降2.41%。主要原因是：人员及教师绩效增加。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（二）商品和服务支出7.1万元，较2020年减少1.85 万元，下降20.67 %。主要原因是：压缩一般性支出。</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（三）对个人和家庭补助支出0万元，较2020年减少0 万元，下降0%，主要原因是：乡镇工作补贴支出调整到工资福利支出。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（四）资本性支出0万元，较2020年增加（减少）0万元，增长（下降）0 %。主要原因是：没有项目投入。</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本单位2021年度一般公共预算财政拨款“三公”经费支出年初预算数为0万元，决算数为0万元，完成预算的0%，决算数较2020年减少0万元，下降0%，其中：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（二）公务接待费支出年初预算数为0万元，决算数为 0万元，完成预算的0%，决算数较2020年减少0万元，下降0%，主要原因是：未开通公务接待平台。</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leftChars="0" w:right="0" w:firstLine="630" w:firstLineChars="0"/>
        <w:jc w:val="both"/>
      </w:pPr>
      <w:r>
        <w:rPr>
          <w:rFonts w:hint="eastAsia" w:ascii="仿宋" w:hAnsi="仿宋" w:eastAsia="仿宋" w:cs="仿宋"/>
          <w:i w:val="0"/>
          <w:iCs w:val="0"/>
          <w:caps w:val="0"/>
          <w:color w:val="000000"/>
          <w:spacing w:val="0"/>
          <w:kern w:val="0"/>
          <w:sz w:val="32"/>
          <w:szCs w:val="32"/>
          <w:bdr w:val="none" w:color="auto" w:sz="0" w:space="0"/>
          <w:shd w:val="clear" w:fill="FFFFFF"/>
        </w:rPr>
        <w:t>（一）单位决算中项目绩效自评情况。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rightChars="0" w:firstLine="640"/>
        <w:jc w:val="both"/>
      </w:pPr>
      <w:r>
        <w:rPr>
          <w:rFonts w:hint="eastAsia" w:ascii="仿宋" w:hAnsi="仿宋" w:eastAsia="仿宋" w:cs="仿宋"/>
          <w:i w:val="0"/>
          <w:iCs w:val="0"/>
          <w:caps w:val="0"/>
          <w:color w:val="000000"/>
          <w:spacing w:val="0"/>
          <w:kern w:val="0"/>
          <w:sz w:val="32"/>
          <w:szCs w:val="32"/>
          <w:bdr w:val="none" w:color="auto" w:sz="0" w:space="0"/>
          <w:shd w:val="clear" w:fill="FFFFFF"/>
        </w:rPr>
        <w:t>学校生均公用经费绩效自评综述：根据年初设定的绩效目标，学校生均公用经费绩效自评得分为99.6分。项目全年预算为7.1万元，执行数为7.1万元，完成预算的100%。主要产出和效果：保障了学校的正常运行，提高了学校的教育教学质量，学校、家长和学生的满意度为96%。</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b w:val="0"/>
          <w:bCs w:val="0"/>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B3DCC0-DFAD-40C7-8250-A73E4DBA31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CCE7A2C-EE1B-4FBF-A323-B6BE7E71D9DE}"/>
  </w:font>
  <w:font w:name="方正小标宋简体">
    <w:panose1 w:val="02000000000000000000"/>
    <w:charset w:val="86"/>
    <w:family w:val="auto"/>
    <w:pitch w:val="default"/>
    <w:sig w:usb0="00000001" w:usb1="08000000" w:usb2="00000000" w:usb3="00000000" w:csb0="00040000" w:csb1="00000000"/>
    <w:embedRegular r:id="rId3" w:fontKey="{A1F808BD-EF52-422E-BCEF-896982F9FF9A}"/>
  </w:font>
  <w:font w:name="仿宋_GB2312">
    <w:panose1 w:val="02010609030101010101"/>
    <w:charset w:val="86"/>
    <w:family w:val="auto"/>
    <w:pitch w:val="default"/>
    <w:sig w:usb0="00000001" w:usb1="080E0000" w:usb2="00000000" w:usb3="00000000" w:csb0="00040000" w:csb1="00000000"/>
    <w:embedRegular r:id="rId4" w:fontKey="{2845C603-5419-4EC8-9909-A72102D6B893}"/>
  </w:font>
  <w:font w:name="仿宋">
    <w:panose1 w:val="02010609060101010101"/>
    <w:charset w:val="86"/>
    <w:family w:val="auto"/>
    <w:pitch w:val="default"/>
    <w:sig w:usb0="800002BF" w:usb1="38CF7CFA" w:usb2="00000016" w:usb3="00000000" w:csb0="00040001" w:csb1="00000000"/>
    <w:embedRegular r:id="rId5" w:fontKey="{F0C062C9-25CA-4552-971F-6F09A14A42E1}"/>
  </w:font>
  <w:font w:name="TimesNewRomanPSMT">
    <w:altName w:val="Times New Roman"/>
    <w:panose1 w:val="00000000000000000000"/>
    <w:charset w:val="00"/>
    <w:family w:val="auto"/>
    <w:pitch w:val="default"/>
    <w:sig w:usb0="00000000" w:usb1="00000000" w:usb2="00000000" w:usb3="00000000" w:csb0="00000000" w:csb1="00000000"/>
    <w:embedRegular r:id="rId6" w:fontKey="{1D2F8324-85C9-4F0F-BD51-B76F7AFFAE36}"/>
  </w:font>
  <w:font w:name="Arial">
    <w:panose1 w:val="020B0604020202020204"/>
    <w:charset w:val="00"/>
    <w:family w:val="auto"/>
    <w:pitch w:val="default"/>
    <w:sig w:usb0="E0002EFF" w:usb1="C000785B" w:usb2="00000009" w:usb3="00000000" w:csb0="400001FF" w:csb1="FFFF0000"/>
    <w:embedRegular r:id="rId7" w:fontKey="{1DB51F5B-A86D-4388-8D67-5EC6AE1762C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33DC369D"/>
    <w:rsid w:val="059B4E40"/>
    <w:rsid w:val="33DC3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2023-10-08T00:41:00Z</dcterms:created>
  <dc:creator>才东东</dc:creator>
  <cp:lastModifiedBy>才东东</cp:lastModifiedBy>
  <dcterms:modified xsi:type="dcterms:W3CDTF">2023-10-08T00:56:11Z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3FF78364D50E44F3B4618D5F06C3FE17_11</vt:lpwstr>
  </property>
</Properties>
</file>