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val="0"/>
          <w:bCs w:val="0"/>
          <w:kern w:val="2"/>
          <w:sz w:val="44"/>
          <w:szCs w:val="44"/>
          <w:lang w:val="en-US" w:eastAsia="zh-CN" w:bidi="ar"/>
        </w:rPr>
        <w:t>宁都县</w:t>
      </w:r>
      <w:r>
        <w:rPr>
          <w:rFonts w:hint="eastAsia" w:ascii="方正小标宋简体" w:hAnsi="方正小标宋简体" w:eastAsia="方正小标宋简体" w:cs="方正小标宋简体"/>
          <w:b/>
          <w:bCs/>
          <w:kern w:val="2"/>
          <w:sz w:val="44"/>
          <w:szCs w:val="44"/>
          <w:lang w:val="en-US" w:eastAsia="zh-CN" w:bidi="ar"/>
        </w:rPr>
        <w:t>湛田中心小学</w:t>
      </w:r>
      <w:r>
        <w:rPr>
          <w:rFonts w:hint="eastAsia"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2" w:firstLineChars="200"/>
      </w:pPr>
      <w:r>
        <w:rPr>
          <w:rFonts w:hint="eastAsia" w:ascii="宋体" w:hAnsi="宋体" w:eastAsia="宋体" w:cs="宋体"/>
          <w:b/>
          <w:bCs/>
          <w:kern w:val="0"/>
          <w:sz w:val="24"/>
          <w:szCs w:val="24"/>
          <w:shd w:val="clear" w:fill="FFFFFF"/>
        </w:rPr>
        <w:t> </w:t>
      </w:r>
      <w:r>
        <w:rPr>
          <w:rFonts w:hint="default" w:ascii="Calibri" w:hAnsi="Calibri" w:eastAsia="宋体" w:cs="Calibri"/>
          <w:kern w:val="0"/>
          <w:sz w:val="24"/>
          <w:szCs w:val="24"/>
          <w:shd w:val="clear" w:fill="FFFFFF"/>
        </w:rPr>
        <w:t>1</w:t>
      </w:r>
      <w:r>
        <w:rPr>
          <w:rFonts w:hint="eastAsia" w:ascii="宋体" w:hAnsi="宋体" w:eastAsia="宋体" w:cs="宋体"/>
          <w:spacing w:val="7"/>
          <w:kern w:val="0"/>
          <w:sz w:val="24"/>
          <w:szCs w:val="24"/>
          <w:shd w:val="clear" w:fill="FFFFFF"/>
        </w:rPr>
        <w:t>、负责贯彻党的教育方针，坚持社会主义办学方向，对学生进行德</w:t>
      </w:r>
      <w:r>
        <w:rPr>
          <w:rFonts w:hint="eastAsia" w:ascii="宋体" w:hAnsi="宋体" w:eastAsia="宋体" w:cs="宋体"/>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2</w:t>
      </w:r>
      <w:r>
        <w:rPr>
          <w:rFonts w:hint="eastAsia" w:ascii="宋体" w:hAnsi="宋体" w:eastAsia="宋体" w:cs="宋体"/>
          <w:spacing w:val="7"/>
          <w:kern w:val="0"/>
          <w:sz w:val="24"/>
          <w:szCs w:val="24"/>
          <w:shd w:val="clear" w:fill="FFFFFF"/>
        </w:rPr>
        <w:t>、负责配合各级人民政府依法动员适龄儿童、少年入学，严格控制</w:t>
      </w:r>
      <w:r>
        <w:rPr>
          <w:rFonts w:hint="eastAsia" w:ascii="宋体" w:hAnsi="宋体" w:eastAsia="宋体" w:cs="宋体"/>
          <w:spacing w:val="-11"/>
          <w:kern w:val="0"/>
          <w:sz w:val="24"/>
          <w:szCs w:val="24"/>
          <w:shd w:val="clear" w:fill="FFFFFF"/>
        </w:rPr>
        <w:t>学生辍学，依法保证适龄儿童、少年接受九年义务教育。</w:t>
      </w:r>
      <w:r>
        <w:rPr>
          <w:rFonts w:hint="eastAsia" w:ascii="宋体" w:hAnsi="宋体" w:eastAsia="宋体" w:cs="宋体"/>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3</w:t>
      </w:r>
      <w:r>
        <w:rPr>
          <w:rFonts w:hint="eastAsia" w:ascii="宋体" w:hAnsi="宋体" w:eastAsia="宋体" w:cs="宋体"/>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kern w:val="0"/>
          <w:sz w:val="24"/>
          <w:szCs w:val="24"/>
          <w:shd w:val="clear" w:fill="FFFFFF"/>
        </w:rPr>
        <w:t> </w:t>
      </w:r>
      <w:r>
        <w:rPr>
          <w:rFonts w:hint="default" w:ascii="Calibri" w:hAnsi="Calibri" w:eastAsia="宋体" w:cs="Calibri"/>
          <w:kern w:val="0"/>
          <w:sz w:val="24"/>
          <w:szCs w:val="24"/>
          <w:shd w:val="clear" w:fill="FFFFFF"/>
        </w:rPr>
        <w:t>4</w:t>
      </w:r>
      <w:r>
        <w:rPr>
          <w:rFonts w:hint="eastAsia" w:ascii="宋体" w:hAnsi="宋体" w:eastAsia="宋体" w:cs="宋体"/>
          <w:spacing w:val="7"/>
          <w:kern w:val="0"/>
          <w:sz w:val="24"/>
          <w:szCs w:val="24"/>
          <w:shd w:val="clear" w:fill="FFFFFF"/>
        </w:rPr>
        <w:t>、负责按照教育主管单位发布的指导性教学计划、教学大纲，组织</w:t>
      </w:r>
      <w:r>
        <w:rPr>
          <w:rFonts w:hint="eastAsia" w:ascii="宋体" w:hAnsi="宋体" w:eastAsia="宋体" w:cs="宋体"/>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5</w:t>
      </w:r>
      <w:r>
        <w:rPr>
          <w:rFonts w:hint="eastAsia" w:ascii="宋体" w:hAnsi="宋体" w:eastAsia="宋体" w:cs="宋体"/>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kern w:val="0"/>
          <w:sz w:val="24"/>
          <w:szCs w:val="24"/>
          <w:shd w:val="clear" w:fill="FFFFFF"/>
        </w:rPr>
        <w:t> </w:t>
      </w:r>
      <w:r>
        <w:rPr>
          <w:rFonts w:hint="default" w:ascii="Calibri" w:hAnsi="Calibri" w:eastAsia="宋体" w:cs="Calibri"/>
          <w:kern w:val="0"/>
          <w:sz w:val="24"/>
          <w:szCs w:val="24"/>
          <w:shd w:val="clear" w:fill="FFFFFF"/>
        </w:rPr>
        <w:t>6</w:t>
      </w:r>
      <w:r>
        <w:rPr>
          <w:rFonts w:hint="eastAsia" w:ascii="宋体" w:hAnsi="宋体" w:eastAsia="宋体" w:cs="宋体"/>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kern w:val="0"/>
          <w:sz w:val="24"/>
          <w:szCs w:val="24"/>
          <w:shd w:val="clear" w:fill="FFFFFF"/>
        </w:rPr>
        <w:t> </w:t>
      </w:r>
      <w:r>
        <w:rPr>
          <w:rFonts w:hint="default" w:ascii="Calibri" w:hAnsi="Calibri" w:eastAsia="宋体" w:cs="Calibri"/>
          <w:kern w:val="0"/>
          <w:sz w:val="24"/>
          <w:szCs w:val="24"/>
          <w:shd w:val="clear" w:fill="FFFFFF"/>
        </w:rPr>
        <w:t>7</w:t>
      </w:r>
      <w:r>
        <w:rPr>
          <w:rFonts w:hint="eastAsia" w:ascii="宋体" w:hAnsi="宋体" w:eastAsia="宋体" w:cs="宋体"/>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kern w:val="0"/>
          <w:sz w:val="24"/>
          <w:szCs w:val="24"/>
          <w:shd w:val="clear" w:fill="FFFFFF"/>
        </w:rPr>
        <w:t> </w:t>
      </w:r>
      <w:r>
        <w:rPr>
          <w:rFonts w:hint="default" w:ascii="Calibri" w:hAnsi="Calibri" w:eastAsia="宋体" w:cs="Calibri"/>
          <w:kern w:val="0"/>
          <w:sz w:val="24"/>
          <w:szCs w:val="24"/>
          <w:shd w:val="clear" w:fill="FFFFFF"/>
        </w:rPr>
        <w:t>8</w:t>
      </w:r>
      <w:r>
        <w:rPr>
          <w:rFonts w:hint="eastAsia" w:ascii="宋体" w:hAnsi="宋体" w:eastAsia="宋体" w:cs="宋体"/>
          <w:spacing w:val="7"/>
          <w:kern w:val="0"/>
          <w:sz w:val="24"/>
          <w:szCs w:val="24"/>
          <w:shd w:val="clear" w:fill="FFFFFF"/>
        </w:rPr>
        <w:t>、负责科学管理、合理使用学校的设施和经费，并积极筹措资金，</w:t>
      </w:r>
      <w:r>
        <w:rPr>
          <w:rFonts w:hint="eastAsia" w:ascii="宋体" w:hAnsi="宋体" w:eastAsia="宋体" w:cs="宋体"/>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kern w:val="0"/>
          <w:sz w:val="24"/>
          <w:szCs w:val="24"/>
          <w:shd w:val="clear" w:fill="FFFFFF"/>
        </w:rPr>
        <w:t> </w:t>
      </w:r>
      <w:r>
        <w:rPr>
          <w:rFonts w:hint="default" w:ascii="Calibri" w:hAnsi="Calibri" w:eastAsia="宋体" w:cs="Calibri"/>
          <w:kern w:val="0"/>
          <w:sz w:val="24"/>
          <w:szCs w:val="24"/>
          <w:shd w:val="clear" w:fill="FFFFFF"/>
        </w:rPr>
        <w:t>9</w:t>
      </w:r>
      <w:r>
        <w:rPr>
          <w:rFonts w:hint="eastAsia" w:ascii="宋体" w:hAnsi="宋体" w:eastAsia="宋体" w:cs="宋体"/>
          <w:spacing w:val="7"/>
          <w:kern w:val="0"/>
          <w:sz w:val="24"/>
          <w:szCs w:val="24"/>
          <w:shd w:val="clear" w:fill="FFFFFF"/>
        </w:rPr>
        <w:t>、负责维护学校、师生的合法权益，有权拒绝任何组织和个人对教</w:t>
      </w:r>
      <w:r>
        <w:rPr>
          <w:rFonts w:hint="eastAsia" w:ascii="宋体" w:hAnsi="宋体" w:eastAsia="宋体" w:cs="宋体"/>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kern w:val="0"/>
          <w:sz w:val="24"/>
          <w:szCs w:val="24"/>
          <w:shd w:val="clear" w:fill="FFFFFF"/>
        </w:rPr>
        <w:t> </w:t>
      </w:r>
      <w:r>
        <w:rPr>
          <w:rFonts w:hint="default" w:ascii="Calibri" w:hAnsi="Calibri" w:eastAsia="宋体" w:cs="Calibri"/>
          <w:spacing w:val="-9"/>
          <w:kern w:val="0"/>
          <w:sz w:val="24"/>
          <w:szCs w:val="24"/>
          <w:shd w:val="clear" w:fill="FFFFFF"/>
        </w:rPr>
        <w:t>10</w:t>
      </w:r>
      <w:r>
        <w:rPr>
          <w:rFonts w:hint="eastAsia" w:ascii="宋体" w:hAnsi="宋体" w:eastAsia="宋体" w:cs="宋体"/>
          <w:spacing w:val="-9"/>
          <w:kern w:val="0"/>
          <w:sz w:val="24"/>
          <w:szCs w:val="24"/>
          <w:shd w:val="clear" w:fill="FFFFFF"/>
        </w:rPr>
        <w:t>、依法接受各级教育行政单位的检查指导和人民群众的监督。</w:t>
      </w:r>
      <w:r>
        <w:rPr>
          <w:rFonts w:hint="eastAsia" w:ascii="黑体" w:hAnsi="宋体" w:eastAsia="黑体" w:cs="黑体"/>
          <w:sz w:val="30"/>
          <w:szCs w:val="30"/>
          <w:shd w:val="clear" w:fill="FFFFFF"/>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本单位2021年年末实有人数 121人，其中在职人员 51 人，退休人员 70 人（不含由养老保险基金发放养老金的离退休人员）；年末其他人员  0 人。年末学生人数 421  人，其中高中0  人，初中 0 人，小学 421 人，幼儿园 0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kern w:val="2"/>
          <w:sz w:val="44"/>
          <w:szCs w:val="44"/>
          <w:lang w:val="en-US" w:eastAsia="zh-CN" w:bidi="ar"/>
        </w:rPr>
      </w:pPr>
      <w:r>
        <w:rPr>
          <w:rFonts w:hint="default" w:ascii="方正小标宋简体" w:hAnsi="方正小标宋简体" w:eastAsia="方正小标宋简体" w:cs="方正小标宋简体"/>
          <w:b w:val="0"/>
          <w:bCs/>
          <w:kern w:val="2"/>
          <w:sz w:val="44"/>
          <w:szCs w:val="44"/>
          <w:lang w:val="en-US" w:eastAsia="zh-CN" w:bidi="ar"/>
        </w:rPr>
        <w:t>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widowControl/>
        <w:spacing w:line="600" w:lineRule="exact"/>
        <w:ind w:firstLine="640"/>
        <w:jc w:val="center"/>
        <w:rPr>
          <w:rFonts w:hint="eastAsia" w:ascii="方正小标宋简体" w:hAnsi="方正小标宋简体" w:eastAsia="方正小标宋简体" w:cs="方正小标宋简体"/>
          <w:b w:val="0"/>
          <w:bCs/>
          <w:color w:val="000000"/>
          <w:sz w:val="44"/>
          <w:szCs w:val="44"/>
        </w:rPr>
      </w:pPr>
      <w:bookmarkStart w:id="0" w:name="_GoBack"/>
      <w:bookmarkEnd w:id="0"/>
      <w:r>
        <w:rPr>
          <w:rFonts w:hint="eastAsia" w:ascii="Calibri" w:hAnsi="Calibri" w:eastAsia="宋体" w:cs="宋体"/>
          <w:kern w:val="2"/>
          <w:sz w:val="21"/>
          <w:szCs w:val="21"/>
          <w:lang w:val="en-US" w:eastAsia="zh-CN" w:bidi="ar"/>
        </w:rPr>
        <w:t> </w:t>
      </w:r>
    </w:p>
    <w:p>
      <w:pPr>
        <w:autoSpaceDE w:val="0"/>
        <w:autoSpaceDN w:val="0"/>
        <w:adjustRightInd w:val="0"/>
        <w:spacing w:line="360" w:lineRule="auto"/>
        <w:jc w:val="center"/>
        <w:rPr>
          <w:color w:val="000000"/>
        </w:rPr>
      </w:pPr>
      <w:r>
        <w:rPr>
          <w:color w:val="000000"/>
        </w:rPr>
        <w:drawing>
          <wp:inline distT="0" distB="0" distL="114300" distR="114300">
            <wp:extent cx="5273040" cy="5299075"/>
            <wp:effectExtent l="0" t="0" r="3810" b="1587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4"/>
                    <a:stretch>
                      <a:fillRect/>
                    </a:stretch>
                  </pic:blipFill>
                  <pic:spPr>
                    <a:xfrm>
                      <a:off x="0" y="0"/>
                      <a:ext cx="5273040" cy="5299075"/>
                    </a:xfrm>
                    <a:prstGeom prst="rect">
                      <a:avLst/>
                    </a:prstGeom>
                    <a:noFill/>
                    <a:ln>
                      <a:noFill/>
                    </a:ln>
                  </pic:spPr>
                </pic:pic>
              </a:graphicData>
            </a:graphic>
          </wp:inline>
        </w:drawing>
      </w:r>
    </w:p>
    <w:p>
      <w:pPr>
        <w:autoSpaceDE w:val="0"/>
        <w:autoSpaceDN w:val="0"/>
        <w:adjustRightInd w:val="0"/>
        <w:spacing w:line="360" w:lineRule="auto"/>
        <w:jc w:val="center"/>
        <w:rPr>
          <w:rFonts w:hint="eastAsia"/>
          <w:color w:val="000000"/>
          <w:lang w:val="en-US" w:eastAsia="zh-CN"/>
        </w:rPr>
      </w:pPr>
      <w:r>
        <w:rPr>
          <w:color w:val="000000"/>
        </w:rPr>
        <w:drawing>
          <wp:inline distT="0" distB="0" distL="114300" distR="114300">
            <wp:extent cx="5268595" cy="1504315"/>
            <wp:effectExtent l="0" t="0" r="8255" b="63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5"/>
                    <a:stretch>
                      <a:fillRect/>
                    </a:stretch>
                  </pic:blipFill>
                  <pic:spPr>
                    <a:xfrm>
                      <a:off x="0" y="0"/>
                      <a:ext cx="5268595" cy="1504315"/>
                    </a:xfrm>
                    <a:prstGeom prst="rect">
                      <a:avLst/>
                    </a:prstGeom>
                    <a:noFill/>
                    <a:ln>
                      <a:noFill/>
                    </a:ln>
                  </pic:spPr>
                </pic:pic>
              </a:graphicData>
            </a:graphic>
          </wp:inline>
        </w:drawing>
      </w:r>
    </w:p>
    <w:p>
      <w:pPr>
        <w:autoSpaceDE w:val="0"/>
        <w:autoSpaceDN w:val="0"/>
        <w:adjustRightInd w:val="0"/>
        <w:spacing w:line="360" w:lineRule="auto"/>
        <w:jc w:val="left"/>
        <w:rPr>
          <w:color w:val="000000"/>
        </w:rPr>
      </w:pPr>
      <w:r>
        <w:rPr>
          <w:color w:val="000000"/>
        </w:rPr>
        <w:drawing>
          <wp:inline distT="0" distB="0" distL="114300" distR="114300">
            <wp:extent cx="5270500" cy="1873885"/>
            <wp:effectExtent l="0" t="0" r="6350" b="12065"/>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6"/>
                    <a:stretch>
                      <a:fillRect/>
                    </a:stretch>
                  </pic:blipFill>
                  <pic:spPr>
                    <a:xfrm>
                      <a:off x="0" y="0"/>
                      <a:ext cx="5270500" cy="1873885"/>
                    </a:xfrm>
                    <a:prstGeom prst="rect">
                      <a:avLst/>
                    </a:prstGeom>
                    <a:noFill/>
                    <a:ln>
                      <a:noFill/>
                    </a:ln>
                  </pic:spPr>
                </pic:pic>
              </a:graphicData>
            </a:graphic>
          </wp:inline>
        </w:drawing>
      </w:r>
    </w:p>
    <w:p>
      <w:pPr>
        <w:autoSpaceDE w:val="0"/>
        <w:autoSpaceDN w:val="0"/>
        <w:adjustRightInd w:val="0"/>
        <w:spacing w:line="360" w:lineRule="auto"/>
        <w:jc w:val="left"/>
        <w:rPr>
          <w:color w:val="000000"/>
        </w:rPr>
      </w:pPr>
      <w:r>
        <w:rPr>
          <w:color w:val="000000"/>
        </w:rPr>
        <w:drawing>
          <wp:inline distT="0" distB="0" distL="114300" distR="114300">
            <wp:extent cx="5274310" cy="3855085"/>
            <wp:effectExtent l="0" t="0" r="2540" b="12065"/>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7"/>
                    <a:stretch>
                      <a:fillRect/>
                    </a:stretch>
                  </pic:blipFill>
                  <pic:spPr>
                    <a:xfrm>
                      <a:off x="0" y="0"/>
                      <a:ext cx="5274310" cy="3855085"/>
                    </a:xfrm>
                    <a:prstGeom prst="rect">
                      <a:avLst/>
                    </a:prstGeom>
                    <a:noFill/>
                    <a:ln>
                      <a:noFill/>
                    </a:ln>
                  </pic:spPr>
                </pic:pic>
              </a:graphicData>
            </a:graphic>
          </wp:inline>
        </w:drawing>
      </w:r>
    </w:p>
    <w:p>
      <w:pPr>
        <w:autoSpaceDE w:val="0"/>
        <w:autoSpaceDN w:val="0"/>
        <w:adjustRightInd w:val="0"/>
        <w:spacing w:line="360" w:lineRule="auto"/>
        <w:jc w:val="left"/>
        <w:rPr>
          <w:color w:val="000000"/>
        </w:rPr>
      </w:pPr>
      <w:r>
        <w:rPr>
          <w:color w:val="000000"/>
        </w:rPr>
        <w:drawing>
          <wp:inline distT="0" distB="0" distL="114300" distR="114300">
            <wp:extent cx="5269230" cy="2721610"/>
            <wp:effectExtent l="0" t="0" r="7620" b="254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8"/>
                    <a:stretch>
                      <a:fillRect/>
                    </a:stretch>
                  </pic:blipFill>
                  <pic:spPr>
                    <a:xfrm>
                      <a:off x="0" y="0"/>
                      <a:ext cx="5269230" cy="2721610"/>
                    </a:xfrm>
                    <a:prstGeom prst="rect">
                      <a:avLst/>
                    </a:prstGeom>
                    <a:noFill/>
                    <a:ln>
                      <a:noFill/>
                    </a:ln>
                  </pic:spPr>
                </pic:pic>
              </a:graphicData>
            </a:graphic>
          </wp:inline>
        </w:drawing>
      </w:r>
    </w:p>
    <w:p>
      <w:pPr>
        <w:autoSpaceDE w:val="0"/>
        <w:autoSpaceDN w:val="0"/>
        <w:adjustRightInd w:val="0"/>
        <w:spacing w:line="360" w:lineRule="auto"/>
        <w:jc w:val="left"/>
        <w:rPr>
          <w:color w:val="000000"/>
        </w:rPr>
      </w:pPr>
      <w:r>
        <w:rPr>
          <w:color w:val="000000"/>
        </w:rPr>
        <w:drawing>
          <wp:inline distT="0" distB="0" distL="114300" distR="114300">
            <wp:extent cx="5266690" cy="8178800"/>
            <wp:effectExtent l="0" t="0" r="10160" b="12700"/>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pic:cNvPicPr>
                      <a:picLocks noChangeAspect="1"/>
                    </pic:cNvPicPr>
                  </pic:nvPicPr>
                  <pic:blipFill>
                    <a:blip r:embed="rId9"/>
                    <a:stretch>
                      <a:fillRect/>
                    </a:stretch>
                  </pic:blipFill>
                  <pic:spPr>
                    <a:xfrm>
                      <a:off x="0" y="0"/>
                      <a:ext cx="5266690" cy="8178800"/>
                    </a:xfrm>
                    <a:prstGeom prst="rect">
                      <a:avLst/>
                    </a:prstGeom>
                    <a:noFill/>
                    <a:ln>
                      <a:noFill/>
                    </a:ln>
                  </pic:spPr>
                </pic:pic>
              </a:graphicData>
            </a:graphic>
          </wp:inline>
        </w:drawing>
      </w:r>
    </w:p>
    <w:p>
      <w:pPr>
        <w:autoSpaceDE w:val="0"/>
        <w:autoSpaceDN w:val="0"/>
        <w:adjustRightInd w:val="0"/>
        <w:spacing w:line="360" w:lineRule="auto"/>
        <w:jc w:val="left"/>
        <w:rPr>
          <w:color w:val="000000"/>
        </w:rPr>
      </w:pPr>
      <w:r>
        <w:rPr>
          <w:color w:val="000000"/>
        </w:rPr>
        <w:drawing>
          <wp:inline distT="0" distB="0" distL="114300" distR="114300">
            <wp:extent cx="5272405" cy="5170170"/>
            <wp:effectExtent l="0" t="0" r="4445" b="11430"/>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pic:cNvPicPr>
                      <a:picLocks noChangeAspect="1"/>
                    </pic:cNvPicPr>
                  </pic:nvPicPr>
                  <pic:blipFill>
                    <a:blip r:embed="rId10"/>
                    <a:stretch>
                      <a:fillRect/>
                    </a:stretch>
                  </pic:blipFill>
                  <pic:spPr>
                    <a:xfrm>
                      <a:off x="0" y="0"/>
                      <a:ext cx="5272405" cy="5170170"/>
                    </a:xfrm>
                    <a:prstGeom prst="rect">
                      <a:avLst/>
                    </a:prstGeom>
                    <a:noFill/>
                    <a:ln>
                      <a:noFill/>
                    </a:ln>
                  </pic:spPr>
                </pic:pic>
              </a:graphicData>
            </a:graphic>
          </wp:inline>
        </w:drawing>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drawing>
          <wp:inline distT="0" distB="0" distL="114300" distR="114300">
            <wp:extent cx="5266690" cy="1831340"/>
            <wp:effectExtent l="0" t="0" r="10160" b="16510"/>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11"/>
                    <a:stretch>
                      <a:fillRect/>
                    </a:stretch>
                  </pic:blipFill>
                  <pic:spPr>
                    <a:xfrm>
                      <a:off x="0" y="0"/>
                      <a:ext cx="5266690" cy="1831340"/>
                    </a:xfrm>
                    <a:prstGeom prst="rect">
                      <a:avLst/>
                    </a:prstGeom>
                    <a:noFill/>
                    <a:ln>
                      <a:noFill/>
                    </a:ln>
                  </pic:spPr>
                </pic:pic>
              </a:graphicData>
            </a:graphic>
          </wp:inline>
        </w:drawing>
      </w:r>
    </w:p>
    <w:p>
      <w:pPr>
        <w:autoSpaceDE w:val="0"/>
        <w:autoSpaceDN w:val="0"/>
        <w:adjustRightInd w:val="0"/>
        <w:spacing w:line="360" w:lineRule="auto"/>
        <w:jc w:val="left"/>
        <w:rPr>
          <w:color w:val="000000"/>
        </w:rPr>
      </w:pPr>
      <w:r>
        <w:rPr>
          <w:color w:val="000000"/>
        </w:rPr>
        <w:drawing>
          <wp:inline distT="0" distB="0" distL="114300" distR="114300">
            <wp:extent cx="5272405" cy="2749550"/>
            <wp:effectExtent l="0" t="0" r="4445" b="1270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12"/>
                    <a:stretch>
                      <a:fillRect/>
                    </a:stretch>
                  </pic:blipFill>
                  <pic:spPr>
                    <a:xfrm>
                      <a:off x="0" y="0"/>
                      <a:ext cx="5272405" cy="2749550"/>
                    </a:xfrm>
                    <a:prstGeom prst="rect">
                      <a:avLst/>
                    </a:prstGeom>
                    <a:noFill/>
                    <a:ln>
                      <a:noFill/>
                    </a:ln>
                  </pic:spPr>
                </pic:pic>
              </a:graphicData>
            </a:graphic>
          </wp:inline>
        </w:drawing>
      </w:r>
    </w:p>
    <w:p>
      <w:pPr>
        <w:autoSpaceDE w:val="0"/>
        <w:autoSpaceDN w:val="0"/>
        <w:adjustRightInd w:val="0"/>
        <w:spacing w:line="360" w:lineRule="auto"/>
        <w:jc w:val="left"/>
        <w:rPr>
          <w:rFonts w:hint="eastAsia"/>
          <w:color w:val="000000"/>
        </w:rPr>
      </w:pPr>
      <w:r>
        <w:rPr>
          <w:color w:val="000000"/>
        </w:rPr>
        <w:drawing>
          <wp:inline distT="0" distB="0" distL="114300" distR="114300">
            <wp:extent cx="5269230" cy="3227705"/>
            <wp:effectExtent l="0" t="0" r="7620" b="10795"/>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13"/>
                    <a:stretch>
                      <a:fillRect/>
                    </a:stretch>
                  </pic:blipFill>
                  <pic:spPr>
                    <a:xfrm>
                      <a:off x="0" y="0"/>
                      <a:ext cx="5269230" cy="3227705"/>
                    </a:xfrm>
                    <a:prstGeom prst="rect">
                      <a:avLst/>
                    </a:prstGeom>
                    <a:noFill/>
                    <a:ln>
                      <a:noFill/>
                    </a:ln>
                  </pic:spPr>
                </pic:pic>
              </a:graphicData>
            </a:graphic>
          </wp:inline>
        </w:drawing>
      </w:r>
    </w:p>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676.69   万元，较2020年增加20.06 万元，增长3.05 %，其中:年初结转和结余 0 万元，较2020年增加（减少） 0 万元，增长（下降）  0%；本年收入合计676.69  万元，较2020年增加20.06 万元，增长3.05 %，主要原因是：教职工工资调标，基础绩效增加，以致总收入增加。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 660.77 万元，占 97.65 %；事业收入 15.93  万元，占2.35  %；经营收入 0  万元，占 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 676.69  万元，其中本年支出合计  676.69 万元，较2020年增加 20.06 万元，增长3.05  %，主要原因是：教职工工资调标，基础绩效增加；设备等维修支出增加；年末结转和结余 0  万元，较2020年增加（减少）  0万元，增长（下降） 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 676.69 万元，占100 %；项目支出  0 万元，占 0 %；经营支出 0 万元，占 0 %；其他支出（对附属单位补助支出、上缴上级支出）  0 万元，占0 %。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xml:space="preserve">本单位2021年度财政拨款本年支出年初预算数为 </w:t>
      </w:r>
      <w:r>
        <w:rPr>
          <w:rFonts w:hint="eastAsia" w:ascii="仿宋" w:hAnsi="仿宋" w:eastAsia="仿宋" w:cs="仿宋"/>
          <w:kern w:val="2"/>
          <w:sz w:val="32"/>
          <w:szCs w:val="32"/>
          <w:lang w:val="en-US" w:eastAsia="zh-CN" w:bidi="ar"/>
        </w:rPr>
        <w:t>487.02</w:t>
      </w:r>
      <w:r>
        <w:rPr>
          <w:rFonts w:hint="default" w:ascii="仿宋_GB2312" w:eastAsia="仿宋_GB2312" w:cs="仿宋_GB2312" w:hAnsiTheme="minorHAnsi"/>
          <w:kern w:val="2"/>
          <w:sz w:val="30"/>
          <w:szCs w:val="30"/>
          <w:lang w:val="en-US" w:eastAsia="zh-CN" w:bidi="ar"/>
        </w:rPr>
        <w:t>  万元，决算数为 660.77 万元，完成年初预算的 135.68 %。其中：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487.02  万元，决算数为660.77  万元，完成年初预算的135.68 %，主要原因是：年初预算数中不包含公用经费、边远山区特殊津贴、乡村教师补助、绩效奖等经费拨款。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 660.77 万元，其中：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553.96  万元，较2020年减少4.56  万元，下降0.82 %，主要原因是：职业年金缴费减少。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（二）商品和服务支出73.4  万元，较2020年增加11.27 万元，增长18.14  %，主要原因是：设备等维修费增加。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 33.41  万元，较2020年减少 2.56 万元，下降 7.12 %，主要原因是：其他对个人和家庭的补助支出减少。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 0 万元，较2020年增加（减少）0  万元，增长（下降）0  %。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 0.8 万元，决算数为 0.18 万元，完成预算的22.5 %，决算数较2020年增加（减少） 0 万元，增长（下降） 0 %，其中：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0 万元，完成预算的0%，决算数较2020年增加（减少）0万元，增长（下降）0 %。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0.8  万元，决算数为  0.18万元，完成预算的22.5 %，决算数较2020年增加（减少） 0 万元，增长（下降）0  %。决算数较年初预算数减少0.62万元的主要原因是：接待人数减少。全年国内公务接待 6 批，累计接待 30 人次，主要为：上级单位工作人员来校检查工作所产生。</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 0万元、政府采购工程支出  0万元、政府采购服务支出 0 万元。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学校生均公用经费绩效自评综述：根据年初设定的绩效目标，学校生均公用经费绩效自评得分为99.8分。项目全年预算为73.4万元，执行数为73.4万元，完成预算的100%。主要产出和效果：保障了学校的正常运行，提高了学校的教育教学质量，学校、家长和学生的满意度为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74"/>
        <w:gridCol w:w="964"/>
        <w:gridCol w:w="1043"/>
        <w:gridCol w:w="1177"/>
        <w:gridCol w:w="472"/>
        <w:gridCol w:w="1622"/>
        <w:gridCol w:w="1198"/>
        <w:gridCol w:w="88"/>
        <w:gridCol w:w="536"/>
        <w:gridCol w:w="170"/>
        <w:gridCol w:w="480"/>
        <w:gridCol w:w="352"/>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宁都县湛田中心小学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73.4</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73.4</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73.4</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73.4</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73.4</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73.4</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    2.评分标准：（1） 若为</w:t>
            </w:r>
            <w:r>
              <w:rPr>
                <w:rFonts w:hint="eastAsia" w:ascii="仿宋" w:hAnsi="仿宋" w:eastAsia="仿宋" w:cs="仿宋"/>
                <w:b/>
                <w:bCs/>
                <w:kern w:val="0"/>
                <w:sz w:val="20"/>
                <w:szCs w:val="20"/>
                <w:bdr w:val="none" w:color="auto" w:sz="0" w:space="0"/>
                <w:lang w:val="en-US" w:eastAsia="zh-CN" w:bidi="ar"/>
              </w:rPr>
              <w:t>定性指标</w:t>
            </w:r>
            <w:r>
              <w:rPr>
                <w:rFonts w:hint="eastAsia" w:ascii="仿宋" w:hAnsi="仿宋" w:eastAsia="仿宋" w:cs="仿宋"/>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   （2）若为</w:t>
            </w:r>
            <w:r>
              <w:rPr>
                <w:rFonts w:hint="eastAsia" w:ascii="仿宋" w:hAnsi="仿宋" w:eastAsia="仿宋" w:cs="仿宋"/>
                <w:b/>
                <w:bCs/>
                <w:kern w:val="0"/>
                <w:sz w:val="20"/>
                <w:szCs w:val="20"/>
                <w:bdr w:val="none" w:color="auto" w:sz="0" w:space="0"/>
                <w:lang w:val="en-US" w:eastAsia="zh-CN" w:bidi="ar"/>
              </w:rPr>
              <w:t>定量指标</w:t>
            </w:r>
            <w:r>
              <w:rPr>
                <w:rFonts w:hint="eastAsia" w:ascii="仿宋" w:hAnsi="仿宋" w:eastAsia="仿宋" w:cs="仿宋"/>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pPr>
      <w:r>
        <w:rPr>
          <w:rFonts w:hint="default" w:ascii="仿宋_GB2312" w:hAnsi="Calibri" w:eastAsia="仿宋_GB2312" w:cs="仿宋_GB2312"/>
          <w:i w:val="0"/>
          <w:iCs w:val="0"/>
          <w:caps w:val="0"/>
          <w:spacing w:val="0"/>
          <w:kern w:val="0"/>
          <w:sz w:val="32"/>
          <w:szCs w:val="32"/>
          <w:bdr w:val="none" w:color="auto" w:sz="0" w:space="0"/>
          <w:shd w:val="clear" w:fill="FFFFFF"/>
          <w:lang w:val="en-US" w:eastAsia="zh-CN" w:bidi="ar"/>
        </w:rPr>
        <w:t> </w:t>
      </w:r>
      <w:r>
        <w:rPr>
          <w:rFonts w:hint="default" w:ascii="方正小标宋简体" w:hAnsi="方正小标宋简体" w:eastAsia="方正小标宋简体" w:cs="方正小标宋简体"/>
          <w:kern w:val="0"/>
          <w:sz w:val="44"/>
          <w:szCs w:val="44"/>
          <w:bdr w:val="none" w:color="auto" w:sz="0" w:space="0"/>
          <w:shd w:val="clear" w:fill="FFFFFF"/>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0AD42F-691D-43E0-9A23-18DFBE7799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CE14B3D-C38F-4BF5-A860-79B3AF197D3A}"/>
  </w:font>
  <w:font w:name="方正小标宋简体">
    <w:altName w:val="方正小标宋简体"/>
    <w:panose1 w:val="00000000000000000000"/>
    <w:charset w:val="00"/>
    <w:family w:val="auto"/>
    <w:pitch w:val="default"/>
    <w:sig w:usb0="00000000" w:usb1="00000000" w:usb2="00000000" w:usb3="00000000" w:csb0="00000000" w:csb1="00000000"/>
    <w:embedRegular r:id="rId3" w:fontKey="{D5970E0C-6614-4BB1-980A-827DE9612FF3}"/>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embedRegular r:id="rId4" w:fontKey="{FEBA7FC1-BF32-4AD7-ADE6-D30D56EE7D7E}"/>
  </w:font>
  <w:font w:name="仿宋">
    <w:panose1 w:val="02010609060101010101"/>
    <w:charset w:val="86"/>
    <w:family w:val="auto"/>
    <w:pitch w:val="default"/>
    <w:sig w:usb0="800002BF" w:usb1="38CF7CFA" w:usb2="00000016" w:usb3="00000000" w:csb0="00040001" w:csb1="00000000"/>
    <w:embedRegular r:id="rId5" w:fontKey="{BDEAF7AE-9327-4382-B799-82F4855C7ADC}"/>
  </w:font>
  <w:font w:name="方正小标宋简体">
    <w:panose1 w:val="02000000000000000000"/>
    <w:charset w:val="86"/>
    <w:family w:val="auto"/>
    <w:pitch w:val="default"/>
    <w:sig w:usb0="00000001" w:usb1="08000000" w:usb2="00000000" w:usb3="00000000" w:csb0="00040000" w:csb1="00000000"/>
    <w:embedRegular r:id="rId6" w:fontKey="{E735C407-4713-4F0D-B84A-F563E8143AA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047A41"/>
    <w:multiLevelType w:val="singleLevel"/>
    <w:tmpl w:val="C7047A41"/>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6FB0C66"/>
    <w:rsid w:val="26FB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2023-10-07T12:33:00Z</dcterms:created>
  <dc:creator>才东东</dc:creator>
  <cp:lastModifiedBy>才东东</cp:lastModifiedBy>
  <dcterms:modified xsi:type="dcterms:W3CDTF">2023-10-07T12:37:01Z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C4749326F63948CE9A0C3DC83BA1571F_11</vt:lpwstr>
  </property>
</Properties>
</file>