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600" w:lineRule="exact"/>
        <w:ind w:left="0" w:right="0"/>
        <w:jc w:val="center"/>
      </w:pPr>
      <w:r>
        <w:rPr>
          <w:rFonts w:ascii="方正小标宋简体" w:hAnsi="方正小标宋简体" w:eastAsia="方正小标宋简体" w:cs="方正小标宋简体"/>
          <w:b w:val="0"/>
          <w:bCs w:val="0"/>
          <w:kern w:val="2"/>
          <w:sz w:val="44"/>
          <w:szCs w:val="44"/>
          <w:lang w:val="en-US" w:eastAsia="zh-CN" w:bidi="ar"/>
        </w:rPr>
        <w:t>宁都县东山坝初级中学</w:t>
      </w:r>
      <w:r>
        <w:rPr>
          <w:rFonts w:hint="default" w:ascii="方正小标宋简体" w:hAnsi="方正小标宋简体" w:eastAsia="方正小标宋简体" w:cs="方正小标宋简体"/>
          <w:b w:val="0"/>
          <w:bCs w:val="0"/>
          <w:kern w:val="2"/>
          <w:sz w:val="44"/>
          <w:szCs w:val="44"/>
          <w:lang w:val="en-US" w:eastAsia="zh-CN" w:bidi="ar"/>
        </w:rPr>
        <w:t>2021年度单位</w:t>
      </w:r>
      <w:r>
        <w:rPr>
          <w:rFonts w:hint="default" w:ascii="方正小标宋简体" w:hAnsi="方正小标宋简体" w:eastAsia="方正小标宋简体" w:cs="方正小标宋简体"/>
          <w:kern w:val="0"/>
          <w:sz w:val="44"/>
          <w:szCs w:val="44"/>
          <w:lang w:val="en-US" w:eastAsia="zh-CN" w:bidi="ar"/>
        </w:rPr>
        <w:t>决算</w:t>
      </w:r>
    </w:p>
    <w:p>
      <w:pPr>
        <w:keepNext w:val="0"/>
        <w:keepLines w:val="0"/>
        <w:widowControl/>
        <w:suppressLineNumbers w:val="0"/>
        <w:spacing w:before="0" w:beforeAutospacing="1" w:after="0" w:afterAutospacing="1" w:line="600" w:lineRule="exact"/>
        <w:ind w:left="0" w:right="0"/>
        <w:jc w:val="center"/>
      </w:pPr>
      <w:r>
        <w:rPr>
          <w:rFonts w:ascii="黑体" w:hAnsi="Calibri" w:eastAsia="黑体" w:cs="黑体"/>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jc w:val="center"/>
      </w:pPr>
      <w:r>
        <w:rPr>
          <w:rFonts w:hint="default" w:ascii="方正小标宋简体" w:hAnsi="方正小标宋简体" w:eastAsia="方正小标宋简体" w:cs="方正小标宋简体"/>
          <w:b w:val="0"/>
          <w:bCs w:val="0"/>
          <w:kern w:val="2"/>
          <w:sz w:val="40"/>
          <w:szCs w:val="40"/>
          <w:lang w:val="en-US" w:eastAsia="zh-CN" w:bidi="ar"/>
        </w:rPr>
        <w:t>目    录</w:t>
      </w:r>
    </w:p>
    <w:p>
      <w:pPr>
        <w:keepNext w:val="0"/>
        <w:keepLines w:val="0"/>
        <w:widowControl/>
        <w:suppressLineNumbers w:val="0"/>
        <w:spacing w:before="0" w:beforeAutospacing="1" w:after="0" w:afterAutospacing="1" w:line="600" w:lineRule="exact"/>
        <w:ind w:left="0" w:right="0" w:firstLine="640"/>
        <w:jc w:val="left"/>
      </w:pPr>
      <w:r>
        <w:rPr>
          <w:rFonts w:ascii="仿宋_GB2312" w:hAnsi="Calibri" w:eastAsia="仿宋_GB2312" w:cs="仿宋_GB2312"/>
          <w:kern w:val="2"/>
          <w:sz w:val="32"/>
          <w:szCs w:val="32"/>
          <w:lang w:val="en-US" w:eastAsia="zh-CN" w:bidi="ar"/>
        </w:rPr>
        <w:t> </w:t>
      </w:r>
      <w:r>
        <w:rPr>
          <w:rFonts w:hint="eastAsia" w:ascii="黑体" w:hAnsi="宋体" w:eastAsia="黑体" w:cs="黑体"/>
          <w:b/>
          <w:bCs w:val="0"/>
          <w:kern w:val="2"/>
          <w:sz w:val="32"/>
          <w:szCs w:val="32"/>
          <w:lang w:val="en-US" w:eastAsia="zh-CN" w:bidi="ar"/>
        </w:rPr>
        <w:t>第一部分  学校概况</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hAnsi="Calibri" w:eastAsia="仿宋_GB2312" w:cs="仿宋_GB2312"/>
          <w:b/>
          <w:bCs w:val="0"/>
          <w:kern w:val="2"/>
          <w:sz w:val="32"/>
          <w:szCs w:val="32"/>
          <w:lang w:val="en-US" w:eastAsia="zh-CN" w:bidi="ar"/>
        </w:rPr>
        <w:t>    </w:t>
      </w:r>
      <w:r>
        <w:rPr>
          <w:rFonts w:hint="default" w:ascii="仿宋_GB2312" w:eastAsia="仿宋_GB2312" w:cs="仿宋_GB2312" w:hAnsiTheme="minorHAnsi"/>
          <w:kern w:val="2"/>
          <w:sz w:val="32"/>
          <w:szCs w:val="32"/>
          <w:lang w:val="en-US" w:eastAsia="zh-CN" w:bidi="ar"/>
        </w:rPr>
        <w:t>一、主要职责</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二、单位基本情况</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第二部分  2021年度决算表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一、收入支出决算总表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二、收入决算表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三、支出决算表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四、财政拨款收入支出决算总表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五、一般公共预算财政拨款支出决算表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六、一般公共预算财政拨款基本支出决算表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七、一般公共预算财政拨款“三公”经费支出决算</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0"/>
          <w:sz w:val="32"/>
          <w:szCs w:val="32"/>
          <w:lang w:val="en-US" w:eastAsia="zh-CN" w:bidi="ar"/>
        </w:rPr>
        <w:t>表</w:t>
      </w:r>
    </w:p>
    <w:p>
      <w:pPr>
        <w:keepNext w:val="0"/>
        <w:keepLines w:val="0"/>
        <w:widowControl/>
        <w:numPr>
          <w:ilvl w:val="0"/>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八、</w:t>
      </w:r>
      <w:r>
        <w:rPr>
          <w:rFonts w:hint="default" w:ascii="仿宋_GB2312" w:eastAsia="仿宋_GB2312" w:cs="仿宋_GB2312" w:hAnsiTheme="minorHAnsi"/>
          <w:kern w:val="0"/>
          <w:sz w:val="32"/>
          <w:szCs w:val="32"/>
          <w:lang w:val="en-US" w:eastAsia="zh-CN" w:bidi="ar"/>
        </w:rPr>
        <w:t>政府性基金预算财政拨款收入支出决算表</w:t>
      </w:r>
    </w:p>
    <w:p>
      <w:pPr>
        <w:keepNext w:val="0"/>
        <w:keepLines w:val="0"/>
        <w:widowControl/>
        <w:numPr>
          <w:ilvl w:val="0"/>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九、</w:t>
      </w:r>
      <w:r>
        <w:rPr>
          <w:rFonts w:hint="default" w:ascii="仿宋_GB2312" w:eastAsia="仿宋_GB2312" w:cs="仿宋_GB2312" w:hAnsiTheme="minorHAnsi"/>
          <w:kern w:val="0"/>
          <w:sz w:val="32"/>
          <w:szCs w:val="32"/>
          <w:lang w:val="en-US" w:eastAsia="zh-CN" w:bidi="ar"/>
        </w:rPr>
        <w:t>国有资本经营预算财政拨款支出决算表</w:t>
      </w:r>
    </w:p>
    <w:p>
      <w:pPr>
        <w:keepNext w:val="0"/>
        <w:keepLines w:val="0"/>
        <w:widowControl/>
        <w:numPr>
          <w:ilvl w:val="0"/>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十、</w:t>
      </w:r>
      <w:r>
        <w:rPr>
          <w:rFonts w:hint="default" w:ascii="仿宋_GB2312" w:eastAsia="仿宋_GB2312" w:cs="仿宋_GB2312" w:hAnsiTheme="minorHAnsi"/>
          <w:kern w:val="0"/>
          <w:sz w:val="32"/>
          <w:szCs w:val="32"/>
          <w:lang w:val="en-US" w:eastAsia="zh-CN" w:bidi="ar"/>
        </w:rPr>
        <w:t>国有资产占用情况表</w:t>
      </w:r>
    </w:p>
    <w:p>
      <w:pPr>
        <w:keepNext w:val="0"/>
        <w:keepLines w:val="0"/>
        <w:widowControl/>
        <w:numPr>
          <w:ilvl w:val="0"/>
          <w:numId w:val="0"/>
        </w:numPr>
        <w:suppressLineNumbers w:val="0"/>
        <w:spacing w:before="0" w:beforeAutospacing="1" w:after="0" w:afterAutospacing="1" w:line="600" w:lineRule="exact"/>
        <w:ind w:left="1280" w:leftChars="0" w:right="0" w:firstLine="0" w:firstLineChars="0"/>
        <w:jc w:val="left"/>
      </w:pPr>
      <w:r>
        <w:rPr>
          <w:rFonts w:hint="eastAsia" w:ascii="黑体" w:hAnsi="宋体" w:eastAsia="黑体" w:cs="黑体"/>
          <w:kern w:val="0"/>
          <w:sz w:val="32"/>
          <w:szCs w:val="32"/>
          <w:lang w:val="en-US" w:eastAsia="zh-CN" w:bidi="ar"/>
        </w:rPr>
        <w:t>第三部分  2021年度决算情况说明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三、财政拨款支出决算情况说明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四、一般公共预算财政拨款基本支出决算情况说明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五、一般公共预算财政拨款“三公”经费支出决算</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仿宋_GB2312" w:hAnsiTheme="minorHAnsi"/>
          <w:kern w:val="2"/>
          <w:sz w:val="32"/>
          <w:szCs w:val="32"/>
          <w:lang w:val="en-US" w:eastAsia="zh-CN" w:bidi="ar"/>
        </w:rPr>
        <w:t>    情况说明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六、机关运行经费支出情况说明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    七、政府采购支出情况说明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    八、</w:t>
      </w:r>
      <w:r>
        <w:rPr>
          <w:rFonts w:ascii="仿宋" w:hAnsi="仿宋" w:eastAsia="仿宋" w:cs="仿宋"/>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九、国有资产占用情况说明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0" w:lineRule="atLeast"/>
        <w:ind w:left="0" w:right="0" w:firstLine="1280" w:firstLineChars="400"/>
        <w:jc w:val="both"/>
      </w:pPr>
      <w:r>
        <w:rPr>
          <w:rFonts w:hint="default" w:ascii="仿宋_GB2312" w:eastAsia="仿宋_GB2312" w:cs="仿宋_GB2312"/>
          <w:kern w:val="2"/>
          <w:sz w:val="32"/>
          <w:szCs w:val="32"/>
        </w:rPr>
        <w:t>十、预算绩效情况说明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w:t>
      </w:r>
      <w:r>
        <w:rPr>
          <w:rFonts w:hint="eastAsia" w:ascii="黑体" w:hAnsi="宋体" w:eastAsia="黑体" w:cs="黑体"/>
          <w:kern w:val="0"/>
          <w:sz w:val="32"/>
          <w:szCs w:val="32"/>
          <w:lang w:val="en-US" w:eastAsia="zh-CN" w:bidi="ar"/>
        </w:rPr>
        <w:t>第四部分  名词解释</w:t>
      </w:r>
    </w:p>
    <w:p>
      <w:pPr>
        <w:keepNext w:val="0"/>
        <w:keepLines w:val="0"/>
        <w:widowControl/>
        <w:suppressLineNumbers w:val="0"/>
        <w:spacing w:before="0" w:beforeAutospacing="1" w:after="0" w:afterAutospacing="1"/>
        <w:ind w:left="0" w:right="0" w:firstLine="630"/>
        <w:jc w:val="center"/>
      </w:pPr>
      <w:r>
        <w:rPr>
          <w:rFonts w:hint="eastAsia" w:ascii="宋体" w:hAnsi="宋体" w:eastAsia="宋体" w:cs="宋体"/>
          <w:b/>
          <w:bCs w:val="0"/>
          <w:kern w:val="2"/>
          <w:sz w:val="36"/>
          <w:szCs w:val="36"/>
          <w:lang w:val="en-US" w:eastAsia="zh-CN" w:bidi="ar"/>
        </w:rPr>
        <w:t> </w:t>
      </w:r>
    </w:p>
    <w:p>
      <w:pPr>
        <w:keepNext w:val="0"/>
        <w:keepLines w:val="0"/>
        <w:widowControl/>
        <w:suppressLineNumbers w:val="0"/>
        <w:spacing w:before="0" w:beforeAutospacing="1" w:after="0" w:afterAutospacing="1" w:line="580" w:lineRule="exact"/>
        <w:ind w:left="0" w:right="0"/>
        <w:jc w:val="center"/>
      </w:pPr>
      <w:r>
        <w:rPr>
          <w:rFonts w:hint="default" w:ascii="方正小标宋简体" w:hAnsi="方正小标宋简体" w:eastAsia="方正小标宋简体" w:cs="方正小标宋简体"/>
          <w:b w:val="0"/>
          <w:bCs/>
          <w:kern w:val="2"/>
          <w:sz w:val="44"/>
          <w:szCs w:val="44"/>
          <w:lang w:val="en-US" w:eastAsia="zh-CN" w:bidi="ar"/>
        </w:rPr>
        <w:t>第一部分  学校概况</w:t>
      </w:r>
    </w:p>
    <w:p>
      <w:pPr>
        <w:keepNext w:val="0"/>
        <w:keepLines w:val="0"/>
        <w:widowControl/>
        <w:suppressLineNumbers w:val="0"/>
        <w:spacing w:before="0" w:beforeAutospacing="1" w:after="0" w:afterAutospacing="1"/>
        <w:ind w:left="0" w:right="0" w:firstLine="630"/>
        <w:jc w:val="center"/>
      </w:pPr>
      <w:r>
        <w:rPr>
          <w:rFonts w:hint="eastAsia" w:ascii="Calibri" w:hAnsi="Calibri" w:eastAsia="宋体" w:cs="宋体"/>
          <w:kern w:val="2"/>
          <w:sz w:val="32"/>
          <w:szCs w:val="32"/>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一、主要职责</w:t>
      </w:r>
    </w:p>
    <w:p>
      <w:pPr>
        <w:pStyle w:val="2"/>
        <w:keepNext w:val="0"/>
        <w:keepLines w:val="0"/>
        <w:widowControl/>
        <w:suppressLineNumbers w:val="0"/>
        <w:spacing w:before="0" w:beforeAutospacing="0" w:after="0" w:afterAutospacing="0" w:line="480" w:lineRule="exact"/>
        <w:ind w:left="0" w:right="0" w:firstLine="480" w:firstLineChars="200"/>
      </w:pPr>
      <w:r>
        <w:rPr>
          <w:rFonts w:hint="default" w:ascii="Calibri" w:hAnsi="Calibri" w:eastAsia="宋体" w:cs="Calibri"/>
          <w:kern w:val="0"/>
          <w:sz w:val="24"/>
          <w:szCs w:val="24"/>
        </w:rPr>
        <w:t>1</w:t>
      </w:r>
      <w:r>
        <w:rPr>
          <w:rFonts w:hint="eastAsia" w:ascii="宋体" w:hAnsi="宋体" w:eastAsia="宋体" w:cs="宋体"/>
          <w:spacing w:val="7"/>
          <w:kern w:val="0"/>
          <w:sz w:val="24"/>
          <w:szCs w:val="24"/>
        </w:rPr>
        <w:t>、负责贯彻党的教育方针，坚持社会主义办学方向，对学生进行德</w:t>
      </w:r>
      <w:r>
        <w:rPr>
          <w:rFonts w:hint="eastAsia" w:ascii="宋体" w:hAnsi="宋体" w:eastAsia="宋体" w:cs="宋体"/>
          <w:spacing w:val="-9"/>
          <w:kern w:val="0"/>
          <w:sz w:val="24"/>
          <w:szCs w:val="24"/>
        </w:rPr>
        <w:t>育、智育、体育、美育和劳动教育等方面的教育。</w:t>
      </w:r>
    </w:p>
    <w:p>
      <w:pPr>
        <w:pStyle w:val="2"/>
        <w:keepNext w:val="0"/>
        <w:keepLines w:val="0"/>
        <w:widowControl/>
        <w:suppressLineNumbers w:val="0"/>
        <w:spacing w:before="0" w:beforeAutospacing="0" w:after="0" w:afterAutospacing="0" w:line="480" w:lineRule="exact"/>
        <w:ind w:left="0" w:right="0" w:firstLine="480" w:firstLineChars="200"/>
      </w:pPr>
      <w:r>
        <w:rPr>
          <w:rFonts w:hint="default" w:ascii="Calibri" w:hAnsi="Calibri" w:eastAsia="宋体" w:cs="Calibri"/>
          <w:kern w:val="0"/>
          <w:sz w:val="24"/>
          <w:szCs w:val="24"/>
        </w:rPr>
        <w:t>2</w:t>
      </w:r>
      <w:r>
        <w:rPr>
          <w:rFonts w:hint="eastAsia" w:ascii="宋体" w:hAnsi="宋体" w:eastAsia="宋体" w:cs="宋体"/>
          <w:spacing w:val="7"/>
          <w:kern w:val="0"/>
          <w:sz w:val="24"/>
          <w:szCs w:val="24"/>
        </w:rPr>
        <w:t>、负责配合各级人民政府依法动员适龄儿童、少年入学，严格控制</w:t>
      </w:r>
      <w:r>
        <w:rPr>
          <w:rFonts w:hint="eastAsia" w:ascii="宋体" w:hAnsi="宋体" w:eastAsia="宋体" w:cs="宋体"/>
          <w:spacing w:val="-11"/>
          <w:kern w:val="0"/>
          <w:sz w:val="24"/>
          <w:szCs w:val="24"/>
        </w:rPr>
        <w:t>学生辍学，依法保证适龄儿童、少年接受九年义务教育。</w:t>
      </w:r>
      <w:r>
        <w:rPr>
          <w:rFonts w:hint="eastAsia" w:ascii="宋体" w:hAnsi="宋体" w:eastAsia="宋体" w:cs="宋体"/>
          <w:kern w:val="0"/>
          <w:sz w:val="24"/>
          <w:szCs w:val="24"/>
        </w:rPr>
        <w:t> </w:t>
      </w:r>
    </w:p>
    <w:p>
      <w:pPr>
        <w:pStyle w:val="2"/>
        <w:keepNext w:val="0"/>
        <w:keepLines w:val="0"/>
        <w:widowControl/>
        <w:suppressLineNumbers w:val="0"/>
        <w:spacing w:before="0" w:beforeAutospacing="0" w:after="0" w:afterAutospacing="0" w:line="480" w:lineRule="exact"/>
        <w:ind w:left="0" w:right="0" w:firstLine="480" w:firstLineChars="200"/>
      </w:pPr>
      <w:r>
        <w:rPr>
          <w:rFonts w:hint="default" w:ascii="Calibri" w:hAnsi="Calibri" w:eastAsia="宋体" w:cs="Calibri"/>
          <w:kern w:val="0"/>
          <w:sz w:val="24"/>
          <w:szCs w:val="24"/>
        </w:rPr>
        <w:t>3</w:t>
      </w:r>
      <w:r>
        <w:rPr>
          <w:rFonts w:hint="eastAsia" w:ascii="宋体" w:hAnsi="宋体" w:eastAsia="宋体" w:cs="宋体"/>
          <w:spacing w:val="-9"/>
          <w:kern w:val="0"/>
          <w:sz w:val="24"/>
          <w:szCs w:val="24"/>
        </w:rPr>
        <w:t>、负责制定学校教育发展规划，并抓好组织实施和落实工作。</w:t>
      </w:r>
    </w:p>
    <w:p>
      <w:pPr>
        <w:pStyle w:val="2"/>
        <w:keepNext w:val="0"/>
        <w:keepLines w:val="0"/>
        <w:widowControl/>
        <w:suppressLineNumbers w:val="0"/>
        <w:spacing w:before="0" w:beforeAutospacing="0" w:after="0" w:afterAutospacing="0" w:line="480" w:lineRule="exact"/>
        <w:ind w:left="0" w:right="0" w:firstLine="480" w:firstLineChars="200"/>
      </w:pPr>
      <w:r>
        <w:rPr>
          <w:rFonts w:hint="default" w:ascii="Calibri" w:hAnsi="Calibri" w:eastAsia="宋体" w:cs="Calibri"/>
          <w:kern w:val="0"/>
          <w:sz w:val="24"/>
          <w:szCs w:val="24"/>
        </w:rPr>
        <w:t>4</w:t>
      </w:r>
      <w:r>
        <w:rPr>
          <w:rFonts w:hint="eastAsia" w:ascii="宋体" w:hAnsi="宋体" w:eastAsia="宋体" w:cs="宋体"/>
          <w:spacing w:val="7"/>
          <w:kern w:val="0"/>
          <w:sz w:val="24"/>
          <w:szCs w:val="24"/>
        </w:rPr>
        <w:t>、负责按照教育主管单位发布的指导性教学计划、教学大纲，组织</w:t>
      </w:r>
      <w:r>
        <w:rPr>
          <w:rFonts w:hint="eastAsia" w:ascii="宋体" w:hAnsi="宋体" w:eastAsia="宋体" w:cs="宋体"/>
          <w:spacing w:val="-11"/>
          <w:kern w:val="0"/>
          <w:sz w:val="24"/>
          <w:szCs w:val="24"/>
        </w:rPr>
        <w:t>实施教育教学活动。</w:t>
      </w:r>
    </w:p>
    <w:p>
      <w:pPr>
        <w:pStyle w:val="2"/>
        <w:keepNext w:val="0"/>
        <w:keepLines w:val="0"/>
        <w:widowControl/>
        <w:suppressLineNumbers w:val="0"/>
        <w:spacing w:before="0" w:beforeAutospacing="0" w:after="0" w:afterAutospacing="0" w:line="480" w:lineRule="exact"/>
        <w:ind w:left="0" w:right="0" w:firstLine="480" w:firstLineChars="200"/>
      </w:pPr>
      <w:r>
        <w:rPr>
          <w:rFonts w:hint="default" w:ascii="Calibri" w:hAnsi="Calibri" w:eastAsia="宋体" w:cs="Calibri"/>
          <w:kern w:val="0"/>
          <w:sz w:val="24"/>
          <w:szCs w:val="24"/>
        </w:rPr>
        <w:t>5</w:t>
      </w:r>
      <w:r>
        <w:rPr>
          <w:rFonts w:hint="eastAsia" w:ascii="宋体" w:hAnsi="宋体" w:eastAsia="宋体" w:cs="宋体"/>
          <w:spacing w:val="7"/>
          <w:kern w:val="0"/>
          <w:sz w:val="24"/>
          <w:szCs w:val="24"/>
        </w:rPr>
        <w:t>、负责依据国家主管单位有关教学计划、课程设置等方面的规定，决定和实施本校的教学计划，组织教学评比、集体备课，对学生进行考核、考试等。</w:t>
      </w:r>
    </w:p>
    <w:p>
      <w:pPr>
        <w:pStyle w:val="2"/>
        <w:keepNext w:val="0"/>
        <w:keepLines w:val="0"/>
        <w:widowControl/>
        <w:suppressLineNumbers w:val="0"/>
        <w:spacing w:before="0" w:beforeAutospacing="0" w:after="0" w:afterAutospacing="0" w:line="480" w:lineRule="exact"/>
        <w:ind w:left="0" w:right="0" w:firstLine="480" w:firstLineChars="200"/>
      </w:pPr>
      <w:r>
        <w:rPr>
          <w:rFonts w:hint="default" w:ascii="Calibri" w:hAnsi="Calibri" w:eastAsia="宋体" w:cs="Calibri"/>
          <w:kern w:val="0"/>
          <w:sz w:val="24"/>
          <w:szCs w:val="24"/>
        </w:rPr>
        <w:t>6</w:t>
      </w:r>
      <w:r>
        <w:rPr>
          <w:rFonts w:hint="eastAsia" w:ascii="宋体" w:hAnsi="宋体" w:eastAsia="宋体" w:cs="宋体"/>
          <w:spacing w:val="-4"/>
          <w:kern w:val="0"/>
          <w:sz w:val="24"/>
          <w:szCs w:val="24"/>
        </w:rPr>
        <w:t>、负责学籍管理。</w:t>
      </w:r>
    </w:p>
    <w:p>
      <w:pPr>
        <w:pStyle w:val="2"/>
        <w:keepNext w:val="0"/>
        <w:keepLines w:val="0"/>
        <w:widowControl/>
        <w:suppressLineNumbers w:val="0"/>
        <w:spacing w:before="0" w:beforeAutospacing="0" w:after="0" w:afterAutospacing="0" w:line="480" w:lineRule="exact"/>
        <w:ind w:left="0" w:right="0" w:firstLine="480" w:firstLineChars="200"/>
      </w:pPr>
      <w:r>
        <w:rPr>
          <w:rFonts w:hint="default" w:ascii="Calibri" w:hAnsi="Calibri" w:eastAsia="宋体" w:cs="Calibri"/>
          <w:kern w:val="0"/>
          <w:sz w:val="24"/>
          <w:szCs w:val="24"/>
        </w:rPr>
        <w:t>7</w:t>
      </w:r>
      <w:r>
        <w:rPr>
          <w:rFonts w:hint="eastAsia" w:ascii="宋体" w:hAnsi="宋体" w:eastAsia="宋体" w:cs="宋体"/>
          <w:spacing w:val="-9"/>
          <w:kern w:val="0"/>
          <w:sz w:val="24"/>
          <w:szCs w:val="24"/>
        </w:rPr>
        <w:t>、负责聘任、培训、考核教师，依法奖励或处分有关教师和职工。</w:t>
      </w:r>
    </w:p>
    <w:p>
      <w:pPr>
        <w:pStyle w:val="2"/>
        <w:keepNext w:val="0"/>
        <w:keepLines w:val="0"/>
        <w:widowControl/>
        <w:suppressLineNumbers w:val="0"/>
        <w:spacing w:before="0" w:beforeAutospacing="0" w:after="0" w:afterAutospacing="0" w:line="480" w:lineRule="exact"/>
        <w:ind w:left="0" w:right="0" w:firstLine="480" w:firstLineChars="200"/>
      </w:pPr>
      <w:r>
        <w:rPr>
          <w:rFonts w:hint="default" w:ascii="Calibri" w:hAnsi="Calibri" w:eastAsia="宋体" w:cs="Calibri"/>
          <w:kern w:val="0"/>
          <w:sz w:val="24"/>
          <w:szCs w:val="24"/>
        </w:rPr>
        <w:t>8</w:t>
      </w:r>
      <w:r>
        <w:rPr>
          <w:rFonts w:hint="eastAsia" w:ascii="宋体" w:hAnsi="宋体" w:eastAsia="宋体" w:cs="宋体"/>
          <w:spacing w:val="7"/>
          <w:kern w:val="0"/>
          <w:sz w:val="24"/>
          <w:szCs w:val="24"/>
        </w:rPr>
        <w:t>、负责科学管理、合理使用学校的设施和经费，并积极筹措资金，</w:t>
      </w:r>
      <w:r>
        <w:rPr>
          <w:rFonts w:hint="eastAsia" w:ascii="宋体" w:hAnsi="宋体" w:eastAsia="宋体" w:cs="宋体"/>
          <w:spacing w:val="-5"/>
          <w:kern w:val="0"/>
          <w:sz w:val="24"/>
          <w:szCs w:val="24"/>
        </w:rPr>
        <w:t>改善办学条件。</w:t>
      </w:r>
    </w:p>
    <w:p>
      <w:pPr>
        <w:pStyle w:val="2"/>
        <w:keepNext w:val="0"/>
        <w:keepLines w:val="0"/>
        <w:widowControl/>
        <w:suppressLineNumbers w:val="0"/>
        <w:spacing w:before="0" w:beforeAutospacing="0" w:after="0" w:afterAutospacing="0" w:line="480" w:lineRule="exact"/>
        <w:ind w:left="0" w:right="0" w:firstLine="480" w:firstLineChars="200"/>
      </w:pPr>
      <w:r>
        <w:rPr>
          <w:rFonts w:hint="default" w:ascii="Calibri" w:hAnsi="Calibri" w:eastAsia="宋体" w:cs="Calibri"/>
          <w:kern w:val="0"/>
          <w:sz w:val="24"/>
          <w:szCs w:val="24"/>
        </w:rPr>
        <w:t>9</w:t>
      </w:r>
      <w:r>
        <w:rPr>
          <w:rFonts w:hint="eastAsia" w:ascii="宋体" w:hAnsi="宋体" w:eastAsia="宋体" w:cs="宋体"/>
          <w:spacing w:val="7"/>
          <w:kern w:val="0"/>
          <w:sz w:val="24"/>
          <w:szCs w:val="24"/>
        </w:rPr>
        <w:t>、负责维护学校、师生的合法权益，有权拒绝任何组织和个人对教</w:t>
      </w:r>
      <w:r>
        <w:rPr>
          <w:rFonts w:hint="eastAsia" w:ascii="宋体" w:hAnsi="宋体" w:eastAsia="宋体" w:cs="宋体"/>
          <w:spacing w:val="-8"/>
          <w:kern w:val="0"/>
          <w:sz w:val="24"/>
          <w:szCs w:val="24"/>
        </w:rPr>
        <w:t>育教学活动进行非法干涉。</w:t>
      </w:r>
    </w:p>
    <w:p>
      <w:pPr>
        <w:pStyle w:val="2"/>
        <w:keepNext w:val="0"/>
        <w:keepLines w:val="0"/>
        <w:widowControl/>
        <w:suppressLineNumbers w:val="0"/>
        <w:spacing w:before="0" w:beforeAutospacing="0" w:after="0" w:afterAutospacing="0" w:line="480" w:lineRule="exact"/>
        <w:ind w:left="0" w:right="0" w:firstLine="444" w:firstLineChars="200"/>
      </w:pPr>
      <w:r>
        <w:rPr>
          <w:rFonts w:hint="default" w:ascii="Calibri" w:hAnsi="Calibri" w:eastAsia="宋体" w:cs="Calibri"/>
          <w:spacing w:val="-9"/>
          <w:kern w:val="0"/>
          <w:sz w:val="24"/>
          <w:szCs w:val="24"/>
        </w:rPr>
        <w:t>10</w:t>
      </w:r>
      <w:r>
        <w:rPr>
          <w:rFonts w:hint="eastAsia" w:ascii="宋体" w:hAnsi="宋体" w:eastAsia="宋体" w:cs="宋体"/>
          <w:spacing w:val="-9"/>
          <w:kern w:val="0"/>
          <w:sz w:val="24"/>
          <w:szCs w:val="24"/>
        </w:rPr>
        <w:t>、依法接受各级教育行政单位的检查指导和人民群众的监督。</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二、基本情况</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纳入本套单位决算汇编范围的单位共1个。</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本单位2021年年末实有人数78人，其中在职人员54人，退休人员24人（含由养老保险基金发放养老金的离退休人员）；年末其他人员0人。</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年末学生人数495人，其中小学0人，初中  495人，幼儿园 0 人。</w:t>
      </w:r>
      <w:r>
        <w:rPr>
          <w:rFonts w:asciiTheme="minorHAnsi" w:hAnsiTheme="minorHAnsi" w:eastAsiaTheme="minorEastAsia" w:cstheme="minorBidi"/>
          <w:b/>
          <w:bCs/>
          <w:kern w:val="0"/>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p>
    <w:p>
      <w:pPr>
        <w:keepNext w:val="0"/>
        <w:keepLines w:val="0"/>
        <w:widowControl/>
        <w:suppressLineNumbers w:val="0"/>
        <w:spacing w:before="0" w:beforeAutospacing="1" w:after="0" w:afterAutospacing="1" w:line="600" w:lineRule="exact"/>
        <w:ind w:left="0" w:right="0" w:firstLine="640"/>
        <w:jc w:val="center"/>
      </w:pP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kern w:val="2"/>
          <w:sz w:val="44"/>
          <w:szCs w:val="44"/>
          <w:lang w:val="en-US" w:eastAsia="zh-CN" w:bidi="ar"/>
        </w:rPr>
        <w:t>第二部分  2021年度决算表</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p>
    <w:p>
      <w:pPr>
        <w:keepNext w:val="0"/>
        <w:keepLines w:val="0"/>
        <w:widowControl/>
        <w:suppressLineNumbers w:val="0"/>
        <w:autoSpaceDE w:val="0"/>
        <w:autoSpaceDN w:val="0"/>
        <w:adjustRightInd w:val="0"/>
        <w:spacing w:before="0" w:beforeAutospacing="1" w:after="0" w:afterAutospacing="1" w:line="23" w:lineRule="atLeast"/>
        <w:ind w:left="0" w:right="0"/>
        <w:jc w:val="left"/>
      </w:pPr>
    </w:p>
    <w:tbl>
      <w:tblPr>
        <w:tblStyle w:val="3"/>
        <w:tblW w:w="8536"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58"/>
        <w:gridCol w:w="705"/>
        <w:gridCol w:w="1146"/>
        <w:gridCol w:w="2321"/>
        <w:gridCol w:w="736"/>
        <w:gridCol w:w="11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right"/>
        </w:trPr>
        <w:tc>
          <w:tcPr>
            <w:tcW w:w="8536"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right"/>
        </w:trPr>
        <w:tc>
          <w:tcPr>
            <w:tcW w:w="2458"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70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4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32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3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7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right"/>
        </w:trPr>
        <w:tc>
          <w:tcPr>
            <w:tcW w:w="3163" w:type="dxa"/>
            <w:gridSpan w:val="2"/>
            <w:tcBorders>
              <w:top w:val="nil"/>
              <w:left w:val="nil"/>
              <w:bottom w:val="nil"/>
              <w:right w:val="nil"/>
            </w:tcBorders>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编制单位：宁都县东山坝中学</w:t>
            </w:r>
          </w:p>
        </w:tc>
        <w:tc>
          <w:tcPr>
            <w:tcW w:w="1146" w:type="dxa"/>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232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906"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jc w:val="right"/>
        </w:trPr>
        <w:tc>
          <w:tcPr>
            <w:tcW w:w="4309"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4227" w:type="dxa"/>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245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1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23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项目（按功能分类）</w:t>
            </w:r>
          </w:p>
        </w:tc>
        <w:tc>
          <w:tcPr>
            <w:tcW w:w="7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1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245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    次</w:t>
            </w:r>
          </w:p>
        </w:tc>
        <w:tc>
          <w:tcPr>
            <w:tcW w:w="705"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3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    次</w:t>
            </w:r>
          </w:p>
        </w:tc>
        <w:tc>
          <w:tcPr>
            <w:tcW w:w="736"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245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602.00</w:t>
            </w:r>
          </w:p>
        </w:tc>
        <w:tc>
          <w:tcPr>
            <w:tcW w:w="23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7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245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7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245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7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245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7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245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7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245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7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245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7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245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7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245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4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3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7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245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4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3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7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245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4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3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7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245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4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3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7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245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14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3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7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jc w:val="right"/>
        </w:trPr>
        <w:tc>
          <w:tcPr>
            <w:tcW w:w="245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14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3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7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245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4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3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7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245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14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3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7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245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14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3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7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245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14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3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7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245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14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3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7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245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4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3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7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245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14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3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7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245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14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3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7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245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14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3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7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245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14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3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7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2458"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1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7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245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1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7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245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1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602.00</w:t>
            </w:r>
          </w:p>
        </w:tc>
        <w:tc>
          <w:tcPr>
            <w:tcW w:w="23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7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245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使用非财政拨款结余</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1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结余分配                 </w:t>
            </w:r>
          </w:p>
        </w:tc>
        <w:tc>
          <w:tcPr>
            <w:tcW w:w="7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245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年初结转和结余</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1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年末结转和结余                                </w:t>
            </w:r>
          </w:p>
        </w:tc>
        <w:tc>
          <w:tcPr>
            <w:tcW w:w="7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2458"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1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21"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7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jc w:val="right"/>
        </w:trPr>
        <w:tc>
          <w:tcPr>
            <w:tcW w:w="245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1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602.00</w:t>
            </w:r>
          </w:p>
        </w:tc>
        <w:tc>
          <w:tcPr>
            <w:tcW w:w="23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7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jc w:val="right"/>
        </w:trPr>
        <w:tc>
          <w:tcPr>
            <w:tcW w:w="8536" w:type="dxa"/>
            <w:gridSpan w:val="6"/>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jc w:val="right"/>
        </w:trPr>
        <w:tc>
          <w:tcPr>
            <w:tcW w:w="8536" w:type="dxa"/>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2.本套报表金额单位转换时可能存在尾数误差。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right"/>
        </w:trPr>
        <w:tc>
          <w:tcPr>
            <w:tcW w:w="245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0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4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32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3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7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right"/>
        </w:trPr>
        <w:tc>
          <w:tcPr>
            <w:tcW w:w="245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0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46" w:type="dxa"/>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%d —</w:t>
            </w:r>
          </w:p>
        </w:tc>
        <w:tc>
          <w:tcPr>
            <w:tcW w:w="232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3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7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r>
    </w:tbl>
    <w:p>
      <w:pPr>
        <w:autoSpaceDE w:val="0"/>
        <w:autoSpaceDN w:val="0"/>
        <w:adjustRightInd w:val="0"/>
        <w:spacing w:line="360" w:lineRule="auto"/>
        <w:jc w:val="center"/>
      </w:pPr>
    </w:p>
    <w:tbl>
      <w:tblPr>
        <w:tblStyle w:val="3"/>
        <w:tblW w:w="105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6"/>
        <w:gridCol w:w="582"/>
        <w:gridCol w:w="582"/>
        <w:gridCol w:w="1756"/>
        <w:gridCol w:w="1073"/>
        <w:gridCol w:w="990"/>
        <w:gridCol w:w="1095"/>
        <w:gridCol w:w="930"/>
        <w:gridCol w:w="885"/>
        <w:gridCol w:w="945"/>
        <w:gridCol w:w="10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536" w:type="dxa"/>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16"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58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8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75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7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9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9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3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8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4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82"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3536" w:type="dxa"/>
            <w:gridSpan w:val="4"/>
            <w:tcBorders>
              <w:top w:val="nil"/>
              <w:left w:val="nil"/>
              <w:bottom w:val="nil"/>
              <w:right w:val="nil"/>
            </w:tcBorders>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编制单位：宁都县东山坝中学</w:t>
            </w:r>
          </w:p>
        </w:tc>
        <w:tc>
          <w:tcPr>
            <w:tcW w:w="107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9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95" w:type="dxa"/>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93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8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027"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536"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1073"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990"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095"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930"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885"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945"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082"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80" w:type="dxa"/>
            <w:gridSpan w:val="3"/>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1756"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73"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9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095"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3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885"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45"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082"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80" w:type="dxa"/>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75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073"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9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095"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3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885"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45"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082"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80" w:type="dxa"/>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75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073"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9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095"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3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885"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45"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082"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616" w:type="dxa"/>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582"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582"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1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07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9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616" w:type="dxa"/>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82"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82"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7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602.00</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602.00</w:t>
            </w:r>
          </w:p>
        </w:tc>
        <w:tc>
          <w:tcPr>
            <w:tcW w:w="109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8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17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107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602.00</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602.00</w:t>
            </w:r>
          </w:p>
        </w:tc>
        <w:tc>
          <w:tcPr>
            <w:tcW w:w="109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8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17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107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602.00</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602.00</w:t>
            </w:r>
          </w:p>
        </w:tc>
        <w:tc>
          <w:tcPr>
            <w:tcW w:w="109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8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2050203</w:t>
            </w:r>
          </w:p>
        </w:tc>
        <w:tc>
          <w:tcPr>
            <w:tcW w:w="17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初中教育</w:t>
            </w:r>
          </w:p>
        </w:tc>
        <w:tc>
          <w:tcPr>
            <w:tcW w:w="107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602.00</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602.00</w:t>
            </w:r>
          </w:p>
        </w:tc>
        <w:tc>
          <w:tcPr>
            <w:tcW w:w="109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8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75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8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75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8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75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8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75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8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75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jc w:val="center"/>
        </w:trPr>
        <w:tc>
          <w:tcPr>
            <w:tcW w:w="10536" w:type="dxa"/>
            <w:gridSpan w:val="11"/>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1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8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8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75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7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9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9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3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8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4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8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1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8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8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75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7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9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95" w:type="dxa"/>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%d —</w:t>
            </w:r>
          </w:p>
        </w:tc>
        <w:tc>
          <w:tcPr>
            <w:tcW w:w="93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8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4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8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r>
    </w:tbl>
    <w:p>
      <w:pPr>
        <w:autoSpaceDE w:val="0"/>
        <w:autoSpaceDN w:val="0"/>
        <w:adjustRightInd w:val="0"/>
        <w:spacing w:line="360" w:lineRule="auto"/>
        <w:jc w:val="left"/>
      </w:pPr>
    </w:p>
    <w:tbl>
      <w:tblPr>
        <w:tblStyle w:val="3"/>
        <w:tblW w:w="916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6"/>
        <w:gridCol w:w="436"/>
        <w:gridCol w:w="436"/>
        <w:gridCol w:w="1316"/>
        <w:gridCol w:w="1081"/>
        <w:gridCol w:w="1050"/>
        <w:gridCol w:w="994"/>
        <w:gridCol w:w="1095"/>
        <w:gridCol w:w="855"/>
        <w:gridCol w:w="1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9169"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16"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43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1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8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5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9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9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5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9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2804" w:type="dxa"/>
            <w:gridSpan w:val="4"/>
            <w:tcBorders>
              <w:top w:val="nil"/>
              <w:left w:val="nil"/>
              <w:bottom w:val="nil"/>
              <w:right w:val="nil"/>
            </w:tcBorders>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编制单位：宁都县东山坝中学</w:t>
            </w:r>
          </w:p>
        </w:tc>
        <w:tc>
          <w:tcPr>
            <w:tcW w:w="108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50" w:type="dxa"/>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99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9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145"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04"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1081"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050"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994"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095"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855"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290"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1316"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81"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050"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994"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095"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855"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290"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31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081"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050"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994"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095"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855"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290"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31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081"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050"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994"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095"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855"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290"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616" w:type="dxa"/>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436"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436"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13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0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9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616" w:type="dxa"/>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3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3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602.00</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602.00</w:t>
            </w:r>
          </w:p>
        </w:tc>
        <w:tc>
          <w:tcPr>
            <w:tcW w:w="99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13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10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602.00</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602.00</w:t>
            </w:r>
          </w:p>
        </w:tc>
        <w:tc>
          <w:tcPr>
            <w:tcW w:w="99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13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10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602.00</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602.00</w:t>
            </w:r>
          </w:p>
        </w:tc>
        <w:tc>
          <w:tcPr>
            <w:tcW w:w="99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2050203</w:t>
            </w:r>
          </w:p>
        </w:tc>
        <w:tc>
          <w:tcPr>
            <w:tcW w:w="13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初中教育</w:t>
            </w:r>
          </w:p>
        </w:tc>
        <w:tc>
          <w:tcPr>
            <w:tcW w:w="10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602.00</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602.00</w:t>
            </w:r>
          </w:p>
        </w:tc>
        <w:tc>
          <w:tcPr>
            <w:tcW w:w="99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31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31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31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31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31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9169" w:type="dxa"/>
            <w:gridSpan w:val="10"/>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1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1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8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5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9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9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5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9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1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1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8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50" w:type="dxa"/>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%d —</w:t>
            </w:r>
          </w:p>
        </w:tc>
        <w:tc>
          <w:tcPr>
            <w:tcW w:w="99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9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5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9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r>
    </w:tbl>
    <w:p>
      <w:pPr>
        <w:autoSpaceDE w:val="0"/>
        <w:autoSpaceDN w:val="0"/>
        <w:adjustRightInd w:val="0"/>
        <w:spacing w:line="360" w:lineRule="auto"/>
        <w:jc w:val="left"/>
        <w:rPr>
          <w:rFonts w:hint="eastAsia" w:eastAsia="宋体"/>
          <w:color w:val="0000FF"/>
          <w:lang w:val="en-US" w:eastAsia="zh-CN"/>
        </w:rPr>
      </w:pPr>
    </w:p>
    <w:tbl>
      <w:tblPr>
        <w:tblStyle w:val="3"/>
        <w:tblW w:w="106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67"/>
        <w:gridCol w:w="570"/>
        <w:gridCol w:w="848"/>
        <w:gridCol w:w="1921"/>
        <w:gridCol w:w="705"/>
        <w:gridCol w:w="975"/>
        <w:gridCol w:w="1125"/>
        <w:gridCol w:w="1095"/>
        <w:gridCol w:w="12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665"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2167"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57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4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92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0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7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2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9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59"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2737" w:type="dxa"/>
            <w:gridSpan w:val="2"/>
            <w:tcBorders>
              <w:top w:val="nil"/>
              <w:left w:val="nil"/>
              <w:bottom w:val="nil"/>
              <w:right w:val="nil"/>
            </w:tcBorders>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编制单位：宁都县东山坝中学</w:t>
            </w:r>
          </w:p>
        </w:tc>
        <w:tc>
          <w:tcPr>
            <w:tcW w:w="84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921" w:type="dxa"/>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70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7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2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354"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center"/>
        </w:trPr>
        <w:tc>
          <w:tcPr>
            <w:tcW w:w="3585"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7080"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167" w:type="dxa"/>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570"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848"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1921"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项目（按功能分类）</w:t>
            </w:r>
          </w:p>
        </w:tc>
        <w:tc>
          <w:tcPr>
            <w:tcW w:w="705"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975"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25"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095"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259"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2167" w:type="dxa"/>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848"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921"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705"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095"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259"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21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    次</w:t>
            </w:r>
          </w:p>
        </w:tc>
        <w:tc>
          <w:tcPr>
            <w:tcW w:w="570"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8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    次</w:t>
            </w:r>
          </w:p>
        </w:tc>
        <w:tc>
          <w:tcPr>
            <w:tcW w:w="705"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9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1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602.00</w:t>
            </w:r>
          </w:p>
        </w:tc>
        <w:tc>
          <w:tcPr>
            <w:tcW w:w="19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1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1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16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48"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216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48"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602.00</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602.00</w:t>
            </w:r>
          </w:p>
        </w:tc>
        <w:tc>
          <w:tcPr>
            <w:tcW w:w="109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16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848"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16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848"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16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848"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16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848"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16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848"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16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848"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16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848"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16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848"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16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848"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16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848"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16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848"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16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848"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16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848"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16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848"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16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848"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16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848"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16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848"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16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848"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16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848"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167"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848"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16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848"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1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8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602.00</w:t>
            </w:r>
          </w:p>
        </w:tc>
        <w:tc>
          <w:tcPr>
            <w:tcW w:w="19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602.00</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602.00</w:t>
            </w:r>
          </w:p>
        </w:tc>
        <w:tc>
          <w:tcPr>
            <w:tcW w:w="109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1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8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1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8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21"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97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9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259"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21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8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21"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9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21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8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21"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9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21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8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602.00</w:t>
            </w:r>
          </w:p>
        </w:tc>
        <w:tc>
          <w:tcPr>
            <w:tcW w:w="19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602.00</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602.00</w:t>
            </w:r>
          </w:p>
        </w:tc>
        <w:tc>
          <w:tcPr>
            <w:tcW w:w="109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10665"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216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7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4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92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0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7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2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9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5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216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7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4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921" w:type="dxa"/>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%d —</w:t>
            </w:r>
          </w:p>
        </w:tc>
        <w:tc>
          <w:tcPr>
            <w:tcW w:w="70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7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2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9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5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r>
    </w:tbl>
    <w:p>
      <w:pPr>
        <w:autoSpaceDE w:val="0"/>
        <w:autoSpaceDN w:val="0"/>
        <w:adjustRightInd w:val="0"/>
        <w:spacing w:line="360" w:lineRule="auto"/>
        <w:jc w:val="left"/>
        <w:rPr>
          <w:rFonts w:hint="eastAsia"/>
        </w:rPr>
      </w:pPr>
    </w:p>
    <w:tbl>
      <w:tblPr>
        <w:tblStyle w:val="3"/>
        <w:tblW w:w="8181"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16"/>
        <w:gridCol w:w="512"/>
        <w:gridCol w:w="512"/>
        <w:gridCol w:w="1547"/>
        <w:gridCol w:w="1805"/>
        <w:gridCol w:w="1288"/>
        <w:gridCol w:w="19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right"/>
        </w:trPr>
        <w:tc>
          <w:tcPr>
            <w:tcW w:w="8181" w:type="dxa"/>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right"/>
        </w:trPr>
        <w:tc>
          <w:tcPr>
            <w:tcW w:w="616"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51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1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4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80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8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901"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right"/>
        </w:trPr>
        <w:tc>
          <w:tcPr>
            <w:tcW w:w="3187" w:type="dxa"/>
            <w:gridSpan w:val="4"/>
            <w:tcBorders>
              <w:top w:val="nil"/>
              <w:left w:val="nil"/>
              <w:bottom w:val="nil"/>
              <w:right w:val="nil"/>
            </w:tcBorders>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编制单位：宁都县东山坝中学</w:t>
            </w:r>
          </w:p>
        </w:tc>
        <w:tc>
          <w:tcPr>
            <w:tcW w:w="1805" w:type="dxa"/>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128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901"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right"/>
        </w:trPr>
        <w:tc>
          <w:tcPr>
            <w:tcW w:w="3187"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1805"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288"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901"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1640" w:type="dxa"/>
            <w:gridSpan w:val="3"/>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1547"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05"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288"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901"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jc w:val="right"/>
        </w:trPr>
        <w:tc>
          <w:tcPr>
            <w:tcW w:w="1640" w:type="dxa"/>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547"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5"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288"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901"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1640" w:type="dxa"/>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547"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5"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288"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901"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right"/>
        </w:trPr>
        <w:tc>
          <w:tcPr>
            <w:tcW w:w="616" w:type="dxa"/>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512"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512"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15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8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0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616" w:type="dxa"/>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12"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12"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8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602.00</w:t>
            </w:r>
          </w:p>
        </w:tc>
        <w:tc>
          <w:tcPr>
            <w:tcW w:w="128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602.00</w:t>
            </w:r>
          </w:p>
        </w:tc>
        <w:tc>
          <w:tcPr>
            <w:tcW w:w="19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164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15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18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602.00</w:t>
            </w:r>
          </w:p>
        </w:tc>
        <w:tc>
          <w:tcPr>
            <w:tcW w:w="128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602.00</w:t>
            </w:r>
          </w:p>
        </w:tc>
        <w:tc>
          <w:tcPr>
            <w:tcW w:w="19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164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15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18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602.00</w:t>
            </w:r>
          </w:p>
        </w:tc>
        <w:tc>
          <w:tcPr>
            <w:tcW w:w="128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602.00</w:t>
            </w:r>
          </w:p>
        </w:tc>
        <w:tc>
          <w:tcPr>
            <w:tcW w:w="19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164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2050203</w:t>
            </w:r>
          </w:p>
        </w:tc>
        <w:tc>
          <w:tcPr>
            <w:tcW w:w="15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初中教育</w:t>
            </w:r>
          </w:p>
        </w:tc>
        <w:tc>
          <w:tcPr>
            <w:tcW w:w="18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602.00</w:t>
            </w:r>
          </w:p>
        </w:tc>
        <w:tc>
          <w:tcPr>
            <w:tcW w:w="128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602.00</w:t>
            </w:r>
          </w:p>
        </w:tc>
        <w:tc>
          <w:tcPr>
            <w:tcW w:w="19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164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547"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8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164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547"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8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164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547"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8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164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547"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8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164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547"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8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right"/>
        </w:trPr>
        <w:tc>
          <w:tcPr>
            <w:tcW w:w="8181" w:type="dxa"/>
            <w:gridSpan w:val="7"/>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right"/>
        </w:trPr>
        <w:tc>
          <w:tcPr>
            <w:tcW w:w="61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1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1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4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80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8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90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right"/>
        </w:trPr>
        <w:tc>
          <w:tcPr>
            <w:tcW w:w="61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1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1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4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805" w:type="dxa"/>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%d —</w:t>
            </w:r>
          </w:p>
        </w:tc>
        <w:tc>
          <w:tcPr>
            <w:tcW w:w="128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90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r>
    </w:tbl>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tbl>
      <w:tblPr>
        <w:tblStyle w:val="3"/>
        <w:tblW w:w="1087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34"/>
        <w:gridCol w:w="1742"/>
        <w:gridCol w:w="1002"/>
        <w:gridCol w:w="1117"/>
        <w:gridCol w:w="1421"/>
        <w:gridCol w:w="960"/>
        <w:gridCol w:w="1035"/>
        <w:gridCol w:w="1440"/>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876"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034"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174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0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1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2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6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3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4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25"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2776" w:type="dxa"/>
            <w:gridSpan w:val="2"/>
            <w:tcBorders>
              <w:top w:val="nil"/>
              <w:left w:val="nil"/>
              <w:bottom w:val="nil"/>
              <w:right w:val="nil"/>
            </w:tcBorders>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编制单位：宁都县东山坝中学</w:t>
            </w:r>
          </w:p>
        </w:tc>
        <w:tc>
          <w:tcPr>
            <w:tcW w:w="100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1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21" w:type="dxa"/>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96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3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565"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778"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7098"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1034"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经济分类科目编码</w:t>
            </w:r>
          </w:p>
        </w:tc>
        <w:tc>
          <w:tcPr>
            <w:tcW w:w="17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1117"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经济分类科目编码</w:t>
            </w:r>
          </w:p>
        </w:tc>
        <w:tc>
          <w:tcPr>
            <w:tcW w:w="14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10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经济分类科目编码</w:t>
            </w:r>
          </w:p>
        </w:tc>
        <w:tc>
          <w:tcPr>
            <w:tcW w:w="14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03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301</w:t>
            </w:r>
          </w:p>
        </w:tc>
        <w:tc>
          <w:tcPr>
            <w:tcW w:w="1742"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工资福利支出</w:t>
            </w:r>
          </w:p>
        </w:tc>
        <w:tc>
          <w:tcPr>
            <w:tcW w:w="10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540.00</w:t>
            </w:r>
          </w:p>
        </w:tc>
        <w:tc>
          <w:tcPr>
            <w:tcW w:w="111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302</w:t>
            </w:r>
          </w:p>
        </w:tc>
        <w:tc>
          <w:tcPr>
            <w:tcW w:w="1421"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商品和服务支出</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55.20</w:t>
            </w:r>
          </w:p>
        </w:tc>
        <w:tc>
          <w:tcPr>
            <w:tcW w:w="10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307</w:t>
            </w:r>
          </w:p>
        </w:tc>
        <w:tc>
          <w:tcPr>
            <w:tcW w:w="144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债务利息及费用支出</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03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1742"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0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350.00</w:t>
            </w:r>
          </w:p>
        </w:tc>
        <w:tc>
          <w:tcPr>
            <w:tcW w:w="111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1421"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w:t>
            </w:r>
          </w:p>
        </w:tc>
        <w:tc>
          <w:tcPr>
            <w:tcW w:w="10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144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03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1742"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0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45.00</w:t>
            </w:r>
          </w:p>
        </w:tc>
        <w:tc>
          <w:tcPr>
            <w:tcW w:w="111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1421"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w:t>
            </w:r>
          </w:p>
        </w:tc>
        <w:tc>
          <w:tcPr>
            <w:tcW w:w="10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144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03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1742"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0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w:t>
            </w:r>
          </w:p>
        </w:tc>
        <w:tc>
          <w:tcPr>
            <w:tcW w:w="111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1421"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30703</w:t>
            </w:r>
          </w:p>
        </w:tc>
        <w:tc>
          <w:tcPr>
            <w:tcW w:w="144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国内债务发行费用</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03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1742"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0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11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1421"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30704</w:t>
            </w:r>
          </w:p>
        </w:tc>
        <w:tc>
          <w:tcPr>
            <w:tcW w:w="144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国外债务发行费用</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03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1742"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0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55.00</w:t>
            </w:r>
          </w:p>
        </w:tc>
        <w:tc>
          <w:tcPr>
            <w:tcW w:w="111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1421"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10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310</w:t>
            </w:r>
          </w:p>
        </w:tc>
        <w:tc>
          <w:tcPr>
            <w:tcW w:w="144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资本性支出</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03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1742"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0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52.00</w:t>
            </w:r>
          </w:p>
        </w:tc>
        <w:tc>
          <w:tcPr>
            <w:tcW w:w="111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1421"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w:t>
            </w:r>
          </w:p>
        </w:tc>
        <w:tc>
          <w:tcPr>
            <w:tcW w:w="10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144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03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1742"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0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1421"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c>
          <w:tcPr>
            <w:tcW w:w="10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144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03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1742"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0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w:t>
            </w:r>
          </w:p>
        </w:tc>
        <w:tc>
          <w:tcPr>
            <w:tcW w:w="111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1421"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144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03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1742"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公务员医疗补助缴款</w:t>
            </w:r>
          </w:p>
        </w:tc>
        <w:tc>
          <w:tcPr>
            <w:tcW w:w="10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w:t>
            </w:r>
          </w:p>
        </w:tc>
        <w:tc>
          <w:tcPr>
            <w:tcW w:w="111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1421"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8.50</w:t>
            </w:r>
          </w:p>
        </w:tc>
        <w:tc>
          <w:tcPr>
            <w:tcW w:w="10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144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03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1742"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0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1421"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0.60</w:t>
            </w:r>
          </w:p>
        </w:tc>
        <w:tc>
          <w:tcPr>
            <w:tcW w:w="10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144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03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1742"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0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1421"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144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03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1742"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0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1421"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10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144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03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1742"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0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1421"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144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03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303</w:t>
            </w:r>
          </w:p>
        </w:tc>
        <w:tc>
          <w:tcPr>
            <w:tcW w:w="1742"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对个人和家庭的补助</w:t>
            </w:r>
          </w:p>
        </w:tc>
        <w:tc>
          <w:tcPr>
            <w:tcW w:w="10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w:t>
            </w:r>
          </w:p>
        </w:tc>
        <w:tc>
          <w:tcPr>
            <w:tcW w:w="111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1421"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144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03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1742"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0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1421"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4.70</w:t>
            </w:r>
          </w:p>
        </w:tc>
        <w:tc>
          <w:tcPr>
            <w:tcW w:w="10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310111</w:t>
            </w:r>
          </w:p>
        </w:tc>
        <w:tc>
          <w:tcPr>
            <w:tcW w:w="144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03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1742"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0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1421"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10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144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03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1742"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0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1421"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144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03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1742"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0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1421"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144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03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1742"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生活补贴</w:t>
            </w:r>
          </w:p>
        </w:tc>
        <w:tc>
          <w:tcPr>
            <w:tcW w:w="10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w:t>
            </w:r>
          </w:p>
        </w:tc>
        <w:tc>
          <w:tcPr>
            <w:tcW w:w="111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1421"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144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03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1742"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0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1421"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c>
          <w:tcPr>
            <w:tcW w:w="10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144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03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1742"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0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1421"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144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03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1742"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0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1421"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0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312</w:t>
            </w:r>
          </w:p>
        </w:tc>
        <w:tc>
          <w:tcPr>
            <w:tcW w:w="144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对企业补助</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03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1742"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0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1421"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31201</w:t>
            </w:r>
          </w:p>
        </w:tc>
        <w:tc>
          <w:tcPr>
            <w:tcW w:w="144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资本金注入</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03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1742"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0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1421"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31203</w:t>
            </w:r>
          </w:p>
        </w:tc>
        <w:tc>
          <w:tcPr>
            <w:tcW w:w="144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政府投资基金股权投资</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03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1742"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代缴社会保险费</w:t>
            </w:r>
          </w:p>
        </w:tc>
        <w:tc>
          <w:tcPr>
            <w:tcW w:w="10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1421"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31204</w:t>
            </w:r>
          </w:p>
        </w:tc>
        <w:tc>
          <w:tcPr>
            <w:tcW w:w="144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费用补贴</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03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1742"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其他对个人和家庭的补助支出</w:t>
            </w:r>
          </w:p>
        </w:tc>
        <w:tc>
          <w:tcPr>
            <w:tcW w:w="10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1421"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31205</w:t>
            </w:r>
          </w:p>
        </w:tc>
        <w:tc>
          <w:tcPr>
            <w:tcW w:w="144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利息补贴</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03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42" w:type="dxa"/>
            <w:tcBorders>
              <w:top w:val="nil"/>
              <w:left w:val="nil"/>
              <w:bottom w:val="single" w:color="000000" w:sz="4" w:space="0"/>
              <w:right w:val="single" w:color="000000" w:sz="4" w:space="0"/>
            </w:tcBorders>
            <w:shd w:val="clear" w:color="FFFFFF" w:fill="C0C0C0"/>
            <w:noWrap w:val="0"/>
            <w:vAlign w:val="center"/>
          </w:tcPr>
          <w:p>
            <w:pPr>
              <w:jc w:val="left"/>
              <w:rPr>
                <w:rFonts w:hint="eastAsia" w:ascii="宋体" w:hAnsi="宋体" w:eastAsia="宋体" w:cs="宋体"/>
                <w:i w:val="0"/>
                <w:iCs w:val="0"/>
                <w:color w:val="000000"/>
                <w:sz w:val="22"/>
                <w:szCs w:val="22"/>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1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1421"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10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31299</w:t>
            </w:r>
          </w:p>
        </w:tc>
        <w:tc>
          <w:tcPr>
            <w:tcW w:w="144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其他对企业补助</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03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42" w:type="dxa"/>
            <w:tcBorders>
              <w:top w:val="nil"/>
              <w:left w:val="nil"/>
              <w:bottom w:val="single" w:color="000000" w:sz="4" w:space="0"/>
              <w:right w:val="single" w:color="000000" w:sz="4" w:space="0"/>
            </w:tcBorders>
            <w:shd w:val="clear" w:color="FFFFFF" w:fill="C0C0C0"/>
            <w:noWrap w:val="0"/>
            <w:vAlign w:val="center"/>
          </w:tcPr>
          <w:p>
            <w:pPr>
              <w:jc w:val="left"/>
              <w:rPr>
                <w:rFonts w:hint="eastAsia" w:ascii="宋体" w:hAnsi="宋体" w:eastAsia="宋体" w:cs="宋体"/>
                <w:i w:val="0"/>
                <w:iCs w:val="0"/>
                <w:color w:val="000000"/>
                <w:sz w:val="22"/>
                <w:szCs w:val="22"/>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17" w:type="dxa"/>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1421" w:type="dxa"/>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9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399</w:t>
            </w:r>
          </w:p>
        </w:tc>
        <w:tc>
          <w:tcPr>
            <w:tcW w:w="144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其他支出</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03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42" w:type="dxa"/>
            <w:tcBorders>
              <w:top w:val="nil"/>
              <w:left w:val="nil"/>
              <w:bottom w:val="single" w:color="000000" w:sz="4" w:space="0"/>
              <w:right w:val="single" w:color="000000" w:sz="4" w:space="0"/>
            </w:tcBorders>
            <w:shd w:val="clear" w:color="FFFFFF" w:fill="C0C0C0"/>
            <w:noWrap w:val="0"/>
            <w:vAlign w:val="center"/>
          </w:tcPr>
          <w:p>
            <w:pPr>
              <w:jc w:val="left"/>
              <w:rPr>
                <w:rFonts w:hint="eastAsia" w:ascii="宋体" w:hAnsi="宋体" w:eastAsia="宋体" w:cs="宋体"/>
                <w:i w:val="0"/>
                <w:iCs w:val="0"/>
                <w:color w:val="000000"/>
                <w:sz w:val="22"/>
                <w:szCs w:val="22"/>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17" w:type="dxa"/>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1421" w:type="dxa"/>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9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144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034" w:type="dxa"/>
            <w:tcBorders>
              <w:top w:val="nil"/>
              <w:left w:val="single" w:color="000000" w:sz="4" w:space="0"/>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1742" w:type="dxa"/>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17" w:type="dxa"/>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1421" w:type="dxa"/>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9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144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03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42" w:type="dxa"/>
            <w:tcBorders>
              <w:top w:val="nil"/>
              <w:left w:val="nil"/>
              <w:bottom w:val="single" w:color="000000" w:sz="4" w:space="0"/>
              <w:right w:val="single" w:color="000000" w:sz="4" w:space="0"/>
            </w:tcBorders>
            <w:shd w:val="clear" w:color="FFFFFF" w:fill="C0C0C0"/>
            <w:noWrap w:val="0"/>
            <w:vAlign w:val="center"/>
          </w:tcPr>
          <w:p>
            <w:pPr>
              <w:jc w:val="left"/>
              <w:rPr>
                <w:rFonts w:hint="eastAsia" w:ascii="宋体" w:hAnsi="宋体" w:eastAsia="宋体" w:cs="宋体"/>
                <w:i w:val="0"/>
                <w:iCs w:val="0"/>
                <w:color w:val="000000"/>
                <w:sz w:val="22"/>
                <w:szCs w:val="22"/>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117" w:type="dxa"/>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1421" w:type="dxa"/>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9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144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03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42" w:type="dxa"/>
            <w:tcBorders>
              <w:top w:val="nil"/>
              <w:left w:val="nil"/>
              <w:bottom w:val="single" w:color="000000" w:sz="4" w:space="0"/>
              <w:right w:val="single" w:color="000000" w:sz="4" w:space="0"/>
            </w:tcBorders>
            <w:shd w:val="clear" w:color="FFFFFF" w:fill="C0C0C0"/>
            <w:noWrap w:val="0"/>
            <w:vAlign w:val="center"/>
          </w:tcPr>
          <w:p>
            <w:pPr>
              <w:jc w:val="left"/>
              <w:rPr>
                <w:rFonts w:hint="eastAsia" w:ascii="宋体" w:hAnsi="宋体" w:eastAsia="宋体" w:cs="宋体"/>
                <w:i w:val="0"/>
                <w:iCs w:val="0"/>
                <w:color w:val="000000"/>
                <w:sz w:val="22"/>
                <w:szCs w:val="22"/>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117" w:type="dxa"/>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1421" w:type="dxa"/>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9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144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2776"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10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546.80</w:t>
            </w:r>
          </w:p>
        </w:tc>
        <w:tc>
          <w:tcPr>
            <w:tcW w:w="5973" w:type="dxa"/>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公用支出合计</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10876"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注：本表反映部门本年度一般公共预算财政拨款基本支出明细情况。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03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74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0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1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2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6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3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4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2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03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74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0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1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21" w:type="dxa"/>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%d —</w:t>
            </w:r>
          </w:p>
        </w:tc>
        <w:tc>
          <w:tcPr>
            <w:tcW w:w="96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3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4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2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r>
    </w:tbl>
    <w:p>
      <w:pPr>
        <w:autoSpaceDE w:val="0"/>
        <w:autoSpaceDN w:val="0"/>
        <w:adjustRightInd w:val="0"/>
        <w:spacing w:line="360" w:lineRule="auto"/>
        <w:jc w:val="left"/>
        <w:rPr>
          <w:rFonts w:hint="eastAsia"/>
        </w:rPr>
      </w:pPr>
    </w:p>
    <w:tbl>
      <w:tblPr>
        <w:tblStyle w:val="3"/>
        <w:tblW w:w="84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094"/>
        <w:gridCol w:w="1168"/>
        <w:gridCol w:w="1442"/>
        <w:gridCol w:w="17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475" w:type="dxa"/>
            <w:gridSpan w:val="4"/>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编制单位：宁都县东山坝中学</w:t>
            </w:r>
          </w:p>
        </w:tc>
        <w:tc>
          <w:tcPr>
            <w:tcW w:w="0" w:type="auto"/>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年初预算数</w:t>
            </w: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一、“三公”经费支出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1.因公出国（境）费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2.公务用车购置及运行维护费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（1）公务用车购置费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（2）公务用车运行维护费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3.公务接待费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（1）国内接待费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其中：外事接待费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（2）国（境）外接待费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二、相关统计数</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1.因公出国（境）团组数（个）</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2.因公出国（境）人次数（人）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3.公务用车购置数（辆）</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4.公务用车保有量（辆）</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5.国内公务接待批次（个）</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其中：外事接待批次（个）</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6.国内公务接待人次（人）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其中：外事接待人次（人）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7.国（境）外公务接待批次（个）</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8.国（境）外公务接待人次（人）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8475" w:type="dxa"/>
            <w:gridSpan w:val="4"/>
            <w:vMerge w:val="restart"/>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注：本表反映部门本年度“三公”经费支出预决算情况。其中，预算数为“三公”经费年初预算数，决算数是包括当年一般公共预算财政拨款和以前年度结转资金安排的实际支出。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8475" w:type="dxa"/>
            <w:gridSpan w:val="4"/>
            <w:vMerge w:val="continue"/>
            <w:tcBorders>
              <w:top w:val="nil"/>
              <w:left w:val="nil"/>
              <w:bottom w:val="nil"/>
              <w:right w:val="nil"/>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%d —</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r>
    </w:tbl>
    <w:p>
      <w:pPr>
        <w:autoSpaceDE w:val="0"/>
        <w:autoSpaceDN w:val="0"/>
        <w:adjustRightInd w:val="0"/>
        <w:spacing w:line="360" w:lineRule="auto"/>
        <w:jc w:val="left"/>
        <w:rPr>
          <w:rFonts w:hint="eastAsia"/>
        </w:rPr>
      </w:pPr>
    </w:p>
    <w:tbl>
      <w:tblPr>
        <w:tblStyle w:val="3"/>
        <w:tblW w:w="99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6"/>
        <w:gridCol w:w="576"/>
        <w:gridCol w:w="576"/>
        <w:gridCol w:w="1449"/>
        <w:gridCol w:w="1148"/>
        <w:gridCol w:w="1050"/>
        <w:gridCol w:w="972"/>
        <w:gridCol w:w="1020"/>
        <w:gridCol w:w="1065"/>
        <w:gridCol w:w="14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9957"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16"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57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7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4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4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5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7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2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6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85"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3217" w:type="dxa"/>
            <w:gridSpan w:val="4"/>
            <w:tcBorders>
              <w:top w:val="nil"/>
              <w:left w:val="nil"/>
              <w:bottom w:val="nil"/>
              <w:right w:val="nil"/>
            </w:tcBorders>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编制单位：宁都县东山坝中学</w:t>
            </w:r>
          </w:p>
        </w:tc>
        <w:tc>
          <w:tcPr>
            <w:tcW w:w="114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50" w:type="dxa"/>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97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2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550"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3217"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1148"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050"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3057" w:type="dxa"/>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485"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68" w:type="dxa"/>
            <w:gridSpan w:val="3"/>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1449"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48"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05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72"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020"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065"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485"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68" w:type="dxa"/>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449"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48"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05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72"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020"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065"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85"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68" w:type="dxa"/>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449"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48"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05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72"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020"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065"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85"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center"/>
        </w:trPr>
        <w:tc>
          <w:tcPr>
            <w:tcW w:w="616" w:type="dxa"/>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576"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576"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1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1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616" w:type="dxa"/>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7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7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68"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49"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1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68"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49"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1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68"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49"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1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68"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49"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1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68"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49"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1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68"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49"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1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jc w:val="center"/>
        </w:trPr>
        <w:tc>
          <w:tcPr>
            <w:tcW w:w="9957" w:type="dxa"/>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9957" w:type="dxa"/>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说明：当此表数据为零时，即本部门无政府性基金预算财政拨款收入、支出。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1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7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7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4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4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5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7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2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6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8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1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7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7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4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4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50" w:type="dxa"/>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%d —</w:t>
            </w:r>
          </w:p>
        </w:tc>
        <w:tc>
          <w:tcPr>
            <w:tcW w:w="97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2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6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8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r>
    </w:tbl>
    <w:p>
      <w:pPr>
        <w:autoSpaceDE w:val="0"/>
        <w:autoSpaceDN w:val="0"/>
        <w:adjustRightInd w:val="0"/>
        <w:spacing w:line="360" w:lineRule="auto"/>
        <w:jc w:val="left"/>
        <w:rPr>
          <w:rFonts w:hint="eastAsia"/>
        </w:rPr>
      </w:pPr>
    </w:p>
    <w:tbl>
      <w:tblPr>
        <w:tblStyle w:val="3"/>
        <w:tblW w:w="754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16"/>
        <w:gridCol w:w="492"/>
        <w:gridCol w:w="492"/>
        <w:gridCol w:w="1237"/>
        <w:gridCol w:w="1550"/>
        <w:gridCol w:w="1288"/>
        <w:gridCol w:w="18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546" w:type="dxa"/>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16"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49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9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3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5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8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871"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2837" w:type="dxa"/>
            <w:gridSpan w:val="4"/>
            <w:tcBorders>
              <w:top w:val="nil"/>
              <w:left w:val="nil"/>
              <w:bottom w:val="nil"/>
              <w:right w:val="nil"/>
            </w:tcBorders>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编制单位：宁都县东山坝中学</w:t>
            </w:r>
          </w:p>
        </w:tc>
        <w:tc>
          <w:tcPr>
            <w:tcW w:w="1550" w:type="dxa"/>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128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871"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37"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1550"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88"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871"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00" w:type="dxa"/>
            <w:gridSpan w:val="3"/>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1237"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50"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288"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871"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00" w:type="dxa"/>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237"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50"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288"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871"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00" w:type="dxa"/>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237"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50"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288"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871"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616" w:type="dxa"/>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492"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492"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12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616" w:type="dxa"/>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92"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92"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2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0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237"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5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0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237"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5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0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237"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5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0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237"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5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0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237"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5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0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237"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5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jc w:val="center"/>
        </w:trPr>
        <w:tc>
          <w:tcPr>
            <w:tcW w:w="7546" w:type="dxa"/>
            <w:gridSpan w:val="7"/>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546" w:type="dxa"/>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说明：当此表数据为空时，即本部门无国有资本经营预算财政拨款支出。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1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9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9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3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5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8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87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1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9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9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3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50" w:type="dxa"/>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%d —</w:t>
            </w:r>
          </w:p>
        </w:tc>
        <w:tc>
          <w:tcPr>
            <w:tcW w:w="128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87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r>
    </w:tbl>
    <w:p>
      <w:pPr>
        <w:autoSpaceDE w:val="0"/>
        <w:autoSpaceDN w:val="0"/>
        <w:adjustRightInd w:val="0"/>
        <w:spacing w:line="360" w:lineRule="auto"/>
        <w:jc w:val="left"/>
        <w:rPr>
          <w:rFonts w:hint="eastAsia"/>
        </w:rPr>
      </w:pPr>
    </w:p>
    <w:tbl>
      <w:tblPr>
        <w:tblStyle w:val="3"/>
        <w:tblW w:w="87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589"/>
        <w:gridCol w:w="1178"/>
        <w:gridCol w:w="2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775" w:type="dxa"/>
            <w:gridSpan w:val="3"/>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国有资产占用情况表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编制单位：宁都县东山坝中学</w:t>
            </w:r>
          </w:p>
        </w:tc>
        <w:tc>
          <w:tcPr>
            <w:tcW w:w="0" w:type="auto"/>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单位：台、辆、套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0" w:type="auto"/>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一、车辆数合计(台、辆)</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1.副部（省）级及以上领导用车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2.主要领导干部用车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3.机要通信用车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4.应急保障用车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5.执法执勤用车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6.特种专业技术用车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7.离退休干部用车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8.其他用车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二、单价50万元（含）以上通用设备（台，套）</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三、单价100万元（含）以上专用设备（台，套）</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0" w:type="auto"/>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注：本表反映截止2021年12月31日，部门占用的国有资产情况。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0" w:type="auto"/>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说明：当此表数据为空时，即本部门（单位）无相关资产。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%d —</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bookmarkStart w:id="0" w:name="_GoBack"/>
      <w:bookmarkEnd w:id="0"/>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kern w:val="2"/>
          <w:sz w:val="44"/>
          <w:szCs w:val="44"/>
          <w:lang w:val="en-US" w:eastAsia="zh-CN" w:bidi="ar"/>
        </w:rPr>
        <w:t>第三部分  2021年度决算情况说明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一、收入决算情况说明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收入总计602万元，较2020年减少164.81万元，下降27.3 %，其中：年初结转和结余0万元，较2020年减少0万元，增长（下降）0%；本年收入合计602万元，较2020年减少164.81万元，下降27.3 %，主要原因是：教职工人数减少产生收入数减少。</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本年收入的具体构成为：财政拨款收入602万元，占100%；事业收入0万元，占0%；经营收入0万元，占0%；其他收入0万元，占0%。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支出总计602万元，其中本年支出合计602万元，较2020年减少164.81万元，下降27.3 %，主要原因是：教职工人数减少产生支出数减少；年末结转和结余0万元，较2020年增加（减少）0万元，增长（下降）0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本年支出的具体构成为：基本支出602万元，占100%；项目支出 0万元，占 0 %；经营支出0万元，占0 %；其他支出（对附属单位补助支出、上缴上级支出）0万元，占0%。</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三、财政拨款支出决算情况说明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本单位2021年度财政拨款本年支出年初预算数为543.99万元，决算数为602万元，完成年初预算的110.7%。其中：</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0"/>
          <w:sz w:val="30"/>
          <w:szCs w:val="30"/>
          <w:lang w:val="en-US" w:eastAsia="zh-CN" w:bidi="ar"/>
        </w:rPr>
        <w:t>教育</w:t>
      </w:r>
      <w:r>
        <w:rPr>
          <w:rFonts w:hint="default" w:ascii="仿宋_GB2312" w:eastAsia="仿宋_GB2312" w:cs="仿宋_GB2312" w:hAnsiTheme="minorHAnsi"/>
          <w:kern w:val="2"/>
          <w:sz w:val="30"/>
          <w:szCs w:val="30"/>
          <w:lang w:val="en-US" w:eastAsia="zh-CN" w:bidi="ar"/>
        </w:rPr>
        <w:t>支出年初预算数为543.99万元，决算数为602万元，完成年初预算的110.7%，主要原因是：年初预算数中不包含公用经费、边远山区特殊津贴、乡村教师补助、绩效奖等经费拨款。</w:t>
      </w:r>
    </w:p>
    <w:p>
      <w:pPr>
        <w:keepNext w:val="0"/>
        <w:keepLines w:val="0"/>
        <w:widowControl/>
        <w:suppressLineNumbers w:val="0"/>
        <w:spacing w:before="0" w:beforeAutospacing="1" w:after="0" w:afterAutospacing="1"/>
        <w:ind w:left="0" w:right="0" w:firstLine="585"/>
        <w:jc w:val="left"/>
      </w:pPr>
      <w:r>
        <w:rPr>
          <w:rFonts w:hint="eastAsia" w:ascii="黑体" w:hAnsi="宋体" w:eastAsia="黑体" w:cs="黑体"/>
          <w:kern w:val="2"/>
          <w:sz w:val="30"/>
          <w:szCs w:val="30"/>
          <w:lang w:val="en-US" w:eastAsia="zh-CN" w:bidi="ar"/>
        </w:rPr>
        <w:t>四、一般公共预算财政拨款基本支出决算情况说明</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本单位2021年度一般公共预算财政拨款基本支出602万元，其中：</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（一）工资福利支出540万元，较2020年减少139.62 万元，下降20.5%。主要原因是：人员减少.</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（二）商品和服务支出55.2万元，较2020年减少21.99万元，下降28.5 %。主要原因是：压缩了一般性支出。</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（三）对个人和家庭补助支出6.8万元，较2020年减少3.2万元，下降32%，主要原因是：乡镇工作补贴支出调整到工资福利支出。</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（四）资本性支出0万元，较2020年增加（减少）0万元，增长（下降）0 %。主要原因是：没有项目投入。</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五、一般公共预算财政拨款“三公”经费支出决算情况说明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本单位2021年度一般公共预算财政拨款“三公”经费支出年初预算数为0.4万元，决算数为0.4万元，完成预算的100%，决算数较2020年减少0万元，下降0%，其中：</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（一）因公出国（境）支出年初预算数为0万元，决算数为  0万元，完成预算的0%，决算数较2020年增加（减少）0万元，增长（下降）0 %。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（二）公务接待费支出年初预算数为0.4万元，决算数为 0.4万元，完成预算的100%，决算数较2020年减少0.2万元，下降4.7%，主要原因是认真执行八项规定，节约三公经费开支。全年国内公务接待6批，累计接待33人次，主要为：上级主管单位工作人员来本学校检查教育教学工作所产生的公务接待费用。</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（三）公务用车购置及运行维护费支出0万元，年末公务用车保有0辆。</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六、机关运行经费支出情况说明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b w:val="0"/>
          <w:bCs w:val="0"/>
          <w:kern w:val="2"/>
          <w:sz w:val="30"/>
          <w:szCs w:val="30"/>
          <w:lang w:val="en-US" w:eastAsia="zh-CN" w:bidi="ar"/>
        </w:rPr>
        <w:t>本单位不是行政单位或参照公务员法管理事业单位，故无机关运行经费支出。 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r>
        <w:rPr>
          <w:rFonts w:hint="eastAsia" w:ascii="黑体" w:hAnsi="宋体" w:eastAsia="黑体" w:cs="黑体"/>
          <w:kern w:val="2"/>
          <w:sz w:val="30"/>
          <w:szCs w:val="30"/>
          <w:lang w:val="en-US" w:eastAsia="zh-CN" w:bidi="ar"/>
        </w:rPr>
        <w:t>七、政府采购支出情况说明</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本单位2021年度政府采购支出总额0万元，其中：政府采购货物支出0万元、政府采购工程支出0万元、政府采购服务支出0万元。</w:t>
      </w:r>
    </w:p>
    <w:p>
      <w:pPr>
        <w:keepNext w:val="0"/>
        <w:keepLines w:val="0"/>
        <w:widowControl/>
        <w:suppressLineNumbers w:val="0"/>
        <w:spacing w:before="0" w:beforeAutospacing="1" w:after="0" w:afterAutospacing="1"/>
        <w:ind w:left="0" w:right="0" w:firstLine="600" w:firstLineChars="200"/>
        <w:jc w:val="left"/>
      </w:pPr>
      <w:r>
        <w:rPr>
          <w:rFonts w:hint="eastAsia" w:ascii="黑体" w:hAnsi="宋体" w:eastAsia="黑体" w:cs="黑体"/>
          <w:kern w:val="2"/>
          <w:sz w:val="30"/>
          <w:szCs w:val="30"/>
          <w:lang w:val="en-US" w:eastAsia="zh-CN" w:bidi="ar"/>
        </w:rPr>
        <w:t>八、</w:t>
      </w:r>
      <w:r>
        <w:rPr>
          <w:rFonts w:hint="eastAsia" w:ascii="黑体" w:hAnsi="宋体" w:eastAsia="黑体" w:cs="黑体"/>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ind w:left="0" w:right="0" w:firstLine="630"/>
        <w:jc w:val="left"/>
      </w:pPr>
      <w:r>
        <w:rPr>
          <w:rFonts w:hint="eastAsia" w:ascii="仿宋" w:hAnsi="仿宋" w:eastAsia="仿宋" w:cs="仿宋"/>
          <w:i w:val="0"/>
          <w:iCs w:val="0"/>
          <w:kern w:val="0"/>
          <w:sz w:val="32"/>
          <w:szCs w:val="32"/>
          <w:lang w:val="en-US" w:eastAsia="zh-CN" w:bidi="ar"/>
        </w:rPr>
        <w:t>2021年本单位无国有资本经费预算财政拨款支出。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九、国有资产占用情况说明。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0"/>
          <w:sz w:val="30"/>
          <w:szCs w:val="30"/>
          <w:lang w:val="en-US" w:eastAsia="zh-CN" w:bidi="ar"/>
        </w:rPr>
        <w:t>截止2021年12月31日，本单位（单位）国有资产占用情况见公开10表《国有资产占用情况表》。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0" w:lineRule="atLeast"/>
        <w:ind w:left="0" w:right="0" w:firstLine="640" w:firstLineChars="200"/>
        <w:jc w:val="both"/>
      </w:pPr>
      <w:r>
        <w:rPr>
          <w:rFonts w:hint="eastAsia" w:ascii="黑体" w:hAnsi="宋体" w:eastAsia="黑体" w:cs="黑体"/>
          <w:b w:val="0"/>
          <w:bCs w:val="0"/>
          <w:i w:val="0"/>
          <w:iCs w:val="0"/>
          <w:caps w:val="0"/>
          <w:spacing w:val="0"/>
          <w:kern w:val="0"/>
          <w:sz w:val="32"/>
          <w:szCs w:val="32"/>
        </w:rPr>
        <w:t>十、预算绩效情况说明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0" w:lineRule="atLeast"/>
        <w:ind w:left="0" w:right="0" w:firstLine="420"/>
        <w:jc w:val="both"/>
      </w:pPr>
      <w:r>
        <w:rPr>
          <w:rFonts w:hint="eastAsia" w:ascii="仿宋" w:hAnsi="仿宋" w:eastAsia="仿宋" w:cs="仿宋"/>
          <w:i w:val="0"/>
          <w:iCs w:val="0"/>
          <w:caps w:val="0"/>
          <w:spacing w:val="0"/>
          <w:kern w:val="0"/>
          <w:sz w:val="32"/>
          <w:szCs w:val="32"/>
        </w:rPr>
        <w:t>（一）绩效管理工作开展情况。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0" w:lineRule="atLeast"/>
        <w:ind w:left="0" w:right="0" w:firstLine="640" w:firstLineChars="200"/>
        <w:jc w:val="both"/>
      </w:pPr>
      <w:r>
        <w:rPr>
          <w:rFonts w:hint="eastAsia" w:ascii="仿宋" w:hAnsi="仿宋" w:eastAsia="仿宋" w:cs="仿宋"/>
          <w:i w:val="0"/>
          <w:iCs w:val="0"/>
          <w:caps w:val="0"/>
          <w:spacing w:val="0"/>
          <w:kern w:val="0"/>
          <w:sz w:val="32"/>
          <w:szCs w:val="32"/>
        </w:rPr>
        <w:t>根据预算绩效管理要求，我单位组织对纳入2021年度单位预算范围的二级项目1个公用经费项目全面开展绩效自评。</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105" w:afterAutospacing="0" w:line="240" w:lineRule="atLeast"/>
        <w:ind w:left="0" w:leftChars="0" w:right="0" w:firstLine="630" w:firstLineChars="0"/>
        <w:jc w:val="both"/>
      </w:pPr>
      <w:r>
        <w:rPr>
          <w:rFonts w:hint="eastAsia" w:ascii="仿宋" w:hAnsi="仿宋" w:eastAsia="仿宋" w:cs="仿宋"/>
          <w:i w:val="0"/>
          <w:iCs w:val="0"/>
          <w:caps w:val="0"/>
          <w:spacing w:val="0"/>
          <w:kern w:val="0"/>
          <w:sz w:val="32"/>
          <w:szCs w:val="32"/>
        </w:rPr>
        <w:t>（一）单位决算中项目绩效自评情况。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0" w:lineRule="atLeast"/>
        <w:ind w:left="0" w:right="0" w:rightChars="0" w:firstLine="640"/>
        <w:jc w:val="both"/>
      </w:pPr>
      <w:r>
        <w:rPr>
          <w:rFonts w:hint="eastAsia" w:ascii="仿宋" w:hAnsi="仿宋" w:eastAsia="仿宋" w:cs="仿宋"/>
          <w:i w:val="0"/>
          <w:iCs w:val="0"/>
          <w:caps w:val="0"/>
          <w:spacing w:val="0"/>
          <w:kern w:val="0"/>
          <w:sz w:val="32"/>
          <w:szCs w:val="32"/>
        </w:rPr>
        <w:t>我单位今年在单位决算中反映学校生均公用经费项目绩效自评结果。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0" w:lineRule="atLeast"/>
        <w:ind w:left="0" w:right="0" w:rightChars="0" w:firstLine="640"/>
        <w:jc w:val="both"/>
      </w:pPr>
      <w:r>
        <w:rPr>
          <w:rFonts w:hint="eastAsia" w:ascii="仿宋" w:hAnsi="仿宋" w:eastAsia="仿宋" w:cs="仿宋"/>
          <w:i w:val="0"/>
          <w:iCs w:val="0"/>
          <w:caps w:val="0"/>
          <w:spacing w:val="0"/>
          <w:kern w:val="0"/>
          <w:sz w:val="32"/>
          <w:szCs w:val="32"/>
        </w:rPr>
        <w:t>学校生均公用经费绩效自评综述：根据年初设定的绩效目标，学校生均公用经费绩效自评得分为99.8分。项目全年预算为58.41万元，执行数为58.41万元，完成预算的100%。主要产出和效果：保障了学校的正常运行，提高了学校的教育教学质量，学校、家长和学生的满意度为98%。</w:t>
      </w:r>
    </w:p>
    <w:tbl>
      <w:tblPr>
        <w:tblStyle w:val="3"/>
        <w:tblW w:w="102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90"/>
        <w:gridCol w:w="1161"/>
        <w:gridCol w:w="954"/>
        <w:gridCol w:w="1027"/>
        <w:gridCol w:w="1232"/>
        <w:gridCol w:w="454"/>
        <w:gridCol w:w="1604"/>
        <w:gridCol w:w="1187"/>
        <w:gridCol w:w="66"/>
        <w:gridCol w:w="542"/>
        <w:gridCol w:w="99"/>
        <w:gridCol w:w="544"/>
        <w:gridCol w:w="472"/>
        <w:gridCol w:w="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10213" w:type="dxa"/>
            <w:gridSpan w:val="14"/>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b/>
                <w:bCs/>
                <w:i w:val="0"/>
                <w:iCs w:val="0"/>
                <w:kern w:val="0"/>
                <w:sz w:val="32"/>
                <w:szCs w:val="32"/>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213" w:type="dxa"/>
            <w:gridSpan w:val="14"/>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677" w:type="dxa"/>
            <w:gridSpan w:val="2"/>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项目名称</w:t>
            </w:r>
          </w:p>
        </w:tc>
        <w:tc>
          <w:tcPr>
            <w:tcW w:w="8536" w:type="dxa"/>
            <w:gridSpan w:val="12"/>
            <w:tcBorders>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义务教育公用经费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tcBorders>
              <w:top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主管单位</w:t>
            </w:r>
          </w:p>
        </w:tc>
        <w:tc>
          <w:tcPr>
            <w:tcW w:w="4857" w:type="dxa"/>
            <w:gridSpan w:val="5"/>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宁都县财政局</w:t>
            </w:r>
          </w:p>
        </w:tc>
        <w:tc>
          <w:tcPr>
            <w:tcW w:w="1527" w:type="dxa"/>
            <w:gridSpan w:val="2"/>
            <w:tcBorders>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实施单位</w:t>
            </w:r>
          </w:p>
        </w:tc>
        <w:tc>
          <w:tcPr>
            <w:tcW w:w="2152" w:type="dxa"/>
            <w:gridSpan w:val="5"/>
            <w:tcBorders>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宁都县东山坝初级中学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677" w:type="dxa"/>
            <w:gridSpan w:val="2"/>
            <w:vMerge w:val="restart"/>
            <w:tcBorders>
              <w:top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项目资金</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（万元）</w:t>
            </w:r>
          </w:p>
        </w:tc>
        <w:tc>
          <w:tcPr>
            <w:tcW w:w="1870"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 </w:t>
            </w:r>
          </w:p>
        </w:tc>
        <w:tc>
          <w:tcPr>
            <w:tcW w:w="1090" w:type="dxa"/>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年初预算数</w:t>
            </w:r>
          </w:p>
        </w:tc>
        <w:tc>
          <w:tcPr>
            <w:tcW w:w="1897"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全年预算数（A&amp; #41;</w:t>
            </w:r>
          </w:p>
        </w:tc>
        <w:tc>
          <w:tcPr>
            <w:tcW w:w="1527" w:type="dxa"/>
            <w:gridSpan w:val="2"/>
            <w:tcBorders>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全年执行数&amp; #40;B&amp; #41;</w:t>
            </w:r>
          </w:p>
        </w:tc>
        <w:tc>
          <w:tcPr>
            <w:tcW w:w="755" w:type="dxa"/>
            <w:gridSpan w:val="2"/>
            <w:tcBorders>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分值</w:t>
            </w:r>
          </w:p>
        </w:tc>
        <w:tc>
          <w:tcPr>
            <w:tcW w:w="876" w:type="dxa"/>
            <w:gridSpan w:val="2"/>
            <w:tcBorders>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执行率&amp; #40;B/A&amp; #41;</w:t>
            </w:r>
          </w:p>
        </w:tc>
        <w:tc>
          <w:tcPr>
            <w:tcW w:w="521" w:type="dxa"/>
            <w:tcBorders>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tcBorders>
            <w:shd w:val="clear" w:color="auto" w:fill="auto"/>
            <w:vAlign w:val="center"/>
          </w:tcPr>
          <w:p>
            <w:pPr>
              <w:rPr>
                <w:rFonts w:hint="eastAsia" w:ascii="宋体"/>
                <w:sz w:val="24"/>
                <w:szCs w:val="24"/>
              </w:rPr>
            </w:pPr>
          </w:p>
        </w:tc>
        <w:tc>
          <w:tcPr>
            <w:tcW w:w="1870"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both"/>
              <w:textAlignment w:val="center"/>
            </w:pPr>
            <w:r>
              <w:rPr>
                <w:rFonts w:hint="eastAsia" w:ascii="仿宋" w:hAnsi="仿宋" w:eastAsia="仿宋" w:cs="仿宋"/>
                <w:i w:val="0"/>
                <w:iCs w:val="0"/>
                <w:kern w:val="0"/>
                <w:sz w:val="20"/>
                <w:szCs w:val="20"/>
                <w:lang w:val="en-US" w:eastAsia="zh-CN" w:bidi="ar"/>
              </w:rPr>
              <w:t>年度资金总额</w:t>
            </w:r>
          </w:p>
        </w:tc>
        <w:tc>
          <w:tcPr>
            <w:tcW w:w="1090" w:type="dxa"/>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58.41</w:t>
            </w:r>
          </w:p>
        </w:tc>
        <w:tc>
          <w:tcPr>
            <w:tcW w:w="1897"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58.41</w:t>
            </w:r>
          </w:p>
        </w:tc>
        <w:tc>
          <w:tcPr>
            <w:tcW w:w="1527"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58.41</w:t>
            </w:r>
          </w:p>
        </w:tc>
        <w:tc>
          <w:tcPr>
            <w:tcW w:w="755"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10</w:t>
            </w:r>
          </w:p>
        </w:tc>
        <w:tc>
          <w:tcPr>
            <w:tcW w:w="876"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100%</w:t>
            </w:r>
          </w:p>
        </w:tc>
        <w:tc>
          <w:tcPr>
            <w:tcW w:w="521" w:type="dxa"/>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tcBorders>
            <w:shd w:val="clear" w:color="auto" w:fill="auto"/>
            <w:vAlign w:val="center"/>
          </w:tcPr>
          <w:p>
            <w:pPr>
              <w:rPr>
                <w:rFonts w:hint="eastAsia" w:ascii="宋体"/>
                <w:sz w:val="24"/>
                <w:szCs w:val="24"/>
              </w:rPr>
            </w:pPr>
          </w:p>
        </w:tc>
        <w:tc>
          <w:tcPr>
            <w:tcW w:w="1870"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其中：当年财政拨款</w:t>
            </w:r>
          </w:p>
        </w:tc>
        <w:tc>
          <w:tcPr>
            <w:tcW w:w="1090" w:type="dxa"/>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58.41</w:t>
            </w:r>
          </w:p>
        </w:tc>
        <w:tc>
          <w:tcPr>
            <w:tcW w:w="1897"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58.41</w:t>
            </w:r>
          </w:p>
        </w:tc>
        <w:tc>
          <w:tcPr>
            <w:tcW w:w="1527"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58.41</w:t>
            </w:r>
          </w:p>
        </w:tc>
        <w:tc>
          <w:tcPr>
            <w:tcW w:w="755"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w:t>
            </w:r>
          </w:p>
        </w:tc>
        <w:tc>
          <w:tcPr>
            <w:tcW w:w="876"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100%</w:t>
            </w:r>
          </w:p>
        </w:tc>
        <w:tc>
          <w:tcPr>
            <w:tcW w:w="521" w:type="dxa"/>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tcBorders>
            <w:shd w:val="clear" w:color="auto" w:fill="auto"/>
            <w:vAlign w:val="center"/>
          </w:tcPr>
          <w:p>
            <w:pPr>
              <w:rPr>
                <w:rFonts w:hint="eastAsia" w:ascii="宋体"/>
                <w:sz w:val="24"/>
                <w:szCs w:val="24"/>
              </w:rPr>
            </w:pPr>
          </w:p>
        </w:tc>
        <w:tc>
          <w:tcPr>
            <w:tcW w:w="1870"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      上年结转资金</w:t>
            </w:r>
          </w:p>
        </w:tc>
        <w:tc>
          <w:tcPr>
            <w:tcW w:w="1090" w:type="dxa"/>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 </w:t>
            </w:r>
          </w:p>
        </w:tc>
        <w:tc>
          <w:tcPr>
            <w:tcW w:w="1897"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 </w:t>
            </w:r>
          </w:p>
        </w:tc>
        <w:tc>
          <w:tcPr>
            <w:tcW w:w="1527"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 </w:t>
            </w:r>
          </w:p>
        </w:tc>
        <w:tc>
          <w:tcPr>
            <w:tcW w:w="755"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w:t>
            </w:r>
          </w:p>
        </w:tc>
        <w:tc>
          <w:tcPr>
            <w:tcW w:w="876"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 </w:t>
            </w:r>
          </w:p>
        </w:tc>
        <w:tc>
          <w:tcPr>
            <w:tcW w:w="521" w:type="dxa"/>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tcBorders>
            <w:shd w:val="clear" w:color="auto" w:fill="auto"/>
            <w:vAlign w:val="center"/>
          </w:tcPr>
          <w:p>
            <w:pPr>
              <w:rPr>
                <w:rFonts w:hint="eastAsia" w:ascii="宋体"/>
                <w:sz w:val="24"/>
                <w:szCs w:val="24"/>
              </w:rPr>
            </w:pPr>
          </w:p>
        </w:tc>
        <w:tc>
          <w:tcPr>
            <w:tcW w:w="1870"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    其他资金</w:t>
            </w:r>
          </w:p>
        </w:tc>
        <w:tc>
          <w:tcPr>
            <w:tcW w:w="1090" w:type="dxa"/>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 </w:t>
            </w:r>
          </w:p>
        </w:tc>
        <w:tc>
          <w:tcPr>
            <w:tcW w:w="1897"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 </w:t>
            </w:r>
          </w:p>
        </w:tc>
        <w:tc>
          <w:tcPr>
            <w:tcW w:w="1527"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 </w:t>
            </w:r>
          </w:p>
        </w:tc>
        <w:tc>
          <w:tcPr>
            <w:tcW w:w="755"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w:t>
            </w:r>
          </w:p>
        </w:tc>
        <w:tc>
          <w:tcPr>
            <w:tcW w:w="876"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 </w:t>
            </w:r>
          </w:p>
        </w:tc>
        <w:tc>
          <w:tcPr>
            <w:tcW w:w="521" w:type="dxa"/>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91" w:type="dxa"/>
            <w:vMerge w:val="restart"/>
            <w:tcBorders>
              <w:top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年度总体目标</w:t>
            </w:r>
          </w:p>
        </w:tc>
        <w:tc>
          <w:tcPr>
            <w:tcW w:w="5943" w:type="dxa"/>
            <w:gridSpan w:val="6"/>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预期目标</w:t>
            </w:r>
          </w:p>
        </w:tc>
        <w:tc>
          <w:tcPr>
            <w:tcW w:w="3679" w:type="dxa"/>
            <w:gridSpan w:val="7"/>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jc w:val="center"/>
        </w:trPr>
        <w:tc>
          <w:tcPr>
            <w:tcW w:w="591" w:type="dxa"/>
            <w:vMerge w:val="continue"/>
            <w:tcBorders>
              <w:top w:val="nil"/>
            </w:tcBorders>
            <w:shd w:val="clear" w:color="auto" w:fill="auto"/>
            <w:vAlign w:val="center"/>
          </w:tcPr>
          <w:p>
            <w:pPr>
              <w:rPr>
                <w:rFonts w:hint="eastAsia" w:ascii="宋体"/>
                <w:sz w:val="24"/>
                <w:szCs w:val="24"/>
              </w:rPr>
            </w:pPr>
          </w:p>
        </w:tc>
        <w:tc>
          <w:tcPr>
            <w:tcW w:w="5943" w:type="dxa"/>
            <w:gridSpan w:val="6"/>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lang w:val="en-US" w:eastAsia="zh-CN" w:bidi="ar"/>
              </w:rPr>
              <w:t>目标1：按省定额标准下达公用经费                                                   目标2：按学生人数下达公用经费                                                        目标3：基本保障义务教育学校日常运行                                                             目标4：提高义务教育学校教育教学质量</w:t>
            </w:r>
          </w:p>
        </w:tc>
        <w:tc>
          <w:tcPr>
            <w:tcW w:w="3679" w:type="dxa"/>
            <w:gridSpan w:val="7"/>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达成全年目标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91" w:type="dxa"/>
            <w:vMerge w:val="restart"/>
            <w:tcBorders>
              <w:top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绩</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效</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标</w:t>
            </w:r>
          </w:p>
        </w:tc>
        <w:tc>
          <w:tcPr>
            <w:tcW w:w="1086" w:type="dxa"/>
            <w:vMerge w:val="restart"/>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一级指标</w:t>
            </w:r>
          </w:p>
        </w:tc>
        <w:tc>
          <w:tcPr>
            <w:tcW w:w="729" w:type="dxa"/>
            <w:vMerge w:val="restart"/>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二级指标</w:t>
            </w:r>
          </w:p>
        </w:tc>
        <w:tc>
          <w:tcPr>
            <w:tcW w:w="2794" w:type="dxa"/>
            <w:gridSpan w:val="3"/>
            <w:vMerge w:val="restart"/>
            <w:tcBorders>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三级指标</w:t>
            </w:r>
          </w:p>
        </w:tc>
        <w:tc>
          <w:tcPr>
            <w:tcW w:w="1334" w:type="dxa"/>
            <w:vMerge w:val="restart"/>
            <w:tcBorders>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年度指标值（A&amp; #41;</w:t>
            </w:r>
          </w:p>
        </w:tc>
        <w:tc>
          <w:tcPr>
            <w:tcW w:w="1334" w:type="dxa"/>
            <w:vMerge w:val="restart"/>
            <w:tcBorders>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实际完成值&amp; #40;B&amp; #41;</w:t>
            </w:r>
          </w:p>
        </w:tc>
        <w:tc>
          <w:tcPr>
            <w:tcW w:w="739" w:type="dxa"/>
            <w:gridSpan w:val="2"/>
            <w:vMerge w:val="restart"/>
            <w:tcBorders>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分值</w:t>
            </w:r>
          </w:p>
        </w:tc>
        <w:tc>
          <w:tcPr>
            <w:tcW w:w="700" w:type="dxa"/>
            <w:gridSpan w:val="2"/>
            <w:vMerge w:val="restart"/>
            <w:tcBorders>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得分</w:t>
            </w:r>
          </w:p>
        </w:tc>
        <w:tc>
          <w:tcPr>
            <w:tcW w:w="906" w:type="dxa"/>
            <w:gridSpan w:val="2"/>
            <w:vMerge w:val="restart"/>
            <w:tcBorders>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91" w:type="dxa"/>
            <w:vMerge w:val="continue"/>
            <w:tcBorders>
              <w:top w:val="nil"/>
            </w:tcBorders>
            <w:shd w:val="clear" w:color="auto" w:fill="auto"/>
            <w:vAlign w:val="center"/>
          </w:tcPr>
          <w:p>
            <w:pPr>
              <w:rPr>
                <w:rFonts w:hint="eastAsia" w:ascii="宋体"/>
                <w:sz w:val="24"/>
                <w:szCs w:val="24"/>
              </w:rPr>
            </w:pPr>
          </w:p>
        </w:tc>
        <w:tc>
          <w:tcPr>
            <w:tcW w:w="1086" w:type="dxa"/>
            <w:vMerge w:val="continue"/>
            <w:tcBorders>
              <w:top w:val="nil"/>
              <w:left w:val="nil"/>
            </w:tcBorders>
            <w:shd w:val="clear" w:color="auto" w:fill="auto"/>
            <w:vAlign w:val="center"/>
          </w:tcPr>
          <w:p>
            <w:pPr>
              <w:rPr>
                <w:rFonts w:hint="eastAsia" w:ascii="宋体"/>
                <w:sz w:val="24"/>
                <w:szCs w:val="24"/>
              </w:rPr>
            </w:pPr>
          </w:p>
        </w:tc>
        <w:tc>
          <w:tcPr>
            <w:tcW w:w="729" w:type="dxa"/>
            <w:vMerge w:val="continue"/>
            <w:tcBorders>
              <w:top w:val="nil"/>
              <w:left w:val="nil"/>
            </w:tcBorders>
            <w:shd w:val="clear" w:color="auto" w:fill="auto"/>
            <w:vAlign w:val="center"/>
          </w:tcPr>
          <w:p>
            <w:pPr>
              <w:rPr>
                <w:rFonts w:hint="eastAsia" w:ascii="宋体"/>
                <w:sz w:val="24"/>
                <w:szCs w:val="24"/>
              </w:rPr>
            </w:pPr>
          </w:p>
        </w:tc>
        <w:tc>
          <w:tcPr>
            <w:tcW w:w="2794" w:type="dxa"/>
            <w:gridSpan w:val="3"/>
            <w:vMerge w:val="continue"/>
            <w:tcBorders>
              <w:left w:val="nil"/>
            </w:tcBorders>
            <w:shd w:val="clear" w:color="auto" w:fill="auto"/>
            <w:vAlign w:val="center"/>
          </w:tcPr>
          <w:p>
            <w:pPr>
              <w:rPr>
                <w:rFonts w:hint="eastAsia" w:ascii="宋体"/>
                <w:sz w:val="24"/>
                <w:szCs w:val="24"/>
              </w:rPr>
            </w:pPr>
          </w:p>
        </w:tc>
        <w:tc>
          <w:tcPr>
            <w:tcW w:w="1334" w:type="dxa"/>
            <w:vMerge w:val="continue"/>
            <w:tcBorders>
              <w:left w:val="nil"/>
            </w:tcBorders>
            <w:shd w:val="clear" w:color="auto" w:fill="auto"/>
            <w:vAlign w:val="center"/>
          </w:tcPr>
          <w:p>
            <w:pPr>
              <w:rPr>
                <w:rFonts w:hint="eastAsia" w:ascii="宋体"/>
                <w:sz w:val="24"/>
                <w:szCs w:val="24"/>
              </w:rPr>
            </w:pPr>
          </w:p>
        </w:tc>
        <w:tc>
          <w:tcPr>
            <w:tcW w:w="1334" w:type="dxa"/>
            <w:vMerge w:val="continue"/>
            <w:tcBorders>
              <w:left w:val="nil"/>
            </w:tcBorders>
            <w:shd w:val="clear" w:color="auto" w:fill="auto"/>
            <w:vAlign w:val="center"/>
          </w:tcPr>
          <w:p>
            <w:pPr>
              <w:rPr>
                <w:rFonts w:hint="eastAsia" w:ascii="宋体"/>
                <w:sz w:val="24"/>
                <w:szCs w:val="24"/>
              </w:rPr>
            </w:pPr>
          </w:p>
        </w:tc>
        <w:tc>
          <w:tcPr>
            <w:tcW w:w="739" w:type="dxa"/>
            <w:gridSpan w:val="2"/>
            <w:vMerge w:val="continue"/>
            <w:tcBorders>
              <w:left w:val="nil"/>
            </w:tcBorders>
            <w:shd w:val="clear" w:color="auto" w:fill="auto"/>
            <w:vAlign w:val="center"/>
          </w:tcPr>
          <w:p>
            <w:pPr>
              <w:rPr>
                <w:rFonts w:hint="eastAsia" w:ascii="宋体"/>
                <w:sz w:val="24"/>
                <w:szCs w:val="24"/>
              </w:rPr>
            </w:pPr>
          </w:p>
        </w:tc>
        <w:tc>
          <w:tcPr>
            <w:tcW w:w="700" w:type="dxa"/>
            <w:gridSpan w:val="2"/>
            <w:vMerge w:val="continue"/>
            <w:tcBorders>
              <w:left w:val="nil"/>
            </w:tcBorders>
            <w:shd w:val="clear" w:color="auto" w:fill="auto"/>
            <w:vAlign w:val="center"/>
          </w:tcPr>
          <w:p>
            <w:pPr>
              <w:rPr>
                <w:rFonts w:hint="eastAsia" w:ascii="宋体"/>
                <w:sz w:val="24"/>
                <w:szCs w:val="24"/>
              </w:rPr>
            </w:pPr>
          </w:p>
        </w:tc>
        <w:tc>
          <w:tcPr>
            <w:tcW w:w="906" w:type="dxa"/>
            <w:gridSpan w:val="2"/>
            <w:vMerge w:val="continue"/>
            <w:tcBorders>
              <w:left w:val="nil"/>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591" w:type="dxa"/>
            <w:vMerge w:val="continue"/>
            <w:tcBorders>
              <w:top w:val="nil"/>
            </w:tcBorders>
            <w:shd w:val="clear" w:color="auto" w:fill="auto"/>
            <w:vAlign w:val="center"/>
          </w:tcPr>
          <w:p>
            <w:pPr>
              <w:rPr>
                <w:rFonts w:hint="eastAsia" w:ascii="宋体"/>
                <w:sz w:val="24"/>
                <w:szCs w:val="24"/>
              </w:rPr>
            </w:pPr>
          </w:p>
        </w:tc>
        <w:tc>
          <w:tcPr>
            <w:tcW w:w="1086" w:type="dxa"/>
            <w:vMerge w:val="restart"/>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产出指标（50分）</w:t>
            </w:r>
          </w:p>
        </w:tc>
        <w:tc>
          <w:tcPr>
            <w:tcW w:w="729" w:type="dxa"/>
            <w:vMerge w:val="restart"/>
            <w:tcBorders>
              <w:top w:val="nil"/>
              <w:left w:val="nil"/>
              <w:bottom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数量指标</w:t>
            </w:r>
          </w:p>
        </w:tc>
        <w:tc>
          <w:tcPr>
            <w:tcW w:w="2794" w:type="dxa"/>
            <w:gridSpan w:val="3"/>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lang w:val="en-US" w:eastAsia="zh-CN" w:bidi="ar"/>
              </w:rPr>
              <w:t>义务教育生均公用经费执行标准</w:t>
            </w:r>
          </w:p>
        </w:tc>
        <w:tc>
          <w:tcPr>
            <w:tcW w:w="1334" w:type="dxa"/>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不低于国家规定的标准</w:t>
            </w:r>
          </w:p>
        </w:tc>
        <w:tc>
          <w:tcPr>
            <w:tcW w:w="1334" w:type="dxa"/>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不低于国家规定的标准</w:t>
            </w:r>
          </w:p>
        </w:tc>
        <w:tc>
          <w:tcPr>
            <w:tcW w:w="739"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8</w:t>
            </w:r>
          </w:p>
        </w:tc>
        <w:tc>
          <w:tcPr>
            <w:tcW w:w="700"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8</w:t>
            </w:r>
          </w:p>
        </w:tc>
        <w:tc>
          <w:tcPr>
            <w:tcW w:w="906"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1" w:type="dxa"/>
            <w:vMerge w:val="continue"/>
            <w:tcBorders>
              <w:top w:val="nil"/>
            </w:tcBorders>
            <w:shd w:val="clear" w:color="auto" w:fill="auto"/>
            <w:vAlign w:val="center"/>
          </w:tcPr>
          <w:p>
            <w:pPr>
              <w:rPr>
                <w:rFonts w:hint="eastAsia" w:ascii="宋体"/>
                <w:sz w:val="24"/>
                <w:szCs w:val="24"/>
              </w:rPr>
            </w:pPr>
          </w:p>
        </w:tc>
        <w:tc>
          <w:tcPr>
            <w:tcW w:w="1086" w:type="dxa"/>
            <w:vMerge w:val="continue"/>
            <w:tcBorders>
              <w:top w:val="nil"/>
              <w:left w:val="nil"/>
            </w:tcBorders>
            <w:shd w:val="clear" w:color="auto" w:fill="auto"/>
            <w:vAlign w:val="center"/>
          </w:tcPr>
          <w:p>
            <w:pPr>
              <w:rPr>
                <w:rFonts w:hint="eastAsia" w:ascii="宋体"/>
                <w:sz w:val="24"/>
                <w:szCs w:val="24"/>
              </w:rPr>
            </w:pPr>
          </w:p>
        </w:tc>
        <w:tc>
          <w:tcPr>
            <w:tcW w:w="729" w:type="dxa"/>
            <w:vMerge w:val="continue"/>
            <w:tcBorders>
              <w:top w:val="nil"/>
              <w:left w:val="nil"/>
              <w:bottom w:val="nil"/>
            </w:tcBorders>
            <w:shd w:val="clear" w:color="auto" w:fill="auto"/>
            <w:vAlign w:val="center"/>
          </w:tcPr>
          <w:p>
            <w:pPr>
              <w:rPr>
                <w:rFonts w:hint="eastAsia" w:ascii="宋体"/>
                <w:sz w:val="24"/>
                <w:szCs w:val="24"/>
              </w:rPr>
            </w:pPr>
          </w:p>
        </w:tc>
        <w:tc>
          <w:tcPr>
            <w:tcW w:w="2794" w:type="dxa"/>
            <w:gridSpan w:val="3"/>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lang w:val="en-US" w:eastAsia="zh-CN" w:bidi="ar"/>
              </w:rPr>
              <w:t>义务教育生均公用经费拨付到位率</w:t>
            </w:r>
          </w:p>
        </w:tc>
        <w:tc>
          <w:tcPr>
            <w:tcW w:w="1334" w:type="dxa"/>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100%</w:t>
            </w:r>
          </w:p>
        </w:tc>
        <w:tc>
          <w:tcPr>
            <w:tcW w:w="1334" w:type="dxa"/>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100%</w:t>
            </w:r>
          </w:p>
        </w:tc>
        <w:tc>
          <w:tcPr>
            <w:tcW w:w="739"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10</w:t>
            </w:r>
          </w:p>
        </w:tc>
        <w:tc>
          <w:tcPr>
            <w:tcW w:w="700"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10</w:t>
            </w:r>
          </w:p>
        </w:tc>
        <w:tc>
          <w:tcPr>
            <w:tcW w:w="906"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1" w:type="dxa"/>
            <w:vMerge w:val="continue"/>
            <w:tcBorders>
              <w:top w:val="nil"/>
            </w:tcBorders>
            <w:shd w:val="clear" w:color="auto" w:fill="auto"/>
            <w:vAlign w:val="center"/>
          </w:tcPr>
          <w:p>
            <w:pPr>
              <w:rPr>
                <w:rFonts w:hint="eastAsia" w:ascii="宋体"/>
                <w:sz w:val="24"/>
                <w:szCs w:val="24"/>
              </w:rPr>
            </w:pPr>
          </w:p>
        </w:tc>
        <w:tc>
          <w:tcPr>
            <w:tcW w:w="1086" w:type="dxa"/>
            <w:vMerge w:val="continue"/>
            <w:tcBorders>
              <w:top w:val="nil"/>
              <w:left w:val="nil"/>
            </w:tcBorders>
            <w:shd w:val="clear" w:color="auto" w:fill="auto"/>
            <w:vAlign w:val="center"/>
          </w:tcPr>
          <w:p>
            <w:pPr>
              <w:rPr>
                <w:rFonts w:hint="eastAsia" w:ascii="宋体"/>
                <w:sz w:val="24"/>
                <w:szCs w:val="24"/>
              </w:rPr>
            </w:pPr>
          </w:p>
        </w:tc>
        <w:tc>
          <w:tcPr>
            <w:tcW w:w="729" w:type="dxa"/>
            <w:vMerge w:val="continue"/>
            <w:tcBorders>
              <w:top w:val="nil"/>
              <w:left w:val="nil"/>
              <w:bottom w:val="nil"/>
            </w:tcBorders>
            <w:shd w:val="clear" w:color="auto" w:fill="auto"/>
            <w:vAlign w:val="center"/>
          </w:tcPr>
          <w:p>
            <w:pPr>
              <w:rPr>
                <w:rFonts w:hint="eastAsia" w:ascii="宋体"/>
                <w:sz w:val="24"/>
                <w:szCs w:val="24"/>
              </w:rPr>
            </w:pPr>
          </w:p>
        </w:tc>
        <w:tc>
          <w:tcPr>
            <w:tcW w:w="2794" w:type="dxa"/>
            <w:gridSpan w:val="3"/>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lang w:val="en-US" w:eastAsia="zh-CN" w:bidi="ar"/>
              </w:rPr>
              <w:t>义务教育生均公用经费拨付及时率</w:t>
            </w:r>
          </w:p>
        </w:tc>
        <w:tc>
          <w:tcPr>
            <w:tcW w:w="1334" w:type="dxa"/>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100%</w:t>
            </w:r>
          </w:p>
        </w:tc>
        <w:tc>
          <w:tcPr>
            <w:tcW w:w="1334" w:type="dxa"/>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100%</w:t>
            </w:r>
          </w:p>
        </w:tc>
        <w:tc>
          <w:tcPr>
            <w:tcW w:w="739"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8</w:t>
            </w:r>
          </w:p>
        </w:tc>
        <w:tc>
          <w:tcPr>
            <w:tcW w:w="700"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8</w:t>
            </w:r>
          </w:p>
        </w:tc>
        <w:tc>
          <w:tcPr>
            <w:tcW w:w="906"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1" w:type="dxa"/>
            <w:vMerge w:val="continue"/>
            <w:tcBorders>
              <w:top w:val="nil"/>
            </w:tcBorders>
            <w:shd w:val="clear" w:color="auto" w:fill="auto"/>
            <w:vAlign w:val="center"/>
          </w:tcPr>
          <w:p>
            <w:pPr>
              <w:rPr>
                <w:rFonts w:hint="eastAsia" w:ascii="宋体"/>
                <w:sz w:val="24"/>
                <w:szCs w:val="24"/>
              </w:rPr>
            </w:pPr>
          </w:p>
        </w:tc>
        <w:tc>
          <w:tcPr>
            <w:tcW w:w="1086" w:type="dxa"/>
            <w:vMerge w:val="continue"/>
            <w:tcBorders>
              <w:top w:val="nil"/>
              <w:left w:val="nil"/>
            </w:tcBorders>
            <w:shd w:val="clear" w:color="auto" w:fill="auto"/>
            <w:vAlign w:val="center"/>
          </w:tcPr>
          <w:p>
            <w:pPr>
              <w:rPr>
                <w:rFonts w:hint="eastAsia" w:ascii="宋体"/>
                <w:sz w:val="24"/>
                <w:szCs w:val="24"/>
              </w:rPr>
            </w:pPr>
          </w:p>
        </w:tc>
        <w:tc>
          <w:tcPr>
            <w:tcW w:w="729" w:type="dxa"/>
            <w:tcBorders>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质量指标</w:t>
            </w:r>
          </w:p>
        </w:tc>
        <w:tc>
          <w:tcPr>
            <w:tcW w:w="2794" w:type="dxa"/>
            <w:gridSpan w:val="3"/>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lang w:val="en-US" w:eastAsia="zh-CN" w:bidi="ar"/>
              </w:rPr>
              <w:t>保障义务教育学校正常运行</w:t>
            </w:r>
          </w:p>
        </w:tc>
        <w:tc>
          <w:tcPr>
            <w:tcW w:w="0" w:type="auto"/>
            <w:tcBorders>
              <w:top w:val="nil"/>
              <w:left w:val="nil"/>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正常运行</w:t>
            </w:r>
          </w:p>
        </w:tc>
        <w:tc>
          <w:tcPr>
            <w:tcW w:w="0" w:type="auto"/>
            <w:tcBorders>
              <w:top w:val="nil"/>
              <w:left w:val="nil"/>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正常运行</w:t>
            </w:r>
          </w:p>
        </w:tc>
        <w:tc>
          <w:tcPr>
            <w:tcW w:w="0" w:type="auto"/>
            <w:gridSpan w:val="2"/>
            <w:tcBorders>
              <w:top w:val="nil"/>
              <w:left w:val="nil"/>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10</w:t>
            </w:r>
          </w:p>
        </w:tc>
        <w:tc>
          <w:tcPr>
            <w:tcW w:w="0" w:type="auto"/>
            <w:gridSpan w:val="2"/>
            <w:tcBorders>
              <w:top w:val="nil"/>
              <w:left w:val="nil"/>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10</w:t>
            </w:r>
          </w:p>
        </w:tc>
        <w:tc>
          <w:tcPr>
            <w:tcW w:w="906"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591" w:type="dxa"/>
            <w:vMerge w:val="continue"/>
            <w:tcBorders>
              <w:top w:val="nil"/>
            </w:tcBorders>
            <w:shd w:val="clear" w:color="auto" w:fill="auto"/>
            <w:vAlign w:val="center"/>
          </w:tcPr>
          <w:p>
            <w:pPr>
              <w:rPr>
                <w:rFonts w:hint="eastAsia" w:ascii="宋体"/>
                <w:sz w:val="24"/>
                <w:szCs w:val="24"/>
              </w:rPr>
            </w:pPr>
          </w:p>
        </w:tc>
        <w:tc>
          <w:tcPr>
            <w:tcW w:w="1086" w:type="dxa"/>
            <w:vMerge w:val="continue"/>
            <w:tcBorders>
              <w:top w:val="nil"/>
              <w:left w:val="nil"/>
            </w:tcBorders>
            <w:shd w:val="clear" w:color="auto" w:fill="auto"/>
            <w:vAlign w:val="center"/>
          </w:tcPr>
          <w:p>
            <w:pPr>
              <w:rPr>
                <w:rFonts w:hint="eastAsia" w:ascii="宋体"/>
                <w:sz w:val="24"/>
                <w:szCs w:val="24"/>
              </w:rPr>
            </w:pPr>
          </w:p>
        </w:tc>
        <w:tc>
          <w:tcPr>
            <w:tcW w:w="729" w:type="dxa"/>
            <w:vMerge w:val="restart"/>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时效指标</w:t>
            </w:r>
          </w:p>
        </w:tc>
        <w:tc>
          <w:tcPr>
            <w:tcW w:w="2794" w:type="dxa"/>
            <w:gridSpan w:val="3"/>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lang w:val="en-US" w:eastAsia="zh-CN" w:bidi="ar"/>
              </w:rPr>
              <w:t>资金按规定及时拨付率</w:t>
            </w:r>
          </w:p>
        </w:tc>
        <w:tc>
          <w:tcPr>
            <w:tcW w:w="0" w:type="auto"/>
            <w:tcBorders>
              <w:top w:val="nil"/>
              <w:left w:val="nil"/>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100%</w:t>
            </w:r>
          </w:p>
        </w:tc>
        <w:tc>
          <w:tcPr>
            <w:tcW w:w="0" w:type="auto"/>
            <w:tcBorders>
              <w:top w:val="nil"/>
              <w:left w:val="nil"/>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100%</w:t>
            </w:r>
          </w:p>
        </w:tc>
        <w:tc>
          <w:tcPr>
            <w:tcW w:w="739"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7</w:t>
            </w:r>
          </w:p>
        </w:tc>
        <w:tc>
          <w:tcPr>
            <w:tcW w:w="700"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7</w:t>
            </w:r>
          </w:p>
        </w:tc>
        <w:tc>
          <w:tcPr>
            <w:tcW w:w="906"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591" w:type="dxa"/>
            <w:vMerge w:val="continue"/>
            <w:tcBorders>
              <w:top w:val="nil"/>
            </w:tcBorders>
            <w:shd w:val="clear" w:color="auto" w:fill="auto"/>
            <w:vAlign w:val="center"/>
          </w:tcPr>
          <w:p>
            <w:pPr>
              <w:rPr>
                <w:rFonts w:hint="eastAsia" w:ascii="宋体"/>
                <w:sz w:val="24"/>
                <w:szCs w:val="24"/>
              </w:rPr>
            </w:pPr>
          </w:p>
        </w:tc>
        <w:tc>
          <w:tcPr>
            <w:tcW w:w="1086" w:type="dxa"/>
            <w:vMerge w:val="continue"/>
            <w:tcBorders>
              <w:top w:val="nil"/>
              <w:left w:val="nil"/>
            </w:tcBorders>
            <w:shd w:val="clear" w:color="auto" w:fill="auto"/>
            <w:vAlign w:val="center"/>
          </w:tcPr>
          <w:p>
            <w:pPr>
              <w:rPr>
                <w:rFonts w:hint="eastAsia" w:ascii="宋体"/>
                <w:sz w:val="24"/>
                <w:szCs w:val="24"/>
              </w:rPr>
            </w:pPr>
          </w:p>
        </w:tc>
        <w:tc>
          <w:tcPr>
            <w:tcW w:w="729" w:type="dxa"/>
            <w:vMerge w:val="continue"/>
            <w:tcBorders>
              <w:top w:val="nil"/>
              <w:left w:val="nil"/>
            </w:tcBorders>
            <w:shd w:val="clear" w:color="auto" w:fill="auto"/>
            <w:vAlign w:val="center"/>
          </w:tcPr>
          <w:p>
            <w:pPr>
              <w:rPr>
                <w:rFonts w:hint="eastAsia" w:ascii="宋体"/>
                <w:sz w:val="24"/>
                <w:szCs w:val="24"/>
              </w:rPr>
            </w:pPr>
          </w:p>
        </w:tc>
        <w:tc>
          <w:tcPr>
            <w:tcW w:w="2794" w:type="dxa"/>
            <w:gridSpan w:val="3"/>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lang w:val="en-US" w:eastAsia="zh-CN" w:bidi="ar"/>
              </w:rPr>
              <w:t>年度预算执行进度</w:t>
            </w:r>
          </w:p>
        </w:tc>
        <w:tc>
          <w:tcPr>
            <w:tcW w:w="0" w:type="auto"/>
            <w:tcBorders>
              <w:top w:val="nil"/>
              <w:left w:val="nil"/>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100%</w:t>
            </w:r>
          </w:p>
        </w:tc>
        <w:tc>
          <w:tcPr>
            <w:tcW w:w="0" w:type="auto"/>
            <w:tcBorders>
              <w:top w:val="nil"/>
              <w:left w:val="nil"/>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100%</w:t>
            </w:r>
          </w:p>
        </w:tc>
        <w:tc>
          <w:tcPr>
            <w:tcW w:w="739"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7</w:t>
            </w:r>
          </w:p>
        </w:tc>
        <w:tc>
          <w:tcPr>
            <w:tcW w:w="700"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7</w:t>
            </w:r>
          </w:p>
        </w:tc>
        <w:tc>
          <w:tcPr>
            <w:tcW w:w="906"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591" w:type="dxa"/>
            <w:vMerge w:val="continue"/>
            <w:tcBorders>
              <w:top w:val="nil"/>
            </w:tcBorders>
            <w:shd w:val="clear" w:color="auto" w:fill="auto"/>
            <w:vAlign w:val="center"/>
          </w:tcPr>
          <w:p>
            <w:pPr>
              <w:rPr>
                <w:rFonts w:hint="eastAsia" w:ascii="宋体"/>
                <w:sz w:val="24"/>
                <w:szCs w:val="24"/>
              </w:rPr>
            </w:pPr>
          </w:p>
        </w:tc>
        <w:tc>
          <w:tcPr>
            <w:tcW w:w="1086" w:type="dxa"/>
            <w:vMerge w:val="restart"/>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效益指标（30分）</w:t>
            </w:r>
          </w:p>
        </w:tc>
        <w:tc>
          <w:tcPr>
            <w:tcW w:w="729" w:type="dxa"/>
            <w:vMerge w:val="restart"/>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社会效益</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指标</w:t>
            </w:r>
          </w:p>
        </w:tc>
        <w:tc>
          <w:tcPr>
            <w:tcW w:w="2794" w:type="dxa"/>
            <w:gridSpan w:val="3"/>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lang w:val="en-US" w:eastAsia="zh-CN" w:bidi="ar"/>
              </w:rPr>
              <w:t>教学活动开展有序，办学水平不断提高</w:t>
            </w:r>
          </w:p>
        </w:tc>
        <w:tc>
          <w:tcPr>
            <w:tcW w:w="0" w:type="auto"/>
            <w:tcBorders>
              <w:top w:val="nil"/>
              <w:left w:val="nil"/>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提高</w:t>
            </w:r>
          </w:p>
        </w:tc>
        <w:tc>
          <w:tcPr>
            <w:tcW w:w="0" w:type="auto"/>
            <w:tcBorders>
              <w:top w:val="nil"/>
              <w:left w:val="nil"/>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提高</w:t>
            </w:r>
          </w:p>
        </w:tc>
        <w:tc>
          <w:tcPr>
            <w:tcW w:w="0" w:type="auto"/>
            <w:gridSpan w:val="2"/>
            <w:tcBorders>
              <w:top w:val="nil"/>
              <w:left w:val="nil"/>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15</w:t>
            </w:r>
          </w:p>
        </w:tc>
        <w:tc>
          <w:tcPr>
            <w:tcW w:w="0" w:type="auto"/>
            <w:gridSpan w:val="2"/>
            <w:tcBorders>
              <w:top w:val="nil"/>
              <w:left w:val="nil"/>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15</w:t>
            </w:r>
          </w:p>
        </w:tc>
        <w:tc>
          <w:tcPr>
            <w:tcW w:w="906"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591" w:type="dxa"/>
            <w:vMerge w:val="continue"/>
            <w:tcBorders>
              <w:top w:val="nil"/>
            </w:tcBorders>
            <w:shd w:val="clear" w:color="auto" w:fill="auto"/>
            <w:vAlign w:val="center"/>
          </w:tcPr>
          <w:p>
            <w:pPr>
              <w:rPr>
                <w:rFonts w:hint="eastAsia" w:ascii="宋体"/>
                <w:sz w:val="24"/>
                <w:szCs w:val="24"/>
              </w:rPr>
            </w:pPr>
          </w:p>
        </w:tc>
        <w:tc>
          <w:tcPr>
            <w:tcW w:w="1086" w:type="dxa"/>
            <w:vMerge w:val="continue"/>
            <w:tcBorders>
              <w:top w:val="nil"/>
              <w:left w:val="nil"/>
            </w:tcBorders>
            <w:shd w:val="clear" w:color="auto" w:fill="auto"/>
            <w:vAlign w:val="center"/>
          </w:tcPr>
          <w:p>
            <w:pPr>
              <w:rPr>
                <w:rFonts w:hint="eastAsia" w:ascii="宋体"/>
                <w:sz w:val="24"/>
                <w:szCs w:val="24"/>
              </w:rPr>
            </w:pPr>
          </w:p>
        </w:tc>
        <w:tc>
          <w:tcPr>
            <w:tcW w:w="729" w:type="dxa"/>
            <w:vMerge w:val="continue"/>
            <w:tcBorders>
              <w:top w:val="nil"/>
              <w:left w:val="nil"/>
            </w:tcBorders>
            <w:shd w:val="clear" w:color="auto" w:fill="auto"/>
            <w:vAlign w:val="center"/>
          </w:tcPr>
          <w:p>
            <w:pPr>
              <w:rPr>
                <w:rFonts w:hint="eastAsia" w:ascii="宋体"/>
                <w:sz w:val="24"/>
                <w:szCs w:val="24"/>
              </w:rPr>
            </w:pPr>
          </w:p>
        </w:tc>
        <w:tc>
          <w:tcPr>
            <w:tcW w:w="2794" w:type="dxa"/>
            <w:gridSpan w:val="3"/>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lang w:val="en-US" w:eastAsia="zh-CN" w:bidi="ar"/>
              </w:rPr>
              <w:t>教育教学质量</w:t>
            </w:r>
          </w:p>
        </w:tc>
        <w:tc>
          <w:tcPr>
            <w:tcW w:w="0" w:type="auto"/>
            <w:tcBorders>
              <w:top w:val="nil"/>
              <w:left w:val="nil"/>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提高</w:t>
            </w:r>
          </w:p>
        </w:tc>
        <w:tc>
          <w:tcPr>
            <w:tcW w:w="0" w:type="auto"/>
            <w:tcBorders>
              <w:top w:val="nil"/>
              <w:left w:val="nil"/>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提高</w:t>
            </w:r>
          </w:p>
        </w:tc>
        <w:tc>
          <w:tcPr>
            <w:tcW w:w="0" w:type="auto"/>
            <w:gridSpan w:val="2"/>
            <w:tcBorders>
              <w:top w:val="nil"/>
              <w:left w:val="nil"/>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15</w:t>
            </w:r>
          </w:p>
        </w:tc>
        <w:tc>
          <w:tcPr>
            <w:tcW w:w="0" w:type="auto"/>
            <w:gridSpan w:val="2"/>
            <w:tcBorders>
              <w:top w:val="nil"/>
              <w:left w:val="nil"/>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15</w:t>
            </w:r>
          </w:p>
        </w:tc>
        <w:tc>
          <w:tcPr>
            <w:tcW w:w="906"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591" w:type="dxa"/>
            <w:vMerge w:val="continue"/>
            <w:tcBorders>
              <w:top w:val="nil"/>
            </w:tcBorders>
            <w:shd w:val="clear" w:color="auto" w:fill="auto"/>
            <w:vAlign w:val="center"/>
          </w:tcPr>
          <w:p>
            <w:pPr>
              <w:rPr>
                <w:rFonts w:hint="eastAsia" w:ascii="宋体"/>
                <w:sz w:val="24"/>
                <w:szCs w:val="24"/>
              </w:rPr>
            </w:pPr>
          </w:p>
        </w:tc>
        <w:tc>
          <w:tcPr>
            <w:tcW w:w="1086" w:type="dxa"/>
            <w:vMerge w:val="restart"/>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满意度</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指标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（10分）</w:t>
            </w:r>
          </w:p>
        </w:tc>
        <w:tc>
          <w:tcPr>
            <w:tcW w:w="729" w:type="dxa"/>
            <w:vMerge w:val="restart"/>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服务对象满意度指标</w:t>
            </w:r>
          </w:p>
        </w:tc>
        <w:tc>
          <w:tcPr>
            <w:tcW w:w="2794" w:type="dxa"/>
            <w:gridSpan w:val="3"/>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lang w:val="en-US" w:eastAsia="zh-CN" w:bidi="ar"/>
              </w:rPr>
              <w:t>学校和教师满意度</w:t>
            </w:r>
          </w:p>
        </w:tc>
        <w:tc>
          <w:tcPr>
            <w:tcW w:w="0" w:type="auto"/>
            <w:tcBorders>
              <w:top w:val="nil"/>
              <w:left w:val="nil"/>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≥85%</w:t>
            </w:r>
          </w:p>
        </w:tc>
        <w:tc>
          <w:tcPr>
            <w:tcW w:w="1334" w:type="dxa"/>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98%</w:t>
            </w:r>
          </w:p>
        </w:tc>
        <w:tc>
          <w:tcPr>
            <w:tcW w:w="0" w:type="auto"/>
            <w:gridSpan w:val="2"/>
            <w:tcBorders>
              <w:top w:val="nil"/>
              <w:left w:val="nil"/>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5</w:t>
            </w:r>
          </w:p>
        </w:tc>
        <w:tc>
          <w:tcPr>
            <w:tcW w:w="700"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4.9</w:t>
            </w:r>
          </w:p>
        </w:tc>
        <w:tc>
          <w:tcPr>
            <w:tcW w:w="906"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591" w:type="dxa"/>
            <w:vMerge w:val="continue"/>
            <w:tcBorders>
              <w:top w:val="nil"/>
            </w:tcBorders>
            <w:shd w:val="clear" w:color="auto" w:fill="auto"/>
            <w:vAlign w:val="center"/>
          </w:tcPr>
          <w:p>
            <w:pPr>
              <w:rPr>
                <w:rFonts w:hint="eastAsia" w:ascii="宋体"/>
                <w:sz w:val="24"/>
                <w:szCs w:val="24"/>
              </w:rPr>
            </w:pPr>
          </w:p>
        </w:tc>
        <w:tc>
          <w:tcPr>
            <w:tcW w:w="1086" w:type="dxa"/>
            <w:vMerge w:val="continue"/>
            <w:tcBorders>
              <w:top w:val="nil"/>
              <w:left w:val="nil"/>
            </w:tcBorders>
            <w:shd w:val="clear" w:color="auto" w:fill="auto"/>
            <w:vAlign w:val="center"/>
          </w:tcPr>
          <w:p>
            <w:pPr>
              <w:rPr>
                <w:rFonts w:hint="eastAsia" w:ascii="宋体"/>
                <w:sz w:val="24"/>
                <w:szCs w:val="24"/>
              </w:rPr>
            </w:pPr>
          </w:p>
        </w:tc>
        <w:tc>
          <w:tcPr>
            <w:tcW w:w="729" w:type="dxa"/>
            <w:vMerge w:val="continue"/>
            <w:tcBorders>
              <w:top w:val="nil"/>
              <w:left w:val="nil"/>
            </w:tcBorders>
            <w:shd w:val="clear" w:color="auto" w:fill="auto"/>
            <w:vAlign w:val="center"/>
          </w:tcPr>
          <w:p>
            <w:pPr>
              <w:rPr>
                <w:rFonts w:hint="eastAsia" w:ascii="宋体"/>
                <w:sz w:val="24"/>
                <w:szCs w:val="24"/>
              </w:rPr>
            </w:pPr>
          </w:p>
        </w:tc>
        <w:tc>
          <w:tcPr>
            <w:tcW w:w="2794" w:type="dxa"/>
            <w:gridSpan w:val="3"/>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lang w:val="en-US" w:eastAsia="zh-CN" w:bidi="ar"/>
              </w:rPr>
              <w:t>家长和学生满意度</w:t>
            </w:r>
          </w:p>
        </w:tc>
        <w:tc>
          <w:tcPr>
            <w:tcW w:w="0" w:type="auto"/>
            <w:tcBorders>
              <w:top w:val="nil"/>
              <w:left w:val="nil"/>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≥85%</w:t>
            </w:r>
          </w:p>
        </w:tc>
        <w:tc>
          <w:tcPr>
            <w:tcW w:w="1334" w:type="dxa"/>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98%</w:t>
            </w:r>
          </w:p>
        </w:tc>
        <w:tc>
          <w:tcPr>
            <w:tcW w:w="0" w:type="auto"/>
            <w:gridSpan w:val="2"/>
            <w:tcBorders>
              <w:top w:val="nil"/>
              <w:left w:val="nil"/>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5</w:t>
            </w:r>
          </w:p>
        </w:tc>
        <w:tc>
          <w:tcPr>
            <w:tcW w:w="700"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4.9</w:t>
            </w:r>
          </w:p>
        </w:tc>
        <w:tc>
          <w:tcPr>
            <w:tcW w:w="906"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868" w:type="dxa"/>
            <w:gridSpan w:val="8"/>
            <w:tcBorders>
              <w:top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总分</w:t>
            </w:r>
          </w:p>
        </w:tc>
        <w:tc>
          <w:tcPr>
            <w:tcW w:w="739"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100</w:t>
            </w:r>
          </w:p>
        </w:tc>
        <w:tc>
          <w:tcPr>
            <w:tcW w:w="700"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99.8</w:t>
            </w:r>
          </w:p>
        </w:tc>
        <w:tc>
          <w:tcPr>
            <w:tcW w:w="906" w:type="dxa"/>
            <w:gridSpan w:val="2"/>
            <w:tcBorders>
              <w:top w:val="nil"/>
              <w:lef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0" w:type="auto"/>
            <w:gridSpan w:val="14"/>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lang w:val="en-US" w:eastAsia="zh-CN" w:bidi="ar"/>
              </w:rPr>
              <w:t>注：1.得分一档最高不能超过该指标分值上限。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10213" w:type="dxa"/>
            <w:gridSpan w:val="14"/>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kern w:val="0"/>
                <w:sz w:val="20"/>
                <w:szCs w:val="20"/>
                <w:lang w:val="en-US" w:eastAsia="zh-CN" w:bidi="ar"/>
              </w:rPr>
              <w:t>    2.评分标准：（1） 若为</w:t>
            </w:r>
            <w:r>
              <w:rPr>
                <w:rFonts w:hint="eastAsia" w:ascii="仿宋" w:hAnsi="仿宋" w:eastAsia="仿宋" w:cs="仿宋"/>
                <w:b/>
                <w:bCs/>
                <w:kern w:val="0"/>
                <w:sz w:val="20"/>
                <w:szCs w:val="20"/>
                <w:lang w:val="en-US" w:eastAsia="zh-CN" w:bidi="ar"/>
              </w:rPr>
              <w:t>定性指标</w:t>
            </w:r>
            <w:r>
              <w:rPr>
                <w:rFonts w:hint="eastAsia" w:ascii="仿宋" w:hAnsi="仿宋" w:eastAsia="仿宋" w:cs="仿宋"/>
                <w:kern w:val="0"/>
                <w:sz w:val="20"/>
                <w:szCs w:val="20"/>
                <w:lang w:val="en-US" w:eastAsia="zh-CN" w:bidi="ar"/>
              </w:rPr>
              <w:t>，根据指标完成情况分为：达成年度指标、部分达成年度指标并具有一定效果、未达成年度指标且效果较差三档，分别按照该指标对应分值区间100-80%&amp; #40;含80%&amp; #41;、80-60%&amp; #40;含60%&amp; #41;、60-0%合理确定分值。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10213" w:type="dxa"/>
            <w:gridSpan w:val="14"/>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kern w:val="0"/>
                <w:sz w:val="20"/>
                <w:szCs w:val="20"/>
                <w:lang w:val="en-US" w:eastAsia="zh-CN" w:bidi="ar"/>
              </w:rPr>
              <w:t>   （2）若为</w:t>
            </w:r>
            <w:r>
              <w:rPr>
                <w:rFonts w:hint="eastAsia" w:ascii="仿宋" w:hAnsi="仿宋" w:eastAsia="仿宋" w:cs="仿宋"/>
                <w:b/>
                <w:bCs/>
                <w:kern w:val="0"/>
                <w:sz w:val="20"/>
                <w:szCs w:val="20"/>
                <w:lang w:val="en-US" w:eastAsia="zh-CN" w:bidi="ar"/>
              </w:rPr>
              <w:t>定量指标</w:t>
            </w:r>
            <w:r>
              <w:rPr>
                <w:rFonts w:hint="eastAsia" w:ascii="仿宋" w:hAnsi="仿宋" w:eastAsia="仿宋" w:cs="仿宋"/>
                <w:kern w:val="0"/>
                <w:sz w:val="20"/>
                <w:szCs w:val="20"/>
                <w:lang w:val="en-US" w:eastAsia="zh-CN" w:bidi="ar"/>
              </w:rPr>
              <w:t>，完成值达到指标值，记满分；未达到指标值，按B/A或A/B*该指标分值记分。定量指标若为正向指标（即指标值为≥*），则得分计算方法应用全年实际值（B）/年度指标值（A）*该指标分值；若定量指标为反向指标（即指标值为≤*），则得分计算方法应用年度指标值（A）/全年实际值（B）*该指标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lang w:val="en-US" w:eastAsia="zh-CN" w:bidi="ar"/>
              </w:rPr>
              <w:t>    3.请在“偏差原因分析及改进措施”中说明偏离目标、不能完成目标的原因及拟采取的措施。</w:t>
            </w: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kern w:val="2"/>
                <w:sz w:val="20"/>
                <w:szCs w:val="20"/>
                <w:lang w:val="en-US" w:eastAsia="zh-CN" w:bidi="ar"/>
              </w:rPr>
              <w:t> </w:t>
            </w: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kern w:val="2"/>
                <w:sz w:val="20"/>
                <w:szCs w:val="20"/>
                <w:lang w:val="en-US" w:eastAsia="zh-CN" w:bidi="ar"/>
              </w:rPr>
              <w:t> </w:t>
            </w: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kern w:val="2"/>
                <w:sz w:val="20"/>
                <w:szCs w:val="20"/>
                <w:lang w:val="en-US" w:eastAsia="zh-CN" w:bidi="ar"/>
              </w:rPr>
              <w:t> </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0" w:lineRule="atLeast"/>
        <w:ind w:left="0" w:right="0" w:rightChars="0" w:firstLine="640"/>
        <w:jc w:val="both"/>
      </w:pPr>
    </w:p>
    <w:p>
      <w:pPr>
        <w:keepNext w:val="0"/>
        <w:keepLines w:val="0"/>
        <w:widowControl/>
        <w:suppressLineNumbers w:val="0"/>
        <w:jc w:val="center"/>
      </w:pP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0" w:lineRule="atLeast"/>
        <w:ind w:left="0" w:right="0" w:rightChars="0" w:firstLine="640"/>
        <w:jc w:val="both"/>
      </w:pP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val="0"/>
          <w:kern w:val="2"/>
          <w:sz w:val="44"/>
          <w:szCs w:val="44"/>
          <w:lang w:val="en-US" w:eastAsia="zh-CN" w:bidi="ar"/>
        </w:rPr>
        <w:t>第四部分  名词解释</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一、财政拨款收入：指单位本年度从本级财政单位取得的财政拨款，包括一般公共预算财政拨款和政府性基金预算财政拨款。</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二、上级补助收入：指事业单位从主管单位和上级单位取得的非财政补助收入。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三、事业收入：指事业单位开展专业业务活动及其辅助活动取得的收入；事业单位收到的财政专户实际核拨的教育收费等资金在此反映。</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四、经营收入：指事业单位在专业业务活动及其辅助活动之外开展非独立核算经营活动取得的收入。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五、附属单位缴款：指事业单位附属独立核算单位按照有关规定上缴的收入。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六、其他收入：指单位取得的除上述“财政拨款收入”、“事业收入”、“经营收入”、“附属单位缴款”等以外的各项收入。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七、 年初结转和结余：指单位上年结转本年使用的基本支出结转、项目支出结转和结余和经营结余。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八、 结余分配：指事业单位按规定对非财政补助结余资金提取的职工福利基金、事业基金和缴纳的所得税，以及减少单位按规定应缴回的基本建设竣工项目结余资金。</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九、年末结转和结余资金：指单位结转下年的基本支出结转、项目支出结转和结余和经营结余。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十、基本支出：指为保障机构正常运转、完成日常工作任务而发生的人员支出和公用支出。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十一、 项目支出：指在基本支出之外为完成特定的行政任务或事业发展目标所发生的支出。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十二、、经营支出：指事业单位在专业业务活动及其辅助活动之外开展非独立核算经营活动发生的支出。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三、“三公”经费：指各单位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四、机关运行经费：指为保障行政单位（含参照公务员法管理的事业单位）运行用于购买货物和服务的各项资金，包括办公费、印刷费、差旅费、会议费、日常维修费、专用材料及办公用房水电费、物业管理费、公务用车运行维护费等。</w:t>
      </w:r>
    </w:p>
    <w:p>
      <w:pPr>
        <w:keepNext w:val="0"/>
        <w:keepLines w:val="0"/>
        <w:widowControl/>
        <w:suppressLineNumbers w:val="0"/>
        <w:jc w:val="center"/>
      </w:pPr>
      <w:r>
        <w:rPr>
          <w:rFonts w:ascii="宋体" w:hAnsi="宋体" w:eastAsia="宋体" w:cs="宋体"/>
          <w:kern w:val="0"/>
          <w:sz w:val="21"/>
          <w:szCs w:val="21"/>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C7E10625-AC3B-42A7-BC35-F1B14C4A0B0E}"/>
  </w:font>
  <w:font w:name="黑体">
    <w:panose1 w:val="02010609060101010101"/>
    <w:charset w:val="86"/>
    <w:family w:val="auto"/>
    <w:pitch w:val="default"/>
    <w:sig w:usb0="800002BF" w:usb1="38CF7CFA" w:usb2="00000016" w:usb3="00000000" w:csb0="00040001" w:csb1="00000000"/>
    <w:embedRegular r:id="rId2" w:fontKey="{10A4C56B-8C2A-41DE-8975-EF7BC1ED90B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29369BEB-6FC5-4CA9-A4C5-55F39AF44F98}"/>
  </w:font>
  <w:font w:name="方正小标宋简体">
    <w:panose1 w:val="02000000000000000000"/>
    <w:charset w:val="86"/>
    <w:family w:val="auto"/>
    <w:pitch w:val="default"/>
    <w:sig w:usb0="00000001" w:usb1="08000000" w:usb2="00000000" w:usb3="00000000" w:csb0="00040000" w:csb1="00000000"/>
    <w:embedRegular r:id="rId4" w:fontKey="{9CB4E5BD-959F-4004-807C-3D11C6609333}"/>
  </w:font>
  <w:font w:name="仿宋_GB2312">
    <w:altName w:val="仿宋"/>
    <w:panose1 w:val="00000000000000000000"/>
    <w:charset w:val="00"/>
    <w:family w:val="auto"/>
    <w:pitch w:val="default"/>
    <w:sig w:usb0="00000000" w:usb1="00000000" w:usb2="00000000" w:usb3="00000000" w:csb0="00000000" w:csb1="00000000"/>
    <w:embedRegular r:id="rId5" w:fontKey="{D0A6DEA4-6A81-4F2C-AC0E-904F89D778DB}"/>
  </w:font>
  <w:font w:name="仿宋">
    <w:panose1 w:val="02010609060101010101"/>
    <w:charset w:val="86"/>
    <w:family w:val="auto"/>
    <w:pitch w:val="default"/>
    <w:sig w:usb0="800002BF" w:usb1="38CF7CFA" w:usb2="00000016" w:usb3="00000000" w:csb0="00040001" w:csb1="00000000"/>
    <w:embedRegular r:id="rId6" w:fontKey="{CF33A3AE-6484-4978-ABF3-8ED16FBD8E6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MjFkY2YxYmQ1M2IxNzNkYWU4ZjhkOTZhZDQyMGEifQ=="/>
  </w:docVars>
  <w:rsids>
    <w:rsidRoot w:val="490560D7"/>
    <w:rsid w:val="490560D7"/>
    <w:rsid w:val="5DC40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2023-10-07T08:11:00Z</dcterms:created>
  <dc:creator>才东东</dc:creator>
  <cp:lastModifiedBy>才东东</cp:lastModifiedBy>
  <dcterms:modified xsi:type="dcterms:W3CDTF">2023-10-09T15:22:07Z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8F1DE9CD2B5E4D358B8C710A407CC689_11</vt:lpwstr>
  </property>
</Properties>
</file>