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宁都县会同初级中学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r>
        <w:rPr>
          <w:rFonts w:hint="default" w:ascii="仿宋_GB2312" w:eastAsia="仿宋_GB2312" w:cs="仿宋_GB2312"/>
          <w:sz w:val="32"/>
          <w:szCs w:val="32"/>
          <w:shd w:val="clear" w:fill="FFFFFF"/>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00" w:lineRule="exact"/>
        <w:ind w:left="0" w:right="0"/>
        <w:jc w:val="center"/>
      </w:pPr>
      <w:r>
        <w:rPr>
          <w:rFonts w:hint="eastAsia" w:ascii="宋体" w:hAnsi="宋体" w:eastAsia="宋体" w:cs="宋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rPr>
          <w:rFonts w:hint="eastAsia" w:ascii="宋体" w:hAnsi="宋体" w:eastAsia="宋体" w:cs="宋体"/>
          <w:color w:val="000000"/>
          <w:spacing w:val="-9"/>
          <w:kern w:val="0"/>
          <w:sz w:val="24"/>
          <w:szCs w:val="24"/>
          <w:shd w:val="clear" w:fill="FFFFFF"/>
        </w:rPr>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pStyle w:val="2"/>
        <w:keepNext w:val="0"/>
        <w:keepLines w:val="0"/>
        <w:widowControl/>
        <w:suppressLineNumbers w:val="0"/>
        <w:shd w:val="clear" w:fill="FFFFFF"/>
        <w:spacing w:before="0" w:beforeAutospacing="0" w:after="0" w:afterAutospacing="0" w:line="480" w:lineRule="exact"/>
        <w:ind w:left="0" w:right="0" w:firstLine="444" w:firstLineChars="200"/>
        <w:rPr>
          <w:rFonts w:hint="eastAsia" w:ascii="宋体" w:hAnsi="宋体" w:eastAsia="宋体" w:cs="宋体"/>
          <w:color w:val="000000"/>
          <w:spacing w:val="-9"/>
          <w:kern w:val="0"/>
          <w:sz w:val="24"/>
          <w:szCs w:val="24"/>
          <w:shd w:val="clear" w:fill="FFFFFF"/>
        </w:rPr>
      </w:pP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74 人，其中在职人员 47 人，离休人员  0 人，退休人员27 人（含由养老保险基金发放养老金的离退休人员）；年末其他人员  0 人；年末学生人数263人。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ilvl w:val="0"/>
          <w:numId w:val="0"/>
        </w:numPr>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47"/>
        <w:gridCol w:w="495"/>
        <w:gridCol w:w="755"/>
        <w:gridCol w:w="3563"/>
        <w:gridCol w:w="495"/>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5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2575"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四、上级补助收入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五、事业收入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六、经营收入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七、附属单位上缴收入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八、其他收入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  使用非财政拨款结余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  结余分配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  年初结转和结余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  年末结转和结余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jc w:val="both"/>
      </w:pPr>
      <w:r>
        <w:rPr>
          <w:rFonts w:hint="default" w:ascii="方正小标宋简体" w:hAnsi="方正小标宋简体" w:eastAsia="方正小标宋简体" w:cs="方正小标宋简体"/>
          <w:b w:val="0"/>
          <w:bCs/>
          <w:kern w:val="2"/>
          <w:sz w:val="44"/>
          <w:szCs w:val="44"/>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340"/>
        <w:gridCol w:w="340"/>
        <w:gridCol w:w="836"/>
        <w:gridCol w:w="960"/>
        <w:gridCol w:w="960"/>
        <w:gridCol w:w="960"/>
        <w:gridCol w:w="712"/>
        <w:gridCol w:w="712"/>
        <w:gridCol w:w="46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4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7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7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5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1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4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37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7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5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财政拨款收入</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上级补助收入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事业收入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经营收入</w:t>
            </w:r>
          </w:p>
        </w:tc>
        <w:tc>
          <w:tcPr>
            <w:tcW w:w="4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附属单位上缴收入</w:t>
            </w:r>
          </w:p>
        </w:tc>
        <w:tc>
          <w:tcPr>
            <w:tcW w:w="55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4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3"/>
        <w:gridCol w:w="396"/>
        <w:gridCol w:w="396"/>
        <w:gridCol w:w="1118"/>
        <w:gridCol w:w="757"/>
        <w:gridCol w:w="913"/>
        <w:gridCol w:w="577"/>
        <w:gridCol w:w="577"/>
        <w:gridCol w:w="577"/>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6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1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4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6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1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57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48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46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上缴上级支出</w:t>
            </w:r>
          </w:p>
        </w:tc>
        <w:tc>
          <w:tcPr>
            <w:tcW w:w="47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经营支出</w:t>
            </w:r>
          </w:p>
        </w:tc>
        <w:tc>
          <w:tcPr>
            <w:tcW w:w="66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9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6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6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5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649.29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7"/>
        <w:gridCol w:w="359"/>
        <w:gridCol w:w="645"/>
        <w:gridCol w:w="2360"/>
        <w:gridCol w:w="359"/>
        <w:gridCol w:w="645"/>
        <w:gridCol w:w="645"/>
        <w:gridCol w:w="502"/>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6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6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6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0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16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6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6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0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8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321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4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121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30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47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一般公共预算财政拨款</w:t>
            </w:r>
          </w:p>
        </w:tc>
        <w:tc>
          <w:tcPr>
            <w:tcW w:w="4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政府性基金预算财政拨款</w:t>
            </w:r>
          </w:p>
        </w:tc>
        <w:tc>
          <w:tcPr>
            <w:tcW w:w="60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4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0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0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30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6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本年收入合计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本年支出合计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年初财政拨款结转和结余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年末财政拨款结转和结余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63</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4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4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4"/>
        <w:gridCol w:w="430"/>
        <w:gridCol w:w="430"/>
        <w:gridCol w:w="1288"/>
        <w:gridCol w:w="1502"/>
        <w:gridCol w:w="1073"/>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2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0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2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4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60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65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84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60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89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72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4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8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60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8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4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645.13</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88"/>
        <w:gridCol w:w="903"/>
        <w:gridCol w:w="731"/>
        <w:gridCol w:w="645"/>
        <w:gridCol w:w="903"/>
        <w:gridCol w:w="645"/>
        <w:gridCol w:w="731"/>
        <w:gridCol w:w="903"/>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0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62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2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5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0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62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30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2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5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29"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w:t>
            </w:r>
          </w:p>
        </w:tc>
        <w:tc>
          <w:tcPr>
            <w:tcW w:w="2970"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52"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6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35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39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5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4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5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6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工资福利支出</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586.07</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商品和服务支出</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48.28</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债务利息及费用支出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  基本工资</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275.31</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5.93</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  国内债务付息</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  津贴补贴</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29.67</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  印刷费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3.74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  国外债务付息</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  奖金</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22.58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30203</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  咨询费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  国内债务发行费用</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30106</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  伙食补助费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  手续费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30704</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  国外债务发行费用</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30107</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  绩效工资</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144.20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  水费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1.56</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310</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资本性支出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30108</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  机关事业单位基本养老保险缴费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64.33</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  电费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1.29</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  房屋建筑物购建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  职业年金缴费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  邮电费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  办公设备购置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30110</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  职工基本医疗保险缴费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45.18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  取暖费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  专用设备购置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  公务员医疗补助缴款</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  物业管理费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12.28</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31005</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  基础设施建设</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  其他社会保障缴费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0.60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  差旅费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0.94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31006</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  大型修缮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  住房公积金</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  因公出国（境）费用</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  信息网络及软件购置更新</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30114</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30213</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  维修（护）费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5.40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31008</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  物资储备</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30199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  其他工资福利支出</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  租赁费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  土地补偿</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对个人和家庭的补助</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10.78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  会议费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31010</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  安置补助</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  离休费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  培训费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3.10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310111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  地上附着物和青苗补偿</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  退休费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  公务接待费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  拆迁补偿</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  退职（役）费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  专用材料费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1.41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30304</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  抚恤金</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  被装购置费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  其他交通工具购置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30305</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  生活补贴</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7.78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  专用燃料费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  文物和陈列品购置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30306</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  救济费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  劳务费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0.84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  无形资产购置</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30307</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  医疗费补助</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  委托业务费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  其他资本性支出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30308</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  助学金</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  工会经费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6.17</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对企业补助</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  奖励金</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  福利费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0.22</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  资本金注入</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30310</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  个人农业生产补贴</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  公务用车运行维护费</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  政府投资基金股权投资</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代缴社会保险费</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  其他交通费用</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31204</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  费用补贴</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30399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  其他对个人和家庭的补助支出</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30240</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  税金及附加费用</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31205</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  利息补贴</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30299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  其他商品和服务支出</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4.90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  其他对企业补助</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其他支出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39906</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  赠与</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24"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  国家赔偿费用支出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39908</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  对民间非营利组织和群众性自治组织补贴</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67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人员经费合计</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596.85</w:t>
            </w:r>
          </w:p>
        </w:tc>
        <w:tc>
          <w:tcPr>
            <w:tcW w:w="2317"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公用支出合计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62"/>
        <w:gridCol w:w="1225"/>
        <w:gridCol w:w="1511"/>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6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5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6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85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0.60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0.60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25"/>
        <w:gridCol w:w="391"/>
        <w:gridCol w:w="391"/>
        <w:gridCol w:w="916"/>
        <w:gridCol w:w="391"/>
        <w:gridCol w:w="916"/>
        <w:gridCol w:w="566"/>
        <w:gridCol w:w="916"/>
        <w:gridCol w:w="916"/>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8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5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8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7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5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9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2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年初结转和结余</w:t>
            </w:r>
          </w:p>
        </w:tc>
        <w:tc>
          <w:tcPr>
            <w:tcW w:w="47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w:t>
            </w:r>
          </w:p>
        </w:tc>
        <w:tc>
          <w:tcPr>
            <w:tcW w:w="1240"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w:t>
            </w:r>
          </w:p>
        </w:tc>
        <w:tc>
          <w:tcPr>
            <w:tcW w:w="75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小计</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14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7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23"/>
        <w:gridCol w:w="438"/>
        <w:gridCol w:w="438"/>
        <w:gridCol w:w="1100"/>
        <w:gridCol w:w="1400"/>
        <w:gridCol w:w="1169"/>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2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2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79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66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95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62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7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6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lang w:val="en-US" w:eastAsia="zh-CN" w:bidi="ar"/>
              </w:rPr>
              <w:t>说明：当此表数据为空时，即本单位无国有资本经营预算财政拨款支出。</w:t>
            </w:r>
          </w:p>
        </w:tc>
      </w:tr>
    </w:tbl>
    <w:p>
      <w:pPr>
        <w:rPr>
          <w:rFonts w:hint="default" w:ascii="Calibri" w:hAnsi="Calibri" w:eastAsia="宋体" w:cs="Calibri"/>
          <w:kern w:val="2"/>
          <w:sz w:val="21"/>
          <w:szCs w:val="21"/>
        </w:rPr>
        <w:sectPr>
          <w:pgSz w:w="12242" w:h="15842"/>
          <w:pgMar w:top="1440" w:right="1800" w:bottom="1440" w:left="1800" w:header="851" w:footer="992" w:gutter="0"/>
          <w:cols w:space="425" w:num="1"/>
          <w:docGrid w:type="lines" w:linePitch="312" w:charSpace="0"/>
        </w:sectPr>
      </w:pPr>
    </w:p>
    <w:tbl>
      <w:tblPr>
        <w:tblStyle w:val="3"/>
        <w:tblW w:w="500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1"/>
        <w:gridCol w:w="1187"/>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6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1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编制单位：宁都县会同中学</w:t>
            </w:r>
          </w:p>
        </w:tc>
        <w:tc>
          <w:tcPr>
            <w:tcW w:w="6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1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11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宁都县会同初级中学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48.28</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48.28</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48.28</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 48.28</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48.28 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48.28 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rPr>
          <w:rFonts w:hint="default" w:ascii="Calibri" w:hAnsi="Calibri" w:eastAsia="宋体" w:cs="Calibri"/>
          <w:kern w:val="2"/>
          <w:sz w:val="21"/>
          <w:szCs w:val="21"/>
        </w:rPr>
        <w:sectPr>
          <w:pgSz w:w="12242" w:h="15842"/>
          <w:pgMar w:top="1440" w:right="1800" w:bottom="1440" w:left="1800" w:header="851" w:footer="992" w:gutter="0"/>
          <w:cols w:space="425" w:num="1"/>
          <w:docGrid w:type="lines" w:linePitch="327" w:charSpace="0"/>
        </w:sectPr>
      </w:pPr>
    </w:p>
    <w:p>
      <w:pPr>
        <w:keepNext w:val="0"/>
        <w:keepLines w:val="0"/>
        <w:widowControl/>
        <w:suppressLineNumbers w:val="0"/>
        <w:spacing w:before="0" w:beforeAutospacing="1" w:after="0" w:afterAutospacing="1" w:line="600" w:lineRule="exact"/>
        <w:ind w:left="0" w:right="0" w:firstLine="440" w:firstLineChars="100"/>
        <w:jc w:val="both"/>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本单位2021年度收入总计649.29万元，较2020年增加78.2万元，增长13.69%，其中：年初结转和结余0万元，较2020年增加0万元，增长0%；本年收入合计 649.29 万元，较2020年增加78.2万元，增长13.69 %，主要原因是：教师基本待遇提高。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本年收入的具体构成为：财政拨款收入645.13万元，占99.36%；事业收入4.16万元，占0.64%；经营收入0万元，占0%；其他收入0万元，占0%。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本单位2021年度支出总计649.29万元，其中本年支出合计 649.29 万元，较2020年增加78.2万元，增长13.69%，主要原因是：教师基本待遇提高；年末结转和结余0万元，较2020年增加0万元，增长0%，主要原因是：并未有结转资金。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本年支出的具体构成为：基本支出649.291万元，占100%；项目支出0万元，占0 %；经营支出0万元，占0%；其他支出（对附属单位补助支出、上缴上级支出）0万元，占0%。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w:t>
      </w:r>
      <w:r>
        <w:rPr>
          <w:rFonts w:hint="eastAsia" w:ascii="仿宋" w:hAnsi="仿宋" w:eastAsia="仿宋" w:cs="仿宋"/>
          <w:kern w:val="2"/>
          <w:sz w:val="32"/>
          <w:szCs w:val="32"/>
          <w:lang w:val="en-US" w:eastAsia="zh-CN" w:bidi="ar"/>
        </w:rPr>
        <w:t>526.03</w:t>
      </w:r>
      <w:r>
        <w:rPr>
          <w:rFonts w:hint="default" w:ascii="仿宋_GB2312" w:eastAsia="仿宋_GB2312" w:cs="仿宋_GB2312" w:hAnsiTheme="minorHAnsi"/>
          <w:kern w:val="2"/>
          <w:sz w:val="30"/>
          <w:szCs w:val="30"/>
          <w:lang w:val="en-US" w:eastAsia="zh-CN" w:bidi="ar"/>
        </w:rPr>
        <w:t>万元，决算数为649.29万元，完成年初预算的 123.43%。其中：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w:t>
      </w:r>
      <w:r>
        <w:rPr>
          <w:rFonts w:hint="eastAsia" w:ascii="仿宋" w:hAnsi="仿宋" w:eastAsia="仿宋" w:cs="仿宋"/>
          <w:kern w:val="2"/>
          <w:sz w:val="32"/>
          <w:szCs w:val="32"/>
          <w:lang w:val="en-US" w:eastAsia="zh-CN" w:bidi="ar"/>
        </w:rPr>
        <w:t>526.03</w:t>
      </w:r>
      <w:r>
        <w:rPr>
          <w:rFonts w:hint="default" w:ascii="仿宋_GB2312" w:eastAsia="仿宋_GB2312" w:cs="仿宋_GB2312" w:hAnsiTheme="minorHAnsi"/>
          <w:kern w:val="2"/>
          <w:sz w:val="30"/>
          <w:szCs w:val="30"/>
          <w:lang w:val="en-US" w:eastAsia="zh-CN" w:bidi="ar"/>
        </w:rPr>
        <w:t>万元，决算数为649.29万元，完成年初预算的123.43%，主要原因是：</w:t>
      </w:r>
      <w:r>
        <w:rPr>
          <w:rFonts w:hint="default" w:ascii="仿宋_GB2312" w:eastAsia="仿宋_GB2312" w:cs="仿宋_GB2312" w:hAnsiTheme="minorHAnsi"/>
          <w:color w:val="000000"/>
          <w:kern w:val="2"/>
          <w:sz w:val="30"/>
          <w:szCs w:val="30"/>
          <w:lang w:val="en-US" w:eastAsia="zh-CN" w:bidi="ar"/>
        </w:rPr>
        <w:t>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本单位2021年度一般公共预算财政拨款基本支出645.13万元，其中：</w:t>
      </w:r>
    </w:p>
    <w:p>
      <w:pPr>
        <w:keepNext w:val="0"/>
        <w:keepLines w:val="0"/>
        <w:widowControl/>
        <w:numPr>
          <w:ilvl w:val="0"/>
          <w:numId w:val="0"/>
        </w:numPr>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（一）工资福利支出586.07万元，较2020年增加49.94万元，增长9.31%，主要原因是：教师基本待遇提高。</w:t>
      </w:r>
    </w:p>
    <w:p>
      <w:pPr>
        <w:keepNext w:val="0"/>
        <w:keepLines w:val="0"/>
        <w:widowControl/>
        <w:numPr>
          <w:ilvl w:val="0"/>
          <w:numId w:val="0"/>
        </w:numPr>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（二）商品和服务支出48.28万元，较2020年增加23.74 万元，增长96.74%，主要原因是：学校物业管理费及工会费增加。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（三）对个人和家庭补助支出10.78万元，较2020年减少0.87万元，下降8.78%，主要原因是：生活补贴减少。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（四）资本性支出0万元，较2020年增加0万元，增长0%，主要原因是：并未添置大型设备。</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0.6万元，决算数为0.5万元，完成预算的 83.33%，决算数较2020年减少0.04万元，下降7.41%，其中：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0万元，决算数为  0万元，完成预算的0 %，</w:t>
      </w:r>
      <w:bookmarkStart w:id="0" w:name="_GoBack"/>
      <w:bookmarkEnd w:id="0"/>
      <w:r>
        <w:rPr>
          <w:rFonts w:hint="default" w:ascii="仿宋_GB2312" w:eastAsia="仿宋_GB2312" w:cs="仿宋_GB2312" w:hAnsiTheme="minorHAnsi"/>
          <w:kern w:val="2"/>
          <w:sz w:val="30"/>
          <w:szCs w:val="30"/>
          <w:lang w:val="en-US" w:eastAsia="zh-CN" w:bidi="ar"/>
        </w:rPr>
        <w:t>决算数较2020年增加0万元，增长0 %，主要原因是并未有该情况接待。决算数较年初预算数增加的主要原因是：并未有该情况接待。全年安排因公出国（境）团组   0个，累计0 人次，主要为：并未有该情况接待。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0.6万元，决算数为0.5万元，完成预算的 83.33%，决算数较2020年减少0.04万元，下降7.41%，决算数较年初预算数减少的主要原因是：认真执行八项规定，节约三公经费开支。</w:t>
      </w:r>
      <w:r>
        <w:rPr>
          <w:rFonts w:hint="default" w:ascii="仿宋_GB2312" w:eastAsia="仿宋_GB2312" w:cs="仿宋_GB2312" w:hAnsiTheme="minorHAnsi"/>
          <w:color w:val="000000"/>
          <w:kern w:val="2"/>
          <w:sz w:val="30"/>
          <w:szCs w:val="30"/>
          <w:lang w:val="en-US" w:eastAsia="zh-CN" w:bidi="ar"/>
        </w:rPr>
        <w:t>全年国内公务接待20批，累计接待126人次，主要为：上级主管单位工作人员来本学校检查教育教学工作所产生的公务接待费用</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二）学校生均公用经费绩效自评综述：根据年初设定的绩效目标，学校生均公用经费绩效自评得分为99.8分。项目全年预算为48.28万元，执行数为48.28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firstLineChars="2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9A088F7-66EE-4F35-B7B8-526457405F5D}"/>
  </w:font>
  <w:font w:name="黑体">
    <w:panose1 w:val="02010609060101010101"/>
    <w:charset w:val="86"/>
    <w:family w:val="auto"/>
    <w:pitch w:val="default"/>
    <w:sig w:usb0="800002BF" w:usb1="38CF7CFA" w:usb2="00000016" w:usb3="00000000" w:csb0="00040001" w:csb1="00000000"/>
    <w:embedRegular r:id="rId2" w:fontKey="{59C7E8CC-6AEE-42D9-BCCE-282BD0C924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9A0B5A5-0099-450F-AB8D-F3A7C889CAE8}"/>
  </w:font>
  <w:font w:name="方正小标宋简体">
    <w:panose1 w:val="02000000000000000000"/>
    <w:charset w:val="86"/>
    <w:family w:val="auto"/>
    <w:pitch w:val="default"/>
    <w:sig w:usb0="00000001" w:usb1="08000000" w:usb2="00000000" w:usb3="00000000" w:csb0="00040000" w:csb1="00000000"/>
    <w:embedRegular r:id="rId4" w:fontKey="{34A816E8-A461-4E35-84F1-9B027FB7AE42}"/>
  </w:font>
  <w:font w:name="仿宋_GB2312">
    <w:altName w:val="仿宋"/>
    <w:panose1 w:val="00000000000000000000"/>
    <w:charset w:val="00"/>
    <w:family w:val="auto"/>
    <w:pitch w:val="default"/>
    <w:sig w:usb0="00000000" w:usb1="00000000" w:usb2="00000000" w:usb3="00000000" w:csb0="00000000" w:csb1="00000000"/>
    <w:embedRegular r:id="rId5" w:fontKey="{E3FB6B26-448B-4F81-A1A9-A9523A7F8B2B}"/>
  </w:font>
  <w:font w:name="仿宋">
    <w:panose1 w:val="02010609060101010101"/>
    <w:charset w:val="86"/>
    <w:family w:val="auto"/>
    <w:pitch w:val="default"/>
    <w:sig w:usb0="800002BF" w:usb1="38CF7CFA" w:usb2="00000016" w:usb3="00000000" w:csb0="00040001" w:csb1="00000000"/>
    <w:embedRegular r:id="rId6" w:fontKey="{3345EF2E-5AA4-408B-8469-6C2CE86CE4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83830FA"/>
    <w:rsid w:val="349F5102"/>
    <w:rsid w:val="4838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2023-10-07T07:26:00Z</dcterms:created>
  <dc:creator>才东东</dc:creator>
  <cp:lastModifiedBy>才东东</cp:lastModifiedBy>
  <dcterms:modified xsi:type="dcterms:W3CDTF">2023-10-09T07:55:01Z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B55E1F057C624B6DBCCDBF3A50E0800D_11</vt:lpwstr>
  </property>
</Properties>
</file>