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4"/>
          <w:szCs w:val="44"/>
          <w:lang w:val="en-US" w:eastAsia="zh-CN" w:bidi="ar"/>
        </w:rPr>
        <w:t>宁都县第三幼儿园</w:t>
      </w:r>
      <w:r>
        <w:rPr>
          <w:rFonts w:hint="eastAsia" w:ascii="方正小标宋简体" w:hAnsi="方正小标宋简体" w:eastAsia="方正小标宋简体" w:cs="方正小标宋简体"/>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（一）、认真贯彻执行幼儿教育《纲要》和《幼儿园工作规程》精神</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从严治园</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以促进幼儿体、智、德、美全面发展为各项工作的目标</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坚持改革</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不断提高教育质量。</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（二）、严格执行幼儿安全、卫生、保健制度，制定年度工作目标、规划、学期工作任务，认真做好组织实施。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（三）、建立和健全各项规章制度并认真组织和实施。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（四）、加强教职工的考核工作，检查、指导、评估工作质量，制定奖惩措施。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（五）、加强财务管理，科学管理、合理使用学校的设施和经费，并积极筹措资金，改善办学条件。</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（六）、加强思想政治工作，组织文化业务学习，有计划开展业务培训，提高教师业务水平。</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（七）、关心教职工业务和生活，加强职工道德教育。</w:t>
      </w:r>
      <w:r>
        <w:rPr>
          <w:rFonts w:hint="eastAsia" w:ascii="宋体" w:hAnsi="宋体" w:eastAsia="宋体" w:cs="Times New Roman"/>
          <w:kern w:val="2"/>
          <w:sz w:val="30"/>
          <w:szCs w:val="30"/>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本单位2021年年末实有人数  29 人，其中在职人员29 人，离休人员0人，退休人员0人（含由养老保险基金发放养老金的离退休人员）；年末其他人员0人；年末学生人数 1034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640"/>
        <w:jc w:val="both"/>
        <w:rPr>
          <w:rFonts w:hint="eastAsia" w:ascii="方正小标宋简体" w:hAnsi="方正小标宋简体" w:eastAsia="方正小标宋简体" w:cs="方正小标宋简体"/>
          <w:bCs/>
          <w:kern w:val="2"/>
          <w:sz w:val="44"/>
          <w:szCs w:val="44"/>
          <w:lang w:val="en-US" w:eastAsia="zh-CN" w:bidi="ar"/>
        </w:rPr>
      </w:pPr>
    </w:p>
    <w:p>
      <w:pPr>
        <w:widowControl/>
        <w:spacing w:line="600" w:lineRule="exact"/>
        <w:ind w:firstLine="640"/>
        <w:jc w:val="center"/>
        <w:rPr>
          <w:rFonts w:hint="eastAsia" w:ascii="方正小标宋简体" w:hAnsi="方正小标宋简体" w:eastAsia="方正小标宋简体" w:cs="方正小标宋简体"/>
          <w:bCs/>
          <w:sz w:val="44"/>
          <w:szCs w:val="44"/>
        </w:rPr>
      </w:pPr>
    </w:p>
    <w:p>
      <w:pPr>
        <w:autoSpaceDE w:val="0"/>
        <w:autoSpaceDN w:val="0"/>
        <w:adjustRightInd w:val="0"/>
        <w:spacing w:line="360" w:lineRule="auto"/>
        <w:jc w:val="left"/>
        <w:rPr>
          <w:rFonts w:hint="eastAsia"/>
          <w:szCs w:val="30"/>
        </w:rPr>
      </w:pPr>
      <w:r>
        <w:rPr>
          <w:rFonts w:hint="eastAsia"/>
          <w:szCs w:val="30"/>
        </w:rPr>
        <w:drawing>
          <wp:inline distT="0" distB="0" distL="114300" distR="114300">
            <wp:extent cx="5271770" cy="7953375"/>
            <wp:effectExtent l="0" t="0" r="5080" b="952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4"/>
                    <a:stretch>
                      <a:fillRect/>
                    </a:stretch>
                  </pic:blipFill>
                  <pic:spPr>
                    <a:xfrm>
                      <a:off x="0" y="0"/>
                      <a:ext cx="5271770" cy="795337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drawing>
          <wp:inline distT="0" distB="0" distL="114300" distR="114300">
            <wp:extent cx="5271135" cy="3382645"/>
            <wp:effectExtent l="0" t="0" r="5715" b="825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5"/>
                    <a:stretch>
                      <a:fillRect/>
                    </a:stretch>
                  </pic:blipFill>
                  <pic:spPr>
                    <a:xfrm>
                      <a:off x="0" y="0"/>
                      <a:ext cx="5271135" cy="338264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4310" cy="3526790"/>
            <wp:effectExtent l="0" t="0" r="2540" b="1651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6"/>
                    <a:stretch>
                      <a:fillRect/>
                    </a:stretch>
                  </pic:blipFill>
                  <pic:spPr>
                    <a:xfrm>
                      <a:off x="0" y="0"/>
                      <a:ext cx="5274310" cy="352679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6690" cy="5828030"/>
            <wp:effectExtent l="0" t="0" r="10160" b="127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7"/>
                    <a:stretch>
                      <a:fillRect/>
                    </a:stretch>
                  </pic:blipFill>
                  <pic:spPr>
                    <a:xfrm>
                      <a:off x="0" y="0"/>
                      <a:ext cx="5266690" cy="582803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8595" cy="2277745"/>
            <wp:effectExtent l="0" t="0" r="8255" b="825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8"/>
                    <a:stretch>
                      <a:fillRect/>
                    </a:stretch>
                  </pic:blipFill>
                  <pic:spPr>
                    <a:xfrm>
                      <a:off x="0" y="0"/>
                      <a:ext cx="5268595" cy="22777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040" cy="8181975"/>
            <wp:effectExtent l="0" t="0" r="3810" b="9525"/>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9"/>
                    <a:stretch>
                      <a:fillRect/>
                    </a:stretch>
                  </pic:blipFill>
                  <pic:spPr>
                    <a:xfrm>
                      <a:off x="0" y="0"/>
                      <a:ext cx="5273040" cy="818197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4432935"/>
            <wp:effectExtent l="0" t="0" r="4445" b="5715"/>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10"/>
                    <a:stretch>
                      <a:fillRect/>
                    </a:stretch>
                  </pic:blipFill>
                  <pic:spPr>
                    <a:xfrm>
                      <a:off x="0" y="0"/>
                      <a:ext cx="5272405" cy="4432935"/>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pPr>
      <w:r>
        <w:drawing>
          <wp:inline distT="0" distB="0" distL="114300" distR="114300">
            <wp:extent cx="5268595" cy="3434080"/>
            <wp:effectExtent l="0" t="0" r="8255" b="1397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11"/>
                    <a:stretch>
                      <a:fillRect/>
                    </a:stretch>
                  </pic:blipFill>
                  <pic:spPr>
                    <a:xfrm>
                      <a:off x="0" y="0"/>
                      <a:ext cx="5268595" cy="34340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3208655"/>
            <wp:effectExtent l="0" t="0" r="5715" b="10795"/>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pic:cNvPicPr>
                  </pic:nvPicPr>
                  <pic:blipFill>
                    <a:blip r:embed="rId12"/>
                    <a:stretch>
                      <a:fillRect/>
                    </a:stretch>
                  </pic:blipFill>
                  <pic:spPr>
                    <a:xfrm>
                      <a:off x="0" y="0"/>
                      <a:ext cx="5271135" cy="32086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4245610"/>
            <wp:effectExtent l="0" t="0" r="5715" b="254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13"/>
                    <a:stretch>
                      <a:fillRect/>
                    </a:stretch>
                  </pic:blipFill>
                  <pic:spPr>
                    <a:xfrm>
                      <a:off x="0" y="0"/>
                      <a:ext cx="5271135" cy="4245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eastAsia"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本单位2021年度收入总计 319.17 万元，较2020年减少 144.9 万元，下降31.22  %，其中：年初结转和结余 0万元，较2020年减少 0 万元，下降0 %；本年收入合计 319.17 万元，较2020年减少 144.9 万元，下降31.22  %，主要原因是：学生及教职工减少。</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本年收入的具体构成为：财政拨款收入 282.88 万元，占 88.63 %；事业收入 36.29  万元，占 11.37 %；经营收入0万元，占0%；其他收入0万元，占0%。</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本单位2021年度支出总计  319.17  万元，其中本年支出合计  319.17 万元，较2020年减少144.9万元，下降 31.22 %，主要原因是：学生及教职工减少；年末结转和结余0万元，较2020年增加（减少）0万元，增长（下降）0%。</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本年支出的具体构成为：基本支出 319.17  万元，占 100 %；项目支出0万元，占0 %；经营支出0万元，占0%；其他支出（对附属单位补助支出、上缴上级支出）0万元，占0%。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本单位2021年度财政拨款本年支出年初预算数为 165.47  万元，决算数为 319.17 万元，完成年初预算的 192.89 %。其中：</w:t>
      </w:r>
    </w:p>
    <w:p>
      <w:pPr>
        <w:keepNext w:val="0"/>
        <w:keepLines w:val="0"/>
        <w:widowControl/>
        <w:suppressLineNumbers w:val="0"/>
        <w:spacing w:before="0" w:beforeAutospacing="1" w:after="0" w:afterAutospacing="1"/>
        <w:ind w:left="0" w:right="0" w:firstLine="600" w:firstLineChars="200"/>
        <w:jc w:val="left"/>
      </w:pPr>
      <w:r>
        <w:rPr>
          <w:rFonts w:hint="eastAsia" w:ascii="宋体" w:hAnsi="宋体" w:eastAsia="宋体" w:cs="宋体"/>
          <w:kern w:val="2"/>
          <w:sz w:val="30"/>
          <w:szCs w:val="30"/>
          <w:lang w:val="en-US" w:eastAsia="zh-CN" w:bidi="ar"/>
        </w:rPr>
        <w:t>教育支出年初预算数为  165.47 万元，决算数为 319.17 万元，完成年初预算的 192.47 %，主要原因是：教师绩效提高。</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宋体" w:hAnsi="宋体" w:eastAsia="宋体" w:cs="宋体"/>
          <w:kern w:val="2"/>
          <w:sz w:val="30"/>
          <w:szCs w:val="30"/>
          <w:lang w:val="en-US" w:eastAsia="zh-CN" w:bidi="ar"/>
        </w:rPr>
        <w:t>本单位2021年度一般公共预算财政拨款基本支出 319.17 万元，其中：</w:t>
      </w:r>
    </w:p>
    <w:p>
      <w:pPr>
        <w:keepNext w:val="0"/>
        <w:keepLines w:val="0"/>
        <w:widowControl/>
        <w:suppressLineNumbers w:val="0"/>
        <w:spacing w:before="0" w:beforeAutospacing="1" w:after="0" w:afterAutospacing="1"/>
        <w:ind w:left="0" w:right="0" w:firstLine="585"/>
        <w:jc w:val="left"/>
      </w:pPr>
      <w:r>
        <w:rPr>
          <w:rFonts w:hint="eastAsia" w:ascii="宋体" w:hAnsi="宋体" w:eastAsia="宋体" w:cs="宋体"/>
          <w:kern w:val="2"/>
          <w:sz w:val="30"/>
          <w:szCs w:val="30"/>
          <w:lang w:val="en-US" w:eastAsia="zh-CN" w:bidi="ar"/>
        </w:rPr>
        <w:t>（一）工资福利支出 221.44万元，较2020年增加58.96  万元，增长36.29  %，主要原因是：教师工资及绩效提高。</w:t>
      </w:r>
    </w:p>
    <w:p>
      <w:pPr>
        <w:keepNext w:val="0"/>
        <w:keepLines w:val="0"/>
        <w:widowControl/>
        <w:suppressLineNumbers w:val="0"/>
        <w:spacing w:before="0" w:beforeAutospacing="1" w:after="0" w:afterAutospacing="1"/>
        <w:ind w:left="0" w:right="0" w:firstLine="585"/>
        <w:jc w:val="left"/>
      </w:pPr>
      <w:r>
        <w:rPr>
          <w:rFonts w:hint="eastAsia" w:ascii="宋体" w:hAnsi="宋体" w:eastAsia="宋体" w:cs="宋体"/>
          <w:kern w:val="2"/>
          <w:sz w:val="30"/>
          <w:szCs w:val="30"/>
          <w:lang w:val="en-US" w:eastAsia="zh-CN" w:bidi="ar"/>
        </w:rPr>
        <w:t>（二）商品和服务支出 61.44  万元，较2020年增加 1.9 万元，增长3.19  %，主要原因是：物价上涨。</w:t>
      </w:r>
    </w:p>
    <w:p>
      <w:pPr>
        <w:keepNext w:val="0"/>
        <w:keepLines w:val="0"/>
        <w:widowControl/>
        <w:suppressLineNumbers w:val="0"/>
        <w:spacing w:before="0" w:beforeAutospacing="1" w:after="0" w:afterAutospacing="1"/>
        <w:ind w:left="0" w:right="0" w:firstLine="585"/>
        <w:jc w:val="left"/>
      </w:pPr>
      <w:r>
        <w:rPr>
          <w:rFonts w:hint="eastAsia" w:ascii="宋体" w:hAnsi="宋体" w:eastAsia="宋体" w:cs="宋体"/>
          <w:kern w:val="2"/>
          <w:sz w:val="30"/>
          <w:szCs w:val="30"/>
          <w:lang w:val="en-US" w:eastAsia="zh-CN" w:bidi="ar"/>
        </w:rPr>
        <w:t>（三）对个人和家庭补助支出0万元，较2020年增加（减少）0万元，增长（下降）0%。</w:t>
      </w:r>
    </w:p>
    <w:p>
      <w:pPr>
        <w:keepNext w:val="0"/>
        <w:keepLines w:val="0"/>
        <w:widowControl/>
        <w:suppressLineNumbers w:val="0"/>
        <w:spacing w:before="0" w:beforeAutospacing="1" w:after="0" w:afterAutospacing="1"/>
        <w:ind w:left="0" w:right="0" w:firstLine="585"/>
        <w:jc w:val="left"/>
      </w:pPr>
      <w:r>
        <w:rPr>
          <w:rFonts w:hint="eastAsia" w:ascii="宋体" w:hAnsi="宋体" w:eastAsia="宋体" w:cs="宋体"/>
          <w:kern w:val="2"/>
          <w:sz w:val="30"/>
          <w:szCs w:val="30"/>
          <w:lang w:val="en-US" w:eastAsia="zh-CN" w:bidi="ar"/>
        </w:rPr>
        <w:t>（四）资本性支出0万元，较2020年增加（减少）0万元，增长（下降）0%。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本单位2021年度一般公共预算财政拨款“三公”经费支出年初预算数为 1.5万元，决算数为 1.09 万元，完成预算的 72.67 %，决算数较2020年增加 0.8万元，增长73.39  %，其中：</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（一）出国（境）团组0个，累计0人次，因公出国（境）支出年初预算数为0万元，决算数为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（二）公务接待费支出年初预算数为 1.5  万元，决算数为1.09  万元，完成预算的 72.67%，决算数较2020年增加0.8  万元，增长73.29  %，主要原因是公务活动增加。决算数较年初预算数减少的主要原因是：认真执行八项规定，节约三公经费开支。全年国内公务接待 11 批，累计接待 120 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宋体" w:hAnsi="宋体" w:eastAsia="宋体" w:cs="宋体"/>
          <w:kern w:val="2"/>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shd w:val="clear" w:fill="FFFFFF"/>
        <w:spacing w:before="0" w:beforeAutospacing="1" w:after="105" w:afterAutospacing="0" w:line="240" w:lineRule="atLeast"/>
        <w:ind w:left="0" w:right="0" w:firstLine="420"/>
        <w:jc w:val="both"/>
      </w:pPr>
      <w:r>
        <w:rPr>
          <w:rFonts w:hint="eastAsia" w:ascii="仿宋" w:hAnsi="仿宋" w:eastAsia="仿宋" w:cs="仿宋"/>
          <w:color w:val="000000"/>
          <w:kern w:val="0"/>
          <w:sz w:val="32"/>
          <w:szCs w:val="32"/>
          <w:shd w:val="clear" w:fill="FFFFFF"/>
        </w:rPr>
        <w:t>（一）绩效管理工作开展情况。</w:t>
      </w:r>
    </w:p>
    <w:p>
      <w:pPr>
        <w:pStyle w:val="2"/>
        <w:keepNext w:val="0"/>
        <w:keepLines w:val="0"/>
        <w:widowControl/>
        <w:suppressLineNumbers w:val="0"/>
        <w:shd w:val="clear" w:fill="FFFFFF"/>
        <w:spacing w:before="0" w:beforeAutospacing="1" w:after="105" w:afterAutospacing="0" w:line="240" w:lineRule="atLeast"/>
        <w:ind w:left="0" w:right="0" w:firstLine="640" w:firstLineChars="200"/>
        <w:jc w:val="both"/>
      </w:pPr>
      <w:r>
        <w:rPr>
          <w:rFonts w:hint="eastAsia" w:ascii="仿宋" w:hAnsi="仿宋" w:eastAsia="仿宋" w:cs="仿宋"/>
          <w:color w:val="00000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shd w:val="clear" w:fill="FFFFFF"/>
        <w:spacing w:before="0" w:beforeAutospacing="1" w:after="105" w:afterAutospacing="0" w:line="240" w:lineRule="atLeast"/>
        <w:ind w:left="0" w:right="0" w:firstLine="420"/>
        <w:jc w:val="both"/>
      </w:pPr>
      <w:r>
        <w:rPr>
          <w:rFonts w:hint="eastAsia" w:ascii="仿宋" w:hAnsi="仿宋" w:eastAsia="仿宋" w:cs="仿宋"/>
          <w:color w:val="000000"/>
          <w:kern w:val="0"/>
          <w:sz w:val="32"/>
          <w:szCs w:val="32"/>
          <w:shd w:val="clear" w:fill="FFFFFF"/>
        </w:rPr>
        <w:t>（二）单位决算中项目绩效自评情况。</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4"/>
        <w:gridCol w:w="1188"/>
        <w:gridCol w:w="1003"/>
        <w:gridCol w:w="1129"/>
        <w:gridCol w:w="1334"/>
        <w:gridCol w:w="473"/>
        <w:gridCol w:w="1305"/>
        <w:gridCol w:w="925"/>
        <w:gridCol w:w="276"/>
        <w:gridCol w:w="383"/>
        <w:gridCol w:w="536"/>
        <w:gridCol w:w="280"/>
        <w:gridCol w:w="36"/>
        <w:gridCol w:w="700"/>
        <w:gridCol w:w="29"/>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宁都县第三幼儿园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319.17</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FEDE23-D432-40E4-93DB-C85A1BDBC4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A997BC3-B6B4-4AE7-8DD8-1E2CA2484292}"/>
  </w:font>
  <w:font w:name="方正小标宋简体">
    <w:panose1 w:val="02000000000000000000"/>
    <w:charset w:val="86"/>
    <w:family w:val="auto"/>
    <w:pitch w:val="default"/>
    <w:sig w:usb0="00000001" w:usb1="08000000" w:usb2="00000000" w:usb3="00000000" w:csb0="00040000" w:csb1="00000000"/>
    <w:embedRegular r:id="rId3" w:fontKey="{F007846C-788A-41AF-A2D7-F47A1130DA84}"/>
  </w:font>
  <w:font w:name="仿宋_GB2312">
    <w:altName w:val="仿宋"/>
    <w:panose1 w:val="00000000000000000000"/>
    <w:charset w:val="00"/>
    <w:family w:val="auto"/>
    <w:pitch w:val="default"/>
    <w:sig w:usb0="00000000" w:usb1="00000000" w:usb2="00000000" w:usb3="00000000" w:csb0="00000000" w:csb1="00000000"/>
    <w:embedRegular r:id="rId4" w:fontKey="{B6F35F8D-14B6-4EEF-8EBF-C45D13283B65}"/>
  </w:font>
  <w:font w:name="仿宋">
    <w:panose1 w:val="02010609060101010101"/>
    <w:charset w:val="86"/>
    <w:family w:val="auto"/>
    <w:pitch w:val="default"/>
    <w:sig w:usb0="800002BF" w:usb1="38CF7CFA" w:usb2="00000016" w:usb3="00000000" w:csb0="00040001" w:csb1="00000000"/>
    <w:embedRegular r:id="rId5" w:fontKey="{83AADADD-DD23-480B-9202-53CAF236932B}"/>
  </w:font>
  <w:font w:name="仿宋_GB2312">
    <w:altName w:val="仿宋"/>
    <w:panose1 w:val="02010609030101010101"/>
    <w:charset w:val="86"/>
    <w:family w:val="modern"/>
    <w:pitch w:val="default"/>
    <w:sig w:usb0="00000000" w:usb1="00000000" w:usb2="00000000" w:usb3="00000000" w:csb0="00040000" w:csb1="00000000"/>
    <w:embedRegular r:id="rId6" w:fontKey="{A0E69F6F-4CC1-436E-8D5C-6EB3686066C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AE108B2"/>
    <w:rsid w:val="5AE1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2023-10-07T14:18:00Z</dcterms:created>
  <dc:creator>才东东</dc:creator>
  <cp:lastModifiedBy>才东东</cp:lastModifiedBy>
  <dcterms:modified xsi:type="dcterms:W3CDTF">2023-10-07T14:21:40Z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E80F700B75044EEE9BF9747FA448EEB7_11</vt:lpwstr>
  </property>
</Properties>
</file>