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rPr>
          <w:rFonts w:hint="eastAsia" w:ascii="方正小标宋简体" w:hAnsi="方正小标宋简体" w:eastAsia="方正小标宋简体" w:cs="方正小标宋简体"/>
          <w:kern w:val="2"/>
          <w:sz w:val="44"/>
          <w:szCs w:val="44"/>
          <w:lang w:val="en-US" w:eastAsia="zh-CN" w:bidi="ar"/>
        </w:rPr>
      </w:pPr>
      <w:r>
        <w:rPr>
          <w:rFonts w:ascii="方正小标宋简体" w:hAnsi="方正小标宋简体" w:eastAsia="方正小标宋简体" w:cs="方正小标宋简体"/>
          <w:kern w:val="2"/>
          <w:sz w:val="44"/>
          <w:szCs w:val="44"/>
          <w:lang w:val="en-US" w:eastAsia="zh-CN" w:bidi="ar"/>
        </w:rPr>
        <w:t>宁都县</w:t>
      </w:r>
      <w:r>
        <w:rPr>
          <w:rFonts w:hint="eastAsia" w:ascii="方正小标宋简体" w:hAnsi="方正小标宋简体" w:eastAsia="方正小标宋简体" w:cs="方正小标宋简体"/>
          <w:kern w:val="2"/>
          <w:sz w:val="44"/>
          <w:szCs w:val="44"/>
          <w:lang w:val="en-US" w:eastAsia="zh-CN" w:bidi="ar"/>
        </w:rPr>
        <w:t>东韶乡公立幼儿园2021年度单位</w:t>
      </w:r>
    </w:p>
    <w:p>
      <w:pPr>
        <w:keepNext w:val="0"/>
        <w:keepLines w:val="0"/>
        <w:widowControl/>
        <w:suppressLineNumbers w:val="0"/>
        <w:spacing w:before="0" w:beforeAutospacing="1" w:after="0" w:afterAutospacing="1" w:line="600" w:lineRule="exact"/>
        <w:ind w:left="0" w:right="0"/>
        <w:jc w:val="center"/>
      </w:pPr>
      <w:bookmarkStart w:id="0" w:name="_GoBack"/>
      <w:bookmarkEnd w:id="0"/>
      <w:r>
        <w:rPr>
          <w:rFonts w:hint="eastAsia" w:ascii="方正小标宋简体" w:hAnsi="方正小标宋简体" w:eastAsia="方正小标宋简体" w:cs="方正小标宋简体"/>
          <w:kern w:val="2"/>
          <w:sz w:val="44"/>
          <w:szCs w:val="44"/>
          <w:lang w:val="en-US" w:eastAsia="zh-CN" w:bidi="ar"/>
        </w:rPr>
        <w:t>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eastAsia" w:ascii="方正小标宋简体" w:hAnsi="方正小标宋简体" w:eastAsia="方正小标宋简体" w:cs="方正小标宋简体"/>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学校概况</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hAnsi="Calibri" w:eastAsia="仿宋_GB2312" w:cs="仿宋_GB2312"/>
          <w:b/>
          <w:bCs w:val="0"/>
          <w:kern w:val="2"/>
          <w:sz w:val="32"/>
          <w:szCs w:val="32"/>
          <w:lang w:val="en-US" w:eastAsia="zh-CN" w:bidi="ar"/>
        </w:rPr>
        <w:t>    </w:t>
      </w:r>
      <w:r>
        <w:rPr>
          <w:rFonts w:hint="eastAsia"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仿宋_GB2312" w:hAnsiTheme="minorHAnsi"/>
          <w:kern w:val="0"/>
          <w:sz w:val="32"/>
          <w:szCs w:val="32"/>
          <w:lang w:val="en-US" w:eastAsia="zh-CN" w:bidi="ar"/>
        </w:rPr>
        <w:t>表</w:t>
      </w:r>
    </w:p>
    <w:p>
      <w:pPr>
        <w:keepNext w:val="0"/>
        <w:keepLines w:val="0"/>
        <w:widowControl/>
        <w:numPr>
          <w:numId w:val="0"/>
        </w:numPr>
        <w:suppressLineNumbers w:val="0"/>
        <w:spacing w:before="0" w:beforeAutospacing="1" w:after="0" w:afterAutospacing="1" w:line="600" w:lineRule="exact"/>
        <w:ind w:left="1280" w:right="0" w:firstLine="0"/>
        <w:jc w:val="left"/>
      </w:pPr>
      <w:r>
        <w:rPr>
          <w:rFonts w:hint="eastAsia" w:ascii="仿宋_GB2312" w:eastAsia="仿宋_GB2312" w:cs="宋体" w:hAnsiTheme="minorHAnsi"/>
          <w:kern w:val="0"/>
          <w:sz w:val="32"/>
          <w:szCs w:val="32"/>
          <w:lang w:val="en-US" w:eastAsia="zh-CN" w:bidi="ar"/>
        </w:rPr>
        <w:t>八、</w:t>
      </w:r>
      <w:r>
        <w:rPr>
          <w:rFonts w:hint="eastAsia"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right="0" w:firstLine="0"/>
        <w:jc w:val="left"/>
      </w:pPr>
      <w:r>
        <w:rPr>
          <w:rFonts w:hint="eastAsia" w:ascii="仿宋_GB2312" w:eastAsia="仿宋_GB2312" w:cs="宋体" w:hAnsiTheme="minorHAnsi"/>
          <w:kern w:val="0"/>
          <w:sz w:val="32"/>
          <w:szCs w:val="32"/>
          <w:lang w:val="en-US" w:eastAsia="zh-CN" w:bidi="ar"/>
        </w:rPr>
        <w:t>九、</w:t>
      </w:r>
      <w:r>
        <w:rPr>
          <w:rFonts w:hint="eastAsia" w:ascii="仿宋_GB2312" w:eastAsia="仿宋_GB2312" w:cs="仿宋_GB2312" w:hAnsiTheme="minorHAnsi"/>
          <w:kern w:val="0"/>
          <w:sz w:val="32"/>
          <w:szCs w:val="32"/>
          <w:lang w:val="en-US" w:eastAsia="zh-CN" w:bidi="ar"/>
        </w:rPr>
        <w:t>国有资本经营预算财政拨款支出决算表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十、国有资产占用情况表</w:t>
      </w:r>
    </w:p>
    <w:p>
      <w:pPr>
        <w:keepNext w:val="0"/>
        <w:keepLines w:val="0"/>
        <w:widowControl/>
        <w:suppressLineNumbers w:val="0"/>
        <w:spacing w:before="0" w:beforeAutospacing="1" w:after="0" w:afterAutospacing="1" w:line="600" w:lineRule="exact"/>
        <w:ind w:left="0" w:right="0"/>
        <w:jc w:val="left"/>
      </w:pPr>
      <w:r>
        <w:rPr>
          <w:rFonts w:hint="eastAsia"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eastAsia"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eastAsia" w:ascii="仿宋_GB2312" w:eastAsia="仿宋_GB2312" w:cs="仿宋_GB2312"/>
          <w:kern w:val="2"/>
          <w:sz w:val="32"/>
          <w:szCs w:val="32"/>
          <w:bdr w:val="none" w:color="auto" w:sz="0" w:space="0"/>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line="580" w:lineRule="exact"/>
        <w:ind w:left="0" w:right="0"/>
        <w:jc w:val="center"/>
      </w:pPr>
      <w:r>
        <w:rPr>
          <w:rFonts w:hint="eastAsia" w:ascii="方正小标宋简体" w:hAnsi="方正小标宋简体" w:eastAsia="方正小标宋简体" w:cs="方正小标宋简体"/>
          <w:bCs/>
          <w:kern w:val="2"/>
          <w:sz w:val="44"/>
          <w:szCs w:val="44"/>
          <w:lang w:val="en-US" w:eastAsia="zh-CN" w:bidi="ar"/>
        </w:rPr>
        <w:t>第一部分  单位概况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一、单位主要职能</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宋体" w:hAnsi="宋体" w:eastAsia="宋体" w:cs="宋体"/>
          <w:kern w:val="2"/>
          <w:sz w:val="30"/>
          <w:szCs w:val="30"/>
          <w:shd w:val="clear" w:fill="FFFFFF"/>
        </w:rPr>
        <w:t>（一）、认真贯彻执行幼儿教育《纲要》和《幼儿园工作规程》精神</w:t>
      </w:r>
      <w:r>
        <w:rPr>
          <w:rFonts w:hint="eastAsia" w:ascii="宋体" w:hAnsi="宋体" w:eastAsia="宋体" w:cs="Times New Roman"/>
          <w:kern w:val="2"/>
          <w:sz w:val="30"/>
          <w:szCs w:val="30"/>
          <w:shd w:val="clear" w:fill="FFFFFF"/>
        </w:rPr>
        <w:t>,</w:t>
      </w:r>
      <w:r>
        <w:rPr>
          <w:rFonts w:hint="eastAsia" w:ascii="宋体" w:hAnsi="宋体" w:eastAsia="宋体" w:cs="宋体"/>
          <w:kern w:val="2"/>
          <w:sz w:val="30"/>
          <w:szCs w:val="30"/>
          <w:shd w:val="clear" w:fill="FFFFFF"/>
        </w:rPr>
        <w:t>从严治园</w:t>
      </w:r>
      <w:r>
        <w:rPr>
          <w:rFonts w:hint="eastAsia" w:ascii="宋体" w:hAnsi="宋体" w:eastAsia="宋体" w:cs="Times New Roman"/>
          <w:kern w:val="2"/>
          <w:sz w:val="30"/>
          <w:szCs w:val="30"/>
          <w:shd w:val="clear" w:fill="FFFFFF"/>
        </w:rPr>
        <w:t>,</w:t>
      </w:r>
      <w:r>
        <w:rPr>
          <w:rFonts w:hint="eastAsia" w:ascii="宋体" w:hAnsi="宋体" w:eastAsia="宋体" w:cs="宋体"/>
          <w:kern w:val="2"/>
          <w:sz w:val="30"/>
          <w:szCs w:val="30"/>
          <w:shd w:val="clear" w:fill="FFFFFF"/>
        </w:rPr>
        <w:t>以促进幼儿体、智、德、美全面发展为各项工作的目标</w:t>
      </w:r>
      <w:r>
        <w:rPr>
          <w:rFonts w:hint="eastAsia" w:ascii="宋体" w:hAnsi="宋体" w:eastAsia="宋体" w:cs="Times New Roman"/>
          <w:kern w:val="2"/>
          <w:sz w:val="30"/>
          <w:szCs w:val="30"/>
          <w:shd w:val="clear" w:fill="FFFFFF"/>
        </w:rPr>
        <w:t>,</w:t>
      </w:r>
      <w:r>
        <w:rPr>
          <w:rFonts w:hint="eastAsia" w:ascii="宋体" w:hAnsi="宋体" w:eastAsia="宋体" w:cs="宋体"/>
          <w:kern w:val="2"/>
          <w:sz w:val="30"/>
          <w:szCs w:val="30"/>
          <w:shd w:val="clear" w:fill="FFFFFF"/>
        </w:rPr>
        <w:t>坚持改革</w:t>
      </w:r>
      <w:r>
        <w:rPr>
          <w:rFonts w:hint="eastAsia" w:ascii="宋体" w:hAnsi="宋体" w:eastAsia="宋体" w:cs="Times New Roman"/>
          <w:kern w:val="2"/>
          <w:sz w:val="30"/>
          <w:szCs w:val="30"/>
          <w:shd w:val="clear" w:fill="FFFFFF"/>
        </w:rPr>
        <w:t>,</w:t>
      </w:r>
      <w:r>
        <w:rPr>
          <w:rFonts w:hint="eastAsia" w:ascii="宋体" w:hAnsi="宋体" w:eastAsia="宋体" w:cs="宋体"/>
          <w:kern w:val="2"/>
          <w:sz w:val="30"/>
          <w:szCs w:val="30"/>
          <w:shd w:val="clear" w:fill="FFFFFF"/>
        </w:rPr>
        <w:t>不断提高教育质量。</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宋体" w:hAnsi="宋体" w:eastAsia="宋体" w:cs="宋体"/>
          <w:kern w:val="2"/>
          <w:sz w:val="30"/>
          <w:szCs w:val="30"/>
          <w:shd w:val="clear" w:fill="FFFFFF"/>
        </w:rPr>
        <w:t>（二）、严格执行幼儿安全、卫生、保健制度，制定年度工作目标、规划、学期工作任务，认真做好组织实施。</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宋体" w:hAnsi="宋体" w:eastAsia="宋体" w:cs="宋体"/>
          <w:kern w:val="2"/>
          <w:sz w:val="30"/>
          <w:szCs w:val="30"/>
          <w:shd w:val="clear" w:fill="FFFFFF"/>
        </w:rPr>
        <w:t>（三）、建立和健全各项规章制度并认真组织和实施。</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宋体" w:hAnsi="宋体" w:eastAsia="宋体" w:cs="宋体"/>
          <w:kern w:val="2"/>
          <w:sz w:val="30"/>
          <w:szCs w:val="30"/>
          <w:shd w:val="clear" w:fill="FFFFFF"/>
        </w:rPr>
        <w:t>（四）、加强教职工的考核工作，检查、指导、评估工作质量，制定奖惩措施。</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宋体" w:hAnsi="宋体" w:eastAsia="宋体" w:cs="宋体"/>
          <w:kern w:val="2"/>
          <w:sz w:val="30"/>
          <w:szCs w:val="30"/>
          <w:shd w:val="clear" w:fill="FFFFFF"/>
        </w:rPr>
        <w:t>（五）、加强财务管理，科学管理、合理使用学校的设施和经费，并积极筹措资金，改善办学条件。</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宋体" w:hAnsi="宋体" w:eastAsia="宋体" w:cs="宋体"/>
          <w:kern w:val="2"/>
          <w:sz w:val="30"/>
          <w:szCs w:val="30"/>
          <w:shd w:val="clear" w:fill="FFFFFF"/>
        </w:rPr>
        <w:t>（六）、加强思想政治工作，组织文化业务学习，有计划开展业务培训，提高教师业务水平。</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宋体" w:hAnsi="宋体" w:eastAsia="宋体" w:cs="宋体"/>
          <w:kern w:val="2"/>
          <w:sz w:val="30"/>
          <w:szCs w:val="30"/>
          <w:shd w:val="clear" w:fill="FFFFFF"/>
        </w:rPr>
        <w:t>（七）、关心教职工业务和生活，加强职工道德教育。</w:t>
      </w:r>
      <w:r>
        <w:rPr>
          <w:rFonts w:hint="eastAsia" w:ascii="宋体" w:hAnsi="宋体" w:eastAsia="宋体" w:cs="Times New Roman"/>
          <w:kern w:val="2"/>
          <w:sz w:val="30"/>
          <w:szCs w:val="30"/>
          <w:shd w:val="clear" w:fill="FFFFFF"/>
        </w:rPr>
        <w:t> </w:t>
      </w:r>
    </w:p>
    <w:p>
      <w:pPr>
        <w:keepNext w:val="0"/>
        <w:keepLines w:val="0"/>
        <w:widowControl/>
        <w:suppressLineNumbers w:val="0"/>
        <w:spacing w:before="0" w:beforeAutospacing="1" w:after="0" w:afterAutospacing="1"/>
        <w:ind w:left="0" w:right="0" w:firstLine="750" w:firstLineChars="250"/>
        <w:jc w:val="left"/>
      </w:pPr>
      <w:r>
        <w:rPr>
          <w:rFonts w:hint="eastAsia" w:ascii="宋体" w:hAnsi="宋体" w:eastAsia="宋体" w:cs="宋体"/>
          <w:kern w:val="2"/>
          <w:sz w:val="30"/>
          <w:szCs w:val="30"/>
          <w:lang w:val="en-US" w:eastAsia="zh-CN" w:bidi="ar"/>
        </w:rPr>
        <w:t>（八）、依法接受各级教育行政单位的检查指导和人民群众的监督。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二、单位基本情况</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纳入本套单位决算汇编范围的单位共 1  个。</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本单位2021年年末实有人数  9 人，其中在职人员 9 人，离休人员  0 人，退休人员  0 人（不含由养老保险基金发放养老金的离退休人员）；年末其他人员  0 人；年末学生人数  206 人；由养老保险基金发放养老金的离退休人员0     人。</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 </w:t>
      </w: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jc w:val="left"/>
      </w:pPr>
      <w:r>
        <w:rPr>
          <w:rFonts w:hint="eastAsia" w:ascii="方正小标宋简体" w:hAnsi="方正小标宋简体" w:eastAsia="方正小标宋简体" w:cs="方正小标宋简体"/>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Cs/>
          <w:kern w:val="2"/>
          <w:sz w:val="44"/>
          <w:szCs w:val="44"/>
          <w:lang w:val="en-US" w:eastAsia="zh-CN" w:bidi="ar"/>
        </w:rPr>
      </w:pPr>
      <w:r>
        <w:rPr>
          <w:rFonts w:hint="eastAsia" w:ascii="方正小标宋简体" w:hAnsi="方正小标宋简体" w:eastAsia="方正小标宋简体" w:cs="方正小标宋简体"/>
          <w:bCs/>
          <w:kern w:val="2"/>
          <w:sz w:val="44"/>
          <w:szCs w:val="44"/>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Cs/>
          <w:kern w:val="2"/>
          <w:sz w:val="44"/>
          <w:szCs w:val="44"/>
          <w:lang w:val="en-US" w:eastAsia="zh-CN" w:bidi="ar"/>
        </w:rPr>
      </w:pPr>
    </w:p>
    <w:tbl>
      <w:tblPr>
        <w:tblStyle w:val="3"/>
        <w:tblW w:w="0" w:type="auto"/>
        <w:jc w:val="center"/>
        <w:tblLayout w:type="autofit"/>
        <w:tblCellMar>
          <w:top w:w="0" w:type="dxa"/>
          <w:left w:w="108" w:type="dxa"/>
          <w:bottom w:w="0" w:type="dxa"/>
          <w:right w:w="108" w:type="dxa"/>
        </w:tblCellMar>
      </w:tblPr>
      <w:tblGrid>
        <w:gridCol w:w="2716"/>
        <w:gridCol w:w="528"/>
        <w:gridCol w:w="880"/>
        <w:gridCol w:w="2560"/>
        <w:gridCol w:w="528"/>
        <w:gridCol w:w="1310"/>
      </w:tblGrid>
      <w:tr>
        <w:tblPrEx>
          <w:tblCellMar>
            <w:top w:w="0" w:type="dxa"/>
            <w:left w:w="108" w:type="dxa"/>
            <w:bottom w:w="0" w:type="dxa"/>
            <w:right w:w="108" w:type="dxa"/>
          </w:tblCellMar>
        </w:tblPrEx>
        <w:trPr>
          <w:trHeight w:val="326" w:hRule="atLeast"/>
          <w:jc w:val="center"/>
        </w:trPr>
        <w:tc>
          <w:tcPr>
            <w:tcW w:w="0" w:type="auto"/>
            <w:gridSpan w:val="6"/>
            <w:tcBorders>
              <w:top w:val="nil"/>
              <w:left w:val="nil"/>
              <w:bottom w:val="nil"/>
              <w:right w:val="nil"/>
            </w:tcBorders>
            <w:noWrap/>
            <w:vAlign w:val="bottom"/>
          </w:tcPr>
          <w:p>
            <w:pPr>
              <w:widowControl/>
              <w:jc w:val="center"/>
              <w:textAlignment w:val="bottom"/>
              <w:rPr>
                <w:rFonts w:hint="eastAsia" w:ascii="宋体" w:hAnsi="宋体" w:cs="宋体"/>
                <w:color w:val="000000"/>
                <w:sz w:val="18"/>
                <w:szCs w:val="18"/>
              </w:rPr>
            </w:pPr>
            <w:r>
              <w:rPr>
                <w:rFonts w:hint="eastAsia" w:ascii="宋体" w:hAnsi="宋体" w:cs="宋体"/>
                <w:color w:val="000000"/>
                <w:kern w:val="0"/>
                <w:sz w:val="44"/>
                <w:szCs w:val="44"/>
                <w:lang w:bidi="ar"/>
              </w:rPr>
              <w:t>收入支出决算总表</w:t>
            </w:r>
          </w:p>
        </w:tc>
      </w:tr>
      <w:tr>
        <w:tblPrEx>
          <w:tblCellMar>
            <w:top w:w="0" w:type="dxa"/>
            <w:left w:w="108" w:type="dxa"/>
            <w:bottom w:w="0" w:type="dxa"/>
            <w:right w:w="108" w:type="dxa"/>
          </w:tblCellMar>
        </w:tblPrEx>
        <w:trPr>
          <w:trHeight w:val="326" w:hRule="atLeast"/>
          <w:jc w:val="center"/>
        </w:trPr>
        <w:tc>
          <w:tcPr>
            <w:tcW w:w="0" w:type="auto"/>
            <w:tcBorders>
              <w:top w:val="nil"/>
              <w:left w:val="nil"/>
              <w:bottom w:val="nil"/>
              <w:right w:val="nil"/>
            </w:tcBorders>
            <w:noWrap/>
            <w:vAlign w:val="bottom"/>
          </w:tcPr>
          <w:p>
            <w:pPr>
              <w:rPr>
                <w:rFonts w:hint="eastAsia"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公开01表</w:t>
            </w:r>
          </w:p>
        </w:tc>
      </w:tr>
      <w:tr>
        <w:tblPrEx>
          <w:tblCellMar>
            <w:top w:w="0" w:type="dxa"/>
            <w:left w:w="108" w:type="dxa"/>
            <w:bottom w:w="0" w:type="dxa"/>
            <w:right w:w="108" w:type="dxa"/>
          </w:tblCellMar>
        </w:tblPrEx>
        <w:trPr>
          <w:trHeight w:val="326" w:hRule="atLeast"/>
          <w:jc w:val="center"/>
        </w:trPr>
        <w:tc>
          <w:tcPr>
            <w:tcW w:w="0" w:type="auto"/>
            <w:tcBorders>
              <w:top w:val="nil"/>
              <w:left w:val="nil"/>
              <w:bottom w:val="nil"/>
              <w:right w:val="nil"/>
            </w:tcBorders>
            <w:noWrap/>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编制单位：宁都县东韶乡中心幼儿园</w:t>
            </w: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widowControl/>
              <w:jc w:val="center"/>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2021年度</w:t>
            </w: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37"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收     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支     出</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项    目</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决算数</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项目（按功能分类）</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决算数</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栏    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栏    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76.73</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43.12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119.84</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4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cs="宋体"/>
                <w:b/>
                <w:bCs/>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119.84</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119.84</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  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  结余分配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  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  年末结转和结余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cs="宋体"/>
                <w:b/>
                <w:bCs/>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b/>
                <w:bCs/>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r>
      <w:tr>
        <w:tblPrEx>
          <w:tblCellMar>
            <w:top w:w="0" w:type="dxa"/>
            <w:left w:w="108" w:type="dxa"/>
            <w:bottom w:w="0" w:type="dxa"/>
            <w:right w:w="108" w:type="dxa"/>
          </w:tblCellMar>
        </w:tblPrEx>
        <w:trPr>
          <w:trHeight w:val="33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b/>
                <w:bCs/>
                <w:color w:val="000000"/>
                <w:sz w:val="18"/>
                <w:szCs w:val="18"/>
              </w:rPr>
            </w:pPr>
            <w:r>
              <w:rPr>
                <w:rFonts w:hint="eastAsia" w:ascii="宋体" w:hAnsi="宋体" w:cs="宋体"/>
                <w:b/>
                <w:bCs/>
                <w:color w:val="000000"/>
                <w:kern w:val="0"/>
                <w:sz w:val="18"/>
                <w:szCs w:val="18"/>
                <w:lang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119.84</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b/>
                <w:bCs/>
                <w:color w:val="000000"/>
                <w:sz w:val="18"/>
                <w:szCs w:val="18"/>
              </w:rPr>
            </w:pPr>
            <w:r>
              <w:rPr>
                <w:rFonts w:hint="eastAsia" w:ascii="宋体" w:hAnsi="宋体" w:cs="宋体"/>
                <w:b/>
                <w:bCs/>
                <w:color w:val="000000"/>
                <w:kern w:val="0"/>
                <w:sz w:val="18"/>
                <w:szCs w:val="18"/>
                <w:lang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119.84</w:t>
            </w:r>
          </w:p>
        </w:tc>
      </w:tr>
      <w:tr>
        <w:tblPrEx>
          <w:tblCellMar>
            <w:top w:w="0" w:type="dxa"/>
            <w:left w:w="108" w:type="dxa"/>
            <w:bottom w:w="0" w:type="dxa"/>
            <w:right w:w="108" w:type="dxa"/>
          </w:tblCellMar>
        </w:tblPrEx>
        <w:trPr>
          <w:trHeight w:val="590" w:hRule="atLeast"/>
          <w:jc w:val="center"/>
        </w:trPr>
        <w:tc>
          <w:tcPr>
            <w:tcW w:w="0" w:type="auto"/>
            <w:gridSpan w:val="6"/>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注：1.本表反映部门本年度的总收支和年末结转结余情况。</w:t>
            </w:r>
          </w:p>
        </w:tc>
      </w:tr>
      <w:tr>
        <w:tblPrEx>
          <w:tblCellMar>
            <w:top w:w="0" w:type="dxa"/>
            <w:left w:w="108" w:type="dxa"/>
            <w:bottom w:w="0" w:type="dxa"/>
            <w:right w:w="108" w:type="dxa"/>
          </w:tblCellMar>
        </w:tblPrEx>
        <w:trPr>
          <w:trHeight w:val="445" w:hRule="atLeast"/>
          <w:jc w:val="center"/>
        </w:trPr>
        <w:tc>
          <w:tcPr>
            <w:tcW w:w="0" w:type="auto"/>
            <w:gridSpan w:val="6"/>
            <w:tcBorders>
              <w:top w:val="nil"/>
              <w:left w:val="nil"/>
              <w:bottom w:val="nil"/>
              <w:right w:val="nil"/>
            </w:tcBorders>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    2.本套报表金额单位转换时可能存在尾数误差。</w:t>
            </w:r>
          </w:p>
        </w:tc>
      </w:tr>
    </w:tbl>
    <w:p>
      <w:pPr>
        <w:autoSpaceDE w:val="0"/>
        <w:autoSpaceDN w:val="0"/>
        <w:adjustRightInd w:val="0"/>
        <w:spacing w:line="360" w:lineRule="auto"/>
        <w:jc w:val="left"/>
        <w:rPr>
          <w:rFonts w:hint="eastAsia"/>
          <w:szCs w:val="30"/>
        </w:rPr>
      </w:pPr>
    </w:p>
    <w:tbl>
      <w:tblPr>
        <w:tblStyle w:val="3"/>
        <w:tblW w:w="5000" w:type="pct"/>
        <w:tblInd w:w="0" w:type="dxa"/>
        <w:tblLayout w:type="autofit"/>
        <w:tblCellMar>
          <w:top w:w="0" w:type="dxa"/>
          <w:left w:w="108" w:type="dxa"/>
          <w:bottom w:w="0" w:type="dxa"/>
          <w:right w:w="108" w:type="dxa"/>
        </w:tblCellMar>
      </w:tblPr>
      <w:tblGrid>
        <w:gridCol w:w="1910"/>
        <w:gridCol w:w="322"/>
        <w:gridCol w:w="322"/>
        <w:gridCol w:w="746"/>
        <w:gridCol w:w="852"/>
        <w:gridCol w:w="852"/>
        <w:gridCol w:w="852"/>
        <w:gridCol w:w="640"/>
        <w:gridCol w:w="640"/>
        <w:gridCol w:w="428"/>
        <w:gridCol w:w="958"/>
      </w:tblGrid>
      <w:tr>
        <w:tblPrEx>
          <w:tblCellMar>
            <w:top w:w="0" w:type="dxa"/>
            <w:left w:w="108" w:type="dxa"/>
            <w:bottom w:w="0" w:type="dxa"/>
            <w:right w:w="108" w:type="dxa"/>
          </w:tblCellMar>
        </w:tblPrEx>
        <w:trPr>
          <w:trHeight w:val="240" w:hRule="atLeast"/>
        </w:trPr>
        <w:tc>
          <w:tcPr>
            <w:tcW w:w="5000" w:type="pct"/>
            <w:gridSpan w:val="11"/>
            <w:tcBorders>
              <w:top w:val="nil"/>
              <w:left w:val="nil"/>
              <w:bottom w:val="nil"/>
              <w:right w:val="nil"/>
            </w:tcBorders>
            <w:noWrap/>
            <w:vAlign w:val="bottom"/>
          </w:tcPr>
          <w:p>
            <w:pPr>
              <w:widowControl/>
              <w:jc w:val="center"/>
              <w:textAlignment w:val="bottom"/>
              <w:rPr>
                <w:rFonts w:hint="eastAsia" w:ascii="宋体" w:hAnsi="宋体" w:cs="宋体"/>
                <w:color w:val="000000"/>
                <w:sz w:val="18"/>
                <w:szCs w:val="18"/>
              </w:rPr>
            </w:pPr>
            <w:r>
              <w:rPr>
                <w:rFonts w:hint="eastAsia" w:ascii="宋体" w:hAnsi="宋体" w:cs="宋体"/>
                <w:bCs/>
                <w:sz w:val="44"/>
                <w:szCs w:val="44"/>
              </w:rPr>
              <w:t>收入决算表</w:t>
            </w:r>
          </w:p>
        </w:tc>
      </w:tr>
      <w:tr>
        <w:tblPrEx>
          <w:tblCellMar>
            <w:top w:w="0" w:type="dxa"/>
            <w:left w:w="108" w:type="dxa"/>
            <w:bottom w:w="0" w:type="dxa"/>
            <w:right w:w="108" w:type="dxa"/>
          </w:tblCellMar>
        </w:tblPrEx>
        <w:trPr>
          <w:trHeight w:val="240" w:hRule="atLeast"/>
        </w:trPr>
        <w:tc>
          <w:tcPr>
            <w:tcW w:w="1140" w:type="pct"/>
            <w:tcBorders>
              <w:top w:val="nil"/>
              <w:left w:val="nil"/>
              <w:bottom w:val="nil"/>
              <w:right w:val="nil"/>
            </w:tcBorders>
            <w:noWrap/>
            <w:vAlign w:val="bottom"/>
          </w:tcPr>
          <w:p>
            <w:pPr>
              <w:rPr>
                <w:rFonts w:hint="eastAsia" w:ascii="Arial" w:hAnsi="Arial" w:cs="Arial"/>
                <w:color w:val="000000"/>
                <w:sz w:val="18"/>
                <w:szCs w:val="18"/>
              </w:rPr>
            </w:pPr>
          </w:p>
        </w:tc>
        <w:tc>
          <w:tcPr>
            <w:tcW w:w="145" w:type="pct"/>
            <w:tcBorders>
              <w:top w:val="nil"/>
              <w:left w:val="nil"/>
              <w:bottom w:val="nil"/>
              <w:right w:val="nil"/>
            </w:tcBorders>
            <w:noWrap/>
            <w:vAlign w:val="bottom"/>
          </w:tcPr>
          <w:p>
            <w:pPr>
              <w:rPr>
                <w:rFonts w:ascii="Arial" w:hAnsi="Arial" w:cs="Arial"/>
                <w:color w:val="000000"/>
                <w:sz w:val="18"/>
                <w:szCs w:val="18"/>
              </w:rPr>
            </w:pPr>
          </w:p>
        </w:tc>
        <w:tc>
          <w:tcPr>
            <w:tcW w:w="145" w:type="pct"/>
            <w:tcBorders>
              <w:top w:val="nil"/>
              <w:left w:val="nil"/>
              <w:bottom w:val="nil"/>
              <w:right w:val="nil"/>
            </w:tcBorders>
            <w:noWrap/>
            <w:vAlign w:val="bottom"/>
          </w:tcPr>
          <w:p>
            <w:pPr>
              <w:rPr>
                <w:rFonts w:ascii="Arial" w:hAnsi="Arial" w:cs="Arial"/>
                <w:color w:val="000000"/>
                <w:sz w:val="18"/>
                <w:szCs w:val="18"/>
              </w:rPr>
            </w:pPr>
          </w:p>
        </w:tc>
        <w:tc>
          <w:tcPr>
            <w:tcW w:w="410" w:type="pct"/>
            <w:tcBorders>
              <w:top w:val="nil"/>
              <w:left w:val="nil"/>
              <w:bottom w:val="nil"/>
              <w:right w:val="nil"/>
            </w:tcBorders>
            <w:noWrap/>
            <w:vAlign w:val="bottom"/>
          </w:tcPr>
          <w:p>
            <w:pPr>
              <w:rPr>
                <w:rFonts w:ascii="Arial" w:hAnsi="Arial" w:cs="Arial"/>
                <w:color w:val="000000"/>
                <w:sz w:val="18"/>
                <w:szCs w:val="18"/>
              </w:rPr>
            </w:pPr>
          </w:p>
        </w:tc>
        <w:tc>
          <w:tcPr>
            <w:tcW w:w="477" w:type="pct"/>
            <w:tcBorders>
              <w:top w:val="nil"/>
              <w:left w:val="nil"/>
              <w:bottom w:val="nil"/>
              <w:right w:val="nil"/>
            </w:tcBorders>
            <w:noWrap/>
            <w:vAlign w:val="bottom"/>
          </w:tcPr>
          <w:p>
            <w:pPr>
              <w:rPr>
                <w:rFonts w:ascii="Arial" w:hAnsi="Arial" w:cs="Arial"/>
                <w:color w:val="000000"/>
                <w:sz w:val="18"/>
                <w:szCs w:val="18"/>
              </w:rPr>
            </w:pPr>
          </w:p>
        </w:tc>
        <w:tc>
          <w:tcPr>
            <w:tcW w:w="477" w:type="pct"/>
            <w:tcBorders>
              <w:top w:val="nil"/>
              <w:left w:val="nil"/>
              <w:bottom w:val="nil"/>
              <w:right w:val="nil"/>
            </w:tcBorders>
            <w:noWrap/>
            <w:vAlign w:val="bottom"/>
          </w:tcPr>
          <w:p>
            <w:pPr>
              <w:rPr>
                <w:rFonts w:ascii="Arial" w:hAnsi="Arial" w:cs="Arial"/>
                <w:color w:val="000000"/>
                <w:sz w:val="18"/>
                <w:szCs w:val="18"/>
              </w:rPr>
            </w:pPr>
          </w:p>
        </w:tc>
        <w:tc>
          <w:tcPr>
            <w:tcW w:w="477" w:type="pct"/>
            <w:tcBorders>
              <w:top w:val="nil"/>
              <w:left w:val="nil"/>
              <w:bottom w:val="nil"/>
              <w:right w:val="nil"/>
            </w:tcBorders>
            <w:noWrap/>
            <w:vAlign w:val="bottom"/>
          </w:tcPr>
          <w:p>
            <w:pPr>
              <w:rPr>
                <w:rFonts w:ascii="Arial" w:hAnsi="Arial" w:cs="Arial"/>
                <w:color w:val="000000"/>
                <w:sz w:val="18"/>
                <w:szCs w:val="18"/>
              </w:rPr>
            </w:pPr>
          </w:p>
        </w:tc>
        <w:tc>
          <w:tcPr>
            <w:tcW w:w="344" w:type="pct"/>
            <w:tcBorders>
              <w:top w:val="nil"/>
              <w:left w:val="nil"/>
              <w:bottom w:val="nil"/>
              <w:right w:val="nil"/>
            </w:tcBorders>
            <w:noWrap/>
            <w:vAlign w:val="bottom"/>
          </w:tcPr>
          <w:p>
            <w:pPr>
              <w:rPr>
                <w:rFonts w:ascii="Arial" w:hAnsi="Arial" w:cs="Arial"/>
                <w:color w:val="000000"/>
                <w:sz w:val="18"/>
                <w:szCs w:val="18"/>
              </w:rPr>
            </w:pPr>
          </w:p>
        </w:tc>
        <w:tc>
          <w:tcPr>
            <w:tcW w:w="344" w:type="pct"/>
            <w:tcBorders>
              <w:top w:val="nil"/>
              <w:left w:val="nil"/>
              <w:bottom w:val="nil"/>
              <w:right w:val="nil"/>
            </w:tcBorders>
            <w:noWrap/>
            <w:vAlign w:val="bottom"/>
          </w:tcPr>
          <w:p>
            <w:pPr>
              <w:rPr>
                <w:rFonts w:ascii="Arial" w:hAnsi="Arial" w:cs="Arial"/>
                <w:color w:val="000000"/>
                <w:sz w:val="18"/>
                <w:szCs w:val="18"/>
              </w:rPr>
            </w:pPr>
          </w:p>
        </w:tc>
        <w:tc>
          <w:tcPr>
            <w:tcW w:w="490" w:type="pct"/>
            <w:tcBorders>
              <w:top w:val="nil"/>
              <w:left w:val="nil"/>
              <w:bottom w:val="nil"/>
              <w:right w:val="nil"/>
            </w:tcBorders>
            <w:noWrap/>
            <w:vAlign w:val="bottom"/>
          </w:tcPr>
          <w:p>
            <w:pPr>
              <w:rPr>
                <w:rFonts w:ascii="Arial" w:hAnsi="Arial" w:cs="Arial"/>
                <w:color w:val="000000"/>
                <w:sz w:val="18"/>
                <w:szCs w:val="18"/>
              </w:rPr>
            </w:pPr>
          </w:p>
        </w:tc>
        <w:tc>
          <w:tcPr>
            <w:tcW w:w="546" w:type="pct"/>
            <w:tcBorders>
              <w:top w:val="nil"/>
              <w:left w:val="nil"/>
              <w:bottom w:val="nil"/>
              <w:right w:val="nil"/>
            </w:tcBorders>
            <w:noWrap/>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公开02表</w:t>
            </w:r>
          </w:p>
        </w:tc>
      </w:tr>
      <w:tr>
        <w:tblPrEx>
          <w:tblCellMar>
            <w:top w:w="0" w:type="dxa"/>
            <w:left w:w="108" w:type="dxa"/>
            <w:bottom w:w="0" w:type="dxa"/>
            <w:right w:w="108" w:type="dxa"/>
          </w:tblCellMar>
        </w:tblPrEx>
        <w:trPr>
          <w:trHeight w:val="240" w:hRule="atLeast"/>
        </w:trPr>
        <w:tc>
          <w:tcPr>
            <w:tcW w:w="1140" w:type="pct"/>
            <w:tcBorders>
              <w:top w:val="nil"/>
              <w:left w:val="nil"/>
              <w:bottom w:val="nil"/>
              <w:right w:val="nil"/>
            </w:tcBorders>
            <w:noWrap/>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编制单位：宁都县东韶乡中心幼儿园</w:t>
            </w:r>
          </w:p>
        </w:tc>
        <w:tc>
          <w:tcPr>
            <w:tcW w:w="145" w:type="pct"/>
            <w:tcBorders>
              <w:top w:val="nil"/>
              <w:left w:val="nil"/>
              <w:bottom w:val="nil"/>
              <w:right w:val="nil"/>
            </w:tcBorders>
            <w:noWrap/>
            <w:vAlign w:val="bottom"/>
          </w:tcPr>
          <w:p>
            <w:pPr>
              <w:rPr>
                <w:rFonts w:ascii="Arial" w:hAnsi="Arial" w:cs="Arial"/>
                <w:color w:val="000000"/>
                <w:sz w:val="18"/>
                <w:szCs w:val="18"/>
              </w:rPr>
            </w:pPr>
          </w:p>
        </w:tc>
        <w:tc>
          <w:tcPr>
            <w:tcW w:w="145" w:type="pct"/>
            <w:tcBorders>
              <w:top w:val="nil"/>
              <w:left w:val="nil"/>
              <w:bottom w:val="nil"/>
              <w:right w:val="nil"/>
            </w:tcBorders>
            <w:noWrap/>
            <w:vAlign w:val="bottom"/>
          </w:tcPr>
          <w:p>
            <w:pPr>
              <w:rPr>
                <w:rFonts w:ascii="Arial" w:hAnsi="Arial" w:cs="Arial"/>
                <w:color w:val="000000"/>
                <w:sz w:val="18"/>
                <w:szCs w:val="18"/>
              </w:rPr>
            </w:pPr>
          </w:p>
        </w:tc>
        <w:tc>
          <w:tcPr>
            <w:tcW w:w="410" w:type="pct"/>
            <w:tcBorders>
              <w:top w:val="nil"/>
              <w:left w:val="nil"/>
              <w:bottom w:val="nil"/>
              <w:right w:val="nil"/>
            </w:tcBorders>
            <w:noWrap/>
            <w:vAlign w:val="bottom"/>
          </w:tcPr>
          <w:p>
            <w:pPr>
              <w:rPr>
                <w:rFonts w:ascii="Arial" w:hAnsi="Arial" w:cs="Arial"/>
                <w:color w:val="000000"/>
                <w:sz w:val="18"/>
                <w:szCs w:val="18"/>
              </w:rPr>
            </w:pPr>
          </w:p>
        </w:tc>
        <w:tc>
          <w:tcPr>
            <w:tcW w:w="477" w:type="pct"/>
            <w:tcBorders>
              <w:top w:val="nil"/>
              <w:left w:val="nil"/>
              <w:bottom w:val="nil"/>
              <w:right w:val="nil"/>
            </w:tcBorders>
            <w:noWrap/>
            <w:vAlign w:val="bottom"/>
          </w:tcPr>
          <w:p>
            <w:pPr>
              <w:rPr>
                <w:rFonts w:ascii="Arial" w:hAnsi="Arial" w:cs="Arial"/>
                <w:color w:val="000000"/>
                <w:sz w:val="18"/>
                <w:szCs w:val="18"/>
              </w:rPr>
            </w:pPr>
          </w:p>
        </w:tc>
        <w:tc>
          <w:tcPr>
            <w:tcW w:w="477" w:type="pct"/>
            <w:tcBorders>
              <w:top w:val="nil"/>
              <w:left w:val="nil"/>
              <w:bottom w:val="nil"/>
              <w:right w:val="nil"/>
            </w:tcBorders>
            <w:noWrap/>
            <w:vAlign w:val="bottom"/>
          </w:tcPr>
          <w:p>
            <w:pPr>
              <w:rPr>
                <w:rFonts w:ascii="Arial" w:hAnsi="Arial" w:cs="Arial"/>
                <w:color w:val="000000"/>
                <w:sz w:val="18"/>
                <w:szCs w:val="18"/>
              </w:rPr>
            </w:pPr>
          </w:p>
        </w:tc>
        <w:tc>
          <w:tcPr>
            <w:tcW w:w="477" w:type="pct"/>
            <w:tcBorders>
              <w:top w:val="nil"/>
              <w:left w:val="nil"/>
              <w:bottom w:val="nil"/>
              <w:right w:val="nil"/>
            </w:tcBorders>
            <w:noWrap/>
            <w:vAlign w:val="bottom"/>
          </w:tcPr>
          <w:p>
            <w:pPr>
              <w:widowControl/>
              <w:jc w:val="center"/>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2021年度</w:t>
            </w:r>
          </w:p>
        </w:tc>
        <w:tc>
          <w:tcPr>
            <w:tcW w:w="344" w:type="pct"/>
            <w:tcBorders>
              <w:top w:val="nil"/>
              <w:left w:val="nil"/>
              <w:bottom w:val="nil"/>
              <w:right w:val="nil"/>
            </w:tcBorders>
            <w:noWrap/>
            <w:vAlign w:val="bottom"/>
          </w:tcPr>
          <w:p>
            <w:pPr>
              <w:rPr>
                <w:rFonts w:ascii="Arial" w:hAnsi="Arial" w:cs="Arial"/>
                <w:color w:val="000000"/>
                <w:sz w:val="18"/>
                <w:szCs w:val="18"/>
              </w:rPr>
            </w:pPr>
          </w:p>
        </w:tc>
        <w:tc>
          <w:tcPr>
            <w:tcW w:w="344" w:type="pct"/>
            <w:tcBorders>
              <w:top w:val="nil"/>
              <w:left w:val="nil"/>
              <w:bottom w:val="nil"/>
              <w:right w:val="nil"/>
            </w:tcBorders>
            <w:noWrap/>
            <w:vAlign w:val="bottom"/>
          </w:tcPr>
          <w:p>
            <w:pPr>
              <w:rPr>
                <w:rFonts w:ascii="Arial" w:hAnsi="Arial" w:cs="Arial"/>
                <w:color w:val="000000"/>
                <w:sz w:val="18"/>
                <w:szCs w:val="18"/>
              </w:rPr>
            </w:pPr>
          </w:p>
        </w:tc>
        <w:tc>
          <w:tcPr>
            <w:tcW w:w="490" w:type="pct"/>
            <w:tcBorders>
              <w:top w:val="nil"/>
              <w:left w:val="nil"/>
              <w:bottom w:val="nil"/>
              <w:right w:val="nil"/>
            </w:tcBorders>
            <w:noWrap/>
            <w:vAlign w:val="bottom"/>
          </w:tcPr>
          <w:p>
            <w:pPr>
              <w:rPr>
                <w:rFonts w:ascii="Arial" w:hAnsi="Arial" w:cs="Arial"/>
                <w:color w:val="000000"/>
                <w:sz w:val="18"/>
                <w:szCs w:val="18"/>
              </w:rPr>
            </w:pPr>
          </w:p>
        </w:tc>
        <w:tc>
          <w:tcPr>
            <w:tcW w:w="546" w:type="pct"/>
            <w:tcBorders>
              <w:top w:val="nil"/>
              <w:left w:val="nil"/>
              <w:bottom w:val="nil"/>
              <w:right w:val="nil"/>
            </w:tcBorders>
            <w:noWrap/>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8" w:hRule="atLeast"/>
        </w:trPr>
        <w:tc>
          <w:tcPr>
            <w:tcW w:w="1842"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项    目</w:t>
            </w:r>
          </w:p>
        </w:tc>
        <w:tc>
          <w:tcPr>
            <w:tcW w:w="477" w:type="pct"/>
            <w:vMerge w:val="restar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本年收入合计</w:t>
            </w:r>
          </w:p>
        </w:tc>
        <w:tc>
          <w:tcPr>
            <w:tcW w:w="477" w:type="pct"/>
            <w:vMerge w:val="restar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财政拨款收入</w:t>
            </w:r>
          </w:p>
        </w:tc>
        <w:tc>
          <w:tcPr>
            <w:tcW w:w="477" w:type="pct"/>
            <w:vMerge w:val="restar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上级补助收入</w:t>
            </w:r>
          </w:p>
        </w:tc>
        <w:tc>
          <w:tcPr>
            <w:tcW w:w="344" w:type="pct"/>
            <w:vMerge w:val="restar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事业收入</w:t>
            </w:r>
          </w:p>
        </w:tc>
        <w:tc>
          <w:tcPr>
            <w:tcW w:w="344" w:type="pct"/>
            <w:vMerge w:val="restar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经营收入</w:t>
            </w:r>
          </w:p>
        </w:tc>
        <w:tc>
          <w:tcPr>
            <w:tcW w:w="490"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附属单位上缴收入</w:t>
            </w:r>
          </w:p>
        </w:tc>
        <w:tc>
          <w:tcPr>
            <w:tcW w:w="546" w:type="pct"/>
            <w:vMerge w:val="restar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其他收入</w:t>
            </w:r>
          </w:p>
        </w:tc>
      </w:tr>
      <w:tr>
        <w:tblPrEx>
          <w:tblCellMar>
            <w:top w:w="0" w:type="dxa"/>
            <w:left w:w="108" w:type="dxa"/>
            <w:bottom w:w="0" w:type="dxa"/>
            <w:right w:w="108" w:type="dxa"/>
          </w:tblCellMar>
        </w:tblPrEx>
        <w:trPr>
          <w:trHeight w:val="312" w:hRule="atLeast"/>
        </w:trPr>
        <w:tc>
          <w:tcPr>
            <w:tcW w:w="1431" w:type="pct"/>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支出功能分类科目编码</w:t>
            </w:r>
          </w:p>
        </w:tc>
        <w:tc>
          <w:tcPr>
            <w:tcW w:w="410" w:type="pct"/>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科目名称</w:t>
            </w:r>
          </w:p>
        </w:tc>
        <w:tc>
          <w:tcPr>
            <w:tcW w:w="47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47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47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344"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344"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490"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18"/>
                <w:szCs w:val="18"/>
              </w:rPr>
            </w:pPr>
          </w:p>
        </w:tc>
        <w:tc>
          <w:tcPr>
            <w:tcW w:w="546"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312" w:hRule="atLeast"/>
        </w:trPr>
        <w:tc>
          <w:tcPr>
            <w:tcW w:w="1431"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18"/>
                <w:szCs w:val="18"/>
              </w:rPr>
            </w:pPr>
          </w:p>
        </w:tc>
        <w:tc>
          <w:tcPr>
            <w:tcW w:w="41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47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47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47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344"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344"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490"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18"/>
                <w:szCs w:val="18"/>
              </w:rPr>
            </w:pPr>
          </w:p>
        </w:tc>
        <w:tc>
          <w:tcPr>
            <w:tcW w:w="546"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312" w:hRule="atLeast"/>
        </w:trPr>
        <w:tc>
          <w:tcPr>
            <w:tcW w:w="1431"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18"/>
                <w:szCs w:val="18"/>
              </w:rPr>
            </w:pPr>
          </w:p>
        </w:tc>
        <w:tc>
          <w:tcPr>
            <w:tcW w:w="41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47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47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47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344"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344"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490"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18"/>
                <w:szCs w:val="18"/>
              </w:rPr>
            </w:pPr>
          </w:p>
        </w:tc>
        <w:tc>
          <w:tcPr>
            <w:tcW w:w="546"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308" w:hRule="atLeast"/>
        </w:trPr>
        <w:tc>
          <w:tcPr>
            <w:tcW w:w="1140" w:type="pct"/>
            <w:vMerge w:val="restar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类</w:t>
            </w:r>
          </w:p>
        </w:tc>
        <w:tc>
          <w:tcPr>
            <w:tcW w:w="145" w:type="pct"/>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款</w:t>
            </w:r>
          </w:p>
        </w:tc>
        <w:tc>
          <w:tcPr>
            <w:tcW w:w="145" w:type="pct"/>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项</w:t>
            </w:r>
          </w:p>
        </w:tc>
        <w:tc>
          <w:tcPr>
            <w:tcW w:w="410"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栏次</w:t>
            </w:r>
          </w:p>
        </w:tc>
        <w:tc>
          <w:tcPr>
            <w:tcW w:w="477"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477"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477"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344"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344"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p>
        </w:tc>
        <w:tc>
          <w:tcPr>
            <w:tcW w:w="490"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54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7 </w:t>
            </w:r>
          </w:p>
        </w:tc>
      </w:tr>
      <w:tr>
        <w:tblPrEx>
          <w:tblCellMar>
            <w:top w:w="0" w:type="dxa"/>
            <w:left w:w="108" w:type="dxa"/>
            <w:bottom w:w="0" w:type="dxa"/>
            <w:right w:w="108" w:type="dxa"/>
          </w:tblCellMar>
        </w:tblPrEx>
        <w:trPr>
          <w:trHeight w:val="308" w:hRule="atLeast"/>
        </w:trPr>
        <w:tc>
          <w:tcPr>
            <w:tcW w:w="1140"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14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14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410"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合计</w:t>
            </w:r>
          </w:p>
        </w:tc>
        <w:tc>
          <w:tcPr>
            <w:tcW w:w="47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119.84</w:t>
            </w:r>
          </w:p>
        </w:tc>
        <w:tc>
          <w:tcPr>
            <w:tcW w:w="47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76.73</w:t>
            </w:r>
          </w:p>
        </w:tc>
        <w:tc>
          <w:tcPr>
            <w:tcW w:w="47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c>
          <w:tcPr>
            <w:tcW w:w="344"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43.12</w:t>
            </w:r>
          </w:p>
        </w:tc>
        <w:tc>
          <w:tcPr>
            <w:tcW w:w="344"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c>
          <w:tcPr>
            <w:tcW w:w="490"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c>
          <w:tcPr>
            <w:tcW w:w="546"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08" w:hRule="atLeast"/>
        </w:trPr>
        <w:tc>
          <w:tcPr>
            <w:tcW w:w="1431" w:type="pct"/>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205</w:t>
            </w:r>
          </w:p>
        </w:tc>
        <w:tc>
          <w:tcPr>
            <w:tcW w:w="4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教育支出</w:t>
            </w:r>
          </w:p>
        </w:tc>
        <w:tc>
          <w:tcPr>
            <w:tcW w:w="47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119.84</w:t>
            </w:r>
          </w:p>
        </w:tc>
        <w:tc>
          <w:tcPr>
            <w:tcW w:w="47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76.73</w:t>
            </w:r>
          </w:p>
        </w:tc>
        <w:tc>
          <w:tcPr>
            <w:tcW w:w="47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c>
          <w:tcPr>
            <w:tcW w:w="344"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43.12</w:t>
            </w:r>
          </w:p>
        </w:tc>
        <w:tc>
          <w:tcPr>
            <w:tcW w:w="344"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c>
          <w:tcPr>
            <w:tcW w:w="490"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c>
          <w:tcPr>
            <w:tcW w:w="546"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08" w:hRule="atLeast"/>
        </w:trPr>
        <w:tc>
          <w:tcPr>
            <w:tcW w:w="1431" w:type="pct"/>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20502</w:t>
            </w:r>
          </w:p>
        </w:tc>
        <w:tc>
          <w:tcPr>
            <w:tcW w:w="4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普通教育</w:t>
            </w:r>
          </w:p>
        </w:tc>
        <w:tc>
          <w:tcPr>
            <w:tcW w:w="47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119.84</w:t>
            </w:r>
          </w:p>
        </w:tc>
        <w:tc>
          <w:tcPr>
            <w:tcW w:w="47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76.73</w:t>
            </w:r>
          </w:p>
        </w:tc>
        <w:tc>
          <w:tcPr>
            <w:tcW w:w="47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c>
          <w:tcPr>
            <w:tcW w:w="344"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43.12</w:t>
            </w:r>
          </w:p>
        </w:tc>
        <w:tc>
          <w:tcPr>
            <w:tcW w:w="344"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c>
          <w:tcPr>
            <w:tcW w:w="490"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c>
          <w:tcPr>
            <w:tcW w:w="546"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08" w:hRule="atLeast"/>
        </w:trPr>
        <w:tc>
          <w:tcPr>
            <w:tcW w:w="1431" w:type="pct"/>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2050201</w:t>
            </w:r>
          </w:p>
        </w:tc>
        <w:tc>
          <w:tcPr>
            <w:tcW w:w="4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  学前教育</w:t>
            </w:r>
          </w:p>
        </w:tc>
        <w:tc>
          <w:tcPr>
            <w:tcW w:w="47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119.84</w:t>
            </w:r>
          </w:p>
        </w:tc>
        <w:tc>
          <w:tcPr>
            <w:tcW w:w="47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76.73</w:t>
            </w:r>
          </w:p>
        </w:tc>
        <w:tc>
          <w:tcPr>
            <w:tcW w:w="47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c>
          <w:tcPr>
            <w:tcW w:w="344"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43.12</w:t>
            </w:r>
          </w:p>
        </w:tc>
        <w:tc>
          <w:tcPr>
            <w:tcW w:w="344"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c>
          <w:tcPr>
            <w:tcW w:w="490"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c>
          <w:tcPr>
            <w:tcW w:w="546"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08" w:hRule="atLeast"/>
        </w:trPr>
        <w:tc>
          <w:tcPr>
            <w:tcW w:w="1431"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18"/>
                <w:szCs w:val="18"/>
              </w:rPr>
            </w:pPr>
          </w:p>
        </w:tc>
        <w:tc>
          <w:tcPr>
            <w:tcW w:w="410"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18"/>
                <w:szCs w:val="18"/>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3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3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54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r>
      <w:tr>
        <w:tblPrEx>
          <w:tblCellMar>
            <w:top w:w="0" w:type="dxa"/>
            <w:left w:w="108" w:type="dxa"/>
            <w:bottom w:w="0" w:type="dxa"/>
            <w:right w:w="108" w:type="dxa"/>
          </w:tblCellMar>
        </w:tblPrEx>
        <w:trPr>
          <w:trHeight w:val="308" w:hRule="atLeast"/>
        </w:trPr>
        <w:tc>
          <w:tcPr>
            <w:tcW w:w="1431"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18"/>
                <w:szCs w:val="18"/>
              </w:rPr>
            </w:pPr>
          </w:p>
        </w:tc>
        <w:tc>
          <w:tcPr>
            <w:tcW w:w="410"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18"/>
                <w:szCs w:val="18"/>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3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3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54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r>
      <w:tr>
        <w:tblPrEx>
          <w:tblCellMar>
            <w:top w:w="0" w:type="dxa"/>
            <w:left w:w="108" w:type="dxa"/>
            <w:bottom w:w="0" w:type="dxa"/>
            <w:right w:w="108" w:type="dxa"/>
          </w:tblCellMar>
        </w:tblPrEx>
        <w:trPr>
          <w:trHeight w:val="308" w:hRule="atLeast"/>
        </w:trPr>
        <w:tc>
          <w:tcPr>
            <w:tcW w:w="1431"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18"/>
                <w:szCs w:val="18"/>
              </w:rPr>
            </w:pPr>
          </w:p>
        </w:tc>
        <w:tc>
          <w:tcPr>
            <w:tcW w:w="410"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18"/>
                <w:szCs w:val="18"/>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3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3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54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r>
      <w:tr>
        <w:tblPrEx>
          <w:tblCellMar>
            <w:top w:w="0" w:type="dxa"/>
            <w:left w:w="108" w:type="dxa"/>
            <w:bottom w:w="0" w:type="dxa"/>
            <w:right w:w="108" w:type="dxa"/>
          </w:tblCellMar>
        </w:tblPrEx>
        <w:trPr>
          <w:trHeight w:val="308" w:hRule="atLeast"/>
        </w:trPr>
        <w:tc>
          <w:tcPr>
            <w:tcW w:w="1431"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18"/>
                <w:szCs w:val="18"/>
              </w:rPr>
            </w:pPr>
          </w:p>
        </w:tc>
        <w:tc>
          <w:tcPr>
            <w:tcW w:w="410"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18"/>
                <w:szCs w:val="18"/>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3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3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54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r>
      <w:tr>
        <w:tblPrEx>
          <w:tblCellMar>
            <w:top w:w="0" w:type="dxa"/>
            <w:left w:w="108" w:type="dxa"/>
            <w:bottom w:w="0" w:type="dxa"/>
            <w:right w:w="108" w:type="dxa"/>
          </w:tblCellMar>
        </w:tblPrEx>
        <w:trPr>
          <w:trHeight w:val="308" w:hRule="atLeast"/>
        </w:trPr>
        <w:tc>
          <w:tcPr>
            <w:tcW w:w="1431"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18"/>
                <w:szCs w:val="18"/>
              </w:rPr>
            </w:pPr>
          </w:p>
        </w:tc>
        <w:tc>
          <w:tcPr>
            <w:tcW w:w="410"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18"/>
                <w:szCs w:val="18"/>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3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3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54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r>
      <w:tr>
        <w:tblPrEx>
          <w:tblCellMar>
            <w:top w:w="0" w:type="dxa"/>
            <w:left w:w="108" w:type="dxa"/>
            <w:bottom w:w="0" w:type="dxa"/>
            <w:right w:w="108" w:type="dxa"/>
          </w:tblCellMar>
        </w:tblPrEx>
        <w:trPr>
          <w:trHeight w:val="385" w:hRule="atLeast"/>
        </w:trPr>
        <w:tc>
          <w:tcPr>
            <w:tcW w:w="5000" w:type="pct"/>
            <w:gridSpan w:val="11"/>
            <w:tcBorders>
              <w:top w:val="nil"/>
              <w:left w:val="nil"/>
              <w:bottom w:val="nil"/>
              <w:right w:val="nil"/>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注：本表反映部门本年度取得的各项收入情况。</w:t>
            </w:r>
          </w:p>
        </w:tc>
      </w:tr>
      <w:tr>
        <w:tblPrEx>
          <w:tblCellMar>
            <w:top w:w="0" w:type="dxa"/>
            <w:left w:w="108" w:type="dxa"/>
            <w:bottom w:w="0" w:type="dxa"/>
            <w:right w:w="108" w:type="dxa"/>
          </w:tblCellMar>
        </w:tblPrEx>
        <w:trPr>
          <w:trHeight w:val="240" w:hRule="atLeast"/>
        </w:trPr>
        <w:tc>
          <w:tcPr>
            <w:tcW w:w="1140" w:type="pct"/>
            <w:tcBorders>
              <w:top w:val="nil"/>
              <w:left w:val="nil"/>
              <w:bottom w:val="nil"/>
              <w:right w:val="nil"/>
            </w:tcBorders>
            <w:noWrap/>
            <w:vAlign w:val="bottom"/>
          </w:tcPr>
          <w:p>
            <w:pPr>
              <w:rPr>
                <w:rFonts w:ascii="Arial" w:hAnsi="Arial" w:cs="Arial"/>
                <w:color w:val="000000"/>
                <w:sz w:val="18"/>
                <w:szCs w:val="18"/>
              </w:rPr>
            </w:pPr>
          </w:p>
        </w:tc>
        <w:tc>
          <w:tcPr>
            <w:tcW w:w="145" w:type="pct"/>
            <w:tcBorders>
              <w:top w:val="nil"/>
              <w:left w:val="nil"/>
              <w:bottom w:val="nil"/>
              <w:right w:val="nil"/>
            </w:tcBorders>
            <w:noWrap/>
            <w:vAlign w:val="bottom"/>
          </w:tcPr>
          <w:p>
            <w:pPr>
              <w:rPr>
                <w:rFonts w:ascii="Arial" w:hAnsi="Arial" w:cs="Arial"/>
                <w:color w:val="000000"/>
                <w:sz w:val="18"/>
                <w:szCs w:val="18"/>
              </w:rPr>
            </w:pPr>
          </w:p>
        </w:tc>
        <w:tc>
          <w:tcPr>
            <w:tcW w:w="145" w:type="pct"/>
            <w:tcBorders>
              <w:top w:val="nil"/>
              <w:left w:val="nil"/>
              <w:bottom w:val="nil"/>
              <w:right w:val="nil"/>
            </w:tcBorders>
            <w:noWrap/>
            <w:vAlign w:val="bottom"/>
          </w:tcPr>
          <w:p>
            <w:pPr>
              <w:rPr>
                <w:rFonts w:ascii="Arial" w:hAnsi="Arial" w:cs="Arial"/>
                <w:color w:val="000000"/>
                <w:sz w:val="18"/>
                <w:szCs w:val="18"/>
              </w:rPr>
            </w:pPr>
          </w:p>
        </w:tc>
        <w:tc>
          <w:tcPr>
            <w:tcW w:w="410" w:type="pct"/>
            <w:tcBorders>
              <w:top w:val="nil"/>
              <w:left w:val="nil"/>
              <w:bottom w:val="nil"/>
              <w:right w:val="nil"/>
            </w:tcBorders>
            <w:noWrap/>
            <w:vAlign w:val="bottom"/>
          </w:tcPr>
          <w:p>
            <w:pPr>
              <w:rPr>
                <w:rFonts w:ascii="Arial" w:hAnsi="Arial" w:cs="Arial"/>
                <w:color w:val="000000"/>
                <w:sz w:val="18"/>
                <w:szCs w:val="18"/>
              </w:rPr>
            </w:pPr>
          </w:p>
        </w:tc>
        <w:tc>
          <w:tcPr>
            <w:tcW w:w="477" w:type="pct"/>
            <w:tcBorders>
              <w:top w:val="nil"/>
              <w:left w:val="nil"/>
              <w:bottom w:val="nil"/>
              <w:right w:val="nil"/>
            </w:tcBorders>
            <w:noWrap/>
            <w:vAlign w:val="bottom"/>
          </w:tcPr>
          <w:p>
            <w:pPr>
              <w:rPr>
                <w:rFonts w:ascii="Arial" w:hAnsi="Arial" w:cs="Arial"/>
                <w:color w:val="000000"/>
                <w:sz w:val="18"/>
                <w:szCs w:val="18"/>
              </w:rPr>
            </w:pPr>
          </w:p>
        </w:tc>
        <w:tc>
          <w:tcPr>
            <w:tcW w:w="477" w:type="pct"/>
            <w:tcBorders>
              <w:top w:val="nil"/>
              <w:left w:val="nil"/>
              <w:bottom w:val="nil"/>
              <w:right w:val="nil"/>
            </w:tcBorders>
            <w:noWrap/>
            <w:vAlign w:val="bottom"/>
          </w:tcPr>
          <w:p>
            <w:pPr>
              <w:rPr>
                <w:rFonts w:ascii="Arial" w:hAnsi="Arial" w:cs="Arial"/>
                <w:color w:val="000000"/>
                <w:sz w:val="18"/>
                <w:szCs w:val="18"/>
              </w:rPr>
            </w:pPr>
          </w:p>
        </w:tc>
        <w:tc>
          <w:tcPr>
            <w:tcW w:w="477" w:type="pct"/>
            <w:tcBorders>
              <w:top w:val="nil"/>
              <w:left w:val="nil"/>
              <w:bottom w:val="nil"/>
              <w:right w:val="nil"/>
            </w:tcBorders>
            <w:noWrap/>
            <w:vAlign w:val="bottom"/>
          </w:tcPr>
          <w:p>
            <w:pPr>
              <w:rPr>
                <w:rFonts w:ascii="Arial" w:hAnsi="Arial" w:cs="Arial"/>
                <w:color w:val="000000"/>
                <w:sz w:val="18"/>
                <w:szCs w:val="18"/>
              </w:rPr>
            </w:pPr>
          </w:p>
        </w:tc>
        <w:tc>
          <w:tcPr>
            <w:tcW w:w="344" w:type="pct"/>
            <w:tcBorders>
              <w:top w:val="nil"/>
              <w:left w:val="nil"/>
              <w:bottom w:val="nil"/>
              <w:right w:val="nil"/>
            </w:tcBorders>
            <w:noWrap/>
            <w:vAlign w:val="bottom"/>
          </w:tcPr>
          <w:p>
            <w:pPr>
              <w:rPr>
                <w:rFonts w:ascii="Arial" w:hAnsi="Arial" w:cs="Arial"/>
                <w:color w:val="000000"/>
                <w:sz w:val="18"/>
                <w:szCs w:val="18"/>
              </w:rPr>
            </w:pPr>
          </w:p>
        </w:tc>
        <w:tc>
          <w:tcPr>
            <w:tcW w:w="344" w:type="pct"/>
            <w:tcBorders>
              <w:top w:val="nil"/>
              <w:left w:val="nil"/>
              <w:bottom w:val="nil"/>
              <w:right w:val="nil"/>
            </w:tcBorders>
            <w:noWrap/>
            <w:vAlign w:val="bottom"/>
          </w:tcPr>
          <w:p>
            <w:pPr>
              <w:rPr>
                <w:rFonts w:ascii="Arial" w:hAnsi="Arial" w:cs="Arial"/>
                <w:color w:val="000000"/>
                <w:sz w:val="18"/>
                <w:szCs w:val="18"/>
              </w:rPr>
            </w:pPr>
          </w:p>
        </w:tc>
        <w:tc>
          <w:tcPr>
            <w:tcW w:w="490" w:type="pct"/>
            <w:tcBorders>
              <w:top w:val="nil"/>
              <w:left w:val="nil"/>
              <w:bottom w:val="nil"/>
              <w:right w:val="nil"/>
            </w:tcBorders>
            <w:noWrap/>
            <w:vAlign w:val="bottom"/>
          </w:tcPr>
          <w:p>
            <w:pPr>
              <w:rPr>
                <w:rFonts w:ascii="Arial" w:hAnsi="Arial" w:cs="Arial"/>
                <w:color w:val="000000"/>
                <w:sz w:val="18"/>
                <w:szCs w:val="18"/>
              </w:rPr>
            </w:pPr>
          </w:p>
        </w:tc>
        <w:tc>
          <w:tcPr>
            <w:tcW w:w="546" w:type="pct"/>
            <w:tcBorders>
              <w:top w:val="nil"/>
              <w:left w:val="nil"/>
              <w:bottom w:val="nil"/>
              <w:right w:val="nil"/>
            </w:tcBorders>
            <w:noWrap/>
            <w:vAlign w:val="bottom"/>
          </w:tcPr>
          <w:p>
            <w:pPr>
              <w:rPr>
                <w:rFonts w:ascii="Arial" w:hAnsi="Arial" w:cs="Arial"/>
                <w:color w:val="000000"/>
                <w:sz w:val="18"/>
                <w:szCs w:val="18"/>
              </w:rPr>
            </w:pPr>
          </w:p>
        </w:tc>
      </w:tr>
      <w:tr>
        <w:tblPrEx>
          <w:tblCellMar>
            <w:top w:w="0" w:type="dxa"/>
            <w:left w:w="108" w:type="dxa"/>
            <w:bottom w:w="0" w:type="dxa"/>
            <w:right w:w="108" w:type="dxa"/>
          </w:tblCellMar>
        </w:tblPrEx>
        <w:trPr>
          <w:trHeight w:val="240" w:hRule="atLeast"/>
        </w:trPr>
        <w:tc>
          <w:tcPr>
            <w:tcW w:w="1140" w:type="pct"/>
            <w:tcBorders>
              <w:top w:val="nil"/>
              <w:left w:val="nil"/>
              <w:bottom w:val="nil"/>
              <w:right w:val="nil"/>
            </w:tcBorders>
            <w:noWrap/>
            <w:vAlign w:val="bottom"/>
          </w:tcPr>
          <w:p>
            <w:pPr>
              <w:rPr>
                <w:rFonts w:ascii="Arial" w:hAnsi="Arial" w:cs="Arial"/>
                <w:color w:val="000000"/>
                <w:sz w:val="18"/>
                <w:szCs w:val="18"/>
              </w:rPr>
            </w:pPr>
          </w:p>
        </w:tc>
        <w:tc>
          <w:tcPr>
            <w:tcW w:w="145" w:type="pct"/>
            <w:tcBorders>
              <w:top w:val="nil"/>
              <w:left w:val="nil"/>
              <w:bottom w:val="nil"/>
              <w:right w:val="nil"/>
            </w:tcBorders>
            <w:noWrap/>
            <w:vAlign w:val="bottom"/>
          </w:tcPr>
          <w:p>
            <w:pPr>
              <w:rPr>
                <w:rFonts w:ascii="Arial" w:hAnsi="Arial" w:cs="Arial"/>
                <w:color w:val="000000"/>
                <w:sz w:val="18"/>
                <w:szCs w:val="18"/>
              </w:rPr>
            </w:pPr>
          </w:p>
        </w:tc>
        <w:tc>
          <w:tcPr>
            <w:tcW w:w="145" w:type="pct"/>
            <w:tcBorders>
              <w:top w:val="nil"/>
              <w:left w:val="nil"/>
              <w:bottom w:val="nil"/>
              <w:right w:val="nil"/>
            </w:tcBorders>
            <w:noWrap/>
            <w:vAlign w:val="bottom"/>
          </w:tcPr>
          <w:p>
            <w:pPr>
              <w:rPr>
                <w:rFonts w:ascii="Arial" w:hAnsi="Arial" w:cs="Arial"/>
                <w:color w:val="000000"/>
                <w:sz w:val="18"/>
                <w:szCs w:val="18"/>
              </w:rPr>
            </w:pPr>
          </w:p>
        </w:tc>
        <w:tc>
          <w:tcPr>
            <w:tcW w:w="410" w:type="pct"/>
            <w:tcBorders>
              <w:top w:val="nil"/>
              <w:left w:val="nil"/>
              <w:bottom w:val="nil"/>
              <w:right w:val="nil"/>
            </w:tcBorders>
            <w:noWrap/>
            <w:vAlign w:val="bottom"/>
          </w:tcPr>
          <w:p>
            <w:pPr>
              <w:rPr>
                <w:rFonts w:ascii="Arial" w:hAnsi="Arial" w:cs="Arial"/>
                <w:color w:val="000000"/>
                <w:sz w:val="18"/>
                <w:szCs w:val="18"/>
              </w:rPr>
            </w:pPr>
          </w:p>
        </w:tc>
        <w:tc>
          <w:tcPr>
            <w:tcW w:w="477" w:type="pct"/>
            <w:tcBorders>
              <w:top w:val="nil"/>
              <w:left w:val="nil"/>
              <w:bottom w:val="nil"/>
              <w:right w:val="nil"/>
            </w:tcBorders>
            <w:noWrap/>
            <w:vAlign w:val="bottom"/>
          </w:tcPr>
          <w:p>
            <w:pPr>
              <w:rPr>
                <w:rFonts w:ascii="Arial" w:hAnsi="Arial" w:cs="Arial"/>
                <w:color w:val="000000"/>
                <w:sz w:val="18"/>
                <w:szCs w:val="18"/>
              </w:rPr>
            </w:pPr>
          </w:p>
        </w:tc>
        <w:tc>
          <w:tcPr>
            <w:tcW w:w="477" w:type="pct"/>
            <w:tcBorders>
              <w:top w:val="nil"/>
              <w:left w:val="nil"/>
              <w:bottom w:val="nil"/>
              <w:right w:val="nil"/>
            </w:tcBorders>
            <w:noWrap/>
            <w:vAlign w:val="bottom"/>
          </w:tcPr>
          <w:p>
            <w:pPr>
              <w:rPr>
                <w:rFonts w:ascii="Arial" w:hAnsi="Arial" w:cs="Arial"/>
                <w:color w:val="000000"/>
                <w:sz w:val="18"/>
                <w:szCs w:val="18"/>
              </w:rPr>
            </w:pPr>
          </w:p>
        </w:tc>
        <w:tc>
          <w:tcPr>
            <w:tcW w:w="477" w:type="pct"/>
            <w:tcBorders>
              <w:top w:val="nil"/>
              <w:left w:val="nil"/>
              <w:bottom w:val="nil"/>
              <w:right w:val="nil"/>
            </w:tcBorders>
            <w:noWrap/>
            <w:vAlign w:val="bottom"/>
          </w:tcPr>
          <w:p>
            <w:pPr>
              <w:widowControl/>
              <w:jc w:val="center"/>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 %d —</w:t>
            </w:r>
          </w:p>
        </w:tc>
        <w:tc>
          <w:tcPr>
            <w:tcW w:w="344" w:type="pct"/>
            <w:tcBorders>
              <w:top w:val="nil"/>
              <w:left w:val="nil"/>
              <w:bottom w:val="nil"/>
              <w:right w:val="nil"/>
            </w:tcBorders>
            <w:noWrap/>
            <w:vAlign w:val="bottom"/>
          </w:tcPr>
          <w:p>
            <w:pPr>
              <w:rPr>
                <w:rFonts w:ascii="Arial" w:hAnsi="Arial" w:cs="Arial"/>
                <w:color w:val="000000"/>
                <w:sz w:val="18"/>
                <w:szCs w:val="18"/>
              </w:rPr>
            </w:pPr>
          </w:p>
        </w:tc>
        <w:tc>
          <w:tcPr>
            <w:tcW w:w="344" w:type="pct"/>
            <w:tcBorders>
              <w:top w:val="nil"/>
              <w:left w:val="nil"/>
              <w:bottom w:val="nil"/>
              <w:right w:val="nil"/>
            </w:tcBorders>
            <w:noWrap/>
            <w:vAlign w:val="bottom"/>
          </w:tcPr>
          <w:p>
            <w:pPr>
              <w:rPr>
                <w:rFonts w:ascii="Arial" w:hAnsi="Arial" w:cs="Arial"/>
                <w:color w:val="000000"/>
                <w:sz w:val="18"/>
                <w:szCs w:val="18"/>
              </w:rPr>
            </w:pPr>
          </w:p>
        </w:tc>
        <w:tc>
          <w:tcPr>
            <w:tcW w:w="490" w:type="pct"/>
            <w:tcBorders>
              <w:top w:val="nil"/>
              <w:left w:val="nil"/>
              <w:bottom w:val="nil"/>
              <w:right w:val="nil"/>
            </w:tcBorders>
            <w:noWrap/>
            <w:vAlign w:val="bottom"/>
          </w:tcPr>
          <w:p>
            <w:pPr>
              <w:rPr>
                <w:rFonts w:ascii="Arial" w:hAnsi="Arial" w:cs="Arial"/>
                <w:color w:val="000000"/>
                <w:sz w:val="18"/>
                <w:szCs w:val="18"/>
              </w:rPr>
            </w:pPr>
          </w:p>
        </w:tc>
        <w:tc>
          <w:tcPr>
            <w:tcW w:w="546" w:type="pct"/>
            <w:tcBorders>
              <w:top w:val="nil"/>
              <w:left w:val="nil"/>
              <w:bottom w:val="nil"/>
              <w:right w:val="nil"/>
            </w:tcBorders>
            <w:noWrap/>
            <w:vAlign w:val="bottom"/>
          </w:tcPr>
          <w:p>
            <w:pPr>
              <w:rPr>
                <w:rFonts w:ascii="Arial" w:hAnsi="Arial" w:cs="Arial"/>
                <w:color w:val="000000"/>
                <w:sz w:val="18"/>
                <w:szCs w:val="18"/>
              </w:rPr>
            </w:pPr>
          </w:p>
        </w:tc>
      </w:tr>
    </w:tbl>
    <w:p>
      <w:pPr>
        <w:autoSpaceDE w:val="0"/>
        <w:autoSpaceDN w:val="0"/>
        <w:adjustRightInd w:val="0"/>
        <w:spacing w:line="360" w:lineRule="auto"/>
        <w:jc w:val="left"/>
      </w:pPr>
    </w:p>
    <w:p>
      <w:pPr>
        <w:autoSpaceDE w:val="0"/>
        <w:autoSpaceDN w:val="0"/>
        <w:adjustRightInd w:val="0"/>
        <w:spacing w:line="360" w:lineRule="auto"/>
        <w:jc w:val="left"/>
      </w:pPr>
    </w:p>
    <w:tbl>
      <w:tblPr>
        <w:tblStyle w:val="3"/>
        <w:tblW w:w="5000" w:type="pct"/>
        <w:tblInd w:w="0" w:type="dxa"/>
        <w:tblLayout w:type="fixed"/>
        <w:tblCellMar>
          <w:top w:w="0" w:type="dxa"/>
          <w:left w:w="108" w:type="dxa"/>
          <w:bottom w:w="0" w:type="dxa"/>
          <w:right w:w="108" w:type="dxa"/>
        </w:tblCellMar>
      </w:tblPr>
      <w:tblGrid>
        <w:gridCol w:w="1091"/>
        <w:gridCol w:w="682"/>
        <w:gridCol w:w="722"/>
        <w:gridCol w:w="1323"/>
        <w:gridCol w:w="982"/>
        <w:gridCol w:w="926"/>
        <w:gridCol w:w="656"/>
        <w:gridCol w:w="695"/>
        <w:gridCol w:w="723"/>
        <w:gridCol w:w="722"/>
      </w:tblGrid>
      <w:tr>
        <w:tblPrEx>
          <w:tblCellMar>
            <w:top w:w="0" w:type="dxa"/>
            <w:left w:w="108" w:type="dxa"/>
            <w:bottom w:w="0" w:type="dxa"/>
            <w:right w:w="108" w:type="dxa"/>
          </w:tblCellMar>
        </w:tblPrEx>
        <w:trPr>
          <w:trHeight w:val="540" w:hRule="atLeast"/>
        </w:trPr>
        <w:tc>
          <w:tcPr>
            <w:tcW w:w="5000" w:type="pct"/>
            <w:gridSpan w:val="10"/>
            <w:tcBorders>
              <w:top w:val="nil"/>
              <w:left w:val="nil"/>
              <w:bottom w:val="nil"/>
              <w:right w:val="nil"/>
            </w:tcBorders>
            <w:noWrap/>
            <w:vAlign w:val="bottom"/>
          </w:tcPr>
          <w:p>
            <w:pPr>
              <w:widowControl/>
              <w:jc w:val="center"/>
              <w:textAlignment w:val="bottom"/>
              <w:rPr>
                <w:rFonts w:hint="eastAsia" w:ascii="宋体" w:hAnsi="宋体" w:cs="宋体"/>
                <w:color w:val="000000"/>
                <w:sz w:val="44"/>
                <w:szCs w:val="44"/>
              </w:rPr>
            </w:pPr>
            <w:r>
              <w:rPr>
                <w:rFonts w:hint="eastAsia" w:ascii="宋体" w:hAnsi="宋体" w:cs="宋体"/>
                <w:bCs/>
                <w:sz w:val="44"/>
                <w:szCs w:val="44"/>
              </w:rPr>
              <w:t>支出决算表</w:t>
            </w:r>
          </w:p>
        </w:tc>
      </w:tr>
      <w:tr>
        <w:tblPrEx>
          <w:tblCellMar>
            <w:top w:w="0" w:type="dxa"/>
            <w:left w:w="108" w:type="dxa"/>
            <w:bottom w:w="0" w:type="dxa"/>
            <w:right w:w="108" w:type="dxa"/>
          </w:tblCellMar>
        </w:tblPrEx>
        <w:trPr>
          <w:trHeight w:val="255" w:hRule="atLeast"/>
        </w:trPr>
        <w:tc>
          <w:tcPr>
            <w:tcW w:w="640" w:type="pct"/>
            <w:tcBorders>
              <w:top w:val="nil"/>
              <w:left w:val="nil"/>
              <w:bottom w:val="nil"/>
              <w:right w:val="nil"/>
            </w:tcBorders>
            <w:noWrap/>
            <w:vAlign w:val="bottom"/>
          </w:tcPr>
          <w:p>
            <w:pPr>
              <w:rPr>
                <w:rFonts w:hint="eastAsia" w:ascii="Arial" w:hAnsi="Arial" w:cs="Arial"/>
                <w:color w:val="000000"/>
                <w:sz w:val="20"/>
                <w:szCs w:val="20"/>
              </w:rPr>
            </w:pPr>
          </w:p>
        </w:tc>
        <w:tc>
          <w:tcPr>
            <w:tcW w:w="400" w:type="pct"/>
            <w:tcBorders>
              <w:top w:val="nil"/>
              <w:left w:val="nil"/>
              <w:bottom w:val="nil"/>
              <w:right w:val="nil"/>
            </w:tcBorders>
            <w:noWrap/>
            <w:vAlign w:val="bottom"/>
          </w:tcPr>
          <w:p>
            <w:pPr>
              <w:rPr>
                <w:rFonts w:ascii="Arial" w:hAnsi="Arial" w:cs="Arial"/>
                <w:color w:val="000000"/>
                <w:sz w:val="20"/>
                <w:szCs w:val="20"/>
              </w:rPr>
            </w:pPr>
          </w:p>
        </w:tc>
        <w:tc>
          <w:tcPr>
            <w:tcW w:w="423" w:type="pct"/>
            <w:tcBorders>
              <w:top w:val="nil"/>
              <w:left w:val="nil"/>
              <w:bottom w:val="nil"/>
              <w:right w:val="nil"/>
            </w:tcBorders>
            <w:noWrap/>
            <w:vAlign w:val="bottom"/>
          </w:tcPr>
          <w:p>
            <w:pPr>
              <w:rPr>
                <w:rFonts w:ascii="Arial" w:hAnsi="Arial" w:cs="Arial"/>
                <w:color w:val="000000"/>
                <w:sz w:val="20"/>
                <w:szCs w:val="20"/>
              </w:rPr>
            </w:pPr>
          </w:p>
        </w:tc>
        <w:tc>
          <w:tcPr>
            <w:tcW w:w="776" w:type="pct"/>
            <w:tcBorders>
              <w:top w:val="nil"/>
              <w:left w:val="nil"/>
              <w:bottom w:val="nil"/>
              <w:right w:val="nil"/>
            </w:tcBorders>
            <w:noWrap/>
            <w:vAlign w:val="bottom"/>
          </w:tcPr>
          <w:p>
            <w:pPr>
              <w:rPr>
                <w:rFonts w:ascii="Arial" w:hAnsi="Arial" w:cs="Arial"/>
                <w:color w:val="000000"/>
                <w:sz w:val="20"/>
                <w:szCs w:val="20"/>
              </w:rPr>
            </w:pPr>
          </w:p>
        </w:tc>
        <w:tc>
          <w:tcPr>
            <w:tcW w:w="576" w:type="pct"/>
            <w:tcBorders>
              <w:top w:val="nil"/>
              <w:left w:val="nil"/>
              <w:bottom w:val="nil"/>
              <w:right w:val="nil"/>
            </w:tcBorders>
            <w:noWrap/>
            <w:vAlign w:val="bottom"/>
          </w:tcPr>
          <w:p>
            <w:pPr>
              <w:rPr>
                <w:rFonts w:ascii="Arial" w:hAnsi="Arial" w:cs="Arial"/>
                <w:color w:val="000000"/>
                <w:sz w:val="20"/>
                <w:szCs w:val="20"/>
              </w:rPr>
            </w:pPr>
          </w:p>
        </w:tc>
        <w:tc>
          <w:tcPr>
            <w:tcW w:w="543" w:type="pct"/>
            <w:tcBorders>
              <w:top w:val="nil"/>
              <w:left w:val="nil"/>
              <w:bottom w:val="nil"/>
              <w:right w:val="nil"/>
            </w:tcBorders>
            <w:noWrap/>
            <w:vAlign w:val="bottom"/>
          </w:tcPr>
          <w:p>
            <w:pPr>
              <w:rPr>
                <w:rFonts w:ascii="Arial" w:hAnsi="Arial" w:cs="Arial"/>
                <w:color w:val="000000"/>
                <w:sz w:val="20"/>
                <w:szCs w:val="20"/>
              </w:rPr>
            </w:pPr>
          </w:p>
        </w:tc>
        <w:tc>
          <w:tcPr>
            <w:tcW w:w="384" w:type="pct"/>
            <w:tcBorders>
              <w:top w:val="nil"/>
              <w:left w:val="nil"/>
              <w:bottom w:val="nil"/>
              <w:right w:val="nil"/>
            </w:tcBorders>
            <w:noWrap/>
            <w:vAlign w:val="bottom"/>
          </w:tcPr>
          <w:p>
            <w:pPr>
              <w:rPr>
                <w:rFonts w:ascii="Arial" w:hAnsi="Arial" w:cs="Arial"/>
                <w:color w:val="000000"/>
                <w:sz w:val="20"/>
                <w:szCs w:val="20"/>
              </w:rPr>
            </w:pPr>
          </w:p>
        </w:tc>
        <w:tc>
          <w:tcPr>
            <w:tcW w:w="407" w:type="pct"/>
            <w:tcBorders>
              <w:top w:val="nil"/>
              <w:left w:val="nil"/>
              <w:bottom w:val="nil"/>
              <w:right w:val="nil"/>
            </w:tcBorders>
            <w:noWrap/>
            <w:vAlign w:val="bottom"/>
          </w:tcPr>
          <w:p>
            <w:pPr>
              <w:rPr>
                <w:rFonts w:ascii="Arial" w:hAnsi="Arial" w:cs="Arial"/>
                <w:color w:val="000000"/>
                <w:sz w:val="20"/>
                <w:szCs w:val="20"/>
              </w:rPr>
            </w:pPr>
          </w:p>
        </w:tc>
        <w:tc>
          <w:tcPr>
            <w:tcW w:w="847" w:type="pct"/>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公开03表</w:t>
            </w:r>
          </w:p>
        </w:tc>
      </w:tr>
      <w:tr>
        <w:tblPrEx>
          <w:tblCellMar>
            <w:top w:w="0" w:type="dxa"/>
            <w:left w:w="108" w:type="dxa"/>
            <w:bottom w:w="0" w:type="dxa"/>
            <w:right w:w="108" w:type="dxa"/>
          </w:tblCellMar>
        </w:tblPrEx>
        <w:trPr>
          <w:trHeight w:val="255" w:hRule="atLeast"/>
        </w:trPr>
        <w:tc>
          <w:tcPr>
            <w:tcW w:w="2240" w:type="pct"/>
            <w:gridSpan w:val="4"/>
            <w:tcBorders>
              <w:top w:val="nil"/>
              <w:left w:val="nil"/>
              <w:bottom w:val="nil"/>
              <w:right w:val="nil"/>
            </w:tcBorders>
            <w:noWrap/>
            <w:vAlign w:val="bottom"/>
          </w:tcPr>
          <w:p>
            <w:pPr>
              <w:rPr>
                <w:rFonts w:ascii="Arial" w:hAnsi="Arial" w:cs="Arial"/>
                <w:color w:val="000000"/>
                <w:sz w:val="20"/>
                <w:szCs w:val="20"/>
              </w:rPr>
            </w:pPr>
            <w:r>
              <w:rPr>
                <w:rFonts w:hint="eastAsia" w:ascii="宋体" w:hAnsi="宋体" w:cs="宋体"/>
                <w:color w:val="000000"/>
                <w:kern w:val="0"/>
                <w:sz w:val="20"/>
                <w:szCs w:val="20"/>
                <w:lang w:bidi="ar"/>
              </w:rPr>
              <w:t>编制单位：宁都县东韶乡中心幼儿园</w:t>
            </w:r>
          </w:p>
        </w:tc>
        <w:tc>
          <w:tcPr>
            <w:tcW w:w="1119" w:type="pct"/>
            <w:gridSpan w:val="2"/>
            <w:tcBorders>
              <w:top w:val="nil"/>
              <w:left w:val="nil"/>
              <w:bottom w:val="nil"/>
              <w:right w:val="nil"/>
            </w:tcBorders>
            <w:noWrap/>
            <w:vAlign w:val="bottom"/>
          </w:tcPr>
          <w:p>
            <w:pPr>
              <w:widowControl/>
              <w:jc w:val="center"/>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2021年度</w:t>
            </w:r>
          </w:p>
        </w:tc>
        <w:tc>
          <w:tcPr>
            <w:tcW w:w="384" w:type="pct"/>
            <w:tcBorders>
              <w:top w:val="nil"/>
              <w:left w:val="nil"/>
              <w:bottom w:val="nil"/>
              <w:right w:val="nil"/>
            </w:tcBorders>
            <w:noWrap/>
            <w:vAlign w:val="bottom"/>
          </w:tcPr>
          <w:p>
            <w:pPr>
              <w:rPr>
                <w:rFonts w:ascii="Arial" w:hAnsi="Arial" w:cs="Arial"/>
                <w:color w:val="000000"/>
                <w:sz w:val="20"/>
                <w:szCs w:val="20"/>
              </w:rPr>
            </w:pPr>
          </w:p>
        </w:tc>
        <w:tc>
          <w:tcPr>
            <w:tcW w:w="1255" w:type="pct"/>
            <w:gridSpan w:val="3"/>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2240"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    目</w:t>
            </w:r>
          </w:p>
        </w:tc>
        <w:tc>
          <w:tcPr>
            <w:tcW w:w="576"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本年支出合计</w:t>
            </w:r>
          </w:p>
        </w:tc>
        <w:tc>
          <w:tcPr>
            <w:tcW w:w="543"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384"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c>
          <w:tcPr>
            <w:tcW w:w="407"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上缴上级支出</w:t>
            </w:r>
          </w:p>
        </w:tc>
        <w:tc>
          <w:tcPr>
            <w:tcW w:w="424"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经营支出</w:t>
            </w:r>
          </w:p>
        </w:tc>
        <w:tc>
          <w:tcPr>
            <w:tcW w:w="423"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对附属单位补助支出</w:t>
            </w:r>
          </w:p>
        </w:tc>
      </w:tr>
      <w:tr>
        <w:tblPrEx>
          <w:tblCellMar>
            <w:top w:w="0" w:type="dxa"/>
            <w:left w:w="108" w:type="dxa"/>
            <w:bottom w:w="0" w:type="dxa"/>
            <w:right w:w="108" w:type="dxa"/>
          </w:tblCellMar>
        </w:tblPrEx>
        <w:trPr>
          <w:trHeight w:val="312" w:hRule="atLeast"/>
        </w:trPr>
        <w:tc>
          <w:tcPr>
            <w:tcW w:w="1463" w:type="pct"/>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支出功能分类科目编码</w:t>
            </w:r>
          </w:p>
        </w:tc>
        <w:tc>
          <w:tcPr>
            <w:tcW w:w="776" w:type="pct"/>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576"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543"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38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407"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42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423"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12" w:hRule="atLeast"/>
        </w:trPr>
        <w:tc>
          <w:tcPr>
            <w:tcW w:w="1463"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77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22"/>
              </w:rPr>
            </w:pPr>
          </w:p>
        </w:tc>
        <w:tc>
          <w:tcPr>
            <w:tcW w:w="576"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543"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38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407"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42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423"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12" w:hRule="atLeast"/>
        </w:trPr>
        <w:tc>
          <w:tcPr>
            <w:tcW w:w="1463"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77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22"/>
              </w:rPr>
            </w:pPr>
          </w:p>
        </w:tc>
        <w:tc>
          <w:tcPr>
            <w:tcW w:w="576"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543"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38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407"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42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423"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640" w:type="pct"/>
            <w:vMerge w:val="restar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类</w:t>
            </w:r>
          </w:p>
        </w:tc>
        <w:tc>
          <w:tcPr>
            <w:tcW w:w="400" w:type="pct"/>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款</w:t>
            </w:r>
          </w:p>
        </w:tc>
        <w:tc>
          <w:tcPr>
            <w:tcW w:w="423" w:type="pct"/>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w:t>
            </w:r>
          </w:p>
        </w:tc>
        <w:tc>
          <w:tcPr>
            <w:tcW w:w="7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5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543"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384"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407"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424"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423"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r>
      <w:tr>
        <w:tblPrEx>
          <w:tblCellMar>
            <w:top w:w="0" w:type="dxa"/>
            <w:left w:w="108" w:type="dxa"/>
            <w:bottom w:w="0" w:type="dxa"/>
            <w:right w:w="108" w:type="dxa"/>
          </w:tblCellMar>
        </w:tblPrEx>
        <w:trPr>
          <w:trHeight w:val="308" w:hRule="atLeast"/>
        </w:trPr>
        <w:tc>
          <w:tcPr>
            <w:tcW w:w="640"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22"/>
              </w:rPr>
            </w:pPr>
          </w:p>
        </w:tc>
        <w:tc>
          <w:tcPr>
            <w:tcW w:w="40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22"/>
              </w:rPr>
            </w:pPr>
          </w:p>
        </w:tc>
        <w:tc>
          <w:tcPr>
            <w:tcW w:w="423"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22"/>
              </w:rPr>
            </w:pPr>
          </w:p>
        </w:tc>
        <w:tc>
          <w:tcPr>
            <w:tcW w:w="7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576"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119.84</w:t>
            </w:r>
          </w:p>
        </w:tc>
        <w:tc>
          <w:tcPr>
            <w:tcW w:w="543"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119.84</w:t>
            </w:r>
          </w:p>
        </w:tc>
        <w:tc>
          <w:tcPr>
            <w:tcW w:w="384"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24"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23"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463" w:type="pct"/>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205</w:t>
            </w:r>
          </w:p>
        </w:tc>
        <w:tc>
          <w:tcPr>
            <w:tcW w:w="77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教育支出</w:t>
            </w:r>
          </w:p>
        </w:tc>
        <w:tc>
          <w:tcPr>
            <w:tcW w:w="576"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119.84</w:t>
            </w:r>
          </w:p>
        </w:tc>
        <w:tc>
          <w:tcPr>
            <w:tcW w:w="543"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119.84</w:t>
            </w:r>
          </w:p>
        </w:tc>
        <w:tc>
          <w:tcPr>
            <w:tcW w:w="384"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24"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23"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463" w:type="pct"/>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20502</w:t>
            </w:r>
          </w:p>
        </w:tc>
        <w:tc>
          <w:tcPr>
            <w:tcW w:w="77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普通教育</w:t>
            </w:r>
          </w:p>
        </w:tc>
        <w:tc>
          <w:tcPr>
            <w:tcW w:w="576"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119.84</w:t>
            </w:r>
          </w:p>
        </w:tc>
        <w:tc>
          <w:tcPr>
            <w:tcW w:w="543"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119.84</w:t>
            </w:r>
          </w:p>
        </w:tc>
        <w:tc>
          <w:tcPr>
            <w:tcW w:w="384"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24"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23"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463" w:type="pct"/>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2050201</w:t>
            </w:r>
          </w:p>
        </w:tc>
        <w:tc>
          <w:tcPr>
            <w:tcW w:w="77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学前教育</w:t>
            </w:r>
          </w:p>
        </w:tc>
        <w:tc>
          <w:tcPr>
            <w:tcW w:w="576"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119.84</w:t>
            </w:r>
          </w:p>
        </w:tc>
        <w:tc>
          <w:tcPr>
            <w:tcW w:w="543"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119.84</w:t>
            </w:r>
          </w:p>
        </w:tc>
        <w:tc>
          <w:tcPr>
            <w:tcW w:w="384"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24"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23"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CellMar>
            <w:top w:w="0" w:type="dxa"/>
            <w:left w:w="108" w:type="dxa"/>
            <w:bottom w:w="0" w:type="dxa"/>
            <w:right w:w="108" w:type="dxa"/>
          </w:tblCellMar>
        </w:tblPrEx>
        <w:trPr>
          <w:trHeight w:val="308" w:hRule="atLeast"/>
        </w:trPr>
        <w:tc>
          <w:tcPr>
            <w:tcW w:w="1463"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776"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5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0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2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463"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776"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5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0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2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54" w:hRule="atLeast"/>
        </w:trPr>
        <w:tc>
          <w:tcPr>
            <w:tcW w:w="5000" w:type="pct"/>
            <w:gridSpan w:val="10"/>
            <w:tcBorders>
              <w:top w:val="nil"/>
              <w:left w:val="nil"/>
              <w:bottom w:val="nil"/>
              <w:right w:val="nil"/>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注：本表反映部门本年度各项支出情况。</w:t>
            </w:r>
          </w:p>
        </w:tc>
      </w:tr>
      <w:tr>
        <w:tblPrEx>
          <w:tblCellMar>
            <w:top w:w="0" w:type="dxa"/>
            <w:left w:w="108" w:type="dxa"/>
            <w:bottom w:w="0" w:type="dxa"/>
            <w:right w:w="108" w:type="dxa"/>
          </w:tblCellMar>
        </w:tblPrEx>
        <w:trPr>
          <w:trHeight w:val="255" w:hRule="atLeast"/>
        </w:trPr>
        <w:tc>
          <w:tcPr>
            <w:tcW w:w="640" w:type="pct"/>
            <w:tcBorders>
              <w:top w:val="nil"/>
              <w:left w:val="nil"/>
              <w:bottom w:val="nil"/>
              <w:right w:val="nil"/>
            </w:tcBorders>
            <w:noWrap/>
            <w:vAlign w:val="bottom"/>
          </w:tcPr>
          <w:p>
            <w:pPr>
              <w:rPr>
                <w:rFonts w:ascii="Arial" w:hAnsi="Arial" w:cs="Arial"/>
                <w:color w:val="000000"/>
                <w:sz w:val="20"/>
                <w:szCs w:val="20"/>
              </w:rPr>
            </w:pPr>
          </w:p>
        </w:tc>
        <w:tc>
          <w:tcPr>
            <w:tcW w:w="400" w:type="pct"/>
            <w:tcBorders>
              <w:top w:val="nil"/>
              <w:left w:val="nil"/>
              <w:bottom w:val="nil"/>
              <w:right w:val="nil"/>
            </w:tcBorders>
            <w:noWrap/>
            <w:vAlign w:val="bottom"/>
          </w:tcPr>
          <w:p>
            <w:pPr>
              <w:rPr>
                <w:rFonts w:ascii="Arial" w:hAnsi="Arial" w:cs="Arial"/>
                <w:color w:val="000000"/>
                <w:sz w:val="20"/>
                <w:szCs w:val="20"/>
              </w:rPr>
            </w:pPr>
          </w:p>
        </w:tc>
        <w:tc>
          <w:tcPr>
            <w:tcW w:w="423" w:type="pct"/>
            <w:tcBorders>
              <w:top w:val="nil"/>
              <w:left w:val="nil"/>
              <w:bottom w:val="nil"/>
              <w:right w:val="nil"/>
            </w:tcBorders>
            <w:noWrap/>
            <w:vAlign w:val="bottom"/>
          </w:tcPr>
          <w:p>
            <w:pPr>
              <w:rPr>
                <w:rFonts w:ascii="Arial" w:hAnsi="Arial" w:cs="Arial"/>
                <w:color w:val="000000"/>
                <w:sz w:val="20"/>
                <w:szCs w:val="20"/>
              </w:rPr>
            </w:pPr>
          </w:p>
        </w:tc>
        <w:tc>
          <w:tcPr>
            <w:tcW w:w="776" w:type="pct"/>
            <w:tcBorders>
              <w:top w:val="nil"/>
              <w:left w:val="nil"/>
              <w:bottom w:val="nil"/>
              <w:right w:val="nil"/>
            </w:tcBorders>
            <w:noWrap/>
            <w:vAlign w:val="bottom"/>
          </w:tcPr>
          <w:p>
            <w:pPr>
              <w:rPr>
                <w:rFonts w:ascii="Arial" w:hAnsi="Arial" w:cs="Arial"/>
                <w:color w:val="000000"/>
                <w:sz w:val="20"/>
                <w:szCs w:val="20"/>
              </w:rPr>
            </w:pPr>
          </w:p>
        </w:tc>
        <w:tc>
          <w:tcPr>
            <w:tcW w:w="576" w:type="pct"/>
            <w:tcBorders>
              <w:top w:val="nil"/>
              <w:left w:val="nil"/>
              <w:bottom w:val="nil"/>
              <w:right w:val="nil"/>
            </w:tcBorders>
            <w:noWrap/>
            <w:vAlign w:val="bottom"/>
          </w:tcPr>
          <w:p>
            <w:pPr>
              <w:rPr>
                <w:rFonts w:ascii="Arial" w:hAnsi="Arial" w:cs="Arial"/>
                <w:color w:val="000000"/>
                <w:sz w:val="20"/>
                <w:szCs w:val="20"/>
              </w:rPr>
            </w:pPr>
          </w:p>
        </w:tc>
        <w:tc>
          <w:tcPr>
            <w:tcW w:w="543" w:type="pct"/>
            <w:tcBorders>
              <w:top w:val="nil"/>
              <w:left w:val="nil"/>
              <w:bottom w:val="nil"/>
              <w:right w:val="nil"/>
            </w:tcBorders>
            <w:noWrap/>
            <w:vAlign w:val="bottom"/>
          </w:tcPr>
          <w:p>
            <w:pPr>
              <w:rPr>
                <w:rFonts w:ascii="Arial" w:hAnsi="Arial" w:cs="Arial"/>
                <w:color w:val="000000"/>
                <w:sz w:val="20"/>
                <w:szCs w:val="20"/>
              </w:rPr>
            </w:pPr>
          </w:p>
        </w:tc>
        <w:tc>
          <w:tcPr>
            <w:tcW w:w="384" w:type="pct"/>
            <w:tcBorders>
              <w:top w:val="nil"/>
              <w:left w:val="nil"/>
              <w:bottom w:val="nil"/>
              <w:right w:val="nil"/>
            </w:tcBorders>
            <w:noWrap/>
            <w:vAlign w:val="bottom"/>
          </w:tcPr>
          <w:p>
            <w:pPr>
              <w:rPr>
                <w:rFonts w:ascii="Arial" w:hAnsi="Arial" w:cs="Arial"/>
                <w:color w:val="000000"/>
                <w:sz w:val="20"/>
                <w:szCs w:val="20"/>
              </w:rPr>
            </w:pPr>
          </w:p>
        </w:tc>
        <w:tc>
          <w:tcPr>
            <w:tcW w:w="407" w:type="pct"/>
            <w:tcBorders>
              <w:top w:val="nil"/>
              <w:left w:val="nil"/>
              <w:bottom w:val="nil"/>
              <w:right w:val="nil"/>
            </w:tcBorders>
            <w:noWrap/>
            <w:vAlign w:val="bottom"/>
          </w:tcPr>
          <w:p>
            <w:pPr>
              <w:rPr>
                <w:rFonts w:ascii="Arial" w:hAnsi="Arial" w:cs="Arial"/>
                <w:color w:val="000000"/>
                <w:sz w:val="20"/>
                <w:szCs w:val="20"/>
              </w:rPr>
            </w:pPr>
          </w:p>
        </w:tc>
        <w:tc>
          <w:tcPr>
            <w:tcW w:w="424" w:type="pct"/>
            <w:tcBorders>
              <w:top w:val="nil"/>
              <w:left w:val="nil"/>
              <w:bottom w:val="nil"/>
              <w:right w:val="nil"/>
            </w:tcBorders>
            <w:noWrap/>
            <w:vAlign w:val="bottom"/>
          </w:tcPr>
          <w:p>
            <w:pPr>
              <w:rPr>
                <w:rFonts w:ascii="Arial" w:hAnsi="Arial" w:cs="Arial"/>
                <w:color w:val="000000"/>
                <w:sz w:val="20"/>
                <w:szCs w:val="20"/>
              </w:rPr>
            </w:pPr>
          </w:p>
        </w:tc>
        <w:tc>
          <w:tcPr>
            <w:tcW w:w="423" w:type="pct"/>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255" w:hRule="atLeast"/>
        </w:trPr>
        <w:tc>
          <w:tcPr>
            <w:tcW w:w="640" w:type="pct"/>
            <w:tcBorders>
              <w:top w:val="nil"/>
              <w:left w:val="nil"/>
              <w:bottom w:val="nil"/>
              <w:right w:val="nil"/>
            </w:tcBorders>
            <w:noWrap/>
            <w:vAlign w:val="bottom"/>
          </w:tcPr>
          <w:p>
            <w:pPr>
              <w:rPr>
                <w:rFonts w:ascii="Arial" w:hAnsi="Arial" w:cs="Arial"/>
                <w:color w:val="000000"/>
                <w:sz w:val="20"/>
                <w:szCs w:val="20"/>
              </w:rPr>
            </w:pPr>
          </w:p>
        </w:tc>
        <w:tc>
          <w:tcPr>
            <w:tcW w:w="400" w:type="pct"/>
            <w:tcBorders>
              <w:top w:val="nil"/>
              <w:left w:val="nil"/>
              <w:bottom w:val="nil"/>
              <w:right w:val="nil"/>
            </w:tcBorders>
            <w:noWrap/>
            <w:vAlign w:val="bottom"/>
          </w:tcPr>
          <w:p>
            <w:pPr>
              <w:rPr>
                <w:rFonts w:ascii="Arial" w:hAnsi="Arial" w:cs="Arial"/>
                <w:color w:val="000000"/>
                <w:sz w:val="20"/>
                <w:szCs w:val="20"/>
              </w:rPr>
            </w:pPr>
          </w:p>
        </w:tc>
        <w:tc>
          <w:tcPr>
            <w:tcW w:w="423" w:type="pct"/>
            <w:tcBorders>
              <w:top w:val="nil"/>
              <w:left w:val="nil"/>
              <w:bottom w:val="nil"/>
              <w:right w:val="nil"/>
            </w:tcBorders>
            <w:noWrap/>
            <w:vAlign w:val="bottom"/>
          </w:tcPr>
          <w:p>
            <w:pPr>
              <w:rPr>
                <w:rFonts w:ascii="Arial" w:hAnsi="Arial" w:cs="Arial"/>
                <w:color w:val="000000"/>
                <w:sz w:val="20"/>
                <w:szCs w:val="20"/>
              </w:rPr>
            </w:pPr>
          </w:p>
        </w:tc>
        <w:tc>
          <w:tcPr>
            <w:tcW w:w="776" w:type="pct"/>
            <w:tcBorders>
              <w:top w:val="nil"/>
              <w:left w:val="nil"/>
              <w:bottom w:val="nil"/>
              <w:right w:val="nil"/>
            </w:tcBorders>
            <w:noWrap/>
            <w:vAlign w:val="bottom"/>
          </w:tcPr>
          <w:p>
            <w:pPr>
              <w:rPr>
                <w:rFonts w:ascii="Arial" w:hAnsi="Arial" w:cs="Arial"/>
                <w:color w:val="000000"/>
                <w:sz w:val="20"/>
                <w:szCs w:val="20"/>
              </w:rPr>
            </w:pPr>
          </w:p>
        </w:tc>
        <w:tc>
          <w:tcPr>
            <w:tcW w:w="576" w:type="pct"/>
            <w:tcBorders>
              <w:top w:val="nil"/>
              <w:left w:val="nil"/>
              <w:bottom w:val="nil"/>
              <w:right w:val="nil"/>
            </w:tcBorders>
            <w:noWrap/>
            <w:vAlign w:val="bottom"/>
          </w:tcPr>
          <w:p>
            <w:pPr>
              <w:rPr>
                <w:rFonts w:ascii="Arial" w:hAnsi="Arial" w:cs="Arial"/>
                <w:color w:val="000000"/>
                <w:sz w:val="20"/>
                <w:szCs w:val="20"/>
              </w:rPr>
            </w:pPr>
          </w:p>
        </w:tc>
        <w:tc>
          <w:tcPr>
            <w:tcW w:w="543" w:type="pct"/>
            <w:tcBorders>
              <w:top w:val="nil"/>
              <w:left w:val="nil"/>
              <w:bottom w:val="nil"/>
              <w:right w:val="nil"/>
            </w:tcBorders>
            <w:noWrap/>
            <w:vAlign w:val="bottom"/>
          </w:tcPr>
          <w:p>
            <w:pPr>
              <w:widowControl/>
              <w:jc w:val="center"/>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 %d —</w:t>
            </w:r>
          </w:p>
        </w:tc>
        <w:tc>
          <w:tcPr>
            <w:tcW w:w="384" w:type="pct"/>
            <w:tcBorders>
              <w:top w:val="nil"/>
              <w:left w:val="nil"/>
              <w:bottom w:val="nil"/>
              <w:right w:val="nil"/>
            </w:tcBorders>
            <w:noWrap/>
            <w:vAlign w:val="bottom"/>
          </w:tcPr>
          <w:p>
            <w:pPr>
              <w:rPr>
                <w:rFonts w:ascii="Arial" w:hAnsi="Arial" w:cs="Arial"/>
                <w:color w:val="000000"/>
                <w:sz w:val="20"/>
                <w:szCs w:val="20"/>
              </w:rPr>
            </w:pPr>
          </w:p>
        </w:tc>
        <w:tc>
          <w:tcPr>
            <w:tcW w:w="407" w:type="pct"/>
            <w:tcBorders>
              <w:top w:val="nil"/>
              <w:left w:val="nil"/>
              <w:bottom w:val="nil"/>
              <w:right w:val="nil"/>
            </w:tcBorders>
            <w:noWrap/>
            <w:vAlign w:val="bottom"/>
          </w:tcPr>
          <w:p>
            <w:pPr>
              <w:rPr>
                <w:rFonts w:ascii="Arial" w:hAnsi="Arial" w:cs="Arial"/>
                <w:color w:val="000000"/>
                <w:sz w:val="20"/>
                <w:szCs w:val="20"/>
              </w:rPr>
            </w:pPr>
          </w:p>
        </w:tc>
        <w:tc>
          <w:tcPr>
            <w:tcW w:w="424" w:type="pct"/>
            <w:tcBorders>
              <w:top w:val="nil"/>
              <w:left w:val="nil"/>
              <w:bottom w:val="nil"/>
              <w:right w:val="nil"/>
            </w:tcBorders>
            <w:noWrap/>
            <w:vAlign w:val="bottom"/>
          </w:tcPr>
          <w:p>
            <w:pPr>
              <w:rPr>
                <w:rFonts w:ascii="Arial" w:hAnsi="Arial" w:cs="Arial"/>
                <w:color w:val="000000"/>
                <w:sz w:val="20"/>
                <w:szCs w:val="20"/>
              </w:rPr>
            </w:pPr>
          </w:p>
        </w:tc>
        <w:tc>
          <w:tcPr>
            <w:tcW w:w="423" w:type="pct"/>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255" w:hRule="atLeast"/>
        </w:trPr>
        <w:tc>
          <w:tcPr>
            <w:tcW w:w="640" w:type="pct"/>
            <w:tcBorders>
              <w:top w:val="nil"/>
              <w:left w:val="nil"/>
              <w:bottom w:val="nil"/>
              <w:right w:val="nil"/>
            </w:tcBorders>
            <w:noWrap/>
            <w:vAlign w:val="bottom"/>
          </w:tcPr>
          <w:p>
            <w:pPr>
              <w:rPr>
                <w:rFonts w:ascii="Arial" w:hAnsi="Arial" w:cs="Arial"/>
                <w:color w:val="000000"/>
                <w:sz w:val="20"/>
                <w:szCs w:val="20"/>
              </w:rPr>
            </w:pPr>
          </w:p>
        </w:tc>
        <w:tc>
          <w:tcPr>
            <w:tcW w:w="400" w:type="pct"/>
            <w:tcBorders>
              <w:top w:val="nil"/>
              <w:left w:val="nil"/>
              <w:bottom w:val="nil"/>
              <w:right w:val="nil"/>
            </w:tcBorders>
            <w:noWrap/>
            <w:vAlign w:val="bottom"/>
          </w:tcPr>
          <w:p>
            <w:pPr>
              <w:rPr>
                <w:rFonts w:ascii="Arial" w:hAnsi="Arial" w:cs="Arial"/>
                <w:color w:val="000000"/>
                <w:sz w:val="20"/>
                <w:szCs w:val="20"/>
              </w:rPr>
            </w:pPr>
          </w:p>
        </w:tc>
        <w:tc>
          <w:tcPr>
            <w:tcW w:w="423" w:type="pct"/>
            <w:tcBorders>
              <w:top w:val="nil"/>
              <w:left w:val="nil"/>
              <w:bottom w:val="nil"/>
              <w:right w:val="nil"/>
            </w:tcBorders>
            <w:noWrap/>
            <w:vAlign w:val="bottom"/>
          </w:tcPr>
          <w:p>
            <w:pPr>
              <w:rPr>
                <w:rFonts w:ascii="Arial" w:hAnsi="Arial" w:cs="Arial"/>
                <w:color w:val="000000"/>
                <w:sz w:val="20"/>
                <w:szCs w:val="20"/>
              </w:rPr>
            </w:pPr>
          </w:p>
        </w:tc>
        <w:tc>
          <w:tcPr>
            <w:tcW w:w="776" w:type="pct"/>
            <w:tcBorders>
              <w:top w:val="nil"/>
              <w:left w:val="nil"/>
              <w:bottom w:val="nil"/>
              <w:right w:val="nil"/>
            </w:tcBorders>
            <w:noWrap/>
            <w:vAlign w:val="bottom"/>
          </w:tcPr>
          <w:p>
            <w:pPr>
              <w:rPr>
                <w:rFonts w:ascii="Arial" w:hAnsi="Arial" w:cs="Arial"/>
                <w:color w:val="000000"/>
                <w:sz w:val="20"/>
                <w:szCs w:val="20"/>
              </w:rPr>
            </w:pPr>
          </w:p>
        </w:tc>
        <w:tc>
          <w:tcPr>
            <w:tcW w:w="576" w:type="pct"/>
            <w:tcBorders>
              <w:top w:val="nil"/>
              <w:left w:val="nil"/>
              <w:bottom w:val="nil"/>
              <w:right w:val="nil"/>
            </w:tcBorders>
            <w:noWrap/>
            <w:vAlign w:val="bottom"/>
          </w:tcPr>
          <w:p>
            <w:pPr>
              <w:rPr>
                <w:rFonts w:ascii="Arial" w:hAnsi="Arial" w:cs="Arial"/>
                <w:color w:val="000000"/>
                <w:sz w:val="20"/>
                <w:szCs w:val="20"/>
              </w:rPr>
            </w:pPr>
          </w:p>
        </w:tc>
        <w:tc>
          <w:tcPr>
            <w:tcW w:w="543" w:type="pct"/>
            <w:tcBorders>
              <w:top w:val="nil"/>
              <w:left w:val="nil"/>
              <w:bottom w:val="nil"/>
              <w:right w:val="nil"/>
            </w:tcBorders>
            <w:noWrap/>
            <w:vAlign w:val="bottom"/>
          </w:tcPr>
          <w:p>
            <w:pPr>
              <w:widowControl/>
              <w:jc w:val="center"/>
              <w:textAlignment w:val="bottom"/>
              <w:rPr>
                <w:rFonts w:hint="eastAsia" w:ascii="宋体" w:hAnsi="宋体" w:cs="宋体"/>
                <w:color w:val="000000"/>
                <w:kern w:val="0"/>
                <w:sz w:val="20"/>
                <w:szCs w:val="20"/>
                <w:lang w:bidi="ar"/>
              </w:rPr>
            </w:pPr>
          </w:p>
        </w:tc>
        <w:tc>
          <w:tcPr>
            <w:tcW w:w="384" w:type="pct"/>
            <w:tcBorders>
              <w:top w:val="nil"/>
              <w:left w:val="nil"/>
              <w:bottom w:val="nil"/>
              <w:right w:val="nil"/>
            </w:tcBorders>
            <w:noWrap/>
            <w:vAlign w:val="bottom"/>
          </w:tcPr>
          <w:p>
            <w:pPr>
              <w:rPr>
                <w:rFonts w:ascii="Arial" w:hAnsi="Arial" w:cs="Arial"/>
                <w:color w:val="000000"/>
                <w:sz w:val="20"/>
                <w:szCs w:val="20"/>
              </w:rPr>
            </w:pPr>
          </w:p>
        </w:tc>
        <w:tc>
          <w:tcPr>
            <w:tcW w:w="407" w:type="pct"/>
            <w:tcBorders>
              <w:top w:val="nil"/>
              <w:left w:val="nil"/>
              <w:bottom w:val="nil"/>
              <w:right w:val="nil"/>
            </w:tcBorders>
            <w:noWrap/>
            <w:vAlign w:val="bottom"/>
          </w:tcPr>
          <w:p>
            <w:pPr>
              <w:rPr>
                <w:rFonts w:ascii="Arial" w:hAnsi="Arial" w:cs="Arial"/>
                <w:color w:val="000000"/>
                <w:sz w:val="20"/>
                <w:szCs w:val="20"/>
              </w:rPr>
            </w:pPr>
          </w:p>
        </w:tc>
        <w:tc>
          <w:tcPr>
            <w:tcW w:w="424" w:type="pct"/>
            <w:tcBorders>
              <w:top w:val="nil"/>
              <w:left w:val="nil"/>
              <w:bottom w:val="nil"/>
              <w:right w:val="nil"/>
            </w:tcBorders>
            <w:noWrap/>
            <w:vAlign w:val="bottom"/>
          </w:tcPr>
          <w:p>
            <w:pPr>
              <w:rPr>
                <w:rFonts w:ascii="Arial" w:hAnsi="Arial" w:cs="Arial"/>
                <w:color w:val="000000"/>
                <w:sz w:val="20"/>
                <w:szCs w:val="20"/>
              </w:rPr>
            </w:pPr>
          </w:p>
        </w:tc>
        <w:tc>
          <w:tcPr>
            <w:tcW w:w="423" w:type="pct"/>
            <w:tcBorders>
              <w:top w:val="nil"/>
              <w:left w:val="nil"/>
              <w:bottom w:val="nil"/>
              <w:right w:val="nil"/>
            </w:tcBorders>
            <w:noWrap/>
            <w:vAlign w:val="bottom"/>
          </w:tcPr>
          <w:p>
            <w:pPr>
              <w:rPr>
                <w:rFonts w:ascii="Arial" w:hAnsi="Arial" w:cs="Arial"/>
                <w:color w:val="000000"/>
                <w:sz w:val="20"/>
                <w:szCs w:val="20"/>
              </w:rPr>
            </w:pPr>
          </w:p>
        </w:tc>
      </w:tr>
    </w:tbl>
    <w:p>
      <w:pPr>
        <w:autoSpaceDE w:val="0"/>
        <w:autoSpaceDN w:val="0"/>
        <w:adjustRightInd w:val="0"/>
        <w:spacing w:line="360" w:lineRule="auto"/>
        <w:jc w:val="left"/>
      </w:pPr>
      <w:r>
        <w:object>
          <v:shape id="_x0000_i1031" o:spt="75" type="#_x0000_t75" style="height:567.05pt;width:551.05pt;" o:ole="t" filled="f" o:preferrelative="t" stroked="f" coordsize="21600,21600">
            <v:path/>
            <v:fill on="f" focussize="0,0"/>
            <v:stroke on="f"/>
            <v:imagedata r:id="rId5" o:title=""/>
            <o:lock v:ext="edit" aspectratio="f"/>
            <w10:wrap type="none"/>
            <w10:anchorlock/>
          </v:shape>
          <o:OLEObject Type="Embed" ProgID="Excel.Sheet.8" ShapeID="_x0000_i1031" DrawAspect="Content" ObjectID="_1468075725" r:id="rId4">
            <o:LockedField>false</o:LockedField>
          </o:OLEObject>
        </w:object>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tbl>
      <w:tblPr>
        <w:tblStyle w:val="3"/>
        <w:tblW w:w="10875" w:type="dxa"/>
        <w:jc w:val="center"/>
        <w:tblLayout w:type="autofit"/>
        <w:tblCellMar>
          <w:top w:w="0" w:type="dxa"/>
          <w:left w:w="108" w:type="dxa"/>
          <w:bottom w:w="0" w:type="dxa"/>
          <w:right w:w="108" w:type="dxa"/>
        </w:tblCellMar>
      </w:tblPr>
      <w:tblGrid>
        <w:gridCol w:w="3865"/>
        <w:gridCol w:w="494"/>
        <w:gridCol w:w="494"/>
        <w:gridCol w:w="1393"/>
        <w:gridCol w:w="1618"/>
        <w:gridCol w:w="1168"/>
        <w:gridCol w:w="1843"/>
      </w:tblGrid>
      <w:tr>
        <w:tblPrEx>
          <w:tblCellMar>
            <w:top w:w="0" w:type="dxa"/>
            <w:left w:w="108" w:type="dxa"/>
            <w:bottom w:w="0" w:type="dxa"/>
            <w:right w:w="108" w:type="dxa"/>
          </w:tblCellMar>
        </w:tblPrEx>
        <w:trPr>
          <w:trHeight w:val="240" w:hRule="atLeast"/>
          <w:jc w:val="center"/>
        </w:trPr>
        <w:tc>
          <w:tcPr>
            <w:tcW w:w="10875" w:type="dxa"/>
            <w:gridSpan w:val="7"/>
            <w:tcBorders>
              <w:top w:val="nil"/>
              <w:left w:val="nil"/>
              <w:bottom w:val="nil"/>
              <w:right w:val="nil"/>
            </w:tcBorders>
            <w:noWrap/>
            <w:vAlign w:val="bottom"/>
          </w:tcPr>
          <w:p>
            <w:pPr>
              <w:widowControl/>
              <w:jc w:val="center"/>
              <w:textAlignment w:val="bottom"/>
              <w:rPr>
                <w:rFonts w:hint="eastAsia" w:ascii="宋体" w:hAnsi="宋体" w:cs="宋体"/>
                <w:color w:val="000000"/>
                <w:sz w:val="18"/>
                <w:szCs w:val="18"/>
              </w:rPr>
            </w:pPr>
            <w:r>
              <w:rPr>
                <w:rFonts w:hint="eastAsia" w:ascii="宋体" w:hAnsi="宋体" w:cs="宋体"/>
                <w:bCs/>
                <w:sz w:val="44"/>
                <w:szCs w:val="44"/>
              </w:rPr>
              <w:t>一般公共预算财政拨款支出决算表</w:t>
            </w:r>
          </w:p>
        </w:tc>
      </w:tr>
      <w:tr>
        <w:tblPrEx>
          <w:tblCellMar>
            <w:top w:w="0" w:type="dxa"/>
            <w:left w:w="108" w:type="dxa"/>
            <w:bottom w:w="0" w:type="dxa"/>
            <w:right w:w="108" w:type="dxa"/>
          </w:tblCellMar>
        </w:tblPrEx>
        <w:trPr>
          <w:trHeight w:val="240" w:hRule="atLeast"/>
          <w:jc w:val="center"/>
        </w:trPr>
        <w:tc>
          <w:tcPr>
            <w:tcW w:w="0" w:type="auto"/>
            <w:tcBorders>
              <w:top w:val="nil"/>
              <w:left w:val="nil"/>
              <w:bottom w:val="nil"/>
              <w:right w:val="nil"/>
            </w:tcBorders>
            <w:noWrap/>
            <w:vAlign w:val="bottom"/>
          </w:tcPr>
          <w:p>
            <w:pPr>
              <w:rPr>
                <w:rFonts w:hint="eastAsia"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公开05表</w:t>
            </w:r>
          </w:p>
        </w:tc>
      </w:tr>
      <w:tr>
        <w:tblPrEx>
          <w:tblCellMar>
            <w:top w:w="0" w:type="dxa"/>
            <w:left w:w="108" w:type="dxa"/>
            <w:bottom w:w="0" w:type="dxa"/>
            <w:right w:w="108" w:type="dxa"/>
          </w:tblCellMar>
        </w:tblPrEx>
        <w:trPr>
          <w:trHeight w:val="240" w:hRule="atLeast"/>
          <w:jc w:val="center"/>
        </w:trPr>
        <w:tc>
          <w:tcPr>
            <w:tcW w:w="0" w:type="auto"/>
            <w:tcBorders>
              <w:top w:val="nil"/>
              <w:left w:val="nil"/>
              <w:bottom w:val="nil"/>
              <w:right w:val="nil"/>
            </w:tcBorders>
            <w:noWrap/>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编制单位：宁都县东韶乡中心幼儿园</w:t>
            </w: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widowControl/>
              <w:jc w:val="center"/>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2021年度</w:t>
            </w: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3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项    目</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本年支出合计</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基本支出</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项目支出</w:t>
            </w:r>
          </w:p>
        </w:tc>
      </w:tr>
      <w:tr>
        <w:tblPrEx>
          <w:tblCellMar>
            <w:top w:w="0" w:type="dxa"/>
            <w:left w:w="108" w:type="dxa"/>
            <w:bottom w:w="0" w:type="dxa"/>
            <w:right w:w="108" w:type="dxa"/>
          </w:tblCellMar>
        </w:tblPrEx>
        <w:trPr>
          <w:trHeight w:val="312" w:hRule="atLeast"/>
          <w:jc w:val="center"/>
        </w:trPr>
        <w:tc>
          <w:tcPr>
            <w:tcW w:w="1515"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支出功能分类科目编码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312" w:hRule="atLeast"/>
          <w:jc w:val="center"/>
        </w:trPr>
        <w:tc>
          <w:tcPr>
            <w:tcW w:w="1515"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18"/>
                <w:szCs w:val="18"/>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312" w:hRule="atLeast"/>
          <w:jc w:val="center"/>
        </w:trPr>
        <w:tc>
          <w:tcPr>
            <w:tcW w:w="1515"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18"/>
                <w:szCs w:val="18"/>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338" w:hRule="atLeast"/>
          <w:jc w:val="center"/>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r>
      <w:tr>
        <w:tblPrEx>
          <w:tblCellMar>
            <w:top w:w="0" w:type="dxa"/>
            <w:left w:w="108" w:type="dxa"/>
            <w:bottom w:w="0" w:type="dxa"/>
            <w:right w:w="108" w:type="dxa"/>
          </w:tblCellMar>
        </w:tblPrEx>
        <w:trPr>
          <w:trHeight w:val="308" w:hRule="atLeast"/>
          <w:jc w:val="center"/>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合计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76.73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76.73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教育支出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76.73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76.73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20502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普通教育</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76.73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76.73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2050201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  学前教育</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76.73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76.73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w:t>
            </w: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8"/>
                <w:szCs w:val="18"/>
              </w:rPr>
            </w:pPr>
          </w:p>
        </w:tc>
      </w:tr>
      <w:tr>
        <w:tblPrEx>
          <w:tblCellMar>
            <w:top w:w="0" w:type="dxa"/>
            <w:left w:w="108" w:type="dxa"/>
            <w:bottom w:w="0" w:type="dxa"/>
            <w:right w:w="108" w:type="dxa"/>
          </w:tblCellMar>
        </w:tblPrEx>
        <w:trPr>
          <w:trHeight w:val="338" w:hRule="atLeast"/>
          <w:jc w:val="center"/>
        </w:trPr>
        <w:tc>
          <w:tcPr>
            <w:tcW w:w="10875" w:type="dxa"/>
            <w:gridSpan w:val="7"/>
            <w:tcBorders>
              <w:top w:val="nil"/>
              <w:left w:val="nil"/>
              <w:bottom w:val="nil"/>
              <w:right w:val="nil"/>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注：本表反映部门本年度一般公共预算财政拨款支出情况。</w:t>
            </w:r>
          </w:p>
        </w:tc>
      </w:tr>
      <w:tr>
        <w:tblPrEx>
          <w:tblCellMar>
            <w:top w:w="0" w:type="dxa"/>
            <w:left w:w="108" w:type="dxa"/>
            <w:bottom w:w="0" w:type="dxa"/>
            <w:right w:w="108" w:type="dxa"/>
          </w:tblCellMar>
        </w:tblPrEx>
        <w:trPr>
          <w:trHeight w:val="240" w:hRule="atLeast"/>
          <w:jc w:val="center"/>
        </w:trPr>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r>
      <w:tr>
        <w:tblPrEx>
          <w:tblCellMar>
            <w:top w:w="0" w:type="dxa"/>
            <w:left w:w="108" w:type="dxa"/>
            <w:bottom w:w="0" w:type="dxa"/>
            <w:right w:w="108" w:type="dxa"/>
          </w:tblCellMar>
        </w:tblPrEx>
        <w:trPr>
          <w:trHeight w:val="240" w:hRule="atLeast"/>
          <w:jc w:val="center"/>
        </w:trPr>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widowControl/>
              <w:jc w:val="center"/>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 %d —</w:t>
            </w: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r>
    </w:tbl>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tbl>
      <w:tblPr>
        <w:tblW w:w="102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98"/>
        <w:gridCol w:w="1540"/>
        <w:gridCol w:w="878"/>
        <w:gridCol w:w="917"/>
        <w:gridCol w:w="1434"/>
        <w:gridCol w:w="866"/>
        <w:gridCol w:w="997"/>
        <w:gridCol w:w="1392"/>
        <w:gridCol w:w="1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10215"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bdr w:val="none" w:color="auto" w:sz="0" w:space="0"/>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0" w:type="auto"/>
            <w:gridSpan w:val="3"/>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编制单位：宁都县东韶乡中心幼儿园</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2021年度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7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经济分类科目编码</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科目名称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w:t>
            </w:r>
          </w:p>
        </w:tc>
        <w:tc>
          <w:tcPr>
            <w:tcW w:w="8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经济分类科目编码</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科目名称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w:t>
            </w:r>
          </w:p>
        </w:tc>
        <w:tc>
          <w:tcPr>
            <w:tcW w:w="8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经济分类科目编码</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科目名称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301</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工资福利支出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66.41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302</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商品和服务支出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307</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债务利息及费用支出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30101</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基本工资</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30201</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办公费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30701</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国内债务付息</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30102</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津贴补贴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30202</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印刷费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30702</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国外债务付息</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30103</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奖金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30203</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咨询费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30703</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国内债务发行费用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30106</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伙食补助费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30204</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手续费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30704</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国外债务发行费用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30107</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绩效工资</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30205</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310</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资本性支出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30108</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30206</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电费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0.67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31001</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30109</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职业年金缴费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30207</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邮电费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31002</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办公设备购置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30110</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30208</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取暖费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31003</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专用设备购置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30111</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公务员医疗补助缴款</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30209</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物业管理费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31005</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基础设施建设</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30112</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30211</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差旅费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31006</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大型修缮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30113</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30212</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31007</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30114</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医疗费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30213</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维修（护）费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31008</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物资储备</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30199</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30214</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租赁费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31009</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土地补偿</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303</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对个人和家庭的补助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30215</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会议费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31010</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安置补助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30301</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离休费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30216</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培训费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310111</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30302</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退休费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30217</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公务接待费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31012</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拆迁补偿</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30303</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退职（役）费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30218</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专用材料费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31013</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公务用车购置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30304</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抚恤金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30224</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被装购置费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31019</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30305</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生活补贴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30225</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专用燃料费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31021</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30306</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救济费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30226</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劳务费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31022</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无形资产购置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30307</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医疗费补助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30227</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委托业务费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31099</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30308</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助学金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30228</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工会经费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312</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对企业补助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30309</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奖励金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30229</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福利费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31201</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资本金注入</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30310</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30231</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31203</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政府投资基金股权投资</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30311</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代缴社会保险费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30239</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其他交通费用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31204</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费用补贴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30399</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其他对个人和家庭的补助支出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30240</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31205</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利息补贴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30299</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31299</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其他对企业补助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399</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39906</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赠与</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39907</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39908</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39999</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人员经费合计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66.41</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公用支出合计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0" w:type="auto"/>
            <w:gridSpan w:val="9"/>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注：本表反映部门本年度一般公共预算财政拨款基本支出明细情况。</w:t>
            </w:r>
          </w:p>
        </w:tc>
      </w:tr>
    </w:tbl>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tbl>
      <w:tblPr>
        <w:tblStyle w:val="3"/>
        <w:tblW w:w="9450" w:type="dxa"/>
        <w:jc w:val="center"/>
        <w:tblLayout w:type="autofit"/>
        <w:tblCellMar>
          <w:top w:w="0" w:type="dxa"/>
          <w:left w:w="108" w:type="dxa"/>
          <w:bottom w:w="0" w:type="dxa"/>
          <w:right w:w="108" w:type="dxa"/>
        </w:tblCellMar>
      </w:tblPr>
      <w:tblGrid>
        <w:gridCol w:w="4565"/>
        <w:gridCol w:w="1303"/>
        <w:gridCol w:w="1608"/>
        <w:gridCol w:w="1974"/>
      </w:tblGrid>
      <w:tr>
        <w:tblPrEx>
          <w:tblCellMar>
            <w:top w:w="0" w:type="dxa"/>
            <w:left w:w="108" w:type="dxa"/>
            <w:bottom w:w="0" w:type="dxa"/>
            <w:right w:w="108" w:type="dxa"/>
          </w:tblCellMar>
        </w:tblPrEx>
        <w:trPr>
          <w:trHeight w:val="540" w:hRule="atLeast"/>
          <w:jc w:val="center"/>
        </w:trPr>
        <w:tc>
          <w:tcPr>
            <w:tcW w:w="9450" w:type="dxa"/>
            <w:gridSpan w:val="4"/>
            <w:tcBorders>
              <w:top w:val="nil"/>
              <w:left w:val="nil"/>
              <w:bottom w:val="nil"/>
              <w:right w:val="nil"/>
            </w:tcBorders>
            <w:noWrap/>
            <w:vAlign w:val="bottom"/>
          </w:tcPr>
          <w:p>
            <w:pPr>
              <w:widowControl/>
              <w:jc w:val="center"/>
              <w:textAlignment w:val="bottom"/>
              <w:rPr>
                <w:rFonts w:hint="eastAsia" w:ascii="宋体" w:hAnsi="宋体" w:cs="宋体"/>
                <w:color w:val="000000"/>
                <w:sz w:val="44"/>
                <w:szCs w:val="44"/>
              </w:rPr>
            </w:pPr>
            <w:r>
              <w:rPr>
                <w:rFonts w:hint="eastAsia" w:ascii="宋体" w:hAnsi="宋体" w:cs="宋体"/>
                <w:color w:val="000000"/>
                <w:kern w:val="0"/>
                <w:sz w:val="44"/>
                <w:szCs w:val="44"/>
                <w:lang w:bidi="ar"/>
              </w:rPr>
              <w:t>一般公共预算财政拨款“三公”经费支出决算表</w:t>
            </w:r>
          </w:p>
        </w:tc>
      </w:tr>
      <w:tr>
        <w:tblPrEx>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公开07表</w:t>
            </w:r>
          </w:p>
        </w:tc>
      </w:tr>
      <w:tr>
        <w:tblPrEx>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编制单位：宁都县东韶乡中心幼儿园</w:t>
            </w:r>
          </w:p>
        </w:tc>
        <w:tc>
          <w:tcPr>
            <w:tcW w:w="0" w:type="auto"/>
            <w:tcBorders>
              <w:top w:val="nil"/>
              <w:left w:val="nil"/>
              <w:bottom w:val="nil"/>
              <w:right w:val="nil"/>
            </w:tcBorders>
            <w:noWrap/>
            <w:vAlign w:val="bottom"/>
          </w:tcPr>
          <w:p>
            <w:pPr>
              <w:widowControl/>
              <w:jc w:val="center"/>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2021年度</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年初预算数</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一、“三公”经费支出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1.因公出国（境）费</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2.公务用车购置及运行维护费</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（1）公务用车购置费</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（2）公务用车运行维护费</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3.公务接待费</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（1）国内接待费</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其中：外事接待费</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（2）国（境）外接待费</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二、相关统计数</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1.因公出国（境）团组数（个）</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2.因公出国（境）人次数（人）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3.公务用车购置数（辆）</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13</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4.公务用车保有量（辆）</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14</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5.国内公务接待批次（个）</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15</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其中：外事接待批次（个）</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16</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6.国内公务接待人次（人）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17</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其中：外事接待人次（人）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18</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7.国（境）外公务接待批次（个）</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19</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8.国（境）外公务接待人次（人）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20</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85" w:hRule="atLeast"/>
          <w:jc w:val="center"/>
        </w:trPr>
        <w:tc>
          <w:tcPr>
            <w:tcW w:w="9450" w:type="dxa"/>
            <w:gridSpan w:val="4"/>
            <w:vMerge w:val="restart"/>
            <w:tcBorders>
              <w:top w:val="nil"/>
              <w:left w:val="nil"/>
              <w:bottom w:val="nil"/>
              <w:right w:val="nil"/>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注：本表反映部门本年度“三公”经费支出预决算情况。其中，预算数为“三公”经费年初预算数，决算数是包括当年一般公共预算财政拨款和以前年度结转资金安排的实际支出。</w:t>
            </w:r>
          </w:p>
        </w:tc>
      </w:tr>
      <w:tr>
        <w:tblPrEx>
          <w:tblCellMar>
            <w:top w:w="0" w:type="dxa"/>
            <w:left w:w="108" w:type="dxa"/>
            <w:bottom w:w="0" w:type="dxa"/>
            <w:right w:w="108" w:type="dxa"/>
          </w:tblCellMar>
        </w:tblPrEx>
        <w:trPr>
          <w:trHeight w:val="354" w:hRule="atLeast"/>
          <w:jc w:val="center"/>
        </w:trPr>
        <w:tc>
          <w:tcPr>
            <w:tcW w:w="9450" w:type="dxa"/>
            <w:gridSpan w:val="4"/>
            <w:vMerge w:val="continue"/>
            <w:tcBorders>
              <w:top w:val="nil"/>
              <w:left w:val="nil"/>
              <w:bottom w:val="nil"/>
              <w:right w:val="nil"/>
            </w:tcBorders>
            <w:noWrap w:val="0"/>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center"/>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 %d —</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r>
    </w:tbl>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tbl>
      <w:tblPr>
        <w:tblStyle w:val="3"/>
        <w:tblW w:w="5000" w:type="pct"/>
        <w:tblInd w:w="0" w:type="dxa"/>
        <w:tblLayout w:type="autofit"/>
        <w:tblCellMar>
          <w:top w:w="0" w:type="dxa"/>
          <w:left w:w="108" w:type="dxa"/>
          <w:bottom w:w="0" w:type="dxa"/>
          <w:right w:w="108" w:type="dxa"/>
        </w:tblCellMar>
      </w:tblPr>
      <w:tblGrid>
        <w:gridCol w:w="2424"/>
        <w:gridCol w:w="368"/>
        <w:gridCol w:w="368"/>
        <w:gridCol w:w="823"/>
        <w:gridCol w:w="368"/>
        <w:gridCol w:w="823"/>
        <w:gridCol w:w="520"/>
        <w:gridCol w:w="823"/>
        <w:gridCol w:w="823"/>
        <w:gridCol w:w="1182"/>
      </w:tblGrid>
      <w:tr>
        <w:tblPrEx>
          <w:tblCellMar>
            <w:top w:w="0" w:type="dxa"/>
            <w:left w:w="108" w:type="dxa"/>
            <w:bottom w:w="0" w:type="dxa"/>
            <w:right w:w="108" w:type="dxa"/>
          </w:tblCellMar>
        </w:tblPrEx>
        <w:trPr>
          <w:trHeight w:val="540" w:hRule="atLeast"/>
        </w:trPr>
        <w:tc>
          <w:tcPr>
            <w:tcW w:w="5000" w:type="pct"/>
            <w:gridSpan w:val="10"/>
            <w:tcBorders>
              <w:top w:val="nil"/>
              <w:left w:val="nil"/>
              <w:bottom w:val="nil"/>
              <w:right w:val="nil"/>
            </w:tcBorders>
            <w:noWrap/>
            <w:vAlign w:val="bottom"/>
          </w:tcPr>
          <w:p>
            <w:pPr>
              <w:widowControl/>
              <w:jc w:val="center"/>
              <w:textAlignment w:val="bottom"/>
              <w:rPr>
                <w:rFonts w:hint="eastAsia" w:ascii="宋体" w:hAnsi="宋体" w:cs="宋体"/>
                <w:color w:val="000000"/>
                <w:sz w:val="44"/>
                <w:szCs w:val="44"/>
              </w:rPr>
            </w:pPr>
            <w:r>
              <w:rPr>
                <w:rFonts w:hint="eastAsia" w:ascii="宋体" w:hAnsi="宋体" w:cs="宋体"/>
                <w:color w:val="000000"/>
                <w:kern w:val="0"/>
                <w:sz w:val="44"/>
                <w:szCs w:val="44"/>
                <w:lang w:bidi="ar"/>
              </w:rPr>
              <w:t>政府性基金预算财政拨款收入支出决算表</w:t>
            </w:r>
          </w:p>
        </w:tc>
      </w:tr>
      <w:tr>
        <w:tblPrEx>
          <w:tblCellMar>
            <w:top w:w="0" w:type="dxa"/>
            <w:left w:w="108" w:type="dxa"/>
            <w:bottom w:w="0" w:type="dxa"/>
            <w:right w:w="108" w:type="dxa"/>
          </w:tblCellMar>
        </w:tblPrEx>
        <w:trPr>
          <w:trHeight w:val="255" w:hRule="atLeast"/>
        </w:trPr>
        <w:tc>
          <w:tcPr>
            <w:tcW w:w="1399" w:type="pct"/>
            <w:tcBorders>
              <w:top w:val="nil"/>
              <w:left w:val="nil"/>
              <w:bottom w:val="nil"/>
              <w:right w:val="nil"/>
            </w:tcBorders>
            <w:noWrap/>
            <w:vAlign w:val="bottom"/>
          </w:tcPr>
          <w:p>
            <w:pPr>
              <w:rPr>
                <w:rFonts w:hint="eastAsia" w:ascii="Arial" w:hAnsi="Arial" w:cs="Arial"/>
                <w:color w:val="000000"/>
                <w:sz w:val="20"/>
                <w:szCs w:val="20"/>
              </w:rPr>
            </w:pPr>
          </w:p>
        </w:tc>
        <w:tc>
          <w:tcPr>
            <w:tcW w:w="178" w:type="pct"/>
            <w:tcBorders>
              <w:top w:val="nil"/>
              <w:left w:val="nil"/>
              <w:bottom w:val="nil"/>
              <w:right w:val="nil"/>
            </w:tcBorders>
            <w:noWrap/>
            <w:vAlign w:val="bottom"/>
          </w:tcPr>
          <w:p>
            <w:pPr>
              <w:rPr>
                <w:rFonts w:ascii="Arial" w:hAnsi="Arial" w:cs="Arial"/>
                <w:color w:val="000000"/>
                <w:sz w:val="20"/>
                <w:szCs w:val="20"/>
              </w:rPr>
            </w:pPr>
          </w:p>
        </w:tc>
        <w:tc>
          <w:tcPr>
            <w:tcW w:w="178" w:type="pct"/>
            <w:tcBorders>
              <w:top w:val="nil"/>
              <w:left w:val="nil"/>
              <w:bottom w:val="nil"/>
              <w:right w:val="nil"/>
            </w:tcBorders>
            <w:noWrap/>
            <w:vAlign w:val="bottom"/>
          </w:tcPr>
          <w:p>
            <w:pPr>
              <w:rPr>
                <w:rFonts w:ascii="Arial" w:hAnsi="Arial" w:cs="Arial"/>
                <w:color w:val="000000"/>
                <w:sz w:val="20"/>
                <w:szCs w:val="20"/>
              </w:rPr>
            </w:pPr>
          </w:p>
        </w:tc>
        <w:tc>
          <w:tcPr>
            <w:tcW w:w="448" w:type="pct"/>
            <w:tcBorders>
              <w:top w:val="nil"/>
              <w:left w:val="nil"/>
              <w:bottom w:val="nil"/>
              <w:right w:val="nil"/>
            </w:tcBorders>
            <w:noWrap/>
            <w:vAlign w:val="bottom"/>
          </w:tcPr>
          <w:p>
            <w:pPr>
              <w:rPr>
                <w:rFonts w:ascii="Arial" w:hAnsi="Arial" w:cs="Arial"/>
                <w:color w:val="000000"/>
                <w:sz w:val="20"/>
                <w:szCs w:val="20"/>
              </w:rPr>
            </w:pPr>
          </w:p>
        </w:tc>
        <w:tc>
          <w:tcPr>
            <w:tcW w:w="485" w:type="pct"/>
            <w:tcBorders>
              <w:top w:val="nil"/>
              <w:left w:val="nil"/>
              <w:bottom w:val="nil"/>
              <w:right w:val="nil"/>
            </w:tcBorders>
            <w:noWrap/>
            <w:vAlign w:val="bottom"/>
          </w:tcPr>
          <w:p>
            <w:pPr>
              <w:rPr>
                <w:rFonts w:ascii="Arial" w:hAnsi="Arial" w:cs="Arial"/>
                <w:color w:val="000000"/>
                <w:sz w:val="20"/>
                <w:szCs w:val="20"/>
              </w:rPr>
            </w:pPr>
          </w:p>
        </w:tc>
        <w:tc>
          <w:tcPr>
            <w:tcW w:w="448" w:type="pct"/>
            <w:tcBorders>
              <w:top w:val="nil"/>
              <w:left w:val="nil"/>
              <w:bottom w:val="nil"/>
              <w:right w:val="nil"/>
            </w:tcBorders>
            <w:noWrap/>
            <w:vAlign w:val="bottom"/>
          </w:tcPr>
          <w:p>
            <w:pPr>
              <w:rPr>
                <w:rFonts w:ascii="Arial" w:hAnsi="Arial" w:cs="Arial"/>
                <w:color w:val="000000"/>
                <w:sz w:val="20"/>
                <w:szCs w:val="20"/>
              </w:rPr>
            </w:pPr>
          </w:p>
        </w:tc>
        <w:tc>
          <w:tcPr>
            <w:tcW w:w="268" w:type="pct"/>
            <w:tcBorders>
              <w:top w:val="nil"/>
              <w:left w:val="nil"/>
              <w:bottom w:val="nil"/>
              <w:right w:val="nil"/>
            </w:tcBorders>
            <w:noWrap/>
            <w:vAlign w:val="bottom"/>
          </w:tcPr>
          <w:p>
            <w:pPr>
              <w:rPr>
                <w:rFonts w:ascii="Arial" w:hAnsi="Arial" w:cs="Arial"/>
                <w:color w:val="000000"/>
                <w:sz w:val="20"/>
                <w:szCs w:val="20"/>
              </w:rPr>
            </w:pPr>
          </w:p>
        </w:tc>
        <w:tc>
          <w:tcPr>
            <w:tcW w:w="448" w:type="pct"/>
            <w:tcBorders>
              <w:top w:val="nil"/>
              <w:left w:val="nil"/>
              <w:bottom w:val="nil"/>
              <w:right w:val="nil"/>
            </w:tcBorders>
            <w:noWrap/>
            <w:vAlign w:val="bottom"/>
          </w:tcPr>
          <w:p>
            <w:pPr>
              <w:rPr>
                <w:rFonts w:ascii="Arial" w:hAnsi="Arial" w:cs="Arial"/>
                <w:color w:val="000000"/>
                <w:sz w:val="20"/>
                <w:szCs w:val="20"/>
              </w:rPr>
            </w:pPr>
          </w:p>
        </w:tc>
        <w:tc>
          <w:tcPr>
            <w:tcW w:w="448" w:type="pct"/>
            <w:tcBorders>
              <w:top w:val="nil"/>
              <w:left w:val="nil"/>
              <w:bottom w:val="nil"/>
              <w:right w:val="nil"/>
            </w:tcBorders>
            <w:noWrap/>
            <w:vAlign w:val="bottom"/>
          </w:tcPr>
          <w:p>
            <w:pPr>
              <w:rPr>
                <w:rFonts w:ascii="Arial" w:hAnsi="Arial" w:cs="Arial"/>
                <w:color w:val="000000"/>
                <w:sz w:val="20"/>
                <w:szCs w:val="20"/>
              </w:rPr>
            </w:pPr>
          </w:p>
        </w:tc>
        <w:tc>
          <w:tcPr>
            <w:tcW w:w="694" w:type="pct"/>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公开08表</w:t>
            </w:r>
          </w:p>
        </w:tc>
      </w:tr>
      <w:tr>
        <w:tblPrEx>
          <w:tblCellMar>
            <w:top w:w="0" w:type="dxa"/>
            <w:left w:w="108" w:type="dxa"/>
            <w:bottom w:w="0" w:type="dxa"/>
            <w:right w:w="108" w:type="dxa"/>
          </w:tblCellMar>
        </w:tblPrEx>
        <w:trPr>
          <w:trHeight w:val="255" w:hRule="atLeast"/>
        </w:trPr>
        <w:tc>
          <w:tcPr>
            <w:tcW w:w="1399" w:type="pct"/>
            <w:tcBorders>
              <w:top w:val="nil"/>
              <w:left w:val="nil"/>
              <w:bottom w:val="nil"/>
              <w:right w:val="nil"/>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编制单位：宁都县东韶乡中心幼儿园</w:t>
            </w:r>
          </w:p>
        </w:tc>
        <w:tc>
          <w:tcPr>
            <w:tcW w:w="178" w:type="pct"/>
            <w:tcBorders>
              <w:top w:val="nil"/>
              <w:left w:val="nil"/>
              <w:bottom w:val="nil"/>
              <w:right w:val="nil"/>
            </w:tcBorders>
            <w:noWrap/>
            <w:vAlign w:val="bottom"/>
          </w:tcPr>
          <w:p>
            <w:pPr>
              <w:rPr>
                <w:rFonts w:ascii="Arial" w:hAnsi="Arial" w:cs="Arial"/>
                <w:color w:val="000000"/>
                <w:sz w:val="20"/>
                <w:szCs w:val="20"/>
              </w:rPr>
            </w:pPr>
          </w:p>
        </w:tc>
        <w:tc>
          <w:tcPr>
            <w:tcW w:w="178" w:type="pct"/>
            <w:tcBorders>
              <w:top w:val="nil"/>
              <w:left w:val="nil"/>
              <w:bottom w:val="nil"/>
              <w:right w:val="nil"/>
            </w:tcBorders>
            <w:noWrap/>
            <w:vAlign w:val="bottom"/>
          </w:tcPr>
          <w:p>
            <w:pPr>
              <w:rPr>
                <w:rFonts w:ascii="Arial" w:hAnsi="Arial" w:cs="Arial"/>
                <w:color w:val="000000"/>
                <w:sz w:val="20"/>
                <w:szCs w:val="20"/>
              </w:rPr>
            </w:pPr>
          </w:p>
        </w:tc>
        <w:tc>
          <w:tcPr>
            <w:tcW w:w="448" w:type="pct"/>
            <w:tcBorders>
              <w:top w:val="nil"/>
              <w:left w:val="nil"/>
              <w:bottom w:val="nil"/>
              <w:right w:val="nil"/>
            </w:tcBorders>
            <w:noWrap/>
            <w:vAlign w:val="bottom"/>
          </w:tcPr>
          <w:p>
            <w:pPr>
              <w:rPr>
                <w:rFonts w:ascii="Arial" w:hAnsi="Arial" w:cs="Arial"/>
                <w:color w:val="000000"/>
                <w:sz w:val="20"/>
                <w:szCs w:val="20"/>
              </w:rPr>
            </w:pPr>
          </w:p>
        </w:tc>
        <w:tc>
          <w:tcPr>
            <w:tcW w:w="485" w:type="pct"/>
            <w:tcBorders>
              <w:top w:val="nil"/>
              <w:left w:val="nil"/>
              <w:bottom w:val="nil"/>
              <w:right w:val="nil"/>
            </w:tcBorders>
            <w:noWrap/>
            <w:vAlign w:val="bottom"/>
          </w:tcPr>
          <w:p>
            <w:pPr>
              <w:rPr>
                <w:rFonts w:ascii="Arial" w:hAnsi="Arial" w:cs="Arial"/>
                <w:color w:val="000000"/>
                <w:sz w:val="20"/>
                <w:szCs w:val="20"/>
              </w:rPr>
            </w:pPr>
          </w:p>
        </w:tc>
        <w:tc>
          <w:tcPr>
            <w:tcW w:w="448" w:type="pct"/>
            <w:tcBorders>
              <w:top w:val="nil"/>
              <w:left w:val="nil"/>
              <w:bottom w:val="nil"/>
              <w:right w:val="nil"/>
            </w:tcBorders>
            <w:noWrap/>
            <w:vAlign w:val="bottom"/>
          </w:tcPr>
          <w:p>
            <w:pPr>
              <w:widowControl/>
              <w:jc w:val="center"/>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2021年度</w:t>
            </w:r>
          </w:p>
        </w:tc>
        <w:tc>
          <w:tcPr>
            <w:tcW w:w="268" w:type="pct"/>
            <w:tcBorders>
              <w:top w:val="nil"/>
              <w:left w:val="nil"/>
              <w:bottom w:val="nil"/>
              <w:right w:val="nil"/>
            </w:tcBorders>
            <w:noWrap/>
            <w:vAlign w:val="bottom"/>
          </w:tcPr>
          <w:p>
            <w:pPr>
              <w:rPr>
                <w:rFonts w:ascii="Arial" w:hAnsi="Arial" w:cs="Arial"/>
                <w:color w:val="000000"/>
                <w:sz w:val="20"/>
                <w:szCs w:val="20"/>
              </w:rPr>
            </w:pPr>
          </w:p>
        </w:tc>
        <w:tc>
          <w:tcPr>
            <w:tcW w:w="448" w:type="pct"/>
            <w:tcBorders>
              <w:top w:val="nil"/>
              <w:left w:val="nil"/>
              <w:bottom w:val="nil"/>
              <w:right w:val="nil"/>
            </w:tcBorders>
            <w:noWrap/>
            <w:vAlign w:val="bottom"/>
          </w:tcPr>
          <w:p>
            <w:pPr>
              <w:rPr>
                <w:rFonts w:ascii="Arial" w:hAnsi="Arial" w:cs="Arial"/>
                <w:color w:val="000000"/>
                <w:sz w:val="20"/>
                <w:szCs w:val="20"/>
              </w:rPr>
            </w:pPr>
          </w:p>
        </w:tc>
        <w:tc>
          <w:tcPr>
            <w:tcW w:w="448" w:type="pct"/>
            <w:tcBorders>
              <w:top w:val="nil"/>
              <w:left w:val="nil"/>
              <w:bottom w:val="nil"/>
              <w:right w:val="nil"/>
            </w:tcBorders>
            <w:noWrap/>
            <w:vAlign w:val="bottom"/>
          </w:tcPr>
          <w:p>
            <w:pPr>
              <w:rPr>
                <w:rFonts w:ascii="Arial" w:hAnsi="Arial" w:cs="Arial"/>
                <w:color w:val="000000"/>
                <w:sz w:val="20"/>
                <w:szCs w:val="20"/>
              </w:rPr>
            </w:pPr>
          </w:p>
        </w:tc>
        <w:tc>
          <w:tcPr>
            <w:tcW w:w="694" w:type="pct"/>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277" w:hRule="atLeast"/>
        </w:trPr>
        <w:tc>
          <w:tcPr>
            <w:tcW w:w="2204"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    目</w:t>
            </w:r>
          </w:p>
        </w:tc>
        <w:tc>
          <w:tcPr>
            <w:tcW w:w="485"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年初结转和结余</w:t>
            </w:r>
          </w:p>
        </w:tc>
        <w:tc>
          <w:tcPr>
            <w:tcW w:w="448" w:type="pct"/>
            <w:vMerge w:val="restar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本年收入</w:t>
            </w:r>
          </w:p>
        </w:tc>
        <w:tc>
          <w:tcPr>
            <w:tcW w:w="1166" w:type="pct"/>
            <w:gridSpan w:val="3"/>
            <w:tcBorders>
              <w:top w:val="single" w:color="000000" w:sz="4" w:space="0"/>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w:t>
            </w:r>
          </w:p>
        </w:tc>
        <w:tc>
          <w:tcPr>
            <w:tcW w:w="694"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年末结转和结余</w:t>
            </w:r>
          </w:p>
        </w:tc>
      </w:tr>
      <w:tr>
        <w:tblPrEx>
          <w:tblCellMar>
            <w:top w:w="0" w:type="dxa"/>
            <w:left w:w="108" w:type="dxa"/>
            <w:bottom w:w="0" w:type="dxa"/>
            <w:right w:w="108" w:type="dxa"/>
          </w:tblCellMar>
        </w:tblPrEx>
        <w:trPr>
          <w:trHeight w:val="312" w:hRule="atLeast"/>
        </w:trPr>
        <w:tc>
          <w:tcPr>
            <w:tcW w:w="1755" w:type="pct"/>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支出功能分类科目编码</w:t>
            </w:r>
          </w:p>
        </w:tc>
        <w:tc>
          <w:tcPr>
            <w:tcW w:w="448" w:type="pct"/>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48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448"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22"/>
              </w:rPr>
            </w:pPr>
          </w:p>
        </w:tc>
        <w:tc>
          <w:tcPr>
            <w:tcW w:w="268" w:type="pct"/>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小计</w:t>
            </w:r>
          </w:p>
        </w:tc>
        <w:tc>
          <w:tcPr>
            <w:tcW w:w="448" w:type="pct"/>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448" w:type="pct"/>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c>
          <w:tcPr>
            <w:tcW w:w="69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12" w:hRule="atLeast"/>
        </w:trPr>
        <w:tc>
          <w:tcPr>
            <w:tcW w:w="1755"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44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22"/>
              </w:rPr>
            </w:pPr>
          </w:p>
        </w:tc>
        <w:tc>
          <w:tcPr>
            <w:tcW w:w="48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448"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22"/>
              </w:rPr>
            </w:pPr>
          </w:p>
        </w:tc>
        <w:tc>
          <w:tcPr>
            <w:tcW w:w="26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22"/>
              </w:rPr>
            </w:pPr>
          </w:p>
        </w:tc>
        <w:tc>
          <w:tcPr>
            <w:tcW w:w="44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22"/>
              </w:rPr>
            </w:pPr>
          </w:p>
        </w:tc>
        <w:tc>
          <w:tcPr>
            <w:tcW w:w="44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22"/>
              </w:rPr>
            </w:pPr>
          </w:p>
        </w:tc>
        <w:tc>
          <w:tcPr>
            <w:tcW w:w="69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12" w:hRule="atLeast"/>
        </w:trPr>
        <w:tc>
          <w:tcPr>
            <w:tcW w:w="1755"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44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22"/>
              </w:rPr>
            </w:pPr>
          </w:p>
        </w:tc>
        <w:tc>
          <w:tcPr>
            <w:tcW w:w="48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448"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22"/>
              </w:rPr>
            </w:pPr>
          </w:p>
        </w:tc>
        <w:tc>
          <w:tcPr>
            <w:tcW w:w="26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22"/>
              </w:rPr>
            </w:pPr>
          </w:p>
        </w:tc>
        <w:tc>
          <w:tcPr>
            <w:tcW w:w="44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22"/>
              </w:rPr>
            </w:pPr>
          </w:p>
        </w:tc>
        <w:tc>
          <w:tcPr>
            <w:tcW w:w="44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22"/>
              </w:rPr>
            </w:pPr>
          </w:p>
        </w:tc>
        <w:tc>
          <w:tcPr>
            <w:tcW w:w="69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38" w:hRule="atLeast"/>
        </w:trPr>
        <w:tc>
          <w:tcPr>
            <w:tcW w:w="1399" w:type="pct"/>
            <w:vMerge w:val="restar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类</w:t>
            </w:r>
          </w:p>
        </w:tc>
        <w:tc>
          <w:tcPr>
            <w:tcW w:w="178" w:type="pct"/>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款</w:t>
            </w:r>
          </w:p>
        </w:tc>
        <w:tc>
          <w:tcPr>
            <w:tcW w:w="178" w:type="pct"/>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w:t>
            </w:r>
          </w:p>
        </w:tc>
        <w:tc>
          <w:tcPr>
            <w:tcW w:w="448"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485"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448"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268"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448"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448"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694"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r>
      <w:tr>
        <w:tblPrEx>
          <w:tblCellMar>
            <w:top w:w="0" w:type="dxa"/>
            <w:left w:w="108" w:type="dxa"/>
            <w:bottom w:w="0" w:type="dxa"/>
            <w:right w:w="108" w:type="dxa"/>
          </w:tblCellMar>
        </w:tblPrEx>
        <w:trPr>
          <w:trHeight w:val="308" w:hRule="atLeast"/>
        </w:trPr>
        <w:tc>
          <w:tcPr>
            <w:tcW w:w="1399"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22"/>
              </w:rPr>
            </w:pPr>
          </w:p>
        </w:tc>
        <w:tc>
          <w:tcPr>
            <w:tcW w:w="17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22"/>
              </w:rPr>
            </w:pPr>
          </w:p>
        </w:tc>
        <w:tc>
          <w:tcPr>
            <w:tcW w:w="17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22"/>
              </w:rPr>
            </w:pPr>
          </w:p>
        </w:tc>
        <w:tc>
          <w:tcPr>
            <w:tcW w:w="448"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26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69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75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448"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26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69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75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448"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26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69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75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448"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26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69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75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448"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26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69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75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448"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26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69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75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448"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26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69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23" w:hRule="atLeast"/>
        </w:trPr>
        <w:tc>
          <w:tcPr>
            <w:tcW w:w="5000" w:type="pct"/>
            <w:gridSpan w:val="10"/>
            <w:tcBorders>
              <w:top w:val="nil"/>
              <w:left w:val="nil"/>
              <w:bottom w:val="nil"/>
              <w:right w:val="nil"/>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注：本表反映部门本年度政府性基金预算财政拨款收入、支出及结转和结余情况。</w:t>
            </w:r>
          </w:p>
        </w:tc>
      </w:tr>
      <w:tr>
        <w:tblPrEx>
          <w:tblCellMar>
            <w:top w:w="0" w:type="dxa"/>
            <w:left w:w="108" w:type="dxa"/>
            <w:bottom w:w="0" w:type="dxa"/>
            <w:right w:w="108" w:type="dxa"/>
          </w:tblCellMar>
        </w:tblPrEx>
        <w:trPr>
          <w:trHeight w:val="369" w:hRule="atLeast"/>
        </w:trPr>
        <w:tc>
          <w:tcPr>
            <w:tcW w:w="5000" w:type="pct"/>
            <w:gridSpan w:val="10"/>
            <w:tcBorders>
              <w:top w:val="nil"/>
              <w:left w:val="nil"/>
              <w:bottom w:val="nil"/>
              <w:right w:val="nil"/>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说明：当此表数据为零时，即本部门无政府性基金预算财政拨款收入、支出。</w:t>
            </w:r>
          </w:p>
        </w:tc>
      </w:tr>
      <w:tr>
        <w:tblPrEx>
          <w:tblCellMar>
            <w:top w:w="0" w:type="dxa"/>
            <w:left w:w="108" w:type="dxa"/>
            <w:bottom w:w="0" w:type="dxa"/>
            <w:right w:w="108" w:type="dxa"/>
          </w:tblCellMar>
        </w:tblPrEx>
        <w:trPr>
          <w:trHeight w:val="255" w:hRule="atLeast"/>
        </w:trPr>
        <w:tc>
          <w:tcPr>
            <w:tcW w:w="1399" w:type="pct"/>
            <w:tcBorders>
              <w:top w:val="nil"/>
              <w:left w:val="nil"/>
              <w:bottom w:val="nil"/>
              <w:right w:val="nil"/>
            </w:tcBorders>
            <w:noWrap/>
            <w:vAlign w:val="bottom"/>
          </w:tcPr>
          <w:p>
            <w:pPr>
              <w:rPr>
                <w:rFonts w:ascii="Arial" w:hAnsi="Arial" w:cs="Arial"/>
                <w:color w:val="000000"/>
                <w:sz w:val="20"/>
                <w:szCs w:val="20"/>
              </w:rPr>
            </w:pPr>
          </w:p>
        </w:tc>
        <w:tc>
          <w:tcPr>
            <w:tcW w:w="178" w:type="pct"/>
            <w:tcBorders>
              <w:top w:val="nil"/>
              <w:left w:val="nil"/>
              <w:bottom w:val="nil"/>
              <w:right w:val="nil"/>
            </w:tcBorders>
            <w:noWrap/>
            <w:vAlign w:val="bottom"/>
          </w:tcPr>
          <w:p>
            <w:pPr>
              <w:rPr>
                <w:rFonts w:ascii="Arial" w:hAnsi="Arial" w:cs="Arial"/>
                <w:color w:val="000000"/>
                <w:sz w:val="20"/>
                <w:szCs w:val="20"/>
              </w:rPr>
            </w:pPr>
          </w:p>
        </w:tc>
        <w:tc>
          <w:tcPr>
            <w:tcW w:w="178" w:type="pct"/>
            <w:tcBorders>
              <w:top w:val="nil"/>
              <w:left w:val="nil"/>
              <w:bottom w:val="nil"/>
              <w:right w:val="nil"/>
            </w:tcBorders>
            <w:noWrap/>
            <w:vAlign w:val="bottom"/>
          </w:tcPr>
          <w:p>
            <w:pPr>
              <w:rPr>
                <w:rFonts w:ascii="Arial" w:hAnsi="Arial" w:cs="Arial"/>
                <w:color w:val="000000"/>
                <w:sz w:val="20"/>
                <w:szCs w:val="20"/>
              </w:rPr>
            </w:pPr>
          </w:p>
        </w:tc>
        <w:tc>
          <w:tcPr>
            <w:tcW w:w="448" w:type="pct"/>
            <w:tcBorders>
              <w:top w:val="nil"/>
              <w:left w:val="nil"/>
              <w:bottom w:val="nil"/>
              <w:right w:val="nil"/>
            </w:tcBorders>
            <w:noWrap/>
            <w:vAlign w:val="bottom"/>
          </w:tcPr>
          <w:p>
            <w:pPr>
              <w:rPr>
                <w:rFonts w:ascii="Arial" w:hAnsi="Arial" w:cs="Arial"/>
                <w:color w:val="000000"/>
                <w:sz w:val="20"/>
                <w:szCs w:val="20"/>
              </w:rPr>
            </w:pPr>
          </w:p>
        </w:tc>
        <w:tc>
          <w:tcPr>
            <w:tcW w:w="485" w:type="pct"/>
            <w:tcBorders>
              <w:top w:val="nil"/>
              <w:left w:val="nil"/>
              <w:bottom w:val="nil"/>
              <w:right w:val="nil"/>
            </w:tcBorders>
            <w:noWrap/>
            <w:vAlign w:val="bottom"/>
          </w:tcPr>
          <w:p>
            <w:pPr>
              <w:rPr>
                <w:rFonts w:ascii="Arial" w:hAnsi="Arial" w:cs="Arial"/>
                <w:color w:val="000000"/>
                <w:sz w:val="20"/>
                <w:szCs w:val="20"/>
              </w:rPr>
            </w:pPr>
          </w:p>
        </w:tc>
        <w:tc>
          <w:tcPr>
            <w:tcW w:w="448" w:type="pct"/>
            <w:tcBorders>
              <w:top w:val="nil"/>
              <w:left w:val="nil"/>
              <w:bottom w:val="nil"/>
              <w:right w:val="nil"/>
            </w:tcBorders>
            <w:noWrap/>
            <w:vAlign w:val="bottom"/>
          </w:tcPr>
          <w:p>
            <w:pPr>
              <w:rPr>
                <w:rFonts w:ascii="Arial" w:hAnsi="Arial" w:cs="Arial"/>
                <w:color w:val="000000"/>
                <w:sz w:val="20"/>
                <w:szCs w:val="20"/>
              </w:rPr>
            </w:pPr>
          </w:p>
        </w:tc>
        <w:tc>
          <w:tcPr>
            <w:tcW w:w="268" w:type="pct"/>
            <w:tcBorders>
              <w:top w:val="nil"/>
              <w:left w:val="nil"/>
              <w:bottom w:val="nil"/>
              <w:right w:val="nil"/>
            </w:tcBorders>
            <w:noWrap/>
            <w:vAlign w:val="bottom"/>
          </w:tcPr>
          <w:p>
            <w:pPr>
              <w:rPr>
                <w:rFonts w:ascii="Arial" w:hAnsi="Arial" w:cs="Arial"/>
                <w:color w:val="000000"/>
                <w:sz w:val="20"/>
                <w:szCs w:val="20"/>
              </w:rPr>
            </w:pPr>
          </w:p>
        </w:tc>
        <w:tc>
          <w:tcPr>
            <w:tcW w:w="448" w:type="pct"/>
            <w:tcBorders>
              <w:top w:val="nil"/>
              <w:left w:val="nil"/>
              <w:bottom w:val="nil"/>
              <w:right w:val="nil"/>
            </w:tcBorders>
            <w:noWrap/>
            <w:vAlign w:val="bottom"/>
          </w:tcPr>
          <w:p>
            <w:pPr>
              <w:rPr>
                <w:rFonts w:ascii="Arial" w:hAnsi="Arial" w:cs="Arial"/>
                <w:color w:val="000000"/>
                <w:sz w:val="20"/>
                <w:szCs w:val="20"/>
              </w:rPr>
            </w:pPr>
          </w:p>
        </w:tc>
        <w:tc>
          <w:tcPr>
            <w:tcW w:w="448" w:type="pct"/>
            <w:tcBorders>
              <w:top w:val="nil"/>
              <w:left w:val="nil"/>
              <w:bottom w:val="nil"/>
              <w:right w:val="nil"/>
            </w:tcBorders>
            <w:noWrap/>
            <w:vAlign w:val="bottom"/>
          </w:tcPr>
          <w:p>
            <w:pPr>
              <w:rPr>
                <w:rFonts w:ascii="Arial" w:hAnsi="Arial" w:cs="Arial"/>
                <w:color w:val="000000"/>
                <w:sz w:val="20"/>
                <w:szCs w:val="20"/>
              </w:rPr>
            </w:pPr>
          </w:p>
        </w:tc>
        <w:tc>
          <w:tcPr>
            <w:tcW w:w="694" w:type="pct"/>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255" w:hRule="atLeast"/>
        </w:trPr>
        <w:tc>
          <w:tcPr>
            <w:tcW w:w="1399" w:type="pct"/>
            <w:tcBorders>
              <w:top w:val="nil"/>
              <w:left w:val="nil"/>
              <w:bottom w:val="nil"/>
              <w:right w:val="nil"/>
            </w:tcBorders>
            <w:noWrap/>
            <w:vAlign w:val="bottom"/>
          </w:tcPr>
          <w:p>
            <w:pPr>
              <w:rPr>
                <w:rFonts w:ascii="Arial" w:hAnsi="Arial" w:cs="Arial"/>
                <w:color w:val="000000"/>
                <w:sz w:val="20"/>
                <w:szCs w:val="20"/>
              </w:rPr>
            </w:pPr>
          </w:p>
        </w:tc>
        <w:tc>
          <w:tcPr>
            <w:tcW w:w="178" w:type="pct"/>
            <w:tcBorders>
              <w:top w:val="nil"/>
              <w:left w:val="nil"/>
              <w:bottom w:val="nil"/>
              <w:right w:val="nil"/>
            </w:tcBorders>
            <w:noWrap/>
            <w:vAlign w:val="bottom"/>
          </w:tcPr>
          <w:p>
            <w:pPr>
              <w:rPr>
                <w:rFonts w:ascii="Arial" w:hAnsi="Arial" w:cs="Arial"/>
                <w:color w:val="000000"/>
                <w:sz w:val="20"/>
                <w:szCs w:val="20"/>
              </w:rPr>
            </w:pPr>
          </w:p>
        </w:tc>
        <w:tc>
          <w:tcPr>
            <w:tcW w:w="178" w:type="pct"/>
            <w:tcBorders>
              <w:top w:val="nil"/>
              <w:left w:val="nil"/>
              <w:bottom w:val="nil"/>
              <w:right w:val="nil"/>
            </w:tcBorders>
            <w:noWrap/>
            <w:vAlign w:val="bottom"/>
          </w:tcPr>
          <w:p>
            <w:pPr>
              <w:rPr>
                <w:rFonts w:ascii="Arial" w:hAnsi="Arial" w:cs="Arial"/>
                <w:color w:val="000000"/>
                <w:sz w:val="20"/>
                <w:szCs w:val="20"/>
              </w:rPr>
            </w:pPr>
          </w:p>
        </w:tc>
        <w:tc>
          <w:tcPr>
            <w:tcW w:w="448" w:type="pct"/>
            <w:tcBorders>
              <w:top w:val="nil"/>
              <w:left w:val="nil"/>
              <w:bottom w:val="nil"/>
              <w:right w:val="nil"/>
            </w:tcBorders>
            <w:noWrap/>
            <w:vAlign w:val="bottom"/>
          </w:tcPr>
          <w:p>
            <w:pPr>
              <w:rPr>
                <w:rFonts w:ascii="Arial" w:hAnsi="Arial" w:cs="Arial"/>
                <w:color w:val="000000"/>
                <w:sz w:val="20"/>
                <w:szCs w:val="20"/>
              </w:rPr>
            </w:pPr>
          </w:p>
        </w:tc>
        <w:tc>
          <w:tcPr>
            <w:tcW w:w="485" w:type="pct"/>
            <w:tcBorders>
              <w:top w:val="nil"/>
              <w:left w:val="nil"/>
              <w:bottom w:val="nil"/>
              <w:right w:val="nil"/>
            </w:tcBorders>
            <w:noWrap/>
            <w:vAlign w:val="bottom"/>
          </w:tcPr>
          <w:p>
            <w:pPr>
              <w:rPr>
                <w:rFonts w:ascii="Arial" w:hAnsi="Arial" w:cs="Arial"/>
                <w:color w:val="000000"/>
                <w:sz w:val="20"/>
                <w:szCs w:val="20"/>
              </w:rPr>
            </w:pPr>
          </w:p>
        </w:tc>
        <w:tc>
          <w:tcPr>
            <w:tcW w:w="448" w:type="pct"/>
            <w:tcBorders>
              <w:top w:val="nil"/>
              <w:left w:val="nil"/>
              <w:bottom w:val="nil"/>
              <w:right w:val="nil"/>
            </w:tcBorders>
            <w:noWrap/>
            <w:vAlign w:val="bottom"/>
          </w:tcPr>
          <w:p>
            <w:pPr>
              <w:widowControl/>
              <w:jc w:val="center"/>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 %d —</w:t>
            </w:r>
          </w:p>
        </w:tc>
        <w:tc>
          <w:tcPr>
            <w:tcW w:w="268" w:type="pct"/>
            <w:tcBorders>
              <w:top w:val="nil"/>
              <w:left w:val="nil"/>
              <w:bottom w:val="nil"/>
              <w:right w:val="nil"/>
            </w:tcBorders>
            <w:noWrap/>
            <w:vAlign w:val="bottom"/>
          </w:tcPr>
          <w:p>
            <w:pPr>
              <w:rPr>
                <w:rFonts w:ascii="Arial" w:hAnsi="Arial" w:cs="Arial"/>
                <w:color w:val="000000"/>
                <w:sz w:val="20"/>
                <w:szCs w:val="20"/>
              </w:rPr>
            </w:pPr>
          </w:p>
        </w:tc>
        <w:tc>
          <w:tcPr>
            <w:tcW w:w="448" w:type="pct"/>
            <w:tcBorders>
              <w:top w:val="nil"/>
              <w:left w:val="nil"/>
              <w:bottom w:val="nil"/>
              <w:right w:val="nil"/>
            </w:tcBorders>
            <w:noWrap/>
            <w:vAlign w:val="bottom"/>
          </w:tcPr>
          <w:p>
            <w:pPr>
              <w:rPr>
                <w:rFonts w:ascii="Arial" w:hAnsi="Arial" w:cs="Arial"/>
                <w:color w:val="000000"/>
                <w:sz w:val="20"/>
                <w:szCs w:val="20"/>
              </w:rPr>
            </w:pPr>
          </w:p>
        </w:tc>
        <w:tc>
          <w:tcPr>
            <w:tcW w:w="448" w:type="pct"/>
            <w:tcBorders>
              <w:top w:val="nil"/>
              <w:left w:val="nil"/>
              <w:bottom w:val="nil"/>
              <w:right w:val="nil"/>
            </w:tcBorders>
            <w:noWrap/>
            <w:vAlign w:val="bottom"/>
          </w:tcPr>
          <w:p>
            <w:pPr>
              <w:rPr>
                <w:rFonts w:ascii="Arial" w:hAnsi="Arial" w:cs="Arial"/>
                <w:color w:val="000000"/>
                <w:sz w:val="20"/>
                <w:szCs w:val="20"/>
              </w:rPr>
            </w:pPr>
          </w:p>
        </w:tc>
        <w:tc>
          <w:tcPr>
            <w:tcW w:w="694" w:type="pct"/>
            <w:tcBorders>
              <w:top w:val="nil"/>
              <w:left w:val="nil"/>
              <w:bottom w:val="nil"/>
              <w:right w:val="nil"/>
            </w:tcBorders>
            <w:noWrap/>
            <w:vAlign w:val="bottom"/>
          </w:tcPr>
          <w:p>
            <w:pPr>
              <w:rPr>
                <w:rFonts w:ascii="Arial" w:hAnsi="Arial" w:cs="Arial"/>
                <w:color w:val="000000"/>
                <w:sz w:val="20"/>
                <w:szCs w:val="20"/>
              </w:rPr>
            </w:pPr>
          </w:p>
        </w:tc>
      </w:tr>
    </w:tbl>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tbl>
      <w:tblPr>
        <w:tblStyle w:val="3"/>
        <w:tblW w:w="10110" w:type="dxa"/>
        <w:jc w:val="center"/>
        <w:tblLayout w:type="autofit"/>
        <w:tblCellMar>
          <w:top w:w="0" w:type="dxa"/>
          <w:left w:w="108" w:type="dxa"/>
          <w:bottom w:w="0" w:type="dxa"/>
          <w:right w:w="108" w:type="dxa"/>
        </w:tblCellMar>
      </w:tblPr>
      <w:tblGrid>
        <w:gridCol w:w="3416"/>
        <w:gridCol w:w="436"/>
        <w:gridCol w:w="436"/>
        <w:gridCol w:w="1096"/>
        <w:gridCol w:w="1680"/>
        <w:gridCol w:w="1351"/>
        <w:gridCol w:w="1695"/>
      </w:tblGrid>
      <w:tr>
        <w:tblPrEx>
          <w:tblCellMar>
            <w:top w:w="0" w:type="dxa"/>
            <w:left w:w="108" w:type="dxa"/>
            <w:bottom w:w="0" w:type="dxa"/>
            <w:right w:w="108" w:type="dxa"/>
          </w:tblCellMar>
        </w:tblPrEx>
        <w:trPr>
          <w:trHeight w:val="540" w:hRule="atLeast"/>
          <w:jc w:val="center"/>
        </w:trPr>
        <w:tc>
          <w:tcPr>
            <w:tcW w:w="10110" w:type="dxa"/>
            <w:gridSpan w:val="7"/>
            <w:tcBorders>
              <w:top w:val="nil"/>
              <w:left w:val="nil"/>
              <w:bottom w:val="nil"/>
              <w:right w:val="nil"/>
            </w:tcBorders>
            <w:noWrap/>
            <w:vAlign w:val="bottom"/>
          </w:tcPr>
          <w:p>
            <w:pPr>
              <w:widowControl/>
              <w:jc w:val="center"/>
              <w:textAlignment w:val="bottom"/>
              <w:rPr>
                <w:rFonts w:hint="eastAsia" w:ascii="宋体" w:hAnsi="宋体" w:cs="宋体"/>
                <w:color w:val="000000"/>
                <w:sz w:val="44"/>
                <w:szCs w:val="44"/>
              </w:rPr>
            </w:pPr>
            <w:r>
              <w:rPr>
                <w:rFonts w:hint="eastAsia" w:ascii="宋体" w:hAnsi="宋体" w:cs="宋体"/>
                <w:color w:val="000000"/>
                <w:kern w:val="0"/>
                <w:sz w:val="44"/>
                <w:szCs w:val="44"/>
                <w:lang w:bidi="ar"/>
              </w:rPr>
              <w:t>国有资本经营预算财政拨款支出决算表</w:t>
            </w:r>
          </w:p>
        </w:tc>
      </w:tr>
      <w:tr>
        <w:tblPrEx>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公开09表</w:t>
            </w:r>
          </w:p>
        </w:tc>
      </w:tr>
      <w:tr>
        <w:tblPrEx>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编制单位：宁都县东韶乡中心幼儿园</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center"/>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2021年度</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    目</w:t>
            </w:r>
          </w:p>
        </w:tc>
        <w:tc>
          <w:tcPr>
            <w:tcW w:w="168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845"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1695"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r>
      <w:tr>
        <w:tblPrEx>
          <w:tblCellMar>
            <w:top w:w="0" w:type="dxa"/>
            <w:left w:w="108" w:type="dxa"/>
            <w:bottom w:w="0" w:type="dxa"/>
            <w:right w:w="108" w:type="dxa"/>
          </w:tblCellMar>
        </w:tblPrEx>
        <w:trPr>
          <w:trHeight w:val="312" w:hRule="atLeast"/>
          <w:jc w:val="center"/>
        </w:trPr>
        <w:tc>
          <w:tcPr>
            <w:tcW w:w="1560"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支出功能分类科目编码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184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169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12" w:hRule="atLeast"/>
          <w:jc w:val="center"/>
        </w:trPr>
        <w:tc>
          <w:tcPr>
            <w:tcW w:w="156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184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169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12" w:hRule="atLeast"/>
          <w:jc w:val="center"/>
        </w:trPr>
        <w:tc>
          <w:tcPr>
            <w:tcW w:w="156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184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c>
          <w:tcPr>
            <w:tcW w:w="169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r>
      <w:tr>
        <w:tblPrEx>
          <w:tblCellMar>
            <w:top w:w="0" w:type="dxa"/>
            <w:left w:w="108" w:type="dxa"/>
            <w:bottom w:w="0" w:type="dxa"/>
            <w:right w:w="108" w:type="dxa"/>
          </w:tblCellMar>
        </w:tblPrEx>
        <w:trPr>
          <w:trHeight w:val="308" w:hRule="atLeast"/>
          <w:jc w:val="center"/>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cs="宋体"/>
                <w:color w:val="000000"/>
                <w:sz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23" w:hRule="atLeast"/>
          <w:jc w:val="center"/>
        </w:trPr>
        <w:tc>
          <w:tcPr>
            <w:tcW w:w="10110" w:type="dxa"/>
            <w:gridSpan w:val="7"/>
            <w:tcBorders>
              <w:top w:val="nil"/>
              <w:left w:val="nil"/>
              <w:bottom w:val="nil"/>
              <w:right w:val="nil"/>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注：本表反映部门本年度国有资本经营预算财政拨款支出情况。</w:t>
            </w:r>
          </w:p>
        </w:tc>
      </w:tr>
      <w:tr>
        <w:tblPrEx>
          <w:tblCellMar>
            <w:top w:w="0" w:type="dxa"/>
            <w:left w:w="108" w:type="dxa"/>
            <w:bottom w:w="0" w:type="dxa"/>
            <w:right w:w="108" w:type="dxa"/>
          </w:tblCellMar>
        </w:tblPrEx>
        <w:trPr>
          <w:trHeight w:val="308" w:hRule="atLeast"/>
          <w:jc w:val="center"/>
        </w:trPr>
        <w:tc>
          <w:tcPr>
            <w:tcW w:w="0" w:type="auto"/>
            <w:gridSpan w:val="7"/>
            <w:tcBorders>
              <w:top w:val="nil"/>
              <w:left w:val="nil"/>
              <w:bottom w:val="nil"/>
              <w:right w:val="nil"/>
            </w:tcBorders>
            <w:noWrap/>
            <w:vAlign w:val="bottom"/>
          </w:tcPr>
          <w:p>
            <w:pPr>
              <w:widowControl/>
              <w:jc w:val="left"/>
              <w:textAlignment w:val="bottom"/>
              <w:rPr>
                <w:rFonts w:hint="eastAsia" w:ascii="宋体" w:hAnsi="宋体" w:cs="宋体"/>
                <w:color w:val="000000"/>
                <w:sz w:val="22"/>
              </w:rPr>
            </w:pPr>
            <w:r>
              <w:rPr>
                <w:rFonts w:hint="eastAsia" w:ascii="宋体" w:hAnsi="宋体" w:cs="宋体"/>
                <w:color w:val="000000"/>
                <w:kern w:val="0"/>
                <w:sz w:val="22"/>
                <w:lang w:bidi="ar"/>
              </w:rPr>
              <w:t>说明：当此表数据为空时，即本部门无国有资本经营预算财政拨款支出。</w:t>
            </w:r>
          </w:p>
        </w:tc>
      </w:tr>
      <w:tr>
        <w:tblPrEx>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center"/>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 %d —</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r>
    </w:tbl>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tbl>
      <w:tblPr>
        <w:tblStyle w:val="3"/>
        <w:tblW w:w="8775" w:type="dxa"/>
        <w:tblInd w:w="93" w:type="dxa"/>
        <w:tblLayout w:type="autofit"/>
        <w:tblCellMar>
          <w:top w:w="0" w:type="dxa"/>
          <w:left w:w="108" w:type="dxa"/>
          <w:bottom w:w="0" w:type="dxa"/>
          <w:right w:w="108" w:type="dxa"/>
        </w:tblCellMar>
      </w:tblPr>
      <w:tblGrid>
        <w:gridCol w:w="5589"/>
        <w:gridCol w:w="1178"/>
        <w:gridCol w:w="2008"/>
      </w:tblGrid>
      <w:tr>
        <w:tblPrEx>
          <w:tblCellMar>
            <w:top w:w="0" w:type="dxa"/>
            <w:left w:w="108" w:type="dxa"/>
            <w:bottom w:w="0" w:type="dxa"/>
            <w:right w:w="108" w:type="dxa"/>
          </w:tblCellMar>
        </w:tblPrEx>
        <w:trPr>
          <w:trHeight w:val="540" w:hRule="atLeast"/>
        </w:trPr>
        <w:tc>
          <w:tcPr>
            <w:tcW w:w="8775" w:type="dxa"/>
            <w:gridSpan w:val="3"/>
            <w:tcBorders>
              <w:top w:val="nil"/>
              <w:left w:val="nil"/>
              <w:bottom w:val="nil"/>
              <w:right w:val="nil"/>
            </w:tcBorders>
            <w:noWrap/>
            <w:vAlign w:val="bottom"/>
          </w:tcPr>
          <w:p>
            <w:pPr>
              <w:widowControl/>
              <w:jc w:val="center"/>
              <w:textAlignment w:val="bottom"/>
              <w:rPr>
                <w:rFonts w:hint="eastAsia" w:ascii="宋体" w:hAnsi="宋体" w:cs="宋体"/>
                <w:color w:val="000000"/>
                <w:sz w:val="44"/>
                <w:szCs w:val="44"/>
              </w:rPr>
            </w:pPr>
            <w:r>
              <w:rPr>
                <w:rFonts w:hint="eastAsia" w:ascii="宋体" w:hAnsi="宋体" w:cs="宋体"/>
                <w:color w:val="000000"/>
                <w:kern w:val="0"/>
                <w:sz w:val="44"/>
                <w:szCs w:val="44"/>
                <w:lang w:bidi="ar"/>
              </w:rPr>
              <w:t>国有资产占用情况表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公开10表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编制单位：宁都县东韶乡中心幼儿园</w:t>
            </w:r>
          </w:p>
        </w:tc>
        <w:tc>
          <w:tcPr>
            <w:tcW w:w="0" w:type="auto"/>
            <w:tcBorders>
              <w:top w:val="nil"/>
              <w:left w:val="nil"/>
              <w:bottom w:val="nil"/>
              <w:right w:val="nil"/>
            </w:tcBorders>
            <w:noWrap/>
            <w:vAlign w:val="bottom"/>
          </w:tcPr>
          <w:p>
            <w:pPr>
              <w:widowControl/>
              <w:jc w:val="center"/>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2021年度</w:t>
            </w:r>
          </w:p>
        </w:tc>
        <w:tc>
          <w:tcPr>
            <w:tcW w:w="0" w:type="auto"/>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单位：台、辆、套</w:t>
            </w:r>
          </w:p>
        </w:tc>
      </w:tr>
      <w:tr>
        <w:tblPrEx>
          <w:tblCellMar>
            <w:top w:w="0" w:type="dxa"/>
            <w:left w:w="108" w:type="dxa"/>
            <w:bottom w:w="0" w:type="dxa"/>
            <w:right w:w="108" w:type="dxa"/>
          </w:tblCellMar>
        </w:tblPrEx>
        <w:trPr>
          <w:trHeight w:val="277" w:hRule="atLeast"/>
        </w:trPr>
        <w:tc>
          <w:tcPr>
            <w:tcW w:w="0" w:type="auto"/>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  目</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一、车辆数合计(台、辆)</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1.副部（省）级及以上领导用车</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2.主要领导干部用车</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3.机要通信用车</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4.应急保障用车</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5.执法执勤用车</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6.特种专业技术用车</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7.离退休干部用车</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8.其他用车</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二、单价50万元（含）以上通用设备（台，套）</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三、单价100万元（含）以上专用设备（台，套）</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注：本表反映截止2021年12月31日，部门占用的国有资产情况。</w:t>
            </w:r>
          </w:p>
        </w:tc>
      </w:tr>
      <w:tr>
        <w:tblPrEx>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说明：当此表数据为空时，即本部门（单位）无相关资产。</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center"/>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 %d —</w:t>
            </w:r>
          </w:p>
        </w:tc>
        <w:tc>
          <w:tcPr>
            <w:tcW w:w="0" w:type="auto"/>
            <w:tcBorders>
              <w:top w:val="nil"/>
              <w:left w:val="nil"/>
              <w:bottom w:val="nil"/>
              <w:right w:val="nil"/>
            </w:tcBorders>
            <w:noWrap/>
            <w:vAlign w:val="bottom"/>
          </w:tcPr>
          <w:p>
            <w:pPr>
              <w:rPr>
                <w:rFonts w:ascii="Arial" w:hAnsi="Arial" w:cs="Arial"/>
                <w:color w:val="000000"/>
                <w:sz w:val="20"/>
                <w:szCs w:val="20"/>
              </w:rPr>
            </w:pPr>
          </w:p>
        </w:tc>
      </w:tr>
    </w:tbl>
    <w:p>
      <w:pPr>
        <w:autoSpaceDE w:val="0"/>
        <w:autoSpaceDN w:val="0"/>
        <w:adjustRightInd w:val="0"/>
        <w:spacing w:line="360" w:lineRule="auto"/>
        <w:jc w:val="left"/>
      </w:pP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cs="Calibri" w:eastAsiaTheme="minorEastAsia"/>
          <w:kern w:val="2"/>
          <w:sz w:val="21"/>
          <w:szCs w:val="21"/>
          <w:lang w:val="en-US" w:eastAsia="zh-CN" w:bidi="ar"/>
        </w:rPr>
        <w:t> </w:t>
      </w:r>
    </w:p>
    <w:tbl>
      <w:tblPr>
        <w:tblW w:w="105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1"/>
        <w:gridCol w:w="1188"/>
        <w:gridCol w:w="1003"/>
        <w:gridCol w:w="1125"/>
        <w:gridCol w:w="1334"/>
        <w:gridCol w:w="472"/>
        <w:gridCol w:w="1305"/>
        <w:gridCol w:w="921"/>
        <w:gridCol w:w="280"/>
        <w:gridCol w:w="371"/>
        <w:gridCol w:w="529"/>
        <w:gridCol w:w="278"/>
        <w:gridCol w:w="38"/>
        <w:gridCol w:w="700"/>
        <w:gridCol w:w="29"/>
        <w:gridCol w:w="421"/>
        <w:gridCol w:w="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09"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项目名称</w:t>
            </w:r>
          </w:p>
        </w:tc>
        <w:tc>
          <w:tcPr>
            <w:tcW w:w="8842" w:type="dxa"/>
            <w:gridSpan w:val="1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主管单位</w:t>
            </w:r>
          </w:p>
        </w:tc>
        <w:tc>
          <w:tcPr>
            <w:tcW w:w="4666"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宁都县财政局</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实施单位</w:t>
            </w:r>
          </w:p>
        </w:tc>
        <w:tc>
          <w:tcPr>
            <w:tcW w:w="268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宁都县东韶乡公立幼儿园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55" w:hRule="atLeast"/>
          <w:jc w:val="center"/>
        </w:trPr>
        <w:tc>
          <w:tcPr>
            <w:tcW w:w="1673" w:type="dxa"/>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（万元）</w:t>
            </w: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年初预算数</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全年预算数（A)</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全年执行数(B)</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分值</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执行率(B/A)</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宋体" w:hAnsi="宋体" w:eastAsia="宋体" w:cs="宋体"/>
                <w:i w:val="0"/>
                <w:iCs w:val="0"/>
                <w:color w:val="000000"/>
                <w:kern w:val="0"/>
                <w:sz w:val="20"/>
                <w:szCs w:val="20"/>
                <w:bdr w:val="none" w:color="auto" w:sz="0" w:space="0"/>
                <w:lang w:val="en-US" w:eastAsia="zh-CN" w:bidi="ar"/>
              </w:rPr>
              <w:t>年度资金总额</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10.32</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10.32</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10.32</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100.0%</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其中：当年财政拨款</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 10.32</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10.32 </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10.32 </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100.0%</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      上年结转资金</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    其他资金</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608"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年度总体目标</w:t>
            </w:r>
          </w:p>
        </w:tc>
        <w:tc>
          <w:tcPr>
            <w:tcW w:w="5731"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预期目标</w:t>
            </w:r>
          </w:p>
        </w:tc>
        <w:tc>
          <w:tcPr>
            <w:tcW w:w="4176" w:type="dxa"/>
            <w:gridSpan w:val="9"/>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115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731"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目标1：按省定额标准下达公用经费                                                   目标2：按学生人数下达公用经费                                                        目标3：基本保障学前教育学校日常运行                                                             目标4：提高学前教育学校教育教学质量</w:t>
            </w:r>
          </w:p>
        </w:tc>
        <w:tc>
          <w:tcPr>
            <w:tcW w:w="4176" w:type="dxa"/>
            <w:gridSpan w:val="9"/>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608"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标</w:t>
            </w: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一级指标</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二级指标</w:t>
            </w:r>
          </w:p>
        </w:tc>
        <w:tc>
          <w:tcPr>
            <w:tcW w:w="2813" w:type="dxa"/>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三级指标</w:t>
            </w:r>
          </w:p>
        </w:tc>
        <w:tc>
          <w:tcPr>
            <w:tcW w:w="1097"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年度指标值（A)</w:t>
            </w:r>
          </w:p>
        </w:tc>
        <w:tc>
          <w:tcPr>
            <w:tcW w:w="104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实际完成值(B)</w:t>
            </w:r>
          </w:p>
        </w:tc>
        <w:tc>
          <w:tcPr>
            <w:tcW w:w="875"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分值</w:t>
            </w:r>
          </w:p>
        </w:tc>
        <w:tc>
          <w:tcPr>
            <w:tcW w:w="95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得分</w:t>
            </w:r>
          </w:p>
        </w:tc>
        <w:tc>
          <w:tcPr>
            <w:tcW w:w="1307" w:type="dxa"/>
            <w:gridSpan w:val="4"/>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097"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04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875"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5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07" w:type="dxa"/>
            <w:gridSpan w:val="4"/>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78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产出指标（50分）</w:t>
            </w:r>
          </w:p>
        </w:tc>
        <w:tc>
          <w:tcPr>
            <w:tcW w:w="756"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数量指标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学前教育生均公用经费执行标准</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不低于省规定的标准</w:t>
            </w:r>
          </w:p>
        </w:tc>
        <w:tc>
          <w:tcPr>
            <w:tcW w:w="104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不低于省规定的标准</w:t>
            </w:r>
          </w:p>
        </w:tc>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6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学前教育生均公用经费拨付到位率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6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学前教育生均公用经费拨付及时率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1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质量指标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保障学前教育学校正常运行</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正常运行</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正常运行</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0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时效指标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资金按规定及时拨付率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0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年度预算执行进度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9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效益指标（30分）</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教学活动开展有序，办学水平不断提高</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4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教育教学质量</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1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（10分）</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服务对象满意度指标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学校和教师满意度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≥85%</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96%</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1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家长和学生满意度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≥85%</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96%</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7383"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总分</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99.6</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65" w:hRule="atLeast"/>
          <w:jc w:val="center"/>
        </w:trPr>
        <w:tc>
          <w:tcPr>
            <w:tcW w:w="0" w:type="auto"/>
            <w:gridSpan w:val="16"/>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75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    2.评分标准：（1） 若为</w:t>
            </w:r>
            <w:r>
              <w:rPr>
                <w:rFonts w:hint="eastAsia" w:ascii="宋体" w:hAnsi="宋体" w:eastAsia="宋体" w:cs="宋体"/>
                <w:b/>
                <w:bCs/>
                <w:i w:val="0"/>
                <w:iCs w:val="0"/>
                <w:color w:val="000000"/>
                <w:kern w:val="0"/>
                <w:sz w:val="20"/>
                <w:szCs w:val="20"/>
                <w:bdr w:val="none" w:color="auto" w:sz="0" w:space="0"/>
                <w:lang w:val="en-US" w:eastAsia="zh-CN" w:bidi="ar"/>
              </w:rPr>
              <w:t>定性指标</w:t>
            </w:r>
            <w:r>
              <w:rPr>
                <w:rFonts w:hint="eastAsia" w:ascii="宋体" w:hAnsi="宋体" w:eastAsia="宋体" w:cs="宋体"/>
                <w:color w:val="000000"/>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0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   （2）若为</w:t>
            </w:r>
            <w:r>
              <w:rPr>
                <w:rFonts w:hint="eastAsia" w:ascii="宋体" w:hAnsi="宋体" w:eastAsia="宋体" w:cs="宋体"/>
                <w:b/>
                <w:bCs/>
                <w:i w:val="0"/>
                <w:iCs w:val="0"/>
                <w:color w:val="000000"/>
                <w:kern w:val="0"/>
                <w:sz w:val="20"/>
                <w:szCs w:val="20"/>
                <w:bdr w:val="none" w:color="auto" w:sz="0" w:space="0"/>
                <w:lang w:val="en-US" w:eastAsia="zh-CN" w:bidi="ar"/>
              </w:rPr>
              <w:t>定量指标</w:t>
            </w:r>
            <w:r>
              <w:rPr>
                <w:rFonts w:hint="eastAsia" w:ascii="宋体" w:hAnsi="宋体" w:eastAsia="宋体" w:cs="宋体"/>
                <w:color w:val="000000"/>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    3.请在“偏差原因分析及改进措施”中说明偏离目标、不能完成目标的原因及拟采取的措施。</w:t>
            </w:r>
          </w:p>
        </w:tc>
        <w:tc>
          <w:tcPr>
            <w:tcW w:w="236"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0"/>
                <w:szCs w:val="20"/>
                <w:bdr w:val="none" w:color="auto" w:sz="0" w:space="0"/>
                <w:lang w:val="en-US" w:eastAsia="zh-CN" w:bidi="ar"/>
              </w:rPr>
              <w:t> </w:t>
            </w:r>
          </w:p>
        </w:tc>
        <w:tc>
          <w:tcPr>
            <w:tcW w:w="729"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0"/>
                <w:szCs w:val="20"/>
                <w:bdr w:val="none" w:color="auto" w:sz="0" w:space="0"/>
                <w:lang w:val="en-US" w:eastAsia="zh-CN" w:bidi="ar"/>
              </w:rPr>
              <w:t> </w:t>
            </w:r>
          </w:p>
        </w:tc>
        <w:tc>
          <w:tcPr>
            <w:tcW w:w="0" w:type="auto"/>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0"/>
                <w:szCs w:val="20"/>
                <w:bdr w:val="none" w:color="auto" w:sz="0" w:space="0"/>
                <w:lang w:val="en-US" w:eastAsia="zh-CN" w:bidi="ar"/>
              </w:rPr>
              <w:t> </w:t>
            </w:r>
          </w:p>
        </w:tc>
      </w:tr>
    </w:tbl>
    <w:p>
      <w:pPr>
        <w:keepNext w:val="0"/>
        <w:keepLines w:val="0"/>
        <w:widowControl/>
        <w:suppressLineNumbers w:val="0"/>
        <w:spacing w:before="0" w:beforeAutospacing="1" w:after="0" w:afterAutospacing="1"/>
        <w:ind w:left="0" w:leftChars="0" w:right="0"/>
        <w:jc w:val="left"/>
      </w:pPr>
      <w:r>
        <w:rPr>
          <w:rFonts w:hint="default" w:ascii="Calibri" w:hAnsi="Calibri" w:cs="Calibri" w:eastAsiaTheme="minorEastAsia"/>
          <w:color w:val="0000FF"/>
          <w:kern w:val="2"/>
          <w:sz w:val="32"/>
          <w:szCs w:val="32"/>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cs="Calibri" w:eastAsiaTheme="minorEastAsia"/>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cs="Calibri" w:eastAsiaTheme="minorEastAsia"/>
          <w:kern w:val="2"/>
          <w:sz w:val="21"/>
          <w:szCs w:val="21"/>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Calibri" w:hAnsi="Calibri" w:cs="Calibri" w:eastAsiaTheme="minorEastAsia"/>
          <w:kern w:val="2"/>
          <w:sz w:val="21"/>
          <w:szCs w:val="21"/>
          <w:lang w:val="en-US" w:eastAsia="zh-CN" w:bidi="ar"/>
        </w:rPr>
        <w:t> </w:t>
      </w:r>
      <w:r>
        <w:rPr>
          <w:rFonts w:hint="eastAsia" w:ascii="方正小标宋简体" w:hAnsi="方正小标宋简体" w:eastAsia="方正小标宋简体" w:cs="方正小标宋简体"/>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本单位2021年度收入总计 119.84   万元，较2020年增加41.15  万元，增长 52.29 %，其中：年初结转和结余 0 万元，较2020年增加0万元，增长0%；本年收入合计 119.84  万元，较2020年增加41.15  万元，增长 52.29 %，主要原因是：工资及绩效的增长。</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本年收入的具体构成为：财政拨款收入76.73万元，占 64.03%；事业收入43.12万元，占35.97%；经营收入0万元，占0%；其他收入0万元，占 0 %。</w:t>
      </w:r>
      <w:r>
        <w:rPr>
          <w:rFonts w:hint="eastAsia"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本单位2021年度支出总计  119.84  万元，其中本年支出合计 119.84  万元，较2020年增加（减少）41.15  万元，增长52.29 %，主要原因是：工资及绩效的增长；年末结转和结余  0万元，较2020年增加0 万元。</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本年支出的具体构成为：基本支出  119.84 万元，占  100%；项目支出   0万元，占  0 %；经营支出   0万元，占 0 %；其他支出（对附属单位补助支出、上缴上级支出）  0 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本单位2021年度财政拨款本年支出年初预算数为 44.67  万元，决算数为  76.73万元，完成年初预算的  171.77%。其中：</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教育支出年初预算数为   44.67万元，决算数为  76.73万元，完成年初预算的 171.77 %，主要原因是：工资及绩效的提高。）</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0"/>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本单位2021年度一般公共预算财政拨款基本支出  76.73万元，其中：</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（一）工资福利支出  66.41 万元，较2020年增加53.61  万元，增长23.88%，主要原因是：在职人员增加3人。</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（二）商品和服务支出  10.32 万元，较2020年增加5.23  万元，增长97.32 %，主要原因是:校园文化建设增加。</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（三）对个人和家庭补助支出   0万元，较2020年增加0 万元，增长0  %。</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（四）资本性支出  0 万元，较2020年增加0  万元，增长0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本单位2021年度一般公共预算财政拨款“三公”经费支出年初预算数为0万元，决算数为0万元，完成预算的0%，决算数较2020年增加（减少）0万元，增长（下降）0 %，其中：</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（一）因公出国（境）支出年初预算数为0万元，决算数为  0万元，完成预算的0%，决算数较2020年增加（减少）0万元，增长（下降）0 %。</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（二）公务接待费支出年初预算数为0 万元，决算数为0万元，完成预算的0%，决算数较2020年增加（减少）0万元，增长（下降）0 %。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30"/>
          <w:szCs w:val="30"/>
          <w:lang w:val="en-US" w:eastAsia="zh-CN" w:bidi="ar"/>
        </w:rPr>
        <w:t xml:space="preserve">本单位不是行政单位或参照公务员法管理事业单位，故无机关运行经费支出。 </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eastAsia" w:ascii="宋体" w:hAnsi="宋体" w:eastAsia="宋体" w:cs="宋体"/>
          <w:kern w:val="2"/>
          <w:sz w:val="30"/>
          <w:szCs w:val="30"/>
        </w:rPr>
        <w:t>本单位2021年度政府采购支出总额0万元，其中：政府采购货物支出0万元、政府采购工程支出0万元、政府采购服务支出0万元.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0"/>
          <w:sz w:val="30"/>
          <w:szCs w:val="30"/>
          <w:lang w:val="en-US" w:eastAsia="zh-CN" w:bidi="ar"/>
        </w:rPr>
        <w:t>截止2021年12月31日，本单位（单位）国有资产占用情况见公开10表《国有资产占用情况表》。</w:t>
      </w:r>
      <w:r>
        <w:rPr>
          <w:rFonts w:hint="eastAsia" w:ascii="仿宋_GB2312" w:eastAsia="仿宋_GB2312" w:cs="仿宋_GB2312" w:hAnsiTheme="minorHAnsi"/>
          <w:kern w:val="0"/>
          <w:sz w:val="30"/>
          <w:szCs w:val="30"/>
          <w:lang w:val="en-US" w:eastAsia="zh-CN" w:bidi="ar"/>
        </w:rPr>
        <w:t>本单位无其他用车。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bdr w:val="none" w:color="auto" w:sz="0" w:space="0"/>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color w:val="000000"/>
          <w:spacing w:val="0"/>
          <w:kern w:val="0"/>
          <w:sz w:val="32"/>
          <w:szCs w:val="32"/>
          <w:bdr w:val="none" w:color="auto" w:sz="0" w:space="0"/>
          <w:shd w:val="clear" w:fill="FFFFFF"/>
        </w:rPr>
        <w:t>根据预算绩效管理要求，我单位组织对纳入2021年度单位预算范围的二级项目1个公用经费项目全面开展绩效自评，见《项目支出绩效自评表》。</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kern w:val="2"/>
          <w:sz w:val="44"/>
          <w:szCs w:val="44"/>
          <w:lang w:val="en-US" w:eastAsia="zh-CN" w:bidi="ar"/>
        </w:rPr>
        <w:t>第四部分  名词解释</w:t>
      </w:r>
    </w:p>
    <w:p>
      <w:pPr>
        <w:keepNext w:val="0"/>
        <w:keepLines w:val="0"/>
        <w:widowControl/>
        <w:suppressLineNumbers w:val="0"/>
        <w:spacing w:before="0" w:beforeAutospacing="1" w:after="0" w:afterAutospacing="1"/>
        <w:ind w:left="0" w:right="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七、用事业基金弥补收支差额：指事业单位用事业基金弥补当年收支差额的数额。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八、年初结转和结余：指单位上年结转本年使用的基本支出结转、项目支出结转和结余和经营结余。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九、结余分配：指事业单位按规定对非财政补助结余资金提取的职工福利基金、事业基金和缴纳的所得税，以及减少单位按规定应缴回的基本建设竣工项目结余资金。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十一、基本支出：指为保障机构正常运转、完成日常工作任务而发生的人员支出和公用支出。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十二、项目支出：指在基本支出之外为完成特定的行政任务或事业发展目标所发生的支出。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十三、上缴上级支出：指事业单位按照财政单位和主管单位的规定上缴上级单位的支出。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十五、对附属单位补助支出：指事业单位用财政补助收入之外的收入对附属单位补助发生的支出。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六、“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七、机关运行经费：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机关运行经费”暂指一般公共预算安排的基本支出中的“商品和服务支出”经费。</w:t>
      </w:r>
    </w:p>
    <w:p>
      <w:pPr>
        <w:keepNext w:val="0"/>
        <w:keepLines w:val="0"/>
        <w:widowControl/>
        <w:suppressLineNumbers w:val="0"/>
        <w:spacing w:before="0" w:beforeAutospacing="1" w:after="0" w:afterAutospacing="1"/>
        <w:ind w:left="0" w:right="0" w:firstLine="600"/>
        <w:jc w:val="left"/>
      </w:pPr>
      <w:r>
        <w:rPr>
          <w:rFonts w:hint="eastAsia" w:ascii="仿宋_GB2312" w:eastAsia="仿宋_GB2312" w:cs="仿宋_GB2312" w:hAnsiTheme="minorHAnsi"/>
          <w:kern w:val="0"/>
          <w:sz w:val="30"/>
          <w:szCs w:val="3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DB51D629-9BE6-4B46-9964-C4C07E5140D5}"/>
  </w:font>
  <w:font w:name="黑体">
    <w:panose1 w:val="02010609060101010101"/>
    <w:charset w:val="86"/>
    <w:family w:val="auto"/>
    <w:pitch w:val="default"/>
    <w:sig w:usb0="800002BF" w:usb1="38CF7CFA" w:usb2="00000016" w:usb3="00000000" w:csb0="00040001" w:csb1="00000000"/>
    <w:embedRegular r:id="rId2" w:fontKey="{49F85FC7-7F82-41A2-8288-342A2E7F2C3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D5F93B09-D967-4A1D-B1F8-526125AC7609}"/>
  </w:font>
  <w:font w:name="方正小标宋简体">
    <w:panose1 w:val="02000000000000000000"/>
    <w:charset w:val="86"/>
    <w:family w:val="auto"/>
    <w:pitch w:val="default"/>
    <w:sig w:usb0="00000001" w:usb1="08000000" w:usb2="00000000" w:usb3="00000000" w:csb0="00040000" w:csb1="00000000"/>
    <w:embedRegular r:id="rId4" w:fontKey="{6EC1B5B5-E319-43EC-9859-15CB9EEF36E4}"/>
  </w:font>
  <w:font w:name="仿宋_GB2312">
    <w:panose1 w:val="02010609030101010101"/>
    <w:charset w:val="86"/>
    <w:family w:val="auto"/>
    <w:pitch w:val="default"/>
    <w:sig w:usb0="00000001" w:usb1="080E0000" w:usb2="00000000" w:usb3="00000000" w:csb0="00040000" w:csb1="00000000"/>
    <w:embedRegular r:id="rId5" w:fontKey="{F70B17BD-A5DA-46AA-BB61-3267C0987D69}"/>
  </w:font>
  <w:font w:name="仿宋">
    <w:panose1 w:val="02010609060101010101"/>
    <w:charset w:val="86"/>
    <w:family w:val="auto"/>
    <w:pitch w:val="default"/>
    <w:sig w:usb0="800002BF" w:usb1="38CF7CFA" w:usb2="00000016" w:usb3="00000000" w:csb0="00040001" w:csb1="00000000"/>
    <w:embedRegular r:id="rId6" w:fontKey="{E4EC7DA5-AFC9-41D0-81B3-8E70BE057CB3}"/>
  </w:font>
  <w:font w:name="Arial">
    <w:panose1 w:val="020B0604020202020204"/>
    <w:charset w:val="00"/>
    <w:family w:val="auto"/>
    <w:pitch w:val="default"/>
    <w:sig w:usb0="E0002EFF" w:usb1="C000785B" w:usb2="00000009" w:usb3="00000000" w:csb0="400001FF" w:csb1="FFFF0000"/>
    <w:embedRegular r:id="rId7" w:fontKey="{2653FC44-7A18-4576-A71B-B0B6AB08201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5BD20765"/>
    <w:rsid w:val="16A92BBA"/>
    <w:rsid w:val="5BD20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2023-10-07T16:24:00Z</dcterms:created>
  <dc:creator>才东东</dc:creator>
  <cp:lastModifiedBy>才东东</cp:lastModifiedBy>
  <dcterms:modified xsi:type="dcterms:W3CDTF">2023-10-07T16:39:27Z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5EF9B26681994E4D8C785641DEAD2A59_11</vt:lpwstr>
  </property>
</Properties>
</file>