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ascii="方正小标宋简体" w:hAnsi="方正小标宋简体" w:eastAsia="方正小标宋简体" w:cs="方正小标宋简体"/>
          <w:b w:val="0"/>
          <w:bCs w:val="0"/>
          <w:kern w:val="2"/>
          <w:sz w:val="44"/>
          <w:szCs w:val="44"/>
          <w:lang w:val="en-US" w:eastAsia="zh-CN" w:bidi="ar"/>
        </w:rPr>
        <w:t>宁都师范附属小学</w:t>
      </w:r>
      <w:r>
        <w:rPr>
          <w:rFonts w:hint="default" w:ascii="方正小标宋简体" w:hAnsi="方正小标宋简体" w:eastAsia="方正小标宋简体" w:cs="方正小标宋简体"/>
          <w:b w:val="0"/>
          <w:bCs w:val="0"/>
          <w:kern w:val="2"/>
          <w:sz w:val="44"/>
          <w:szCs w:val="44"/>
          <w:lang w:val="en-US" w:eastAsia="zh-CN" w:bidi="ar"/>
        </w:rPr>
        <w:t>2021年度单位决算</w:t>
      </w:r>
    </w:p>
    <w:p>
      <w:pPr>
        <w:keepNext w:val="0"/>
        <w:keepLines w:val="0"/>
        <w:widowControl/>
        <w:suppressLineNumbers w:val="0"/>
        <w:spacing w:before="0" w:beforeAutospacing="1" w:after="0" w:afterAutospacing="1" w:line="600" w:lineRule="exact"/>
        <w:ind w:left="0" w:right="0"/>
        <w:jc w:val="center"/>
      </w:pPr>
      <w:r>
        <w:rPr>
          <w:rFonts w:ascii="黑体" w:hAnsi="Calibri" w:eastAsia="黑体" w:cs="黑体"/>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default" w:ascii="方正小标宋简体" w:hAnsi="方正小标宋简体" w:eastAsia="方正小标宋简体" w:cs="方正小标宋简体"/>
          <w:b w:val="0"/>
          <w:bCs w:val="0"/>
          <w:kern w:val="2"/>
          <w:sz w:val="40"/>
          <w:szCs w:val="40"/>
          <w:lang w:val="en-US" w:eastAsia="zh-CN" w:bidi="ar"/>
        </w:rPr>
        <w:t>目    录</w:t>
      </w:r>
    </w:p>
    <w:p>
      <w:pPr>
        <w:keepNext w:val="0"/>
        <w:keepLines w:val="0"/>
        <w:widowControl/>
        <w:suppressLineNumbers w:val="0"/>
        <w:spacing w:before="0" w:beforeAutospacing="1" w:after="0" w:afterAutospacing="1" w:line="600" w:lineRule="exact"/>
        <w:ind w:left="0" w:right="0" w:firstLine="640"/>
        <w:jc w:val="left"/>
      </w:pPr>
      <w:r>
        <w:rPr>
          <w:rFonts w:ascii="仿宋_GB2312" w:hAnsi="Calibri" w:eastAsia="仿宋_GB2312" w:cs="仿宋_GB2312"/>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b/>
          <w:bCs w:val="0"/>
          <w:kern w:val="2"/>
          <w:sz w:val="32"/>
          <w:szCs w:val="32"/>
          <w:lang w:val="en-US" w:eastAsia="zh-CN" w:bidi="ar"/>
        </w:rPr>
        <w:t>第一部分  学校概况</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hAnsi="Calibri" w:eastAsia="仿宋_GB2312" w:cs="仿宋_GB2312"/>
          <w:b/>
          <w:bCs w:val="0"/>
          <w:kern w:val="2"/>
          <w:sz w:val="32"/>
          <w:szCs w:val="32"/>
          <w:lang w:val="en-US" w:eastAsia="zh-CN" w:bidi="ar"/>
        </w:rPr>
        <w:t>    </w:t>
      </w:r>
      <w:r>
        <w:rPr>
          <w:rFonts w:hint="default" w:ascii="仿宋_GB2312" w:eastAsia="仿宋_GB2312" w:cs="仿宋_GB2312" w:hAnsiTheme="minorHAnsi"/>
          <w:kern w:val="2"/>
          <w:sz w:val="32"/>
          <w:szCs w:val="32"/>
          <w:lang w:val="en-US" w:eastAsia="zh-CN" w:bidi="ar"/>
        </w:rPr>
        <w:t>一、主要职责</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二、单位基本情况</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第二部分  2021年度决算表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一、收入支出决算总表</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二、收入决算表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三、支出决算表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四、财政拨款收入支出决算总表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五、一般公共预算财政拨款支出决算表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六、一般公共预算财政拨款基本支出决算表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七、一般公共预算财政拨款“三公”经费支出决算</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0"/>
          <w:sz w:val="32"/>
          <w:szCs w:val="32"/>
          <w:lang w:val="en-US" w:eastAsia="zh-CN" w:bidi="ar"/>
        </w:rPr>
        <w:t>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八、</w:t>
      </w:r>
      <w:r>
        <w:rPr>
          <w:rFonts w:hint="default" w:ascii="仿宋_GB2312" w:eastAsia="仿宋_GB2312" w:cs="仿宋_GB2312" w:hAnsiTheme="minorHAnsi"/>
          <w:kern w:val="0"/>
          <w:sz w:val="32"/>
          <w:szCs w:val="32"/>
          <w:lang w:val="en-US" w:eastAsia="zh-CN" w:bidi="ar"/>
        </w:rPr>
        <w:t>政府性基金预算财政拨款收入支出决算表</w:t>
      </w:r>
    </w:p>
    <w:p>
      <w:pPr>
        <w:keepNext w:val="0"/>
        <w:keepLines w:val="0"/>
        <w:widowControl/>
        <w:numPr>
          <w:numId w:val="0"/>
        </w:numPr>
        <w:suppressLineNumbers w:val="0"/>
        <w:spacing w:before="0" w:beforeAutospacing="1" w:after="0" w:afterAutospacing="1" w:line="600" w:lineRule="exact"/>
        <w:ind w:left="1280" w:leftChars="0" w:right="0" w:firstLine="0" w:firstLineChars="0"/>
        <w:jc w:val="left"/>
      </w:pPr>
      <w:r>
        <w:rPr>
          <w:rFonts w:hint="default" w:ascii="仿宋_GB2312" w:eastAsia="仿宋_GB2312" w:cs="宋体" w:hAnsiTheme="minorHAnsi"/>
          <w:kern w:val="0"/>
          <w:sz w:val="32"/>
          <w:szCs w:val="32"/>
          <w:lang w:val="en-US" w:eastAsia="zh-CN" w:bidi="ar"/>
        </w:rPr>
        <w:t>九、</w:t>
      </w:r>
      <w:r>
        <w:rPr>
          <w:rFonts w:hint="default" w:ascii="仿宋_GB2312" w:eastAsia="仿宋_GB2312" w:cs="仿宋_GB2312" w:hAnsiTheme="minorHAnsi"/>
          <w:kern w:val="0"/>
          <w:sz w:val="32"/>
          <w:szCs w:val="32"/>
          <w:lang w:val="en-US" w:eastAsia="zh-CN" w:bidi="ar"/>
        </w:rPr>
        <w:t>国有资本经营预算财政拨款支出决算表</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宋体" w:hAnsiTheme="minorHAnsi"/>
          <w:kern w:val="0"/>
          <w:sz w:val="32"/>
          <w:szCs w:val="32"/>
          <w:lang w:val="en-US" w:eastAsia="zh-CN" w:bidi="ar"/>
        </w:rPr>
        <w:t>    </w:t>
      </w:r>
      <w:r>
        <w:rPr>
          <w:rFonts w:hint="default" w:ascii="仿宋_GB2312" w:eastAsia="仿宋_GB2312" w:cs="仿宋_GB2312" w:hAnsiTheme="minorHAnsi"/>
          <w:kern w:val="0"/>
          <w:sz w:val="32"/>
          <w:szCs w:val="32"/>
          <w:lang w:val="en-US" w:eastAsia="zh-CN" w:bidi="ar"/>
        </w:rPr>
        <w:t>十、国有资产占用情况表</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宋体" w:hAnsiTheme="minorHAnsi"/>
          <w:kern w:val="0"/>
          <w:sz w:val="32"/>
          <w:szCs w:val="32"/>
          <w:lang w:val="en-US" w:eastAsia="zh-CN" w:bidi="ar"/>
        </w:rPr>
        <w:t>    </w:t>
      </w:r>
      <w:r>
        <w:rPr>
          <w:rFonts w:hint="eastAsia" w:ascii="黑体" w:hAnsi="宋体" w:eastAsia="黑体" w:cs="黑体"/>
          <w:kern w:val="2"/>
          <w:sz w:val="32"/>
          <w:szCs w:val="32"/>
          <w:lang w:val="en-US" w:eastAsia="zh-CN" w:bidi="ar"/>
        </w:rPr>
        <w:t>第三部分  2021年度决算情况说明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一、收入决算情况说明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二、支出决算情况说明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三、财政拨款支出决算情况说明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四、一般公共预算财政拨款基本支出决算情况说明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五、一般公共预算财政拨款“三公”经费支出决算</w:t>
      </w:r>
    </w:p>
    <w:p>
      <w:pPr>
        <w:keepNext w:val="0"/>
        <w:keepLines w:val="0"/>
        <w:widowControl/>
        <w:suppressLineNumbers w:val="0"/>
        <w:spacing w:before="0" w:beforeAutospacing="1" w:after="0" w:afterAutospacing="1" w:line="600" w:lineRule="exact"/>
        <w:ind w:left="0" w:right="0"/>
        <w:jc w:val="left"/>
      </w:pPr>
      <w:r>
        <w:rPr>
          <w:rFonts w:hint="default" w:ascii="仿宋_GB2312" w:eastAsia="仿宋_GB2312" w:cs="仿宋_GB2312" w:hAnsiTheme="minorHAnsi"/>
          <w:kern w:val="2"/>
          <w:sz w:val="32"/>
          <w:szCs w:val="32"/>
          <w:lang w:val="en-US" w:eastAsia="zh-CN" w:bidi="ar"/>
        </w:rPr>
        <w:t>    情况说明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六、机关运行经费支出情况说明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    七、政府采购支出情况说明</w:t>
      </w:r>
    </w:p>
    <w:p>
      <w:pPr>
        <w:keepNext w:val="0"/>
        <w:keepLines w:val="0"/>
        <w:widowControl/>
        <w:suppressLineNumbers w:val="0"/>
        <w:spacing w:before="0" w:beforeAutospacing="1" w:after="0" w:afterAutospacing="1" w:line="600" w:lineRule="exact"/>
        <w:ind w:left="0" w:right="0" w:firstLine="640"/>
        <w:jc w:val="left"/>
      </w:pPr>
      <w:r>
        <w:rPr>
          <w:rFonts w:hint="default" w:ascii="仿宋_GB2312" w:eastAsia="仿宋_GB2312" w:cs="仿宋_GB2312" w:hAnsiTheme="minorHAnsi"/>
          <w:kern w:val="2"/>
          <w:sz w:val="32"/>
          <w:szCs w:val="32"/>
          <w:lang w:val="en-US" w:eastAsia="zh-CN" w:bidi="ar"/>
        </w:rPr>
        <w:t>    八、</w:t>
      </w:r>
      <w:r>
        <w:rPr>
          <w:rFonts w:ascii="仿宋" w:hAnsi="仿宋" w:eastAsia="仿宋" w:cs="仿宋"/>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line="600" w:lineRule="exact"/>
        <w:ind w:left="0" w:right="0" w:firstLine="1280" w:firstLineChars="400"/>
        <w:jc w:val="left"/>
      </w:pPr>
      <w:r>
        <w:rPr>
          <w:rFonts w:hint="default" w:ascii="仿宋_GB2312" w:eastAsia="仿宋_GB2312" w:cs="仿宋_GB2312" w:hAnsiTheme="minorHAnsi"/>
          <w:kern w:val="2"/>
          <w:sz w:val="32"/>
          <w:szCs w:val="32"/>
          <w:lang w:val="en-US" w:eastAsia="zh-CN" w:bidi="ar"/>
        </w:rPr>
        <w:t>九、国有资产占用情况说明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1280" w:firstLineChars="400"/>
        <w:jc w:val="both"/>
      </w:pPr>
      <w:r>
        <w:rPr>
          <w:rFonts w:hint="default" w:ascii="仿宋_GB2312" w:eastAsia="仿宋_GB2312" w:cs="仿宋_GB2312"/>
          <w:kern w:val="2"/>
          <w:sz w:val="32"/>
          <w:szCs w:val="32"/>
          <w:bdr w:val="none" w:color="auto" w:sz="0" w:space="0"/>
          <w:shd w:val="clear" w:fill="FFFFFF"/>
        </w:rPr>
        <w:t>十、预算绩效情况说明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黑体" w:hAnsi="宋体" w:eastAsia="黑体" w:cs="黑体"/>
          <w:kern w:val="2"/>
          <w:sz w:val="32"/>
          <w:szCs w:val="32"/>
          <w:lang w:val="en-US" w:eastAsia="zh-CN" w:bidi="ar"/>
        </w:rPr>
        <w:t>第四部分  名词解释</w:t>
      </w:r>
    </w:p>
    <w:p>
      <w:pPr>
        <w:keepNext w:val="0"/>
        <w:keepLines w:val="0"/>
        <w:widowControl/>
        <w:suppressLineNumbers w:val="0"/>
        <w:spacing w:before="0" w:beforeAutospacing="1" w:after="0" w:afterAutospacing="1" w:line="580" w:lineRule="exact"/>
        <w:ind w:left="0" w:right="0"/>
        <w:jc w:val="center"/>
      </w:pPr>
      <w:r>
        <w:rPr>
          <w:rFonts w:hint="default" w:ascii="方正小标宋简体" w:hAnsi="方正小标宋简体" w:eastAsia="方正小标宋简体" w:cs="方正小标宋简体"/>
          <w:b w:val="0"/>
          <w:bCs/>
          <w:kern w:val="2"/>
          <w:sz w:val="44"/>
          <w:szCs w:val="44"/>
          <w:lang w:val="en-US" w:eastAsia="zh-CN" w:bidi="ar"/>
        </w:rPr>
        <w:t>第一部分  学校概况</w:t>
      </w:r>
    </w:p>
    <w:p>
      <w:pPr>
        <w:keepNext w:val="0"/>
        <w:keepLines w:val="0"/>
        <w:widowControl/>
        <w:suppressLineNumbers w:val="0"/>
        <w:spacing w:before="0" w:beforeAutospacing="1" w:after="0" w:afterAutospacing="1"/>
        <w:ind w:left="0" w:right="0" w:firstLine="630"/>
        <w:jc w:val="center"/>
      </w:pPr>
      <w:r>
        <w:rPr>
          <w:rFonts w:hint="eastAsia" w:ascii="Calibri" w:hAnsi="Calibri" w:eastAsia="宋体" w:cs="宋体"/>
          <w:kern w:val="2"/>
          <w:sz w:val="32"/>
          <w:szCs w:val="32"/>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一、主要职责</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1</w:t>
      </w:r>
      <w:r>
        <w:rPr>
          <w:rFonts w:hint="eastAsia" w:ascii="宋体" w:hAnsi="宋体" w:eastAsia="宋体" w:cs="宋体"/>
          <w:color w:val="000000"/>
          <w:spacing w:val="7"/>
          <w:kern w:val="0"/>
          <w:sz w:val="24"/>
          <w:szCs w:val="24"/>
          <w:shd w:val="clear" w:fill="FFFFFF"/>
        </w:rPr>
        <w:t>、负责贯彻党的教育方针，坚持社会主义办学方向，对学生进行德</w:t>
      </w:r>
      <w:r>
        <w:rPr>
          <w:rFonts w:hint="eastAsia" w:ascii="宋体" w:hAnsi="宋体" w:eastAsia="宋体" w:cs="宋体"/>
          <w:color w:val="000000"/>
          <w:spacing w:val="-9"/>
          <w:kern w:val="0"/>
          <w:sz w:val="24"/>
          <w:szCs w:val="24"/>
          <w:shd w:val="clear" w:fill="FFFFFF"/>
        </w:rPr>
        <w:t>育、智育、体育、美育和劳动教育等方面的教育。</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2</w:t>
      </w:r>
      <w:r>
        <w:rPr>
          <w:rFonts w:hint="eastAsia" w:ascii="宋体" w:hAnsi="宋体" w:eastAsia="宋体" w:cs="宋体"/>
          <w:color w:val="000000"/>
          <w:spacing w:val="7"/>
          <w:kern w:val="0"/>
          <w:sz w:val="24"/>
          <w:szCs w:val="24"/>
          <w:shd w:val="clear" w:fill="FFFFFF"/>
        </w:rPr>
        <w:t>、负责配合各级人民政府依法动员适龄儿童、少年入学，严格控制</w:t>
      </w:r>
      <w:r>
        <w:rPr>
          <w:rFonts w:hint="eastAsia" w:ascii="宋体" w:hAnsi="宋体" w:eastAsia="宋体" w:cs="宋体"/>
          <w:color w:val="000000"/>
          <w:spacing w:val="-11"/>
          <w:kern w:val="0"/>
          <w:sz w:val="24"/>
          <w:szCs w:val="24"/>
          <w:shd w:val="clear" w:fill="FFFFFF"/>
        </w:rPr>
        <w:t>学生辍学，依法保证适龄儿童、少年接受九年义务教育。</w:t>
      </w:r>
      <w:r>
        <w:rPr>
          <w:rFonts w:hint="eastAsia" w:ascii="宋体" w:hAnsi="宋体" w:eastAsia="宋体" w:cs="宋体"/>
          <w:color w:val="000000"/>
          <w:kern w:val="0"/>
          <w:sz w:val="24"/>
          <w:szCs w:val="24"/>
          <w:shd w:val="clear" w:fill="FFFFFF"/>
        </w:rPr>
        <w:t> </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3</w:t>
      </w:r>
      <w:r>
        <w:rPr>
          <w:rFonts w:hint="eastAsia" w:ascii="宋体" w:hAnsi="宋体" w:eastAsia="宋体" w:cs="宋体"/>
          <w:color w:val="000000"/>
          <w:spacing w:val="-9"/>
          <w:kern w:val="0"/>
          <w:sz w:val="24"/>
          <w:szCs w:val="24"/>
          <w:shd w:val="clear" w:fill="FFFFFF"/>
        </w:rPr>
        <w:t>、负责制定学校教育发展规划，并抓好组织实施和落实工作。</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4</w:t>
      </w:r>
      <w:r>
        <w:rPr>
          <w:rFonts w:hint="eastAsia" w:ascii="宋体" w:hAnsi="宋体" w:eastAsia="宋体" w:cs="宋体"/>
          <w:color w:val="000000"/>
          <w:spacing w:val="7"/>
          <w:kern w:val="0"/>
          <w:sz w:val="24"/>
          <w:szCs w:val="24"/>
          <w:shd w:val="clear" w:fill="FFFFFF"/>
        </w:rPr>
        <w:t>、负责按照教育主管单位发布的指导性教学计划、教学大纲，组织</w:t>
      </w:r>
      <w:r>
        <w:rPr>
          <w:rFonts w:hint="eastAsia" w:ascii="宋体" w:hAnsi="宋体" w:eastAsia="宋体" w:cs="宋体"/>
          <w:color w:val="000000"/>
          <w:spacing w:val="-11"/>
          <w:kern w:val="0"/>
          <w:sz w:val="24"/>
          <w:szCs w:val="24"/>
          <w:shd w:val="clear" w:fill="FFFFFF"/>
        </w:rPr>
        <w:t>实施教育教学活动。</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5</w:t>
      </w:r>
      <w:r>
        <w:rPr>
          <w:rFonts w:hint="eastAsia" w:ascii="宋体" w:hAnsi="宋体" w:eastAsia="宋体" w:cs="宋体"/>
          <w:color w:val="000000"/>
          <w:spacing w:val="7"/>
          <w:kern w:val="0"/>
          <w:sz w:val="24"/>
          <w:szCs w:val="24"/>
          <w:shd w:val="clear" w:fill="FFFFFF"/>
        </w:rPr>
        <w:t>、负责依据国家主管单位有关教学计划、课程设置等方面的规定，决定和实施本校的教学计划，组织教学评比、集体备课，对学生进行考核、考试等。</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6</w:t>
      </w:r>
      <w:r>
        <w:rPr>
          <w:rFonts w:hint="eastAsia" w:ascii="宋体" w:hAnsi="宋体" w:eastAsia="宋体" w:cs="宋体"/>
          <w:color w:val="000000"/>
          <w:spacing w:val="-4"/>
          <w:kern w:val="0"/>
          <w:sz w:val="24"/>
          <w:szCs w:val="24"/>
          <w:shd w:val="clear" w:fill="FFFFFF"/>
        </w:rPr>
        <w:t>、负责学籍管理。</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7</w:t>
      </w:r>
      <w:r>
        <w:rPr>
          <w:rFonts w:hint="eastAsia" w:ascii="宋体" w:hAnsi="宋体" w:eastAsia="宋体" w:cs="宋体"/>
          <w:color w:val="000000"/>
          <w:spacing w:val="-9"/>
          <w:kern w:val="0"/>
          <w:sz w:val="24"/>
          <w:szCs w:val="24"/>
          <w:shd w:val="clear" w:fill="FFFFFF"/>
        </w:rPr>
        <w:t>、负责聘任、培训、考核教师，依法奖励或处分有关教师和职工。</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8</w:t>
      </w:r>
      <w:r>
        <w:rPr>
          <w:rFonts w:hint="eastAsia" w:ascii="宋体" w:hAnsi="宋体" w:eastAsia="宋体" w:cs="宋体"/>
          <w:color w:val="000000"/>
          <w:spacing w:val="7"/>
          <w:kern w:val="0"/>
          <w:sz w:val="24"/>
          <w:szCs w:val="24"/>
          <w:shd w:val="clear" w:fill="FFFFFF"/>
        </w:rPr>
        <w:t>、负责科学管理、合理使用学校的设施和经费，并积极筹措资金，</w:t>
      </w:r>
      <w:r>
        <w:rPr>
          <w:rFonts w:hint="eastAsia" w:ascii="宋体" w:hAnsi="宋体" w:eastAsia="宋体" w:cs="宋体"/>
          <w:color w:val="000000"/>
          <w:spacing w:val="-5"/>
          <w:kern w:val="0"/>
          <w:sz w:val="24"/>
          <w:szCs w:val="24"/>
          <w:shd w:val="clear" w:fill="FFFFFF"/>
        </w:rPr>
        <w:t>改善办学条件。</w:t>
      </w:r>
    </w:p>
    <w:p>
      <w:pPr>
        <w:pStyle w:val="2"/>
        <w:keepNext w:val="0"/>
        <w:keepLines w:val="0"/>
        <w:widowControl/>
        <w:suppressLineNumbers w:val="0"/>
        <w:shd w:val="clear" w:fill="FFFFFF"/>
        <w:spacing w:before="0" w:beforeAutospacing="0" w:after="0" w:afterAutospacing="0" w:line="480" w:lineRule="exact"/>
        <w:ind w:left="0" w:right="0" w:firstLine="480" w:firstLineChars="200"/>
      </w:pPr>
      <w:r>
        <w:rPr>
          <w:rFonts w:hint="default" w:ascii="Calibri" w:hAnsi="Calibri" w:eastAsia="宋体" w:cs="Calibri"/>
          <w:color w:val="000000"/>
          <w:kern w:val="0"/>
          <w:sz w:val="24"/>
          <w:szCs w:val="24"/>
          <w:shd w:val="clear" w:fill="FFFFFF"/>
        </w:rPr>
        <w:t>9</w:t>
      </w:r>
      <w:r>
        <w:rPr>
          <w:rFonts w:hint="eastAsia" w:ascii="宋体" w:hAnsi="宋体" w:eastAsia="宋体" w:cs="宋体"/>
          <w:color w:val="000000"/>
          <w:spacing w:val="7"/>
          <w:kern w:val="0"/>
          <w:sz w:val="24"/>
          <w:szCs w:val="24"/>
          <w:shd w:val="clear" w:fill="FFFFFF"/>
        </w:rPr>
        <w:t>、负责维护学校、师生的合法权益，有权拒绝任何组织和个人对教</w:t>
      </w:r>
      <w:r>
        <w:rPr>
          <w:rFonts w:hint="eastAsia" w:ascii="宋体" w:hAnsi="宋体" w:eastAsia="宋体" w:cs="宋体"/>
          <w:color w:val="000000"/>
          <w:spacing w:val="-8"/>
          <w:kern w:val="0"/>
          <w:sz w:val="24"/>
          <w:szCs w:val="24"/>
          <w:shd w:val="clear" w:fill="FFFFFF"/>
        </w:rPr>
        <w:t>育教学活动进行非法干涉。</w:t>
      </w:r>
    </w:p>
    <w:p>
      <w:pPr>
        <w:pStyle w:val="2"/>
        <w:keepNext w:val="0"/>
        <w:keepLines w:val="0"/>
        <w:widowControl/>
        <w:suppressLineNumbers w:val="0"/>
        <w:shd w:val="clear" w:fill="FFFFFF"/>
        <w:spacing w:before="0" w:beforeAutospacing="0" w:after="0" w:afterAutospacing="0" w:line="480" w:lineRule="exact"/>
        <w:ind w:left="0" w:right="0" w:firstLine="444" w:firstLineChars="200"/>
      </w:pPr>
      <w:r>
        <w:rPr>
          <w:rFonts w:hint="default" w:ascii="Calibri" w:hAnsi="Calibri" w:eastAsia="宋体" w:cs="Calibri"/>
          <w:color w:val="000000"/>
          <w:spacing w:val="-9"/>
          <w:kern w:val="0"/>
          <w:sz w:val="24"/>
          <w:szCs w:val="24"/>
          <w:shd w:val="clear" w:fill="FFFFFF"/>
        </w:rPr>
        <w:t>10</w:t>
      </w:r>
      <w:r>
        <w:rPr>
          <w:rFonts w:hint="eastAsia" w:ascii="宋体" w:hAnsi="宋体" w:eastAsia="宋体" w:cs="宋体"/>
          <w:color w:val="000000"/>
          <w:spacing w:val="-9"/>
          <w:kern w:val="0"/>
          <w:sz w:val="24"/>
          <w:szCs w:val="24"/>
          <w:shd w:val="clear" w:fill="FFFFFF"/>
        </w:rPr>
        <w:t>、依法接受各级教育行政单位的检查指导和人民群众的监督。</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二、基本情况</w:t>
      </w:r>
    </w:p>
    <w:p>
      <w:pPr>
        <w:keepNext w:val="0"/>
        <w:keepLines w:val="0"/>
        <w:widowControl/>
        <w:suppressLineNumbers w:val="0"/>
        <w:spacing w:before="0" w:beforeAutospacing="1" w:after="0" w:afterAutospacing="1"/>
        <w:ind w:left="0" w:right="0" w:firstLine="630"/>
        <w:jc w:val="left"/>
      </w:pPr>
      <w:r>
        <w:rPr>
          <w:rFonts w:hint="eastAsia" w:ascii="宋体" w:hAnsi="宋体" w:eastAsia="宋体" w:cs="宋体"/>
          <w:kern w:val="2"/>
          <w:sz w:val="24"/>
          <w:szCs w:val="24"/>
          <w:lang w:val="en-US" w:eastAsia="zh-CN" w:bidi="ar"/>
        </w:rPr>
        <w:t>纳入本套单位决算汇编范围的单位共1个。</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color w:val="000000"/>
          <w:kern w:val="2"/>
          <w:sz w:val="24"/>
          <w:szCs w:val="24"/>
          <w:lang w:val="en-US" w:eastAsia="zh-CN" w:bidi="ar"/>
        </w:rPr>
        <w:t>本单位2021年年末实有人数205人，其中在职人员142人，退休人员63人（含由养老保险基金发放养老金的离退休人员）；年末其他人员0人。年末学生人数3049人，其中小学3049人，初中0人，幼儿园0人。</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第二部分  2021年度决算表</w:t>
      </w: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42"/>
        <w:gridCol w:w="482"/>
        <w:gridCol w:w="748"/>
        <w:gridCol w:w="3406"/>
        <w:gridCol w:w="482"/>
        <w:gridCol w:w="1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6"/>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6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5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1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3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2567" w:type="pct"/>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8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71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四、上级补助收入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五、事业收入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六、经营收入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七、附属单位上缴收入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八、其他收入</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  使用非财政拨款结余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  结余分配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  年初结转和结余</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  年末结转和结余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7" w:hRule="atLeast"/>
        </w:trPr>
        <w:tc>
          <w:tcPr>
            <w:tcW w:w="1656"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8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15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2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71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6"/>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注：1.本表反映单位本年度的总收支和年末结转结余情况。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5" w:hRule="atLeast"/>
        </w:trPr>
        <w:tc>
          <w:tcPr>
            <w:tcW w:w="5000" w:type="pct"/>
            <w:gridSpan w:val="6"/>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    2.本套报表金额单位转换时可能存在尾数误差。</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default" w:ascii="Calibri" w:hAnsi="Calibri" w:eastAsia="宋体" w:cs="Calibri"/>
          <w:kern w:val="2"/>
          <w:sz w:val="21"/>
          <w:szCs w:val="21"/>
          <w:lang w:val="en-US" w:eastAsia="zh-CN" w:bidi="ar"/>
        </w:rPr>
        <w:t> </w:t>
      </w: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99"/>
        <w:gridCol w:w="334"/>
        <w:gridCol w:w="334"/>
        <w:gridCol w:w="804"/>
        <w:gridCol w:w="921"/>
        <w:gridCol w:w="921"/>
        <w:gridCol w:w="921"/>
        <w:gridCol w:w="686"/>
        <w:gridCol w:w="686"/>
        <w:gridCol w:w="451"/>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1"/>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5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64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本年收入合计</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财政拨款收入</w:t>
            </w:r>
          </w:p>
        </w:tc>
        <w:tc>
          <w:tcPr>
            <w:tcW w:w="525"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上级补助收入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事业收入</w:t>
            </w:r>
          </w:p>
        </w:tc>
        <w:tc>
          <w:tcPr>
            <w:tcW w:w="37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经营收入</w:t>
            </w:r>
          </w:p>
        </w:tc>
        <w:tc>
          <w:tcPr>
            <w:tcW w:w="47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附属单位上缴收入</w:t>
            </w:r>
          </w:p>
        </w:tc>
        <w:tc>
          <w:tcPr>
            <w:tcW w:w="55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49"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49"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5"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37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5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3"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4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52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3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7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55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93"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4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4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285.80</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9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2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3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5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5"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注：本表反映单位本年度取得的各项收入情况。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9"/>
        <w:gridCol w:w="382"/>
        <w:gridCol w:w="382"/>
        <w:gridCol w:w="1047"/>
        <w:gridCol w:w="881"/>
        <w:gridCol w:w="881"/>
        <w:gridCol w:w="548"/>
        <w:gridCol w:w="548"/>
        <w:gridCol w:w="549"/>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8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7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48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5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7"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47"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57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8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45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上缴上级支出</w:t>
            </w:r>
          </w:p>
        </w:tc>
        <w:tc>
          <w:tcPr>
            <w:tcW w:w="474"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经营支出</w:t>
            </w:r>
          </w:p>
        </w:tc>
        <w:tc>
          <w:tcPr>
            <w:tcW w:w="658"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9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9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47"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7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8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4"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58"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6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62"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47"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57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8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65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1,957.89</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1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47"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7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8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4" w:hRule="atLeast"/>
        </w:trPr>
        <w:tc>
          <w:tcPr>
            <w:tcW w:w="5000" w:type="pct"/>
            <w:gridSpan w:val="10"/>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注：本表反映单位本年度各项支出情况。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09"/>
        <w:gridCol w:w="344"/>
        <w:gridCol w:w="728"/>
        <w:gridCol w:w="2137"/>
        <w:gridCol w:w="344"/>
        <w:gridCol w:w="728"/>
        <w:gridCol w:w="728"/>
        <w:gridCol w:w="472"/>
        <w:gridCol w:w="1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autoSpaceDE w:val="0"/>
              <w:autoSpaceDN w:val="0"/>
              <w:adjustRightInd w:val="0"/>
              <w:spacing w:before="0" w:beforeAutospacing="1" w:after="0" w:afterAutospacing="1" w:line="23" w:lineRule="atLeast"/>
              <w:ind w:left="0" w:right="0"/>
              <w:jc w:val="center"/>
            </w:pPr>
            <w:r>
              <w:rPr>
                <w:rFonts w:hint="eastAsia" w:ascii="Calibri" w:hAnsi="Calibri" w:eastAsia="宋体" w:cs="宋体"/>
                <w:kern w:val="2"/>
                <w:sz w:val="21"/>
                <w:szCs w:val="21"/>
                <w:lang w:val="en-US" w:eastAsia="zh-CN" w:bidi="ar"/>
              </w:rPr>
              <w:t> </w:t>
            </w:r>
            <w:r>
              <w:rPr>
                <w:rFonts w:hint="eastAsia" w:ascii="宋体" w:hAnsi="宋体" w:eastAsia="宋体" w:cs="宋体"/>
                <w:i w:val="0"/>
                <w:iCs w:val="0"/>
                <w:color w:val="000000"/>
                <w:kern w:val="0"/>
                <w:sz w:val="44"/>
                <w:szCs w:val="44"/>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8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62"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36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9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9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8" w:hRule="atLeast"/>
        </w:trPr>
        <w:tc>
          <w:tcPr>
            <w:tcW w:w="1766"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收     入</w:t>
            </w:r>
          </w:p>
        </w:tc>
        <w:tc>
          <w:tcPr>
            <w:tcW w:w="3232"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49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1183"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项目（按功能分类）</w:t>
            </w:r>
          </w:p>
        </w:tc>
        <w:tc>
          <w:tcPr>
            <w:tcW w:w="162"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368"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498"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一般公共预算财政拨款</w:t>
            </w:r>
          </w:p>
        </w:tc>
        <w:tc>
          <w:tcPr>
            <w:tcW w:w="426"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政府性基金预算财政拨款</w:t>
            </w:r>
          </w:p>
        </w:tc>
        <w:tc>
          <w:tcPr>
            <w:tcW w:w="591" w:type="pct"/>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4" w:hRule="atLeast"/>
        </w:trPr>
        <w:tc>
          <w:tcPr>
            <w:tcW w:w="1109"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9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1183"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62"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368"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98"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26"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591" w:type="pct"/>
            <w:vMerge w:val="continue"/>
            <w:tcBorders>
              <w:top w:val="nil"/>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49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    次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36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9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59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一、一般公共服务支出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33</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二、外交支出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34</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35</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四、公共安全支出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36</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五、教育支出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37</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六、科学技术支出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38</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七、文化旅游体育与传媒支出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39</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八、社会保障和就业支出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九、卫生健康支出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41</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十、节能环保支出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42</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十一、城乡社区支出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43</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十二、农林水支出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44</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十三、交通运输支出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45</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十四、资源勘探工业信息等支出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46</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十五、商业服务业等支出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47</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十六、金融支出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48</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十七、援助其他地区支出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49</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十八、自然资源海洋气象等支出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十九、住房保障支出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51</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二十、粮油物资储备支出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52</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21</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二十一、国有资本经营预算支出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53</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22</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二十二、灾害防治及应急管理支出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54</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23</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二十三、其他支出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55</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24</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二十四、债务还本支出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56</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25</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二十五、债务付息支出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57</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26</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二十六、抗疫特别国债安排的支出</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58</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本年收入合计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27</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本年支出合计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59</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年初财政拨款结转和结余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28</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年末财政拨款结转和结余</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60</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29</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61</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30</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62</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31</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bCs/>
                <w:i w:val="0"/>
                <w:iCs w:val="0"/>
                <w:color w:val="000000"/>
                <w:kern w:val="2"/>
                <w:sz w:val="22"/>
                <w:szCs w:val="22"/>
                <w:bdr w:val="none" w:color="auto" w:sz="0" w:space="0"/>
                <w:lang w:val="en-US" w:eastAsia="zh-CN" w:bidi="ar"/>
              </w:rPr>
              <w:t> </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63</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09"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32</w:t>
            </w:r>
          </w:p>
        </w:tc>
        <w:tc>
          <w:tcPr>
            <w:tcW w:w="492"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118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总计</w:t>
            </w:r>
          </w:p>
        </w:tc>
        <w:tc>
          <w:tcPr>
            <w:tcW w:w="162"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64</w:t>
            </w:r>
          </w:p>
        </w:tc>
        <w:tc>
          <w:tcPr>
            <w:tcW w:w="36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9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4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59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注：本表反映单位本年度一般公共预算财政拨款、政府性基金预算财政拨款和国有资本经营预算财政拨款的总收支和年末结转结余情况。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46"/>
        <w:gridCol w:w="421"/>
        <w:gridCol w:w="421"/>
        <w:gridCol w:w="1239"/>
        <w:gridCol w:w="1443"/>
        <w:gridCol w:w="1034"/>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4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0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9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651"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848"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本年支出合计</w:t>
            </w:r>
          </w:p>
        </w:tc>
        <w:tc>
          <w:tcPr>
            <w:tcW w:w="604"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893"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72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72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48"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04"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893"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444"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4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0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9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4"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2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教育支出</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普通教育</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2050202</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  小学教育</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1,672.09</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84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0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8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注：本表反映单位本年度一般公共预算财政拨款支出情况。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38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75"/>
        <w:gridCol w:w="1323"/>
        <w:gridCol w:w="1118"/>
        <w:gridCol w:w="817"/>
        <w:gridCol w:w="1037"/>
        <w:gridCol w:w="927"/>
        <w:gridCol w:w="778"/>
        <w:gridCol w:w="1418"/>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9"/>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3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4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6"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862"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r>
              <w:rPr>
                <w:rFonts w:hint="default" w:ascii="Arial" w:hAnsi="Arial" w:eastAsia="宋体" w:cs="Arial"/>
                <w:i w:val="0"/>
                <w:iCs w:val="0"/>
                <w:color w:val="000000"/>
                <w:kern w:val="2"/>
                <w:sz w:val="20"/>
                <w:szCs w:val="20"/>
                <w:bdr w:val="none" w:color="auto" w:sz="0" w:space="0"/>
                <w:lang w:val="en-US" w:eastAsia="zh-CN" w:bidi="ar"/>
              </w:rPr>
              <w:t> </w:t>
            </w:r>
          </w:p>
        </w:tc>
        <w:tc>
          <w:tcPr>
            <w:tcW w:w="44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70"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r>
              <w:rPr>
                <w:rFonts w:hint="default" w:ascii="Arial" w:hAnsi="Arial" w:eastAsia="宋体" w:cs="Arial"/>
                <w:i w:val="0"/>
                <w:iCs w:val="0"/>
                <w:color w:val="000000"/>
                <w:kern w:val="2"/>
                <w:sz w:val="20"/>
                <w:szCs w:val="20"/>
                <w:bdr w:val="none" w:color="auto" w:sz="0" w:space="0"/>
                <w:lang w:val="en-US" w:eastAsia="zh-CN" w:bidi="ar"/>
              </w:rPr>
              <w:t> </w:t>
            </w:r>
          </w:p>
        </w:tc>
        <w:tc>
          <w:tcPr>
            <w:tcW w:w="42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96" w:type="pct"/>
            <w:gridSpan w:val="2"/>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2" w:type="pct"/>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w:t>
            </w:r>
          </w:p>
        </w:tc>
        <w:tc>
          <w:tcPr>
            <w:tcW w:w="3137" w:type="pct"/>
            <w:gridSpan w:val="6"/>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531" w:type="pc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72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60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4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56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0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c>
          <w:tcPr>
            <w:tcW w:w="424"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经济分类科目编码</w:t>
            </w:r>
          </w:p>
        </w:tc>
        <w:tc>
          <w:tcPr>
            <w:tcW w:w="77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42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301</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工资福利支出</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1,447.95</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302</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商品和服务支出</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208.20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307</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债务利息及费用支出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30101</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  基本工资</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641.83</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30201</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6.08</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30701</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  国内债务付息</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30102</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  津贴补贴</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267.44</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30202</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  印刷费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6.51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30702</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  国外债务付息</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30103</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  奖金</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267.15</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30203</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  咨询费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30703</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  国内债务发行费用</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30106</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  伙食补助费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30204</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  手续费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30704</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  国外债务发行费用</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30107</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  绩效工资</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101.26</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30205</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  水费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4.93</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310</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资本性支出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30108</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  机关事业单位基本养老保险缴费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15.57</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30206</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  电费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9.82</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31001</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  房屋建筑物购建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30109</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  职业年金缴费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30207</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  邮电费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7.71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31002</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  办公设备购置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30110</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  职工基本医疗保险缴费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126.47</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30208</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  取暖费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31003</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  专用设备购置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30111</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  公务员医疗补助缴款</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30209</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  物业管理费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40.91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31005</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  基础设施建设</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30112</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  其他社会保障缴费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30211</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  差旅费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1.14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31006</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  大型修缮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30113</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  住房公积金</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0.10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30212</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  因公出国（境）费用</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31007</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  信息网络及软件购置更新</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30114</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30213</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  维修（护）费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49.78</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31008</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  物资储备</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30199</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  其他工资福利支出</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28.14</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30214</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  租赁费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31009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  土地补偿</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303</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对个人和家庭的补助</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5.07</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30215</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  会议费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31010</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  安置补助</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30301</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  离休费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30216</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  培训费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12.53</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310111</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  地上附着物和青苗补偿</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30302</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  退休费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30217</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  公务接待费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31012</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  拆迁补偿</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30303</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  退职（役）费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30218</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  专用材料费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10.04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31013</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30304</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  抚恤金</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30224</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  被装购置费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31019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  其他交通工具购置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30305</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  生活补贴</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4.87</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30225</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  专用燃料费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31021</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  文物和陈列品购置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30306</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  救济费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30226</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  劳务费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4.14</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31022</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  无形资产购置</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30307</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  医疗费补助</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30227</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  委托业务费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31099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  其他资本性支出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30308</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  助学金</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0.20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30228</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  工会经费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30.45</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312</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对企业补助</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30309</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  奖励金</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30229</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  福利费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31201</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  资本金注入</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30310</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  个人农业生产补贴</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30231</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  公务用车运行维护费</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31203</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  政府投资基金股权投资</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30311</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代缴社会保险费</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30239</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  其他交通费用</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31204</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  费用补贴</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30399</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  其他对个人和家庭的补助支出</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30240</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  税金及附加费用</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31205</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  利息补贴</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30299</w:t>
            </w:r>
          </w:p>
        </w:tc>
        <w:tc>
          <w:tcPr>
            <w:tcW w:w="565"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  其他商品和服务支出</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23.41</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31299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  其他对企业补助</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399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b/>
                <w:bCs/>
                <w:i w:val="0"/>
                <w:iCs w:val="0"/>
                <w:color w:val="000000"/>
                <w:kern w:val="0"/>
                <w:sz w:val="22"/>
                <w:szCs w:val="22"/>
                <w:bdr w:val="none" w:color="auto" w:sz="0" w:space="0"/>
                <w:lang w:val="en-US" w:eastAsia="zh-CN" w:bidi="ar"/>
              </w:rPr>
              <w:t>其他支出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39906</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  赠与</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39907</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  国家赔偿费用支出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39908</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  对民间非营利组织和群众性自治组织补贴</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531"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21"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4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65" w:type="pct"/>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0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24"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39999</w:t>
            </w:r>
          </w:p>
        </w:tc>
        <w:tc>
          <w:tcPr>
            <w:tcW w:w="773" w:type="pc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  其他支出</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252" w:type="pct"/>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人员经费合计</w:t>
            </w:r>
          </w:p>
        </w:tc>
        <w:tc>
          <w:tcPr>
            <w:tcW w:w="60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1,453.02</w:t>
            </w:r>
          </w:p>
        </w:tc>
        <w:tc>
          <w:tcPr>
            <w:tcW w:w="2713" w:type="pct"/>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公用支出合计</w:t>
            </w:r>
          </w:p>
        </w:tc>
        <w:tc>
          <w:tcPr>
            <w:tcW w:w="42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9"/>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4"/>
                <w:szCs w:val="24"/>
                <w:bdr w:val="none" w:color="auto" w:sz="0" w:space="0"/>
                <w:lang w:val="en-US" w:eastAsia="zh-CN" w:bidi="ar"/>
              </w:rPr>
              <w:t>注：本表反映单位本年度一般公共预算财政拨款基本支出明细情况。</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92"/>
        <w:gridCol w:w="1183"/>
        <w:gridCol w:w="1457"/>
        <w:gridCol w:w="1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4"/>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688"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85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04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41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w:t>
            </w:r>
          </w:p>
        </w:tc>
        <w:tc>
          <w:tcPr>
            <w:tcW w:w="688"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85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年初预算数</w:t>
            </w:r>
          </w:p>
        </w:tc>
        <w:tc>
          <w:tcPr>
            <w:tcW w:w="1046"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行次</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i w:val="0"/>
                <w:iCs w:val="0"/>
                <w:color w:val="000000"/>
                <w:kern w:val="2"/>
                <w:sz w:val="22"/>
                <w:szCs w:val="22"/>
                <w:bdr w:val="none" w:color="auto" w:sz="0" w:space="0"/>
                <w:lang w:val="en-US" w:eastAsia="zh-CN" w:bidi="ar"/>
              </w:rPr>
              <w:t> </w:t>
            </w:r>
          </w:p>
        </w:tc>
        <w:tc>
          <w:tcPr>
            <w:tcW w:w="85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04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一、“三公”经费支出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  2.公务用车购置及运行维护费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    （1）公务用车购置费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    （2）公务用车运行维护费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2.00</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    （1）国内接待费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    （2）国（境）外接待费</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二、相关统计数</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  1.因公出国（境）团组数（个）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  2.因公出国（境）人次数（人）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12</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  3.公务用车购置数（辆）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13</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  4.公务用车保有量（辆）</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14</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  5.国内公务接待批次（个）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15</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16</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  6.国内公务接待人次（人）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17</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    其中：外事接待人次（人）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18</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  7.国（境）外公务接待批次（个）</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19</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41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  8.国（境）外公务接待人次（人）</w:t>
            </w:r>
          </w:p>
        </w:tc>
        <w:tc>
          <w:tcPr>
            <w:tcW w:w="688"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20</w:t>
            </w:r>
          </w:p>
        </w:tc>
        <w:tc>
          <w:tcPr>
            <w:tcW w:w="85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w:t>
            </w:r>
          </w:p>
        </w:tc>
        <w:tc>
          <w:tcPr>
            <w:tcW w:w="104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i w:val="0"/>
                <w:iCs w:val="0"/>
                <w:color w:val="000000"/>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4"/>
            <w:vMerge w:val="restart"/>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5000" w:type="pct"/>
            <w:gridSpan w:val="4"/>
            <w:vMerge w:val="continue"/>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pPr>
      <w:r>
        <w:rPr>
          <w:rFonts w:hint="eastAsia" w:ascii="Calibri" w:hAnsi="Calibri" w:eastAsia="宋体" w:cs="宋体"/>
          <w:kern w:val="2"/>
          <w:sz w:val="21"/>
          <w:szCs w:val="21"/>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029"/>
        <w:gridCol w:w="382"/>
        <w:gridCol w:w="382"/>
        <w:gridCol w:w="881"/>
        <w:gridCol w:w="382"/>
        <w:gridCol w:w="881"/>
        <w:gridCol w:w="548"/>
        <w:gridCol w:w="881"/>
        <w:gridCol w:w="881"/>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14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529"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285"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476"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53"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998"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529"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年初结转和结余</w:t>
            </w:r>
          </w:p>
        </w:tc>
        <w:tc>
          <w:tcPr>
            <w:tcW w:w="476" w:type="pct"/>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本年收入</w:t>
            </w:r>
          </w:p>
        </w:tc>
        <w:tc>
          <w:tcPr>
            <w:tcW w:w="1240" w:type="pct"/>
            <w:gridSpan w:val="3"/>
            <w:tcBorders>
              <w:top w:val="single" w:color="000000" w:sz="4" w:space="0"/>
              <w:left w:val="nil"/>
              <w:bottom w:val="nil"/>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本年支出</w:t>
            </w:r>
          </w:p>
        </w:tc>
        <w:tc>
          <w:tcPr>
            <w:tcW w:w="753"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小计</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476"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529"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476" w:type="pct"/>
            <w:vMerge w:val="continue"/>
            <w:tcBorders>
              <w:top w:val="single" w:color="000000" w:sz="4" w:space="0"/>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85"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53"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4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19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529"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285"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753"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19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476"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521"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529"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28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4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75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说明：当此表数据为零时，即本单位无政府性基金预算财政拨款收入、支出。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w:t>
            </w:r>
          </w:p>
        </w:tc>
      </w:tr>
    </w:tbl>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r>
        <w:rPr>
          <w:rFonts w:hint="eastAsia" w:ascii="Calibri" w:hAnsi="Calibri" w:eastAsia="宋体" w:cs="宋体"/>
          <w:kern w:val="2"/>
          <w:sz w:val="21"/>
          <w:szCs w:val="21"/>
          <w:lang w:val="en-US" w:eastAsia="zh-CN" w:bidi="ar"/>
        </w:rPr>
        <w:t> </w:t>
      </w:r>
      <w:bookmarkStart w:id="0" w:name="_GoBack"/>
      <w:bookmarkEnd w:id="0"/>
    </w:p>
    <w:p>
      <w:pPr>
        <w:keepNext w:val="0"/>
        <w:keepLines w:val="0"/>
        <w:widowControl/>
        <w:suppressLineNumbers w:val="0"/>
        <w:autoSpaceDE w:val="0"/>
        <w:autoSpaceDN w:val="0"/>
        <w:adjustRightInd w:val="0"/>
        <w:spacing w:before="0" w:beforeAutospacing="1" w:after="0" w:afterAutospacing="1" w:line="23" w:lineRule="atLeast"/>
        <w:ind w:left="0" w:right="0"/>
        <w:jc w:val="left"/>
        <w:rPr>
          <w:rFonts w:hint="eastAsia" w:ascii="Calibri" w:hAnsi="Calibri" w:eastAsia="宋体" w:cs="宋体"/>
          <w:kern w:val="2"/>
          <w:sz w:val="21"/>
          <w:szCs w:val="21"/>
          <w:lang w:val="en-US" w:eastAsia="zh-CN" w:bidi="ar"/>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16"/>
        <w:gridCol w:w="436"/>
        <w:gridCol w:w="436"/>
        <w:gridCol w:w="1096"/>
        <w:gridCol w:w="1271"/>
        <w:gridCol w:w="105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4"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8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247"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62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79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66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951"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6" w:type="pct"/>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79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660"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基本支出</w:t>
            </w:r>
          </w:p>
        </w:tc>
        <w:tc>
          <w:tcPr>
            <w:tcW w:w="951" w:type="pct"/>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支出功能分类科目编码</w:t>
            </w:r>
          </w:p>
        </w:tc>
        <w:tc>
          <w:tcPr>
            <w:tcW w:w="620"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科目名称</w:t>
            </w: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vMerge w:val="continue"/>
            <w:tcBorders>
              <w:top w:val="nil"/>
              <w:left w:val="single" w:color="000000" w:sz="4" w:space="0"/>
              <w:bottom w:val="single" w:color="000000" w:sz="4" w:space="0"/>
              <w:right w:val="single" w:color="000000" w:sz="4" w:space="0"/>
            </w:tcBorders>
            <w:shd w:val="clear" w:color="auto" w:fill="C0C0C0"/>
            <w:vAlign w:val="center"/>
          </w:tcPr>
          <w:p>
            <w:pPr>
              <w:rPr>
                <w:rFonts w:hint="eastAsia" w:ascii="宋体"/>
                <w:sz w:val="24"/>
                <w:szCs w:val="24"/>
              </w:rPr>
            </w:pPr>
          </w:p>
        </w:tc>
        <w:tc>
          <w:tcPr>
            <w:tcW w:w="620"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79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660"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c>
          <w:tcPr>
            <w:tcW w:w="951" w:type="pct"/>
            <w:vMerge w:val="continue"/>
            <w:tcBorders>
              <w:top w:val="single" w:color="000000" w:sz="4" w:space="0"/>
              <w:left w:val="nil"/>
              <w:bottom w:val="single" w:color="000000" w:sz="4" w:space="0"/>
              <w:right w:val="single" w:color="000000" w:sz="4" w:space="0"/>
            </w:tcBorders>
            <w:shd w:val="clear" w:color="auto" w:fill="C0C0C0"/>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类</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款</w:t>
            </w:r>
          </w:p>
        </w:tc>
        <w:tc>
          <w:tcPr>
            <w:tcW w:w="247" w:type="pct"/>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w:t>
            </w: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79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66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951"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1" w:type="pct"/>
            <w:vMerge w:val="continue"/>
            <w:tcBorders>
              <w:top w:val="nil"/>
              <w:left w:val="single" w:color="000000" w:sz="4" w:space="0"/>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247" w:type="pct"/>
            <w:vMerge w:val="continue"/>
            <w:tcBorders>
              <w:top w:val="nil"/>
              <w:left w:val="nil"/>
              <w:bottom w:val="single" w:color="000000" w:sz="4" w:space="0"/>
              <w:right w:val="single" w:color="000000" w:sz="4" w:space="0"/>
            </w:tcBorders>
            <w:shd w:val="clear" w:color="auto" w:fill="C0C0C0"/>
            <w:noWrap/>
            <w:vAlign w:val="center"/>
          </w:tcPr>
          <w:p>
            <w:pPr>
              <w:rPr>
                <w:rFonts w:hint="eastAsia" w:ascii="宋体"/>
                <w:sz w:val="24"/>
                <w:szCs w:val="24"/>
              </w:rPr>
            </w:pPr>
          </w:p>
        </w:tc>
        <w:tc>
          <w:tcPr>
            <w:tcW w:w="62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合计</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975"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62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i w:val="0"/>
                <w:iCs w:val="0"/>
                <w:color w:val="000000"/>
                <w:kern w:val="2"/>
                <w:sz w:val="22"/>
                <w:szCs w:val="22"/>
                <w:bdr w:val="none" w:color="auto" w:sz="0" w:space="0"/>
                <w:lang w:val="en-US" w:eastAsia="zh-CN" w:bidi="ar"/>
              </w:rPr>
              <w:t> </w:t>
            </w:r>
          </w:p>
        </w:tc>
        <w:tc>
          <w:tcPr>
            <w:tcW w:w="79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c>
          <w:tcPr>
            <w:tcW w:w="951"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3" w:hRule="atLeast"/>
        </w:trPr>
        <w:tc>
          <w:tcPr>
            <w:tcW w:w="5000" w:type="pct"/>
            <w:gridSpan w:val="7"/>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说明：当此表数据为空时，即本单位无国有资本经营预算财政拨款支出。</w:t>
            </w:r>
          </w:p>
        </w:tc>
      </w:tr>
    </w:tbl>
    <w:p>
      <w:pPr>
        <w:keepNext w:val="0"/>
        <w:keepLines w:val="0"/>
        <w:widowControl/>
        <w:suppressLineNumbers w:val="0"/>
        <w:spacing w:before="0" w:beforeAutospacing="1" w:after="0" w:afterAutospacing="1" w:line="600" w:lineRule="exact"/>
        <w:ind w:left="0" w:right="0" w:firstLine="640"/>
        <w:jc w:val="left"/>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27"/>
        <w:gridCol w:w="1142"/>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5000" w:type="pct"/>
            <w:gridSpan w:val="3"/>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44"/>
                <w:szCs w:val="44"/>
                <w:bdr w:val="none" w:color="auto" w:sz="0" w:space="0"/>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eastAsia" w:ascii="Arial" w:hAnsi="Arial" w:eastAsia="宋体" w:cs="Arial"/>
                <w:i w:val="0"/>
                <w:iCs w:val="0"/>
                <w:color w:val="000000"/>
                <w:kern w:val="2"/>
                <w:sz w:val="20"/>
                <w:szCs w:val="20"/>
                <w:bdr w:val="none" w:color="auto" w:sz="0" w:space="0"/>
                <w:lang w:val="en-US" w:eastAsia="zh-CN" w:bidi="ar"/>
              </w:rPr>
              <w:t> </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pPr>
            <w:r>
              <w:rPr>
                <w:rFonts w:hint="default" w:ascii="Arial" w:hAnsi="Arial" w:eastAsia="宋体" w:cs="Arial"/>
                <w:i w:val="0"/>
                <w:iCs w:val="0"/>
                <w:color w:val="000000"/>
                <w:kern w:val="2"/>
                <w:sz w:val="20"/>
                <w:szCs w:val="20"/>
                <w:bdr w:val="none" w:color="auto" w:sz="0" w:space="0"/>
                <w:lang w:val="en-US" w:eastAsia="zh-CN" w:bidi="ar"/>
              </w:rPr>
              <w:t> </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18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i w:val="0"/>
                <w:iCs w:val="0"/>
                <w:color w:val="000000"/>
                <w:kern w:val="0"/>
                <w:sz w:val="20"/>
                <w:szCs w:val="20"/>
                <w:bdr w:val="none" w:color="auto" w:sz="0" w:space="0"/>
                <w:lang w:val="en-US" w:eastAsia="zh-CN" w:bidi="ar"/>
              </w:rPr>
              <w:t>编制单位：宁都县宁师附小</w:t>
            </w:r>
          </w:p>
        </w:tc>
        <w:tc>
          <w:tcPr>
            <w:tcW w:w="670"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i w:val="0"/>
                <w:iCs w:val="0"/>
                <w:color w:val="000000"/>
                <w:kern w:val="0"/>
                <w:sz w:val="20"/>
                <w:szCs w:val="20"/>
                <w:bdr w:val="none" w:color="auto" w:sz="0" w:space="0"/>
                <w:lang w:val="en-US" w:eastAsia="zh-CN" w:bidi="ar"/>
              </w:rPr>
              <w:t>2021年度</w:t>
            </w:r>
          </w:p>
        </w:tc>
        <w:tc>
          <w:tcPr>
            <w:tcW w:w="1144" w:type="pct"/>
            <w:tcBorders>
              <w:top w:val="nil"/>
              <w:left w:val="nil"/>
              <w:bottom w:val="nil"/>
              <w:right w:val="nil"/>
            </w:tcBorders>
            <w:shd w:val="clear"/>
            <w:noWrap/>
            <w:vAlign w:val="bottom"/>
          </w:tcPr>
          <w:p>
            <w:pPr>
              <w:keepNext w:val="0"/>
              <w:keepLines w:val="0"/>
              <w:widowControl/>
              <w:suppressLineNumbers w:val="0"/>
              <w:spacing w:before="0" w:beforeAutospacing="1" w:after="0" w:afterAutospacing="1"/>
              <w:ind w:left="0" w:right="0"/>
              <w:jc w:val="right"/>
              <w:textAlignment w:val="bottom"/>
            </w:pPr>
            <w:r>
              <w:rPr>
                <w:rFonts w:hint="eastAsia" w:ascii="宋体" w:hAnsi="宋体" w:eastAsia="宋体" w:cs="宋体"/>
                <w:i w:val="0"/>
                <w:iCs w:val="0"/>
                <w:color w:val="000000"/>
                <w:kern w:val="0"/>
                <w:sz w:val="20"/>
                <w:szCs w:val="20"/>
                <w:bdr w:val="none" w:color="auto" w:sz="0" w:space="0"/>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84" w:type="pct"/>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项  目</w:t>
            </w:r>
          </w:p>
        </w:tc>
        <w:tc>
          <w:tcPr>
            <w:tcW w:w="670"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栏次</w:t>
            </w:r>
          </w:p>
        </w:tc>
        <w:tc>
          <w:tcPr>
            <w:tcW w:w="1144" w:type="pc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一、车辆数合计(台、辆)</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  1.副部（省）级及以上领导用车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2</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  2.主要领导干部用车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3</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  3.机要通信用车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4</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  4.应急保障用车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5</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  5.执法执勤用车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6</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  6.特种专业技术用车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7</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  7.离退休干部用车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8</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  8.其他用车</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9</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二、单价50万元（含）以上通用设备（台，套）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10</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84" w:type="pc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三、单价100万元（含）以上专用设备（台，套）</w:t>
            </w:r>
          </w:p>
        </w:tc>
        <w:tc>
          <w:tcPr>
            <w:tcW w:w="670" w:type="pc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i w:val="0"/>
                <w:iCs w:val="0"/>
                <w:color w:val="000000"/>
                <w:kern w:val="0"/>
                <w:sz w:val="22"/>
                <w:szCs w:val="22"/>
                <w:bdr w:val="none" w:color="auto" w:sz="0" w:space="0"/>
                <w:lang w:val="en-US" w:eastAsia="zh-CN" w:bidi="ar"/>
              </w:rPr>
              <w:t>11</w:t>
            </w:r>
          </w:p>
        </w:tc>
        <w:tc>
          <w:tcPr>
            <w:tcW w:w="114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i w:val="0"/>
                <w:iCs w:val="0"/>
                <w:color w:val="000000"/>
                <w:kern w:val="2"/>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注：本表反映截止2021年12月31日，单位占用的国有资产情况。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000" w:type="pct"/>
            <w:gridSpan w:val="3"/>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i w:val="0"/>
                <w:iCs w:val="0"/>
                <w:color w:val="000000"/>
                <w:kern w:val="0"/>
                <w:sz w:val="22"/>
                <w:szCs w:val="22"/>
                <w:bdr w:val="none" w:color="auto" w:sz="0" w:space="0"/>
                <w:lang w:val="en-US" w:eastAsia="zh-CN" w:bidi="ar"/>
              </w:rPr>
              <w:t>说明：当此表数据为空时，即本单位（单位）无相关资产。</w:t>
            </w:r>
          </w:p>
        </w:tc>
      </w:tr>
    </w:tbl>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kern w:val="2"/>
          <w:sz w:val="44"/>
          <w:szCs w:val="44"/>
          <w:lang w:val="en-US" w:eastAsia="zh-CN" w:bidi="ar"/>
        </w:rPr>
        <w:t>第三部分  2021年度决算情况说明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一、收入决算情况说明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本单位2021年度收入总计1957.89万元，较2020年增加475.02万元，增长32.03%，其中：年初结转和结余0万元，较2020年增加475.02万元，增长0%；本年收入合计1957.89万元，较2020年增加475.02万元，增长32.03%，</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原因是上年没有将教育收费资金收入和其他收入，列入决算总额</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本年收入的具体构成为：财政拨款收入1672.09万元，占85.4%；事业收入285.8万元，占14.6%；经营收入0万元，占0%；其他收入0万元，占0%。  </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二、支出决算情况说明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本单位2021年度支出总计1957.89万元，其中本年支出合计1957.89万元，较2020年增加475.02万元，增长32.03%，</w:t>
      </w:r>
      <w:r>
        <w:rPr>
          <w:rFonts w:hint="eastAsia" w:ascii="仿宋" w:hAnsi="仿宋" w:eastAsia="仿宋" w:cs="仿宋"/>
          <w:color w:val="000000"/>
          <w:kern w:val="2"/>
          <w:sz w:val="30"/>
          <w:szCs w:val="30"/>
          <w:lang w:val="en-US" w:eastAsia="zh-CN" w:bidi="ar"/>
        </w:rPr>
        <w:t>主要原因是：</w:t>
      </w:r>
      <w:r>
        <w:rPr>
          <w:rFonts w:hint="eastAsia" w:ascii="仿宋" w:hAnsi="仿宋" w:eastAsia="仿宋" w:cs="仿宋"/>
          <w:color w:val="000000"/>
          <w:spacing w:val="12"/>
          <w:kern w:val="2"/>
          <w:sz w:val="30"/>
          <w:szCs w:val="30"/>
          <w:lang w:val="en-US" w:eastAsia="zh-CN" w:bidi="ar"/>
        </w:rPr>
        <w:t>上年学校教育收费资金收入、其他收入等资金的相应支出没有纳入支出决算</w:t>
      </w:r>
      <w:r>
        <w:rPr>
          <w:rFonts w:hint="eastAsia" w:ascii="仿宋" w:hAnsi="仿宋" w:eastAsia="仿宋" w:cs="仿宋"/>
          <w:color w:val="000000"/>
          <w:kern w:val="2"/>
          <w:sz w:val="30"/>
          <w:szCs w:val="30"/>
          <w:lang w:val="en-US" w:eastAsia="zh-CN" w:bidi="ar"/>
        </w:rPr>
        <w:t>；</w:t>
      </w:r>
      <w:r>
        <w:rPr>
          <w:rFonts w:hint="default" w:ascii="仿宋_GB2312" w:eastAsia="仿宋_GB2312" w:cs="仿宋_GB2312" w:hAnsiTheme="minorHAnsi"/>
          <w:kern w:val="2"/>
          <w:sz w:val="30"/>
          <w:szCs w:val="30"/>
          <w:lang w:val="en-US" w:eastAsia="zh-CN" w:bidi="ar"/>
        </w:rPr>
        <w:t>年末结转和结余0万元，较2020年增加（减少）0万元，增长（下降）0 %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本年支出的具体构成为：基本支出1957.89万元，占100%；项目支出 0万元，占0 %；经营支出0万元，占0 %；其他支出（对附属单位补助支出、上缴上级支出）0万元，占0%。</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三、财政拨款支出决算情况说明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本单位2021年度财政拨款本年支出年初预算数为</w:t>
      </w:r>
      <w:r>
        <w:rPr>
          <w:rFonts w:hint="eastAsia" w:ascii="仿宋" w:hAnsi="仿宋" w:eastAsia="仿宋" w:cs="仿宋"/>
          <w:kern w:val="2"/>
          <w:sz w:val="32"/>
          <w:szCs w:val="32"/>
          <w:lang w:val="en-US" w:eastAsia="zh-CN" w:bidi="ar"/>
        </w:rPr>
        <w:t>1295.57</w:t>
      </w:r>
      <w:r>
        <w:rPr>
          <w:rFonts w:hint="default" w:ascii="仿宋_GB2312" w:eastAsia="仿宋_GB2312" w:cs="仿宋_GB2312" w:hAnsiTheme="minorHAnsi"/>
          <w:kern w:val="2"/>
          <w:sz w:val="30"/>
          <w:szCs w:val="30"/>
          <w:lang w:val="en-US" w:eastAsia="zh-CN" w:bidi="ar"/>
        </w:rPr>
        <w:t>万元，决算数为1672.09万元，完成年初预算的129.06%。其中：</w:t>
      </w:r>
    </w:p>
    <w:p>
      <w:pPr>
        <w:keepNext w:val="0"/>
        <w:keepLines w:val="0"/>
        <w:widowControl/>
        <w:suppressLineNumbers w:val="0"/>
        <w:spacing w:before="0" w:beforeAutospacing="1" w:after="0" w:afterAutospacing="1"/>
        <w:ind w:left="0" w:right="0" w:firstLine="600" w:firstLineChars="200"/>
        <w:jc w:val="left"/>
      </w:pPr>
      <w:r>
        <w:rPr>
          <w:rFonts w:hint="default" w:ascii="仿宋_GB2312" w:eastAsia="仿宋_GB2312" w:cs="仿宋_GB2312" w:hAnsiTheme="minorHAnsi"/>
          <w:kern w:val="0"/>
          <w:sz w:val="30"/>
          <w:szCs w:val="30"/>
          <w:lang w:val="en-US" w:eastAsia="zh-CN" w:bidi="ar"/>
        </w:rPr>
        <w:t>教育</w:t>
      </w:r>
      <w:r>
        <w:rPr>
          <w:rFonts w:hint="default" w:ascii="仿宋_GB2312" w:eastAsia="仿宋_GB2312" w:cs="仿宋_GB2312" w:hAnsiTheme="minorHAnsi"/>
          <w:kern w:val="2"/>
          <w:sz w:val="30"/>
          <w:szCs w:val="30"/>
          <w:lang w:val="en-US" w:eastAsia="zh-CN" w:bidi="ar"/>
        </w:rPr>
        <w:t>支出年初预算数为</w:t>
      </w:r>
      <w:r>
        <w:rPr>
          <w:rFonts w:hint="eastAsia" w:ascii="仿宋" w:hAnsi="仿宋" w:eastAsia="仿宋" w:cs="仿宋"/>
          <w:kern w:val="2"/>
          <w:sz w:val="32"/>
          <w:szCs w:val="32"/>
          <w:lang w:val="en-US" w:eastAsia="zh-CN" w:bidi="ar"/>
        </w:rPr>
        <w:t>1295.57</w:t>
      </w:r>
      <w:r>
        <w:rPr>
          <w:rFonts w:hint="default" w:ascii="仿宋_GB2312" w:eastAsia="仿宋_GB2312" w:cs="仿宋_GB2312" w:hAnsiTheme="minorHAnsi"/>
          <w:kern w:val="2"/>
          <w:sz w:val="30"/>
          <w:szCs w:val="30"/>
          <w:lang w:val="en-US" w:eastAsia="zh-CN" w:bidi="ar"/>
        </w:rPr>
        <w:t>万元，决算数为1672.09万元，完成年初预算的129.06%，</w:t>
      </w:r>
      <w:r>
        <w:rPr>
          <w:rFonts w:hint="default" w:ascii="仿宋_GB2312" w:eastAsia="仿宋_GB2312" w:cs="仿宋_GB2312" w:hAnsiTheme="minorHAnsi"/>
          <w:color w:val="000000"/>
          <w:kern w:val="2"/>
          <w:sz w:val="30"/>
          <w:szCs w:val="30"/>
          <w:lang w:val="en-US" w:eastAsia="zh-CN" w:bidi="ar"/>
        </w:rPr>
        <w:t>主要原因是：年初预算数中不包含公用经费、绩效奖等经费拨款。</w:t>
      </w:r>
    </w:p>
    <w:p>
      <w:pPr>
        <w:keepNext w:val="0"/>
        <w:keepLines w:val="0"/>
        <w:widowControl/>
        <w:suppressLineNumbers w:val="0"/>
        <w:spacing w:before="0" w:beforeAutospacing="1" w:after="0" w:afterAutospacing="1"/>
        <w:ind w:left="0" w:right="0" w:firstLine="585"/>
        <w:jc w:val="left"/>
      </w:pPr>
      <w:r>
        <w:rPr>
          <w:rFonts w:hint="eastAsia" w:ascii="黑体" w:hAnsi="宋体" w:eastAsia="黑体" w:cs="黑体"/>
          <w:kern w:val="2"/>
          <w:sz w:val="30"/>
          <w:szCs w:val="30"/>
          <w:lang w:val="en-US" w:eastAsia="zh-CN" w:bidi="ar"/>
        </w:rPr>
        <w:t>四、一般公共预算财政拨款基本支出决算情况说明</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本单位2021年度一般公共预算财政拨款基本支出1972.09万元，其中：</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（一）工资福利支出1447.95万元，较2020年增加86.62万元，增长6.36%，</w:t>
      </w:r>
      <w:r>
        <w:rPr>
          <w:rFonts w:hint="default" w:ascii="仿宋_GB2312" w:eastAsia="仿宋_GB2312" w:cs="仿宋_GB2312" w:hAnsiTheme="minorHAnsi"/>
          <w:color w:val="000000"/>
          <w:kern w:val="2"/>
          <w:sz w:val="30"/>
          <w:szCs w:val="30"/>
          <w:lang w:val="en-US" w:eastAsia="zh-CN" w:bidi="ar"/>
        </w:rPr>
        <w:t>主要原因是：学校人员增加导致工资福利增加</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（二）商品和服务支出208.2万元，较2020年增加100.14万元，增长92.67%，</w:t>
      </w:r>
      <w:r>
        <w:rPr>
          <w:rFonts w:hint="default" w:ascii="仿宋_GB2312" w:eastAsia="仿宋_GB2312" w:cs="仿宋_GB2312" w:hAnsiTheme="minorHAnsi"/>
          <w:color w:val="000000"/>
          <w:kern w:val="2"/>
          <w:sz w:val="30"/>
          <w:szCs w:val="30"/>
          <w:lang w:val="en-US" w:eastAsia="zh-CN" w:bidi="ar"/>
        </w:rPr>
        <w:t>主要原因是：学校人员增加导致商品和服务支出增加</w:t>
      </w:r>
      <w:r>
        <w:rPr>
          <w:rFonts w:hint="default" w:ascii="仿宋_GB2312" w:eastAsia="仿宋_GB2312" w:cs="仿宋_GB2312" w:hAnsiTheme="minorHAnsi"/>
          <w:kern w:val="2"/>
          <w:sz w:val="30"/>
          <w:szCs w:val="30"/>
          <w:lang w:val="en-US" w:eastAsia="zh-CN" w:bidi="ar"/>
        </w:rPr>
        <w:t>。</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（三）对个人和家庭补助支出5.07万元，较2020年减少1.38万元，下降21.39%，</w:t>
      </w:r>
      <w:r>
        <w:rPr>
          <w:rFonts w:hint="default" w:ascii="仿宋_GB2312" w:eastAsia="仿宋_GB2312" w:cs="仿宋_GB2312" w:hAnsiTheme="minorHAnsi"/>
          <w:color w:val="000000"/>
          <w:kern w:val="2"/>
          <w:sz w:val="30"/>
          <w:szCs w:val="30"/>
          <w:lang w:val="en-US" w:eastAsia="zh-CN" w:bidi="ar"/>
        </w:rPr>
        <w:t>主要原因是：生活补贴减少。</w:t>
      </w:r>
    </w:p>
    <w:p>
      <w:pPr>
        <w:keepNext w:val="0"/>
        <w:keepLines w:val="0"/>
        <w:widowControl/>
        <w:suppressLineNumbers w:val="0"/>
        <w:spacing w:before="0" w:beforeAutospacing="1" w:after="0" w:afterAutospacing="1"/>
        <w:ind w:left="0" w:right="0" w:firstLine="585"/>
        <w:jc w:val="left"/>
      </w:pPr>
      <w:r>
        <w:rPr>
          <w:rFonts w:hint="default" w:ascii="仿宋_GB2312" w:eastAsia="仿宋_GB2312" w:cs="仿宋_GB2312" w:hAnsiTheme="minorHAnsi"/>
          <w:kern w:val="2"/>
          <w:sz w:val="30"/>
          <w:szCs w:val="30"/>
          <w:lang w:val="en-US" w:eastAsia="zh-CN" w:bidi="ar"/>
        </w:rPr>
        <w:t>（四）资本性支出0万元，较2020年增加（减少）0万元，增长（下降）0 %</w:t>
      </w:r>
      <w:r>
        <w:rPr>
          <w:rFonts w:hint="default" w:ascii="仿宋_GB2312" w:eastAsia="仿宋_GB2312" w:cs="仿宋_GB2312" w:hAnsiTheme="minorHAnsi"/>
          <w:color w:val="0000FF"/>
          <w:kern w:val="2"/>
          <w:sz w:val="30"/>
          <w:szCs w:val="30"/>
          <w:lang w:val="en-US" w:eastAsia="zh-CN" w:bidi="ar"/>
        </w:rPr>
        <w:t>。</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五、一般公共预算财政拨款“三公”经费支出决算情况说明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本单位2021年度一般公共预算财政拨款“三公”经费支出年初预算数为2万元，决算数为0.75万元，完成预算的37.5%，决算数较2020年减少0万元，下降0%，其中：</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（一）因公出国（境）支出年初预算数为0万元，决算数为  0万元，完成预算的0%，决算数较2020年增加（减少）0万元，增长（下降）0 %。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（二）公务接待费支出年初预算数为2万元，决算数为0.75万元，完成预算的37.5%，决算数较2020年减少0万元，下降0%，主要原因是认真执行八项规定，节约三公经费开支。</w:t>
      </w:r>
      <w:r>
        <w:rPr>
          <w:rFonts w:hint="default" w:ascii="仿宋_GB2312" w:eastAsia="仿宋_GB2312" w:cs="仿宋_GB2312" w:hAnsiTheme="minorHAnsi"/>
          <w:color w:val="000000"/>
          <w:kern w:val="2"/>
          <w:sz w:val="30"/>
          <w:szCs w:val="30"/>
          <w:lang w:val="en-US" w:eastAsia="zh-CN" w:bidi="ar"/>
        </w:rPr>
        <w:t>全年国内公务接待10批，累计接待80人次，主要为：上级主管单位工作人员来本学校检查教育教学工作所产生的公务接待费用。</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（三）公务用车购置及运行维护费支出0万元，年末公务用车保有0辆。</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六、机关运行经费支出情况说明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b w:val="0"/>
          <w:bCs w:val="0"/>
          <w:kern w:val="2"/>
          <w:sz w:val="30"/>
          <w:szCs w:val="30"/>
          <w:lang w:val="en-US" w:eastAsia="zh-CN" w:bidi="ar"/>
        </w:rPr>
        <w:t>本单位不是行政单位或参照公务员法管理事业单位，故无机关运行经费支出。 </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2"/>
          <w:sz w:val="30"/>
          <w:szCs w:val="30"/>
          <w:lang w:val="en-US" w:eastAsia="zh-CN" w:bidi="ar"/>
        </w:rPr>
        <w:t> </w:t>
      </w:r>
      <w:r>
        <w:rPr>
          <w:rFonts w:hint="eastAsia" w:ascii="黑体" w:hAnsi="宋体" w:eastAsia="黑体" w:cs="黑体"/>
          <w:kern w:val="2"/>
          <w:sz w:val="30"/>
          <w:szCs w:val="30"/>
          <w:lang w:val="en-US" w:eastAsia="zh-CN" w:bidi="ar"/>
        </w:rPr>
        <w:t>七、政府采购支出情况说明</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color w:val="000000"/>
          <w:kern w:val="0"/>
          <w:sz w:val="30"/>
          <w:szCs w:val="30"/>
        </w:rPr>
        <w:t>本单位2021年度政府采购支出总额0万元，其中：政府采购货物支出0万元、政府采购工程支出0万元、政府采购服务支出0万元。</w:t>
      </w:r>
    </w:p>
    <w:p>
      <w:pPr>
        <w:keepNext w:val="0"/>
        <w:keepLines w:val="0"/>
        <w:widowControl/>
        <w:suppressLineNumbers w:val="0"/>
        <w:spacing w:before="0" w:beforeAutospacing="1" w:after="0" w:afterAutospacing="1"/>
        <w:ind w:left="0" w:right="0" w:firstLine="600" w:firstLineChars="200"/>
        <w:jc w:val="left"/>
      </w:pPr>
      <w:r>
        <w:rPr>
          <w:rFonts w:hint="eastAsia" w:ascii="黑体" w:hAnsi="宋体" w:eastAsia="黑体" w:cs="黑体"/>
          <w:kern w:val="2"/>
          <w:sz w:val="30"/>
          <w:szCs w:val="30"/>
          <w:lang w:val="en-US" w:eastAsia="zh-CN" w:bidi="ar"/>
        </w:rPr>
        <w:t>八、</w:t>
      </w:r>
      <w:r>
        <w:rPr>
          <w:rFonts w:hint="eastAsia" w:ascii="黑体" w:hAnsi="宋体" w:eastAsia="黑体" w:cs="黑体"/>
          <w:i w:val="0"/>
          <w:iCs w:val="0"/>
          <w:kern w:val="0"/>
          <w:sz w:val="32"/>
          <w:szCs w:val="32"/>
          <w:lang w:val="en-US" w:eastAsia="zh-CN" w:bidi="ar"/>
        </w:rPr>
        <w:t>国有资本经营预算财政拨款支出情况说明</w:t>
      </w:r>
    </w:p>
    <w:p>
      <w:pPr>
        <w:keepNext w:val="0"/>
        <w:keepLines w:val="0"/>
        <w:widowControl/>
        <w:suppressLineNumbers w:val="0"/>
        <w:spacing w:before="0" w:beforeAutospacing="1" w:after="0" w:afterAutospacing="1"/>
        <w:ind w:left="0" w:right="0" w:firstLine="630"/>
        <w:jc w:val="left"/>
      </w:pPr>
      <w:r>
        <w:rPr>
          <w:rFonts w:hint="eastAsia" w:ascii="仿宋" w:hAnsi="仿宋" w:eastAsia="仿宋" w:cs="仿宋"/>
          <w:i w:val="0"/>
          <w:iCs w:val="0"/>
          <w:kern w:val="0"/>
          <w:sz w:val="32"/>
          <w:szCs w:val="32"/>
          <w:lang w:val="en-US" w:eastAsia="zh-CN" w:bidi="ar"/>
        </w:rPr>
        <w:t>2021年本单位无国有资本经费预算财政拨款支出。</w:t>
      </w:r>
    </w:p>
    <w:p>
      <w:pPr>
        <w:keepNext w:val="0"/>
        <w:keepLines w:val="0"/>
        <w:widowControl/>
        <w:suppressLineNumbers w:val="0"/>
        <w:spacing w:before="0" w:beforeAutospacing="1" w:after="0" w:afterAutospacing="1"/>
        <w:ind w:left="0" w:right="0" w:firstLine="630"/>
        <w:jc w:val="left"/>
      </w:pPr>
      <w:r>
        <w:rPr>
          <w:rFonts w:hint="eastAsia" w:ascii="黑体" w:hAnsi="宋体" w:eastAsia="黑体" w:cs="黑体"/>
          <w:kern w:val="2"/>
          <w:sz w:val="30"/>
          <w:szCs w:val="30"/>
          <w:lang w:val="en-US" w:eastAsia="zh-CN" w:bidi="ar"/>
        </w:rPr>
        <w:t>九、国有资产占用情况说明。</w:t>
      </w:r>
    </w:p>
    <w:p>
      <w:pPr>
        <w:keepNext w:val="0"/>
        <w:keepLines w:val="0"/>
        <w:widowControl/>
        <w:suppressLineNumbers w:val="0"/>
        <w:spacing w:before="0" w:beforeAutospacing="1" w:after="0" w:afterAutospacing="1"/>
        <w:ind w:left="0" w:right="0" w:firstLine="630"/>
        <w:jc w:val="left"/>
      </w:pPr>
      <w:r>
        <w:rPr>
          <w:rFonts w:hint="default" w:ascii="仿宋_GB2312" w:eastAsia="仿宋_GB2312" w:cs="仿宋_GB2312" w:hAnsiTheme="minorHAnsi"/>
          <w:kern w:val="0"/>
          <w:sz w:val="30"/>
          <w:szCs w:val="30"/>
          <w:lang w:val="en-US" w:eastAsia="zh-CN" w:bidi="ar"/>
        </w:rPr>
        <w:t>截止2021年12月31日，本单位（单位）国有资产占用情况见公开10表《国有资产占用情况表》。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黑体" w:hAnsi="宋体" w:eastAsia="黑体" w:cs="黑体"/>
          <w:b w:val="0"/>
          <w:bCs w:val="0"/>
          <w:i w:val="0"/>
          <w:iCs w:val="0"/>
          <w:caps w:val="0"/>
          <w:color w:val="000000"/>
          <w:spacing w:val="0"/>
          <w:kern w:val="0"/>
          <w:sz w:val="32"/>
          <w:szCs w:val="32"/>
          <w:bdr w:val="none" w:color="auto" w:sz="0" w:space="0"/>
          <w:shd w:val="clear" w:fill="FFFFFF"/>
        </w:rPr>
        <w:t>十、预算绩效情况说明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（一）绩效管理工作开展情况。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640" w:firstLineChars="200"/>
        <w:jc w:val="both"/>
      </w:pPr>
      <w:r>
        <w:rPr>
          <w:rFonts w:hint="eastAsia" w:ascii="仿宋" w:hAnsi="仿宋" w:eastAsia="仿宋" w:cs="仿宋"/>
          <w:i w:val="0"/>
          <w:iCs w:val="0"/>
          <w:caps w:val="0"/>
          <w:color w:val="000000"/>
          <w:spacing w:val="0"/>
          <w:kern w:val="0"/>
          <w:sz w:val="32"/>
          <w:szCs w:val="32"/>
          <w:bdr w:val="none" w:color="auto" w:sz="0" w:space="0"/>
          <w:shd w:val="clear" w:fill="FFFFFF"/>
        </w:rPr>
        <w:t>根据预算绩效管理要求，我单位组织对纳入2021年度单位预算范围的二级项目1个公用经费项目全面开展绩效自评。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40" w:lineRule="atLeast"/>
        <w:ind w:left="0" w:right="0" w:firstLine="420"/>
        <w:jc w:val="both"/>
      </w:pPr>
      <w:r>
        <w:rPr>
          <w:rFonts w:hint="eastAsia" w:ascii="仿宋" w:hAnsi="仿宋" w:eastAsia="仿宋" w:cs="仿宋"/>
          <w:i w:val="0"/>
          <w:iCs w:val="0"/>
          <w:caps w:val="0"/>
          <w:color w:val="000000"/>
          <w:spacing w:val="0"/>
          <w:kern w:val="0"/>
          <w:sz w:val="32"/>
          <w:szCs w:val="32"/>
          <w:bdr w:val="none" w:color="auto" w:sz="0" w:space="0"/>
          <w:shd w:val="clear" w:fill="FFFFFF"/>
        </w:rPr>
        <w:t>（二）单位决算中项目绩效自评情况。</w:t>
      </w:r>
    </w:p>
    <w:tbl>
      <w:tblPr>
        <w:tblW w:w="102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00"/>
        <w:gridCol w:w="1149"/>
        <w:gridCol w:w="944"/>
        <w:gridCol w:w="1027"/>
        <w:gridCol w:w="1286"/>
        <w:gridCol w:w="464"/>
        <w:gridCol w:w="1585"/>
        <w:gridCol w:w="1198"/>
        <w:gridCol w:w="87"/>
        <w:gridCol w:w="536"/>
        <w:gridCol w:w="170"/>
        <w:gridCol w:w="480"/>
        <w:gridCol w:w="352"/>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b/>
                <w:bCs/>
                <w:i w:val="0"/>
                <w:iCs w:val="0"/>
                <w:color w:val="000000"/>
                <w:kern w:val="0"/>
                <w:sz w:val="32"/>
                <w:szCs w:val="32"/>
                <w:bdr w:val="none" w:color="auto" w:sz="0" w:space="0"/>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项目名称</w:t>
            </w:r>
          </w:p>
        </w:tc>
        <w:tc>
          <w:tcPr>
            <w:tcW w:w="8536"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主管单位</w:t>
            </w:r>
          </w:p>
        </w:tc>
        <w:tc>
          <w:tcPr>
            <w:tcW w:w="4857"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宁都县财政局</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实施单位</w:t>
            </w:r>
          </w:p>
        </w:tc>
        <w:tc>
          <w:tcPr>
            <w:tcW w:w="2152"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宁都师范附属小学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jc w:val="center"/>
        </w:trPr>
        <w:tc>
          <w:tcPr>
            <w:tcW w:w="1677" w:type="dxa"/>
            <w:gridSpan w:val="2"/>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（万元）</w:t>
            </w: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年初预算数</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全年预算数（A)</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全年执行数(B)</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执行率(B/A)</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both"/>
              <w:textAlignment w:val="center"/>
            </w:pPr>
            <w:r>
              <w:rPr>
                <w:rFonts w:hint="eastAsia" w:ascii="仿宋" w:hAnsi="仿宋" w:eastAsia="仿宋" w:cs="仿宋"/>
                <w:i w:val="0"/>
                <w:iCs w:val="0"/>
                <w:color w:val="000000"/>
                <w:kern w:val="0"/>
                <w:sz w:val="20"/>
                <w:szCs w:val="20"/>
                <w:bdr w:val="none" w:color="auto" w:sz="0" w:space="0"/>
                <w:lang w:val="en-US" w:eastAsia="zh-CN" w:bidi="ar"/>
              </w:rPr>
              <w:t>年度资金总额</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其中：当年财政拨款</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219.07</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      上年结转资金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1677" w:type="dxa"/>
            <w:gridSpan w:val="2"/>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7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    其他资金</w:t>
            </w:r>
          </w:p>
        </w:tc>
        <w:tc>
          <w:tcPr>
            <w:tcW w:w="109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89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152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75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c>
          <w:tcPr>
            <w:tcW w:w="87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c>
          <w:tcPr>
            <w:tcW w:w="521"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年度总体目标</w:t>
            </w: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预期目标</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5943"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目标1：按省定额标准下达公用经费                                                   目标2：按学生人数下达公用经费                                                        目标3：基本保障义务教育学校日常运行                                                             目标4：提高义务教育学校教育教学质量</w:t>
            </w:r>
          </w:p>
        </w:tc>
        <w:tc>
          <w:tcPr>
            <w:tcW w:w="3679"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达成全年目标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绩</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标</w:t>
            </w: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一级指标</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二级指标</w:t>
            </w:r>
          </w:p>
        </w:tc>
        <w:tc>
          <w:tcPr>
            <w:tcW w:w="2794" w:type="dxa"/>
            <w:gridSpan w:val="3"/>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三级指标</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年度指标值（A)</w:t>
            </w:r>
          </w:p>
        </w:tc>
        <w:tc>
          <w:tcPr>
            <w:tcW w:w="1334" w:type="dxa"/>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实际完成值(B)</w:t>
            </w:r>
          </w:p>
        </w:tc>
        <w:tc>
          <w:tcPr>
            <w:tcW w:w="739"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分值</w:t>
            </w:r>
          </w:p>
        </w:tc>
        <w:tc>
          <w:tcPr>
            <w:tcW w:w="700"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得分</w:t>
            </w:r>
          </w:p>
        </w:tc>
        <w:tc>
          <w:tcPr>
            <w:tcW w:w="906" w:type="dxa"/>
            <w:gridSpan w:val="2"/>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133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39"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700"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c>
          <w:tcPr>
            <w:tcW w:w="906" w:type="dxa"/>
            <w:gridSpan w:val="2"/>
            <w:vMerge w:val="continue"/>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产出指标（50分）</w:t>
            </w:r>
          </w:p>
        </w:tc>
        <w:tc>
          <w:tcPr>
            <w:tcW w:w="729" w:type="dxa"/>
            <w:vMerge w:val="restart"/>
            <w:tcBorders>
              <w:top w:val="nil"/>
              <w:left w:val="nil"/>
              <w:bottom w:val="nil"/>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数量指标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义务教育生均公用经费执行标准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不低于国家规定的标准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义务教育生均公用经费拨付到位率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nil"/>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义务教育生均公用经费拨付及时率</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质量指标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保障义务教育学校正常运行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正常运行</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时效指标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资金按规定及时拨付率</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年度预算执行进度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7</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效益指标（30分）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教学活动开展有序，办学水平不断提高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教育教学质量</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提高</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15</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满意度</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指标</w:t>
            </w:r>
          </w:p>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（10分）</w:t>
            </w:r>
          </w:p>
        </w:tc>
        <w:tc>
          <w:tcPr>
            <w:tcW w:w="729"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服务对象满意度指标</w:t>
            </w: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学校和教师满意度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591"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086"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729" w:type="dxa"/>
            <w:vMerge w:val="continue"/>
            <w:tcBorders>
              <w:top w:val="nil"/>
              <w:left w:val="nil"/>
              <w:bottom w:val="single" w:color="000000" w:sz="4" w:space="0"/>
              <w:right w:val="single" w:color="000000" w:sz="4" w:space="0"/>
            </w:tcBorders>
            <w:shd w:val="clear"/>
            <w:vAlign w:val="center"/>
          </w:tcPr>
          <w:p>
            <w:pPr>
              <w:rPr>
                <w:rFonts w:hint="eastAsia" w:ascii="宋体"/>
                <w:sz w:val="24"/>
                <w:szCs w:val="24"/>
              </w:rPr>
            </w:pPr>
          </w:p>
        </w:tc>
        <w:tc>
          <w:tcPr>
            <w:tcW w:w="2794"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家长和学生满意度</w:t>
            </w:r>
          </w:p>
        </w:tc>
        <w:tc>
          <w:tcPr>
            <w:tcW w:w="0" w:type="auto"/>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≥85%</w:t>
            </w:r>
          </w:p>
        </w:tc>
        <w:tc>
          <w:tcPr>
            <w:tcW w:w="13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98%</w:t>
            </w:r>
          </w:p>
        </w:tc>
        <w:tc>
          <w:tcPr>
            <w:tcW w:w="0" w:type="auto"/>
            <w:gridSpan w:val="2"/>
            <w:tcBorders>
              <w:top w:val="single" w:color="000000" w:sz="4" w:space="0"/>
              <w:left w:val="nil"/>
              <w:bottom w:val="single" w:color="000000" w:sz="4" w:space="0"/>
              <w:right w:val="single" w:color="000000" w:sz="4" w:space="0"/>
            </w:tcBorders>
            <w:shd w:val="clear"/>
            <w:noWrap/>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5</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4.9</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jc w:val="center"/>
        </w:trPr>
        <w:tc>
          <w:tcPr>
            <w:tcW w:w="786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总分</w:t>
            </w:r>
          </w:p>
        </w:tc>
        <w:tc>
          <w:tcPr>
            <w:tcW w:w="73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100</w:t>
            </w:r>
          </w:p>
        </w:tc>
        <w:tc>
          <w:tcPr>
            <w:tcW w:w="70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 w:hAnsi="仿宋" w:eastAsia="仿宋" w:cs="仿宋"/>
                <w:i w:val="0"/>
                <w:iCs w:val="0"/>
                <w:color w:val="000000"/>
                <w:kern w:val="0"/>
                <w:sz w:val="20"/>
                <w:szCs w:val="20"/>
                <w:bdr w:val="none" w:color="auto" w:sz="0" w:space="0"/>
                <w:lang w:val="en-US" w:eastAsia="zh-CN" w:bidi="ar"/>
              </w:rPr>
              <w:t>99.8</w:t>
            </w:r>
          </w:p>
        </w:tc>
        <w:tc>
          <w:tcPr>
            <w:tcW w:w="906"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jc w:val="center"/>
        </w:trPr>
        <w:tc>
          <w:tcPr>
            <w:tcW w:w="0" w:type="auto"/>
            <w:gridSpan w:val="14"/>
            <w:tcBorders>
              <w:top w:val="single" w:color="000000" w:sz="4" w:space="0"/>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注：1.得分一档最高不能超过该指标分值上限。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    2.评分标准：（1） 若为</w:t>
            </w:r>
            <w:r>
              <w:rPr>
                <w:rFonts w:hint="eastAsia" w:ascii="仿宋" w:hAnsi="仿宋" w:eastAsia="仿宋" w:cs="仿宋"/>
                <w:b/>
                <w:bCs/>
                <w:color w:val="000000"/>
                <w:kern w:val="0"/>
                <w:sz w:val="20"/>
                <w:szCs w:val="20"/>
                <w:bdr w:val="none" w:color="auto" w:sz="0" w:space="0"/>
                <w:lang w:val="en-US" w:eastAsia="zh-CN" w:bidi="ar"/>
              </w:rPr>
              <w:t>定性指标</w:t>
            </w:r>
            <w:r>
              <w:rPr>
                <w:rFonts w:hint="eastAsia" w:ascii="仿宋" w:hAnsi="仿宋" w:eastAsia="仿宋" w:cs="仿宋"/>
                <w:color w:val="000000"/>
                <w:kern w:val="0"/>
                <w:sz w:val="20"/>
                <w:szCs w:val="20"/>
                <w:bdr w:val="none" w:color="auto" w:sz="0" w:space="0"/>
                <w:lang w:val="en-US" w:eastAsia="zh-CN" w:bidi="ar"/>
              </w:rPr>
              <w:t>，根据指标完成情况分为：达成年度指标、部分达成年度指标并具有一定效果、未达成年度指标且效果较差三档，分别按照该指标对应分值区间100-80%(含80%)、80-60%(含60%)、60-0%合理确定分值。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0" w:hRule="atLeast"/>
          <w:jc w:val="center"/>
        </w:trPr>
        <w:tc>
          <w:tcPr>
            <w:tcW w:w="10213" w:type="dxa"/>
            <w:gridSpan w:val="14"/>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color w:val="000000"/>
                <w:kern w:val="0"/>
                <w:sz w:val="20"/>
                <w:szCs w:val="20"/>
                <w:bdr w:val="none" w:color="auto" w:sz="0" w:space="0"/>
                <w:lang w:val="en-US" w:eastAsia="zh-CN" w:bidi="ar"/>
              </w:rPr>
              <w:t>   （2）若为</w:t>
            </w:r>
            <w:r>
              <w:rPr>
                <w:rFonts w:hint="eastAsia" w:ascii="仿宋" w:hAnsi="仿宋" w:eastAsia="仿宋" w:cs="仿宋"/>
                <w:b/>
                <w:bCs/>
                <w:color w:val="000000"/>
                <w:kern w:val="0"/>
                <w:sz w:val="20"/>
                <w:szCs w:val="20"/>
                <w:bdr w:val="none" w:color="auto" w:sz="0" w:space="0"/>
                <w:lang w:val="en-US" w:eastAsia="zh-CN" w:bidi="ar"/>
              </w:rPr>
              <w:t>定量指标</w:t>
            </w:r>
            <w:r>
              <w:rPr>
                <w:rFonts w:hint="eastAsia" w:ascii="仿宋" w:hAnsi="仿宋" w:eastAsia="仿宋" w:cs="仿宋"/>
                <w:color w:val="000000"/>
                <w:kern w:val="0"/>
                <w:sz w:val="20"/>
                <w:szCs w:val="20"/>
                <w:bdr w:val="none" w:color="auto" w:sz="0" w:space="0"/>
                <w:lang w:val="en-US" w:eastAsia="zh-CN" w:bidi="ar"/>
              </w:rPr>
              <w:t>，完成值达到指标值，记满分；未达到指标值，按B/A或A/B*该指标分值记分。定量指标若为正向指标（即指标值为≥*），则得分计算方法应用全年实际值（B）/年度指标值（A）*该指标分值；若定量指标为反向指标（即指标值为≤*），则得分计算方法应用年度指标值（A）/全年实际值（B）*该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jc w:val="center"/>
        </w:trPr>
        <w:tc>
          <w:tcPr>
            <w:tcW w:w="0" w:type="auto"/>
            <w:gridSpan w:val="11"/>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textAlignment w:val="center"/>
            </w:pPr>
            <w:r>
              <w:rPr>
                <w:rFonts w:hint="eastAsia" w:ascii="仿宋" w:hAnsi="仿宋" w:eastAsia="仿宋" w:cs="仿宋"/>
                <w:i w:val="0"/>
                <w:iCs w:val="0"/>
                <w:color w:val="000000"/>
                <w:kern w:val="0"/>
                <w:sz w:val="20"/>
                <w:szCs w:val="20"/>
                <w:bdr w:val="none" w:color="auto" w:sz="0" w:space="0"/>
                <w:lang w:val="en-US" w:eastAsia="zh-CN" w:bidi="ar"/>
              </w:rPr>
              <w:t>    3.请在“偏差原因分析及改进措施”中说明偏离目标、不能完成目标的原因及拟采取的措施。</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c>
          <w:tcPr>
            <w:tcW w:w="0" w:type="auto"/>
            <w:tcBorders>
              <w:top w:val="nil"/>
              <w:left w:val="nil"/>
              <w:bottom w:val="nil"/>
              <w:right w:val="nil"/>
            </w:tcBorders>
            <w:shd w:val="clear"/>
            <w:noWrap/>
            <w:vAlign w:val="center"/>
          </w:tcPr>
          <w:p>
            <w:pPr>
              <w:keepNext w:val="0"/>
              <w:keepLines w:val="0"/>
              <w:widowControl/>
              <w:suppressLineNumbers w:val="0"/>
              <w:spacing w:before="0" w:beforeAutospacing="1" w:after="0" w:afterAutospacing="1"/>
              <w:ind w:left="0" w:right="0"/>
              <w:jc w:val="left"/>
            </w:pPr>
            <w:r>
              <w:rPr>
                <w:rFonts w:hint="eastAsia" w:ascii="仿宋" w:hAnsi="仿宋" w:eastAsia="仿宋" w:cs="仿宋"/>
                <w:i w:val="0"/>
                <w:iCs w:val="0"/>
                <w:color w:val="000000"/>
                <w:kern w:val="2"/>
                <w:sz w:val="20"/>
                <w:szCs w:val="20"/>
                <w:bdr w:val="none" w:color="auto" w:sz="0" w:space="0"/>
                <w:lang w:val="en-US" w:eastAsia="zh-CN" w:bidi="ar"/>
              </w:rPr>
              <w:t> </w:t>
            </w:r>
          </w:p>
        </w:tc>
      </w:tr>
    </w:tbl>
    <w:p>
      <w:pPr>
        <w:keepNext w:val="0"/>
        <w:keepLines w:val="0"/>
        <w:widowControl/>
        <w:suppressLineNumbers w:val="0"/>
        <w:spacing w:before="0" w:beforeAutospacing="1" w:after="0" w:afterAutospacing="1"/>
        <w:ind w:left="0" w:right="0" w:firstLine="630"/>
        <w:jc w:val="left"/>
        <w:rPr>
          <w:rFonts w:hint="default" w:ascii="仿宋_GB2312" w:eastAsia="仿宋_GB2312" w:cs="仿宋_GB2312" w:hAnsiTheme="minorHAnsi"/>
          <w:kern w:val="0"/>
          <w:sz w:val="30"/>
          <w:szCs w:val="30"/>
          <w:lang w:val="en-US" w:eastAsia="zh-CN" w:bidi="ar"/>
        </w:rPr>
      </w:pPr>
      <w:r>
        <w:rPr>
          <w:rFonts w:hint="default" w:ascii="仿宋_GB2312" w:eastAsia="仿宋_GB2312" w:cs="仿宋_GB2312" w:hAnsiTheme="minorHAnsi"/>
          <w:kern w:val="0"/>
          <w:sz w:val="30"/>
          <w:szCs w:val="30"/>
          <w:lang w:val="en-US" w:eastAsia="zh-CN" w:bidi="ar"/>
        </w:rPr>
        <w:t> </w:t>
      </w:r>
    </w:p>
    <w:p>
      <w:pPr>
        <w:keepNext w:val="0"/>
        <w:keepLines w:val="0"/>
        <w:widowControl/>
        <w:suppressLineNumbers w:val="0"/>
        <w:spacing w:before="0" w:beforeAutospacing="1" w:after="0" w:afterAutospacing="1"/>
        <w:ind w:left="0" w:right="0" w:firstLine="630"/>
        <w:jc w:val="left"/>
        <w:rPr>
          <w:rFonts w:hint="default" w:ascii="仿宋_GB2312" w:eastAsia="仿宋_GB2312" w:cs="仿宋_GB2312" w:hAnsiTheme="minorHAnsi"/>
          <w:kern w:val="0"/>
          <w:sz w:val="30"/>
          <w:szCs w:val="30"/>
          <w:lang w:val="en-US" w:eastAsia="zh-CN" w:bidi="ar"/>
        </w:rPr>
      </w:pPr>
    </w:p>
    <w:p>
      <w:pPr>
        <w:keepNext w:val="0"/>
        <w:keepLines w:val="0"/>
        <w:widowControl/>
        <w:suppressLineNumbers w:val="0"/>
        <w:spacing w:before="0" w:beforeAutospacing="1" w:after="0" w:afterAutospacing="1"/>
        <w:ind w:left="0" w:right="0" w:firstLine="630"/>
        <w:jc w:val="left"/>
        <w:rPr>
          <w:rFonts w:hint="default" w:ascii="仿宋_GB2312" w:eastAsia="仿宋_GB2312" w:cs="仿宋_GB2312" w:hAnsiTheme="minorHAnsi"/>
          <w:kern w:val="0"/>
          <w:sz w:val="30"/>
          <w:szCs w:val="30"/>
          <w:lang w:val="en-US" w:eastAsia="zh-CN" w:bidi="ar"/>
        </w:rPr>
      </w:pP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firstLine="640"/>
        <w:jc w:val="center"/>
      </w:pPr>
      <w:r>
        <w:rPr>
          <w:rFonts w:hint="default" w:ascii="方正小标宋简体" w:hAnsi="方正小标宋简体" w:eastAsia="方正小标宋简体" w:cs="方正小标宋简体"/>
          <w:b w:val="0"/>
          <w:bCs w:val="0"/>
          <w:kern w:val="2"/>
          <w:sz w:val="44"/>
          <w:szCs w:val="44"/>
          <w:lang w:val="en-US" w:eastAsia="zh-CN" w:bidi="ar"/>
        </w:rPr>
        <w:t>第四部分  名词解释</w:t>
      </w:r>
    </w:p>
    <w:p>
      <w:pPr>
        <w:pStyle w:val="2"/>
        <w:keepNext w:val="0"/>
        <w:keepLines w:val="0"/>
        <w:widowControl/>
        <w:suppressLineNumbers w:val="0"/>
        <w:spacing w:before="0" w:beforeAutospacing="1" w:after="0" w:afterAutospacing="1" w:line="600" w:lineRule="atLeast"/>
        <w:ind w:left="0" w:right="0" w:firstLine="600"/>
      </w:pPr>
      <w:r>
        <w:rPr>
          <w:rFonts w:hint="default" w:ascii="仿宋_GB2312" w:eastAsia="仿宋_GB2312" w:cs="仿宋_GB2312"/>
          <w:kern w:val="0"/>
          <w:sz w:val="30"/>
          <w:szCs w:val="30"/>
        </w:rPr>
        <w:t>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一、财政拨款收入：指单位本年度从本级财政单位取得的财政拨款，包括一般公共预算财政拨款和政府性基金预算财政拨款。</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二、上级补助收入：指事业单位从主管单位和上级单位取得的非财政补助收入。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三、事业收入：指事业单位开展专业业务活动及其辅助活动取得的收入；事业单位收到的财政专户实际核拨的教育收费等资金在此反映。</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四、经营收入：指事业单位在专业业务活动及其辅助活动之外开展非独立核算经营活动取得的收入。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五、附属单位缴款：指事业单位附属独立核算单位按照有关规定上缴的收入。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六、其他收入：指单位取得的除上述“财政拨款收入”、“事业收入”、“经营收入”、“附属单位缴款”等以外的各项收入。</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七、 年初结转和结余：指单位上年结转本年使用的基本支出结转、项目支出结转和结余和经营结余。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八、 结余分配：指事业单位按规定对非财政补助结余资金提取的职工福利基金、事业基金和缴纳的所得税，以及减少单位按规定应缴回的基本建设竣工项目结余资金。</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九、年末结转和结余资金：指单位结转下年的基本支出结转、项目支出结转和结余和经营结余。</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十一、 项目支出：指在基本支出之外为完成特定的行政任务或事业发展目标所发生的支出。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十二、、经营支出：指事业单位在专业业务活动及其辅助活动之外开展非独立核算经营活动发生的支出。</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 xml:space="preserve">十三、“三公”经费：指各单位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widowControl/>
        <w:suppressLineNumbers w:val="0"/>
        <w:spacing w:before="0" w:beforeAutospacing="1" w:after="0" w:afterAutospacing="1"/>
        <w:ind w:left="0" w:right="0" w:firstLine="600" w:firstLineChars="200"/>
        <w:jc w:val="left"/>
      </w:pPr>
      <w:r>
        <w:rPr>
          <w:rFonts w:hint="eastAsia" w:ascii="仿宋" w:hAnsi="仿宋" w:eastAsia="仿宋" w:cs="仿宋"/>
          <w:kern w:val="0"/>
          <w:sz w:val="30"/>
          <w:szCs w:val="30"/>
          <w:lang w:val="en-US" w:eastAsia="zh-CN" w:bidi="ar"/>
        </w:rPr>
        <w:t>十四、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jFkY2YxYmQ1M2IxNzNkYWU4ZjhkOTZhZDQyMGEifQ=="/>
  </w:docVars>
  <w:rsids>
    <w:rsidRoot w:val="41696079"/>
    <w:rsid w:val="4169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2023-10-07T10:08:00Z</dcterms:created>
  <dc:creator>才东东</dc:creator>
  <cp:lastModifiedBy>才东东</cp:lastModifiedBy>
  <dcterms:modified xsi:type="dcterms:W3CDTF">2023-10-07T10:12:59Z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5FDBB7D1F51743F68CAA5460F5421448_11</vt:lpwstr>
  </property>
</Properties>
</file>