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1" w:after="0" w:afterAutospacing="1" w:line="600" w:lineRule="exact"/>
        <w:ind w:left="0" w:right="0"/>
        <w:jc w:val="center"/>
      </w:pPr>
      <w:r>
        <w:rPr>
          <w:rFonts w:ascii="方正小标宋简体" w:hAnsi="方正小标宋简体" w:eastAsia="方正小标宋简体" w:cs="方正小标宋简体"/>
          <w:b/>
          <w:bCs/>
          <w:kern w:val="2"/>
          <w:sz w:val="44"/>
          <w:szCs w:val="44"/>
          <w:lang w:val="en-US" w:eastAsia="zh-CN" w:bidi="ar"/>
        </w:rPr>
        <w:t>宁都县特殊教育学校</w:t>
      </w:r>
      <w:r>
        <w:rPr>
          <w:rFonts w:hint="default" w:ascii="方正小标宋简体" w:hAnsi="方正小标宋简体" w:eastAsia="方正小标宋简体" w:cs="方正小标宋简体"/>
          <w:b/>
          <w:bCs/>
          <w:kern w:val="2"/>
          <w:sz w:val="44"/>
          <w:szCs w:val="44"/>
          <w:lang w:val="en-US" w:eastAsia="zh-CN" w:bidi="ar"/>
        </w:rPr>
        <w:t>2021年度单位决算</w:t>
      </w:r>
    </w:p>
    <w:p>
      <w:pPr>
        <w:keepNext w:val="0"/>
        <w:keepLines w:val="0"/>
        <w:widowControl/>
        <w:suppressLineNumbers w:val="0"/>
        <w:spacing w:before="0" w:beforeAutospacing="1" w:after="0" w:afterAutospacing="1" w:line="600" w:lineRule="exact"/>
        <w:ind w:left="0" w:right="0"/>
        <w:jc w:val="center"/>
      </w:pPr>
      <w:r>
        <w:rPr>
          <w:rFonts w:ascii="黑体" w:hAnsi="Calibri" w:eastAsia="黑体" w:cs="黑体"/>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jc w:val="center"/>
      </w:pPr>
      <w:r>
        <w:rPr>
          <w:rFonts w:hint="default" w:ascii="方正小标宋简体" w:hAnsi="方正小标宋简体" w:eastAsia="方正小标宋简体" w:cs="方正小标宋简体"/>
          <w:kern w:val="2"/>
          <w:sz w:val="40"/>
          <w:szCs w:val="40"/>
          <w:lang w:val="en-US" w:eastAsia="zh-CN" w:bidi="ar"/>
        </w:rPr>
        <w:t>目    录</w:t>
      </w:r>
    </w:p>
    <w:p>
      <w:pPr>
        <w:keepNext w:val="0"/>
        <w:keepLines w:val="0"/>
        <w:widowControl/>
        <w:suppressLineNumbers w:val="0"/>
        <w:spacing w:before="0" w:beforeAutospacing="1" w:after="0" w:afterAutospacing="1" w:line="600" w:lineRule="exact"/>
        <w:ind w:left="0" w:right="0" w:firstLine="640"/>
        <w:jc w:val="left"/>
      </w:pPr>
      <w:r>
        <w:rPr>
          <w:rFonts w:hint="eastAsia" w:ascii="黑体" w:hAnsi="宋体" w:eastAsia="黑体" w:cs="黑体"/>
          <w:b/>
          <w:bCs w:val="0"/>
          <w:kern w:val="2"/>
          <w:sz w:val="32"/>
          <w:szCs w:val="32"/>
          <w:lang w:val="en-US" w:eastAsia="zh-CN" w:bidi="ar"/>
        </w:rPr>
        <w:t>第一部分  概况</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hAnsi="Calibri" w:eastAsia="仿宋_GB2312" w:cs="仿宋_GB2312"/>
          <w:b/>
          <w:bCs w:val="0"/>
          <w:kern w:val="2"/>
          <w:sz w:val="32"/>
          <w:szCs w:val="32"/>
          <w:lang w:val="en-US" w:eastAsia="zh-CN" w:bidi="ar"/>
        </w:rPr>
        <w:t>    </w:t>
      </w:r>
      <w:r>
        <w:rPr>
          <w:rFonts w:hint="default" w:ascii="仿宋_GB2312" w:eastAsia="仿宋_GB2312" w:cs="仿宋_GB2312" w:hAnsiTheme="minorHAnsi"/>
          <w:kern w:val="2"/>
          <w:sz w:val="32"/>
          <w:szCs w:val="32"/>
          <w:lang w:val="en-US" w:eastAsia="zh-CN" w:bidi="ar"/>
        </w:rPr>
        <w:t>一、单位主要职责</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宋体" w:hAnsiTheme="minorHAnsi"/>
          <w:kern w:val="0"/>
          <w:sz w:val="32"/>
          <w:szCs w:val="32"/>
          <w:lang w:val="en-US" w:eastAsia="zh-CN" w:bidi="ar"/>
        </w:rPr>
        <w:t>    </w:t>
      </w:r>
      <w:r>
        <w:rPr>
          <w:rFonts w:hint="default" w:ascii="仿宋_GB2312" w:eastAsia="仿宋_GB2312" w:cs="仿宋_GB2312" w:hAnsiTheme="minorHAnsi"/>
          <w:kern w:val="0"/>
          <w:sz w:val="32"/>
          <w:szCs w:val="32"/>
          <w:lang w:val="en-US" w:eastAsia="zh-CN" w:bidi="ar"/>
        </w:rPr>
        <w:t>二、单位基本情况</w:t>
      </w:r>
    </w:p>
    <w:p>
      <w:pPr>
        <w:keepNext w:val="0"/>
        <w:keepLines w:val="0"/>
        <w:widowControl/>
        <w:suppressLineNumbers w:val="0"/>
        <w:spacing w:before="0" w:beforeAutospacing="1" w:after="0" w:afterAutospacing="1" w:line="600" w:lineRule="exact"/>
        <w:ind w:left="0" w:right="0" w:firstLine="640"/>
        <w:jc w:val="left"/>
      </w:pPr>
      <w:r>
        <w:rPr>
          <w:rFonts w:hint="eastAsia" w:ascii="黑体" w:hAnsi="宋体" w:eastAsia="黑体" w:cs="黑体"/>
          <w:kern w:val="2"/>
          <w:sz w:val="32"/>
          <w:szCs w:val="32"/>
          <w:lang w:val="en-US" w:eastAsia="zh-CN" w:bidi="ar"/>
        </w:rPr>
        <w:t>第二部分  2021年度单位决算表</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一、收入支出决算总表</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二、收入决算表</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宋体" w:hAnsiTheme="minorHAnsi"/>
          <w:kern w:val="0"/>
          <w:sz w:val="32"/>
          <w:szCs w:val="32"/>
          <w:lang w:val="en-US" w:eastAsia="zh-CN" w:bidi="ar"/>
        </w:rPr>
        <w:t>    </w:t>
      </w:r>
      <w:r>
        <w:rPr>
          <w:rFonts w:hint="default" w:ascii="仿宋_GB2312" w:eastAsia="仿宋_GB2312" w:cs="仿宋_GB2312" w:hAnsiTheme="minorHAnsi"/>
          <w:kern w:val="0"/>
          <w:sz w:val="32"/>
          <w:szCs w:val="32"/>
          <w:lang w:val="en-US" w:eastAsia="zh-CN" w:bidi="ar"/>
        </w:rPr>
        <w:t>三、支出决算表</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宋体" w:hAnsiTheme="minorHAnsi"/>
          <w:kern w:val="0"/>
          <w:sz w:val="32"/>
          <w:szCs w:val="32"/>
          <w:lang w:val="en-US" w:eastAsia="zh-CN" w:bidi="ar"/>
        </w:rPr>
        <w:t>    </w:t>
      </w:r>
      <w:r>
        <w:rPr>
          <w:rFonts w:hint="default" w:ascii="仿宋_GB2312" w:eastAsia="仿宋_GB2312" w:cs="仿宋_GB2312" w:hAnsiTheme="minorHAnsi"/>
          <w:kern w:val="0"/>
          <w:sz w:val="32"/>
          <w:szCs w:val="32"/>
          <w:lang w:val="en-US" w:eastAsia="zh-CN" w:bidi="ar"/>
        </w:rPr>
        <w:t>四、财政拨款收入支出决算总表</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宋体" w:hAnsiTheme="minorHAnsi"/>
          <w:kern w:val="0"/>
          <w:sz w:val="32"/>
          <w:szCs w:val="32"/>
          <w:lang w:val="en-US" w:eastAsia="zh-CN" w:bidi="ar"/>
        </w:rPr>
        <w:t>    </w:t>
      </w:r>
      <w:r>
        <w:rPr>
          <w:rFonts w:hint="default" w:ascii="仿宋_GB2312" w:eastAsia="仿宋_GB2312" w:cs="仿宋_GB2312" w:hAnsiTheme="minorHAnsi"/>
          <w:kern w:val="0"/>
          <w:sz w:val="32"/>
          <w:szCs w:val="32"/>
          <w:lang w:val="en-US" w:eastAsia="zh-CN" w:bidi="ar"/>
        </w:rPr>
        <w:t>五、一般公共预算财政拨款支出决算表</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宋体" w:hAnsiTheme="minorHAnsi"/>
          <w:kern w:val="0"/>
          <w:sz w:val="32"/>
          <w:szCs w:val="32"/>
          <w:lang w:val="en-US" w:eastAsia="zh-CN" w:bidi="ar"/>
        </w:rPr>
        <w:t>    </w:t>
      </w:r>
      <w:r>
        <w:rPr>
          <w:rFonts w:hint="default" w:ascii="仿宋_GB2312" w:eastAsia="仿宋_GB2312" w:cs="仿宋_GB2312" w:hAnsiTheme="minorHAnsi"/>
          <w:kern w:val="0"/>
          <w:sz w:val="32"/>
          <w:szCs w:val="32"/>
          <w:lang w:val="en-US" w:eastAsia="zh-CN" w:bidi="ar"/>
        </w:rPr>
        <w:t>六、一般公共预算财政拨款基本支出决算表</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宋体" w:hAnsiTheme="minorHAnsi"/>
          <w:kern w:val="0"/>
          <w:sz w:val="32"/>
          <w:szCs w:val="32"/>
          <w:lang w:val="en-US" w:eastAsia="zh-CN" w:bidi="ar"/>
        </w:rPr>
        <w:t>    </w:t>
      </w:r>
      <w:r>
        <w:rPr>
          <w:rFonts w:hint="default" w:ascii="仿宋_GB2312" w:eastAsia="仿宋_GB2312" w:cs="仿宋_GB2312" w:hAnsiTheme="minorHAnsi"/>
          <w:kern w:val="0"/>
          <w:sz w:val="32"/>
          <w:szCs w:val="32"/>
          <w:lang w:val="en-US" w:eastAsia="zh-CN" w:bidi="ar"/>
        </w:rPr>
        <w:t>七、一般公共预算财政拨款“三公”经费支出决算</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仿宋_GB2312" w:hAnsiTheme="minorHAnsi"/>
          <w:kern w:val="0"/>
          <w:sz w:val="32"/>
          <w:szCs w:val="32"/>
          <w:lang w:val="en-US" w:eastAsia="zh-CN" w:bidi="ar"/>
        </w:rPr>
        <w:t>表</w:t>
      </w:r>
    </w:p>
    <w:p>
      <w:pPr>
        <w:keepNext w:val="0"/>
        <w:keepLines w:val="0"/>
        <w:widowControl/>
        <w:numPr>
          <w:numId w:val="0"/>
        </w:numPr>
        <w:suppressLineNumbers w:val="0"/>
        <w:spacing w:before="0" w:beforeAutospacing="1" w:after="0" w:afterAutospacing="1" w:line="600" w:lineRule="exact"/>
        <w:ind w:left="1280" w:right="0" w:firstLine="0"/>
        <w:jc w:val="left"/>
      </w:pPr>
      <w:r>
        <w:rPr>
          <w:rFonts w:hint="default" w:ascii="仿宋_GB2312" w:eastAsia="仿宋_GB2312" w:cs="宋体" w:hAnsiTheme="minorHAnsi"/>
          <w:kern w:val="0"/>
          <w:sz w:val="32"/>
          <w:szCs w:val="32"/>
          <w:lang w:val="en-US" w:eastAsia="zh-CN" w:bidi="ar"/>
        </w:rPr>
        <w:t>八、</w:t>
      </w:r>
      <w:r>
        <w:rPr>
          <w:rFonts w:hint="default" w:ascii="仿宋_GB2312" w:eastAsia="仿宋_GB2312" w:cs="仿宋_GB2312" w:hAnsiTheme="minorHAnsi"/>
          <w:kern w:val="0"/>
          <w:sz w:val="32"/>
          <w:szCs w:val="32"/>
          <w:lang w:val="en-US" w:eastAsia="zh-CN" w:bidi="ar"/>
        </w:rPr>
        <w:t>政府性基金预算财政拨款收入支出决算表</w:t>
      </w:r>
    </w:p>
    <w:p>
      <w:pPr>
        <w:keepNext w:val="0"/>
        <w:keepLines w:val="0"/>
        <w:widowControl/>
        <w:numPr>
          <w:numId w:val="0"/>
        </w:numPr>
        <w:suppressLineNumbers w:val="0"/>
        <w:spacing w:before="0" w:beforeAutospacing="1" w:after="0" w:afterAutospacing="1" w:line="600" w:lineRule="exact"/>
        <w:ind w:left="1280" w:right="0" w:firstLine="0"/>
        <w:jc w:val="left"/>
      </w:pPr>
      <w:r>
        <w:rPr>
          <w:rFonts w:hint="default" w:ascii="仿宋_GB2312" w:eastAsia="仿宋_GB2312" w:cs="宋体" w:hAnsiTheme="minorHAnsi"/>
          <w:kern w:val="0"/>
          <w:sz w:val="32"/>
          <w:szCs w:val="32"/>
          <w:lang w:val="en-US" w:eastAsia="zh-CN" w:bidi="ar"/>
        </w:rPr>
        <w:t>九、</w:t>
      </w:r>
      <w:r>
        <w:rPr>
          <w:rFonts w:hint="default" w:ascii="仿宋_GB2312" w:eastAsia="仿宋_GB2312" w:cs="仿宋_GB2312" w:hAnsiTheme="minorHAnsi"/>
          <w:kern w:val="0"/>
          <w:sz w:val="32"/>
          <w:szCs w:val="32"/>
          <w:lang w:val="en-US" w:eastAsia="zh-CN" w:bidi="ar"/>
        </w:rPr>
        <w:t>国有资本经营预算财政拨款支出决算表</w:t>
      </w:r>
    </w:p>
    <w:p>
      <w:pPr>
        <w:keepNext w:val="0"/>
        <w:keepLines w:val="0"/>
        <w:widowControl/>
        <w:numPr>
          <w:numId w:val="0"/>
        </w:numPr>
        <w:suppressLineNumbers w:val="0"/>
        <w:spacing w:before="0" w:beforeAutospacing="1" w:after="0" w:afterAutospacing="1" w:line="600" w:lineRule="exact"/>
        <w:ind w:left="1280" w:leftChars="0" w:right="0" w:firstLine="0" w:firstLineChars="0"/>
        <w:jc w:val="left"/>
      </w:pPr>
      <w:r>
        <w:rPr>
          <w:rFonts w:hint="default" w:ascii="仿宋_GB2312" w:eastAsia="仿宋_GB2312" w:cs="宋体" w:hAnsiTheme="minorHAnsi"/>
          <w:kern w:val="0"/>
          <w:sz w:val="32"/>
          <w:szCs w:val="32"/>
          <w:lang w:val="en-US" w:eastAsia="zh-CN" w:bidi="ar"/>
        </w:rPr>
        <w:t>十、</w:t>
      </w:r>
      <w:r>
        <w:rPr>
          <w:rFonts w:hint="default" w:ascii="仿宋_GB2312" w:eastAsia="仿宋_GB2312" w:cs="仿宋_GB2312" w:hAnsiTheme="minorHAnsi"/>
          <w:kern w:val="0"/>
          <w:sz w:val="32"/>
          <w:szCs w:val="32"/>
          <w:lang w:val="en-US" w:eastAsia="zh-CN" w:bidi="ar"/>
        </w:rPr>
        <w:t>国有资产占用情况表</w:t>
      </w:r>
    </w:p>
    <w:p>
      <w:pPr>
        <w:keepNext w:val="0"/>
        <w:keepLines w:val="0"/>
        <w:widowControl/>
        <w:numPr>
          <w:numId w:val="0"/>
        </w:numPr>
        <w:suppressLineNumbers w:val="0"/>
        <w:spacing w:before="0" w:beforeAutospacing="1" w:after="0" w:afterAutospacing="1" w:line="600" w:lineRule="exact"/>
        <w:ind w:left="1280" w:leftChars="0" w:right="0" w:firstLine="0" w:firstLineChars="0"/>
        <w:jc w:val="left"/>
      </w:pPr>
      <w:r>
        <w:rPr>
          <w:rFonts w:hint="default" w:ascii="仿宋_GB2312" w:eastAsia="仿宋_GB2312" w:cs="宋体" w:hAnsiTheme="minorHAnsi"/>
          <w:kern w:val="0"/>
          <w:sz w:val="32"/>
          <w:szCs w:val="32"/>
          <w:lang w:val="en-US" w:eastAsia="zh-CN" w:bidi="ar"/>
        </w:rPr>
        <w:t>十一、</w:t>
      </w:r>
      <w:r>
        <w:rPr>
          <w:rFonts w:hint="default" w:ascii="仿宋_GB2312" w:eastAsia="仿宋_GB2312" w:cs="仿宋_GB2312" w:hAnsiTheme="minorHAnsi"/>
          <w:kern w:val="0"/>
          <w:sz w:val="32"/>
          <w:szCs w:val="32"/>
          <w:lang w:val="en-US" w:eastAsia="zh-CN" w:bidi="ar"/>
        </w:rPr>
        <w:t>项目支出绩效自评表</w:t>
      </w:r>
    </w:p>
    <w:p>
      <w:pPr>
        <w:keepNext w:val="0"/>
        <w:keepLines w:val="0"/>
        <w:widowControl/>
        <w:suppressLineNumbers w:val="0"/>
        <w:spacing w:before="0" w:beforeAutospacing="1" w:after="0" w:afterAutospacing="1" w:line="600" w:lineRule="exact"/>
        <w:ind w:left="0" w:right="0"/>
        <w:jc w:val="left"/>
      </w:pPr>
      <w:r>
        <w:rPr>
          <w:rFonts w:hint="default" w:ascii="仿宋_GB2312" w:eastAsia="仿宋_GB2312" w:cs="宋体" w:hAnsiTheme="minorHAnsi"/>
          <w:kern w:val="0"/>
          <w:sz w:val="32"/>
          <w:szCs w:val="32"/>
          <w:lang w:val="en-US" w:eastAsia="zh-CN" w:bidi="ar"/>
        </w:rPr>
        <w:t>    </w:t>
      </w:r>
      <w:r>
        <w:rPr>
          <w:rFonts w:hint="eastAsia" w:ascii="黑体" w:hAnsi="宋体" w:eastAsia="黑体" w:cs="黑体"/>
          <w:kern w:val="2"/>
          <w:sz w:val="32"/>
          <w:szCs w:val="32"/>
          <w:lang w:val="en-US" w:eastAsia="zh-CN" w:bidi="ar"/>
        </w:rPr>
        <w:t>第三部分  2021年度单位决算情况说明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一、收入决算情况说明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二、支出决算情况说明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三、财政拨款支出决算情况说明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四、一般公共预算财政拨款基本支出决算情况说明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五、一般公共预算财政拨款“三公”经费支出决算</w:t>
      </w:r>
    </w:p>
    <w:p>
      <w:pPr>
        <w:keepNext w:val="0"/>
        <w:keepLines w:val="0"/>
        <w:widowControl/>
        <w:suppressLineNumbers w:val="0"/>
        <w:spacing w:before="0" w:beforeAutospacing="1" w:after="0" w:afterAutospacing="1" w:line="600" w:lineRule="exact"/>
        <w:ind w:left="0" w:right="0"/>
        <w:jc w:val="left"/>
      </w:pPr>
      <w:r>
        <w:rPr>
          <w:rFonts w:hint="default" w:ascii="仿宋_GB2312" w:eastAsia="仿宋_GB2312" w:cs="仿宋_GB2312" w:hAnsiTheme="minorHAnsi"/>
          <w:kern w:val="2"/>
          <w:sz w:val="32"/>
          <w:szCs w:val="32"/>
          <w:lang w:val="en-US" w:eastAsia="zh-CN" w:bidi="ar"/>
        </w:rPr>
        <w:t>    情况说明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六、机关运行经费支出情况说明</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仿宋_GB2312" w:hAnsiTheme="minorHAnsi"/>
          <w:kern w:val="2"/>
          <w:sz w:val="32"/>
          <w:szCs w:val="32"/>
          <w:lang w:val="en-US" w:eastAsia="zh-CN" w:bidi="ar"/>
        </w:rPr>
        <w:t>    七、政府采购支出情况说明</w:t>
      </w:r>
    </w:p>
    <w:p>
      <w:pPr>
        <w:keepNext w:val="0"/>
        <w:keepLines w:val="0"/>
        <w:widowControl/>
        <w:suppressLineNumbers w:val="0"/>
        <w:spacing w:before="0" w:beforeAutospacing="1" w:after="0" w:afterAutospacing="1" w:line="600" w:lineRule="exact"/>
        <w:ind w:left="0" w:right="0" w:firstLine="640"/>
        <w:jc w:val="left"/>
      </w:pPr>
      <w:r>
        <w:rPr>
          <w:rFonts w:hint="default" w:ascii="仿宋_GB2312" w:eastAsia="仿宋_GB2312" w:cs="仿宋_GB2312" w:hAnsiTheme="minorHAnsi"/>
          <w:kern w:val="2"/>
          <w:sz w:val="32"/>
          <w:szCs w:val="32"/>
          <w:lang w:val="en-US" w:eastAsia="zh-CN" w:bidi="ar"/>
        </w:rPr>
        <w:t>    八、</w:t>
      </w:r>
      <w:r>
        <w:rPr>
          <w:rFonts w:ascii="仿宋" w:hAnsi="仿宋" w:eastAsia="仿宋" w:cs="仿宋"/>
          <w:i w:val="0"/>
          <w:iCs w:val="0"/>
          <w:kern w:val="0"/>
          <w:sz w:val="32"/>
          <w:szCs w:val="32"/>
          <w:lang w:val="en-US" w:eastAsia="zh-CN" w:bidi="ar"/>
        </w:rPr>
        <w:t>国有资本经营预算财政拨款支出情况说明</w:t>
      </w:r>
    </w:p>
    <w:p>
      <w:pPr>
        <w:keepNext w:val="0"/>
        <w:keepLines w:val="0"/>
        <w:widowControl/>
        <w:suppressLineNumbers w:val="0"/>
        <w:spacing w:before="0" w:beforeAutospacing="1" w:after="0" w:afterAutospacing="1" w:line="600" w:lineRule="exact"/>
        <w:ind w:left="0" w:right="0" w:firstLine="1280" w:firstLineChars="400"/>
        <w:jc w:val="left"/>
      </w:pPr>
      <w:r>
        <w:rPr>
          <w:rFonts w:hint="default" w:ascii="仿宋_GB2312" w:eastAsia="仿宋_GB2312" w:cs="仿宋_GB2312" w:hAnsiTheme="minorHAnsi"/>
          <w:kern w:val="2"/>
          <w:sz w:val="32"/>
          <w:szCs w:val="32"/>
          <w:lang w:val="en-US" w:eastAsia="zh-CN" w:bidi="ar"/>
        </w:rPr>
        <w:t>九、国有资产占用情况说明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1280" w:firstLineChars="400"/>
        <w:jc w:val="both"/>
      </w:pPr>
      <w:r>
        <w:rPr>
          <w:rFonts w:hint="default" w:ascii="仿宋_GB2312" w:eastAsia="仿宋_GB2312" w:cs="仿宋_GB2312"/>
          <w:kern w:val="2"/>
          <w:sz w:val="32"/>
          <w:szCs w:val="32"/>
          <w:bdr w:val="none" w:color="auto" w:sz="0" w:space="0"/>
          <w:shd w:val="clear" w:fill="FFFFFF"/>
        </w:rPr>
        <w:t>十、预算绩效情况说明</w:t>
      </w:r>
    </w:p>
    <w:p>
      <w:pPr>
        <w:keepNext w:val="0"/>
        <w:keepLines w:val="0"/>
        <w:widowControl/>
        <w:suppressLineNumbers w:val="0"/>
        <w:spacing w:before="0" w:beforeAutospacing="1" w:after="0" w:afterAutospacing="1" w:line="600" w:lineRule="exact"/>
        <w:ind w:left="0" w:right="0" w:firstLine="640"/>
        <w:jc w:val="left"/>
      </w:pPr>
      <w:r>
        <w:rPr>
          <w:rFonts w:hint="eastAsia" w:ascii="黑体" w:hAnsi="宋体" w:eastAsia="黑体" w:cs="黑体"/>
          <w:kern w:val="2"/>
          <w:sz w:val="32"/>
          <w:szCs w:val="32"/>
          <w:lang w:val="en-US" w:eastAsia="zh-CN" w:bidi="ar"/>
        </w:rPr>
        <w:t>第四部分  名词解释</w:t>
      </w:r>
    </w:p>
    <w:p>
      <w:pPr>
        <w:keepNext w:val="0"/>
        <w:keepLines w:val="0"/>
        <w:widowControl/>
        <w:suppressLineNumbers w:val="0"/>
        <w:spacing w:before="0" w:beforeAutospacing="1" w:after="0" w:afterAutospacing="1" w:line="580" w:lineRule="exact"/>
        <w:ind w:left="0" w:right="0"/>
        <w:jc w:val="center"/>
      </w:pPr>
      <w:r>
        <w:rPr>
          <w:rFonts w:hint="default" w:ascii="方正小标宋简体" w:hAnsi="方正小标宋简体" w:eastAsia="方正小标宋简体" w:cs="方正小标宋简体"/>
          <w:bCs/>
          <w:kern w:val="2"/>
          <w:sz w:val="44"/>
          <w:szCs w:val="44"/>
          <w:lang w:val="en-US" w:eastAsia="zh-CN" w:bidi="ar"/>
        </w:rPr>
        <w:t>第一部分  宁都县特殊教育学校概况</w:t>
      </w:r>
    </w:p>
    <w:p>
      <w:pPr>
        <w:keepNext w:val="0"/>
        <w:keepLines w:val="0"/>
        <w:widowControl/>
        <w:suppressLineNumbers w:val="0"/>
        <w:spacing w:before="0" w:beforeAutospacing="1" w:after="0" w:afterAutospacing="1"/>
        <w:ind w:left="0" w:right="0" w:firstLine="630"/>
        <w:jc w:val="center"/>
      </w:pPr>
      <w:r>
        <w:rPr>
          <w:rFonts w:hint="eastAsia" w:ascii="Calibri" w:hAnsi="Calibri" w:eastAsia="宋体" w:cs="宋体"/>
          <w:kern w:val="2"/>
          <w:sz w:val="32"/>
          <w:szCs w:val="32"/>
          <w:lang w:val="en-US" w:eastAsia="zh-CN" w:bidi="ar"/>
        </w:rPr>
        <w:t> </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一、主要职能</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1、负责贯彻党的教育方针，坚持社会主义办学方向，对学生进行德育、智育、体育、美育和劳动教育等方面的教育。</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2、负责配合各级人民政府依法动员适龄儿童、少年入学，严格控制学生辍学，依法保证适龄儿童、少年接受九年义务教育。 </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3、负责制定学校教育发展规划，并抓好组织实施和落实工作。</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 4、负责按照教育主管单位发布的指导性教学计划、教学大纲，组织实施教育教学活动。</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5、负责依据国家主管单位有关教学计划、课程设置等方面的规定，决定和实施本校的教学计划，组织教学评比、集体备课，对学生进行考核、考试等。</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6、负责学籍管理。</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7、负责聘任、培训、考核教师，依法奖励或处分有关教师和职工。</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8、负责科学管理、合理使用学校的设施和经费，并积极筹措资金，改善办学条件。</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9、负责维护学校、师生的合法权益，有权拒绝任何组织和个人对教育教学活动进行非法干涉。</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10、依法接受各级教育行政单位的检查指导和人民群众的监督。</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二、单位基本情况</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纳入本套单位决算汇编范围的单位共 1 个。</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本单位2021年年末实有人数</w:t>
      </w:r>
      <w:r>
        <w:rPr>
          <w:rFonts w:hint="eastAsia" w:ascii="仿宋_GB2312" w:eastAsia="仿宋_GB2312" w:cs="仿宋_GB2312"/>
          <w:kern w:val="2"/>
          <w:sz w:val="30"/>
          <w:szCs w:val="30"/>
          <w:lang w:val="en-US" w:eastAsia="zh-CN" w:bidi="ar"/>
        </w:rPr>
        <w:t>26</w:t>
      </w:r>
      <w:r>
        <w:rPr>
          <w:rFonts w:hint="default" w:ascii="仿宋_GB2312" w:eastAsia="仿宋_GB2312" w:cs="仿宋_GB2312" w:hAnsiTheme="minorHAnsi"/>
          <w:kern w:val="2"/>
          <w:sz w:val="30"/>
          <w:szCs w:val="30"/>
          <w:lang w:val="en-US" w:eastAsia="zh-CN" w:bidi="ar"/>
        </w:rPr>
        <w:t>人，其中在职人员24人，离休人员0 人，退休人员2人（</w:t>
      </w:r>
      <w:bookmarkStart w:id="0" w:name="_GoBack"/>
      <w:bookmarkEnd w:id="0"/>
      <w:r>
        <w:rPr>
          <w:rFonts w:hint="default" w:ascii="仿宋_GB2312" w:eastAsia="仿宋_GB2312" w:cs="仿宋_GB2312" w:hAnsiTheme="minorHAnsi"/>
          <w:kern w:val="2"/>
          <w:sz w:val="30"/>
          <w:szCs w:val="30"/>
          <w:lang w:val="en-US" w:eastAsia="zh-CN" w:bidi="ar"/>
        </w:rPr>
        <w:t>含由养老保险基金发放养老金的离退休人员）；年末其他人员 0人；年末学生人数206 人。</w:t>
      </w:r>
    </w:p>
    <w:p>
      <w:pPr>
        <w:keepNext w:val="0"/>
        <w:keepLines w:val="0"/>
        <w:widowControl/>
        <w:suppressLineNumbers w:val="0"/>
        <w:spacing w:before="0" w:beforeAutospacing="1" w:after="0" w:afterAutospacing="1" w:line="600" w:lineRule="exact"/>
        <w:ind w:left="0" w:right="0" w:firstLine="640"/>
        <w:jc w:val="center"/>
      </w:pPr>
      <w:r>
        <w:rPr>
          <w:rFonts w:hint="default" w:ascii="仿宋_GB2312" w:eastAsia="仿宋_GB2312" w:cs="仿宋_GB2312" w:hAnsiTheme="minorHAnsi"/>
          <w:kern w:val="2"/>
          <w:sz w:val="30"/>
          <w:szCs w:val="30"/>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default" w:ascii="方正小标宋简体" w:hAnsi="方正小标宋简体" w:eastAsia="方正小标宋简体" w:cs="方正小标宋简体"/>
          <w:bCs/>
          <w:kern w:val="2"/>
          <w:sz w:val="44"/>
          <w:szCs w:val="44"/>
          <w:lang w:val="en-US" w:eastAsia="zh-CN" w:bidi="ar"/>
        </w:rPr>
        <w:t>第二部分  2021年度单位决算表</w:t>
      </w:r>
    </w:p>
    <w:p>
      <w:pPr>
        <w:keepNext w:val="0"/>
        <w:keepLines w:val="0"/>
        <w:widowControl/>
        <w:suppressLineNumbers w:val="0"/>
        <w:autoSpaceDE w:val="0"/>
        <w:autoSpaceDN w:val="0"/>
        <w:adjustRightInd w:val="0"/>
        <w:spacing w:before="0" w:beforeAutospacing="1" w:after="0" w:afterAutospacing="1" w:line="23" w:lineRule="atLeast"/>
        <w:ind w:left="0" w:right="0"/>
        <w:jc w:val="left"/>
        <w:rPr>
          <w:rFonts w:hint="eastAsia" w:ascii="Calibri" w:hAnsi="Calibri" w:eastAsia="宋体" w:cs="宋体"/>
          <w:kern w:val="2"/>
          <w:sz w:val="21"/>
          <w:szCs w:val="21"/>
          <w:lang w:val="en-US" w:eastAsia="zh-CN" w:bidi="ar"/>
        </w:rPr>
      </w:pPr>
      <w:r>
        <w:rPr>
          <w:rFonts w:hint="eastAsia" w:ascii="Calibri" w:hAnsi="Calibri" w:eastAsia="宋体" w:cs="宋体"/>
          <w:kern w:val="2"/>
          <w:sz w:val="21"/>
          <w:szCs w:val="21"/>
          <w:lang w:val="en-US" w:eastAsia="zh-CN" w:bidi="ar"/>
        </w:rPr>
        <w:t> </w:t>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r>
        <w:rPr>
          <w:rFonts w:hint="eastAsia"/>
          <w:szCs w:val="30"/>
        </w:rPr>
        <w:drawing>
          <wp:inline distT="0" distB="0" distL="114300" distR="114300">
            <wp:extent cx="5260975" cy="7814310"/>
            <wp:effectExtent l="0" t="0" r="15875" b="15240"/>
            <wp:docPr id="17" name="图片 11"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宁都县特殊教育学校"/>
                    <pic:cNvPicPr>
                      <a:picLocks noChangeAspect="1"/>
                    </pic:cNvPicPr>
                  </pic:nvPicPr>
                  <pic:blipFill>
                    <a:blip r:embed="rId4"/>
                    <a:stretch>
                      <a:fillRect/>
                    </a:stretch>
                  </pic:blipFill>
                  <pic:spPr>
                    <a:xfrm>
                      <a:off x="0" y="0"/>
                      <a:ext cx="5260975" cy="7814310"/>
                    </a:xfrm>
                    <a:prstGeom prst="rect">
                      <a:avLst/>
                    </a:prstGeom>
                    <a:noFill/>
                    <a:ln>
                      <a:noFill/>
                    </a:ln>
                  </pic:spPr>
                </pic:pic>
              </a:graphicData>
            </a:graphic>
          </wp:inline>
        </w:drawing>
      </w:r>
    </w:p>
    <w:p>
      <w:pPr>
        <w:autoSpaceDE w:val="0"/>
        <w:autoSpaceDN w:val="0"/>
        <w:adjustRightInd w:val="0"/>
        <w:spacing w:line="360" w:lineRule="auto"/>
        <w:jc w:val="left"/>
        <w:rPr>
          <w:rFonts w:hint="eastAsia"/>
        </w:rPr>
      </w:pPr>
    </w:p>
    <w:p>
      <w:pPr>
        <w:autoSpaceDE w:val="0"/>
        <w:autoSpaceDN w:val="0"/>
        <w:adjustRightInd w:val="0"/>
        <w:spacing w:line="360" w:lineRule="auto"/>
        <w:jc w:val="left"/>
      </w:pPr>
      <w:r>
        <w:drawing>
          <wp:inline distT="0" distB="0" distL="114300" distR="114300">
            <wp:extent cx="5252085" cy="3424555"/>
            <wp:effectExtent l="0" t="0" r="5715" b="4445"/>
            <wp:docPr id="20" name="图片 12"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宁都县特殊教育学校"/>
                    <pic:cNvPicPr>
                      <a:picLocks noChangeAspect="1"/>
                    </pic:cNvPicPr>
                  </pic:nvPicPr>
                  <pic:blipFill>
                    <a:blip r:embed="rId5"/>
                    <a:stretch>
                      <a:fillRect/>
                    </a:stretch>
                  </pic:blipFill>
                  <pic:spPr>
                    <a:xfrm>
                      <a:off x="0" y="0"/>
                      <a:ext cx="5252085" cy="342455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rPr>
          <w:rFonts w:ascii="Calibri" w:hAnsi="Calibri"/>
        </w:rPr>
      </w:pPr>
      <w:r>
        <w:rPr>
          <w:rFonts w:hint="eastAsia"/>
        </w:rPr>
        <w:drawing>
          <wp:inline distT="0" distB="0" distL="114300" distR="114300">
            <wp:extent cx="5264150" cy="4390390"/>
            <wp:effectExtent l="0" t="0" r="12700" b="10160"/>
            <wp:docPr id="12" name="图片 13"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宁都县特殊教育学校"/>
                    <pic:cNvPicPr>
                      <a:picLocks noChangeAspect="1"/>
                    </pic:cNvPicPr>
                  </pic:nvPicPr>
                  <pic:blipFill>
                    <a:blip r:embed="rId6"/>
                    <a:stretch>
                      <a:fillRect/>
                    </a:stretch>
                  </pic:blipFill>
                  <pic:spPr>
                    <a:xfrm>
                      <a:off x="0" y="0"/>
                      <a:ext cx="5264150" cy="4390390"/>
                    </a:xfrm>
                    <a:prstGeom prst="rect">
                      <a:avLst/>
                    </a:prstGeom>
                    <a:noFill/>
                    <a:ln>
                      <a:noFill/>
                    </a:ln>
                  </pic:spPr>
                </pic:pic>
              </a:graphicData>
            </a:graphic>
          </wp:inline>
        </w:drawing>
      </w:r>
    </w:p>
    <w:p>
      <w:pPr>
        <w:autoSpaceDE w:val="0"/>
        <w:autoSpaceDN w:val="0"/>
        <w:adjustRightInd w:val="0"/>
        <w:spacing w:line="360" w:lineRule="auto"/>
        <w:jc w:val="left"/>
        <w:rPr>
          <w:rFonts w:hint="eastAsia"/>
        </w:rPr>
      </w:pPr>
      <w:r>
        <w:rPr>
          <w:rFonts w:hint="eastAsia"/>
        </w:rPr>
        <w:drawing>
          <wp:inline distT="0" distB="0" distL="114300" distR="114300">
            <wp:extent cx="5255895" cy="4017010"/>
            <wp:effectExtent l="0" t="0" r="1905" b="2540"/>
            <wp:docPr id="15" name="图片 14"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宁都县特殊教育学校"/>
                    <pic:cNvPicPr>
                      <a:picLocks noChangeAspect="1"/>
                    </pic:cNvPicPr>
                  </pic:nvPicPr>
                  <pic:blipFill>
                    <a:blip r:embed="rId7"/>
                    <a:stretch>
                      <a:fillRect/>
                    </a:stretch>
                  </pic:blipFill>
                  <pic:spPr>
                    <a:xfrm>
                      <a:off x="0" y="0"/>
                      <a:ext cx="5255895" cy="401701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rPr>
      </w:pPr>
      <w:r>
        <w:rPr>
          <w:rFonts w:hint="eastAsia"/>
        </w:rPr>
        <w:drawing>
          <wp:inline distT="0" distB="0" distL="114300" distR="114300">
            <wp:extent cx="5264785" cy="3012440"/>
            <wp:effectExtent l="0" t="0" r="12065" b="16510"/>
            <wp:docPr id="19" name="图片 15"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宁都县特殊教育学校"/>
                    <pic:cNvPicPr>
                      <a:picLocks noChangeAspect="1"/>
                    </pic:cNvPicPr>
                  </pic:nvPicPr>
                  <pic:blipFill>
                    <a:blip r:embed="rId8"/>
                    <a:stretch>
                      <a:fillRect/>
                    </a:stretch>
                  </pic:blipFill>
                  <pic:spPr>
                    <a:xfrm>
                      <a:off x="0" y="0"/>
                      <a:ext cx="5264785" cy="301244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rPr>
      </w:pPr>
      <w:r>
        <w:rPr>
          <w:rFonts w:hint="eastAsia"/>
        </w:rPr>
        <w:drawing>
          <wp:inline distT="0" distB="0" distL="114300" distR="114300">
            <wp:extent cx="5265420" cy="8316595"/>
            <wp:effectExtent l="0" t="0" r="11430" b="8255"/>
            <wp:docPr id="13" name="图片 16"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宁都县特殊教育学校"/>
                    <pic:cNvPicPr>
                      <a:picLocks noChangeAspect="1"/>
                    </pic:cNvPicPr>
                  </pic:nvPicPr>
                  <pic:blipFill>
                    <a:blip r:embed="rId9"/>
                    <a:stretch>
                      <a:fillRect/>
                    </a:stretch>
                  </pic:blipFill>
                  <pic:spPr>
                    <a:xfrm>
                      <a:off x="0" y="0"/>
                      <a:ext cx="5265420" cy="831659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rPr>
          <w:rFonts w:hint="eastAsia"/>
        </w:rPr>
      </w:pPr>
      <w:r>
        <w:rPr>
          <w:rFonts w:hint="eastAsia"/>
        </w:rPr>
        <w:drawing>
          <wp:inline distT="0" distB="0" distL="114300" distR="114300">
            <wp:extent cx="5269230" cy="5077460"/>
            <wp:effectExtent l="0" t="0" r="7620" b="8890"/>
            <wp:docPr id="16" name="图片 17"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宁都县特殊教育学校"/>
                    <pic:cNvPicPr>
                      <a:picLocks noChangeAspect="1"/>
                    </pic:cNvPicPr>
                  </pic:nvPicPr>
                  <pic:blipFill>
                    <a:blip r:embed="rId10"/>
                    <a:stretch>
                      <a:fillRect/>
                    </a:stretch>
                  </pic:blipFill>
                  <pic:spPr>
                    <a:xfrm>
                      <a:off x="0" y="0"/>
                      <a:ext cx="5269230" cy="507746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rPr>
      </w:pPr>
      <w:r>
        <w:rPr>
          <w:rFonts w:hint="eastAsia"/>
        </w:rPr>
        <w:drawing>
          <wp:inline distT="0" distB="0" distL="114300" distR="114300">
            <wp:extent cx="5264150" cy="2815590"/>
            <wp:effectExtent l="0" t="0" r="12700" b="3810"/>
            <wp:docPr id="11" name="图片 18"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宁都县特殊教育学校"/>
                    <pic:cNvPicPr>
                      <a:picLocks noChangeAspect="1"/>
                    </pic:cNvPicPr>
                  </pic:nvPicPr>
                  <pic:blipFill>
                    <a:blip r:embed="rId11"/>
                    <a:stretch>
                      <a:fillRect/>
                    </a:stretch>
                  </pic:blipFill>
                  <pic:spPr>
                    <a:xfrm>
                      <a:off x="0" y="0"/>
                      <a:ext cx="5264150" cy="281559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rPr>
      </w:pPr>
      <w:r>
        <w:rPr>
          <w:rFonts w:hint="eastAsia"/>
        </w:rPr>
        <w:drawing>
          <wp:inline distT="0" distB="0" distL="114300" distR="114300">
            <wp:extent cx="5269865" cy="3062605"/>
            <wp:effectExtent l="0" t="0" r="6985" b="4445"/>
            <wp:docPr id="18" name="图片 19"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宁都县特殊教育学校"/>
                    <pic:cNvPicPr>
                      <a:picLocks noChangeAspect="1"/>
                    </pic:cNvPicPr>
                  </pic:nvPicPr>
                  <pic:blipFill>
                    <a:blip r:embed="rId12"/>
                    <a:stretch>
                      <a:fillRect/>
                    </a:stretch>
                  </pic:blipFill>
                  <pic:spPr>
                    <a:xfrm>
                      <a:off x="0" y="0"/>
                      <a:ext cx="5269865" cy="306260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rPr>
          <w:rFonts w:hint="eastAsia"/>
        </w:rPr>
      </w:pPr>
      <w:r>
        <w:rPr>
          <w:rFonts w:hint="eastAsia"/>
        </w:rPr>
        <w:drawing>
          <wp:inline distT="0" distB="0" distL="114300" distR="114300">
            <wp:extent cx="5266055" cy="3574415"/>
            <wp:effectExtent l="0" t="0" r="10795" b="6985"/>
            <wp:docPr id="14" name="图片 20" descr="宁都县特殊教育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宁都县特殊教育学校"/>
                    <pic:cNvPicPr>
                      <a:picLocks noChangeAspect="1"/>
                    </pic:cNvPicPr>
                  </pic:nvPicPr>
                  <pic:blipFill>
                    <a:blip r:embed="rId13"/>
                    <a:stretch>
                      <a:fillRect/>
                    </a:stretch>
                  </pic:blipFill>
                  <pic:spPr>
                    <a:xfrm>
                      <a:off x="0" y="0"/>
                      <a:ext cx="5266055" cy="357441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tbl>
      <w:tblPr>
        <w:tblW w:w="102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00"/>
        <w:gridCol w:w="1149"/>
        <w:gridCol w:w="944"/>
        <w:gridCol w:w="1027"/>
        <w:gridCol w:w="1286"/>
        <w:gridCol w:w="464"/>
        <w:gridCol w:w="1585"/>
        <w:gridCol w:w="1198"/>
        <w:gridCol w:w="87"/>
        <w:gridCol w:w="536"/>
        <w:gridCol w:w="170"/>
        <w:gridCol w:w="480"/>
        <w:gridCol w:w="352"/>
        <w:gridCol w:w="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9" w:hRule="atLeast"/>
          <w:jc w:val="center"/>
        </w:trPr>
        <w:tc>
          <w:tcPr>
            <w:tcW w:w="10213" w:type="dxa"/>
            <w:gridSpan w:val="14"/>
            <w:tcBorders>
              <w:top w:val="nil"/>
              <w:left w:val="nil"/>
              <w:bottom w:val="nil"/>
              <w:right w:val="nil"/>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b/>
                <w:bCs/>
                <w:i w:val="0"/>
                <w:iCs w:val="0"/>
                <w:color w:val="000000"/>
                <w:kern w:val="0"/>
                <w:sz w:val="32"/>
                <w:szCs w:val="32"/>
                <w:bdr w:val="none" w:color="auto" w:sz="0" w:space="0"/>
                <w:lang w:val="en-US" w:eastAsia="zh-CN" w:bidi="ar"/>
              </w:rPr>
              <w:t>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13" w:type="dxa"/>
            <w:gridSpan w:val="14"/>
            <w:tcBorders>
              <w:top w:val="nil"/>
              <w:left w:val="nil"/>
              <w:bottom w:val="nil"/>
              <w:right w:val="nil"/>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（2021年度）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677"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项目名称</w:t>
            </w:r>
          </w:p>
        </w:tc>
        <w:tc>
          <w:tcPr>
            <w:tcW w:w="8536" w:type="dxa"/>
            <w:gridSpan w:val="1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义务教育公用经费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677"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主管单位</w:t>
            </w:r>
          </w:p>
        </w:tc>
        <w:tc>
          <w:tcPr>
            <w:tcW w:w="4857" w:type="dxa"/>
            <w:gridSpan w:val="5"/>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宁都县财政局</w:t>
            </w:r>
          </w:p>
        </w:tc>
        <w:tc>
          <w:tcPr>
            <w:tcW w:w="152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实施单位</w:t>
            </w:r>
          </w:p>
        </w:tc>
        <w:tc>
          <w:tcPr>
            <w:tcW w:w="2152" w:type="dxa"/>
            <w:gridSpan w:val="5"/>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宁都县特殊教育学校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55" w:hRule="atLeast"/>
          <w:jc w:val="center"/>
        </w:trPr>
        <w:tc>
          <w:tcPr>
            <w:tcW w:w="1677" w:type="dxa"/>
            <w:gridSpan w:val="2"/>
            <w:vMerge w:val="restar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项目资金</w:t>
            </w:r>
          </w:p>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（万元）</w:t>
            </w:r>
          </w:p>
        </w:tc>
        <w:tc>
          <w:tcPr>
            <w:tcW w:w="187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1090"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年初预算数</w:t>
            </w:r>
          </w:p>
        </w:tc>
        <w:tc>
          <w:tcPr>
            <w:tcW w:w="189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全年预算数（A)</w:t>
            </w:r>
          </w:p>
        </w:tc>
        <w:tc>
          <w:tcPr>
            <w:tcW w:w="152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全年执行数(B)</w:t>
            </w:r>
          </w:p>
        </w:tc>
        <w:tc>
          <w:tcPr>
            <w:tcW w:w="755"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分值</w:t>
            </w:r>
          </w:p>
        </w:tc>
        <w:tc>
          <w:tcPr>
            <w:tcW w:w="87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执行率(B/A)</w:t>
            </w:r>
          </w:p>
        </w:tc>
        <w:tc>
          <w:tcPr>
            <w:tcW w:w="521"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677" w:type="dxa"/>
            <w:gridSpan w:val="2"/>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87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both"/>
              <w:textAlignment w:val="center"/>
            </w:pPr>
            <w:r>
              <w:rPr>
                <w:rFonts w:hint="eastAsia" w:ascii="仿宋" w:hAnsi="仿宋" w:eastAsia="仿宋" w:cs="仿宋"/>
                <w:i w:val="0"/>
                <w:iCs w:val="0"/>
                <w:color w:val="000000"/>
                <w:kern w:val="0"/>
                <w:sz w:val="20"/>
                <w:szCs w:val="20"/>
                <w:bdr w:val="none" w:color="auto" w:sz="0" w:space="0"/>
                <w:lang w:val="en-US" w:eastAsia="zh-CN" w:bidi="ar"/>
              </w:rPr>
              <w:t>年度资金总额</w:t>
            </w:r>
          </w:p>
        </w:tc>
        <w:tc>
          <w:tcPr>
            <w:tcW w:w="1090"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123.6</w:t>
            </w:r>
          </w:p>
        </w:tc>
        <w:tc>
          <w:tcPr>
            <w:tcW w:w="189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123.6</w:t>
            </w:r>
          </w:p>
        </w:tc>
        <w:tc>
          <w:tcPr>
            <w:tcW w:w="152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123.6</w:t>
            </w:r>
          </w:p>
        </w:tc>
        <w:tc>
          <w:tcPr>
            <w:tcW w:w="755"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w:t>
            </w:r>
          </w:p>
        </w:tc>
        <w:tc>
          <w:tcPr>
            <w:tcW w:w="87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521"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677" w:type="dxa"/>
            <w:gridSpan w:val="2"/>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87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其中：当年财政拨款</w:t>
            </w:r>
          </w:p>
        </w:tc>
        <w:tc>
          <w:tcPr>
            <w:tcW w:w="1090"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 123.6</w:t>
            </w:r>
          </w:p>
        </w:tc>
        <w:tc>
          <w:tcPr>
            <w:tcW w:w="189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123.6 </w:t>
            </w:r>
          </w:p>
        </w:tc>
        <w:tc>
          <w:tcPr>
            <w:tcW w:w="152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123.6 </w:t>
            </w:r>
          </w:p>
        </w:tc>
        <w:tc>
          <w:tcPr>
            <w:tcW w:w="755"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w:t>
            </w:r>
          </w:p>
        </w:tc>
        <w:tc>
          <w:tcPr>
            <w:tcW w:w="87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521"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677" w:type="dxa"/>
            <w:gridSpan w:val="2"/>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87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      上年结转资金</w:t>
            </w:r>
          </w:p>
        </w:tc>
        <w:tc>
          <w:tcPr>
            <w:tcW w:w="1090"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189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152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755"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w:t>
            </w:r>
          </w:p>
        </w:tc>
        <w:tc>
          <w:tcPr>
            <w:tcW w:w="87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521"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677" w:type="dxa"/>
            <w:gridSpan w:val="2"/>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87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    其他资金</w:t>
            </w:r>
          </w:p>
        </w:tc>
        <w:tc>
          <w:tcPr>
            <w:tcW w:w="1090"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189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1527"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755"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w:t>
            </w:r>
          </w:p>
        </w:tc>
        <w:tc>
          <w:tcPr>
            <w:tcW w:w="87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c>
          <w:tcPr>
            <w:tcW w:w="521"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91" w:type="dxa"/>
            <w:vMerge w:val="restar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年度总体目标</w:t>
            </w:r>
          </w:p>
        </w:tc>
        <w:tc>
          <w:tcPr>
            <w:tcW w:w="5943" w:type="dxa"/>
            <w:gridSpan w:val="6"/>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预期目标</w:t>
            </w:r>
          </w:p>
        </w:tc>
        <w:tc>
          <w:tcPr>
            <w:tcW w:w="3679" w:type="dxa"/>
            <w:gridSpan w:val="7"/>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20"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5943" w:type="dxa"/>
            <w:gridSpan w:val="6"/>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目标1：按省定额标准下达公用经费                                                   目标2：按学生人数下达公用经费                                                        目标3：基本保障义务教育学校日常运行                                                             目标4：提高义务教育学校教育教学质量</w:t>
            </w:r>
          </w:p>
        </w:tc>
        <w:tc>
          <w:tcPr>
            <w:tcW w:w="3679" w:type="dxa"/>
            <w:gridSpan w:val="7"/>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达成全年目标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91" w:type="dxa"/>
            <w:vMerge w:val="restar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绩</w:t>
            </w:r>
          </w:p>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效</w:t>
            </w:r>
          </w:p>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指</w:t>
            </w:r>
          </w:p>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标</w:t>
            </w:r>
          </w:p>
        </w:tc>
        <w:tc>
          <w:tcPr>
            <w:tcW w:w="1086"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一级指标</w:t>
            </w:r>
          </w:p>
        </w:tc>
        <w:tc>
          <w:tcPr>
            <w:tcW w:w="729"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二级指标</w:t>
            </w:r>
          </w:p>
        </w:tc>
        <w:tc>
          <w:tcPr>
            <w:tcW w:w="2794" w:type="dxa"/>
            <w:gridSpan w:val="3"/>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三级指标</w:t>
            </w:r>
          </w:p>
        </w:tc>
        <w:tc>
          <w:tcPr>
            <w:tcW w:w="1334"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年度指标值（A)</w:t>
            </w:r>
          </w:p>
        </w:tc>
        <w:tc>
          <w:tcPr>
            <w:tcW w:w="1334"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实际完成值(B)</w:t>
            </w:r>
          </w:p>
        </w:tc>
        <w:tc>
          <w:tcPr>
            <w:tcW w:w="739" w:type="dxa"/>
            <w:gridSpan w:val="2"/>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分值</w:t>
            </w:r>
          </w:p>
        </w:tc>
        <w:tc>
          <w:tcPr>
            <w:tcW w:w="700" w:type="dxa"/>
            <w:gridSpan w:val="2"/>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得分</w:t>
            </w:r>
          </w:p>
        </w:tc>
        <w:tc>
          <w:tcPr>
            <w:tcW w:w="906" w:type="dxa"/>
            <w:gridSpan w:val="2"/>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2794" w:type="dxa"/>
            <w:gridSpan w:val="3"/>
            <w:vMerge w:val="continue"/>
            <w:tcBorders>
              <w:top w:val="single" w:color="000000" w:sz="4" w:space="0"/>
              <w:left w:val="nil"/>
              <w:bottom w:val="single" w:color="000000" w:sz="4" w:space="0"/>
              <w:right w:val="single" w:color="000000" w:sz="4" w:space="0"/>
            </w:tcBorders>
            <w:shd w:val="clear"/>
            <w:vAlign w:val="center"/>
          </w:tcPr>
          <w:p>
            <w:pPr>
              <w:rPr>
                <w:rFonts w:hint="eastAsia" w:ascii="宋体"/>
                <w:sz w:val="24"/>
                <w:szCs w:val="24"/>
              </w:rPr>
            </w:pPr>
          </w:p>
        </w:tc>
        <w:tc>
          <w:tcPr>
            <w:tcW w:w="1334" w:type="dxa"/>
            <w:vMerge w:val="continue"/>
            <w:tcBorders>
              <w:top w:val="single" w:color="000000" w:sz="4" w:space="0"/>
              <w:left w:val="nil"/>
              <w:bottom w:val="single" w:color="000000" w:sz="4" w:space="0"/>
              <w:right w:val="single" w:color="000000" w:sz="4" w:space="0"/>
            </w:tcBorders>
            <w:shd w:val="clear"/>
            <w:vAlign w:val="center"/>
          </w:tcPr>
          <w:p>
            <w:pPr>
              <w:rPr>
                <w:rFonts w:hint="eastAsia" w:ascii="宋体"/>
                <w:sz w:val="24"/>
                <w:szCs w:val="24"/>
              </w:rPr>
            </w:pPr>
          </w:p>
        </w:tc>
        <w:tc>
          <w:tcPr>
            <w:tcW w:w="1334" w:type="dxa"/>
            <w:vMerge w:val="continue"/>
            <w:tcBorders>
              <w:top w:val="single" w:color="000000" w:sz="4" w:space="0"/>
              <w:left w:val="nil"/>
              <w:bottom w:val="single" w:color="000000" w:sz="4" w:space="0"/>
              <w:right w:val="single" w:color="000000" w:sz="4" w:space="0"/>
            </w:tcBorders>
            <w:shd w:val="clear"/>
            <w:vAlign w:val="center"/>
          </w:tcPr>
          <w:p>
            <w:pPr>
              <w:rPr>
                <w:rFonts w:hint="eastAsia" w:ascii="宋体"/>
                <w:sz w:val="24"/>
                <w:szCs w:val="24"/>
              </w:rPr>
            </w:pPr>
          </w:p>
        </w:tc>
        <w:tc>
          <w:tcPr>
            <w:tcW w:w="739" w:type="dxa"/>
            <w:gridSpan w:val="2"/>
            <w:vMerge w:val="continue"/>
            <w:tcBorders>
              <w:top w:val="single" w:color="000000" w:sz="4" w:space="0"/>
              <w:left w:val="nil"/>
              <w:bottom w:val="single" w:color="000000" w:sz="4" w:space="0"/>
              <w:right w:val="single" w:color="000000" w:sz="4" w:space="0"/>
            </w:tcBorders>
            <w:shd w:val="clear"/>
            <w:vAlign w:val="center"/>
          </w:tcPr>
          <w:p>
            <w:pPr>
              <w:rPr>
                <w:rFonts w:hint="eastAsia" w:ascii="宋体"/>
                <w:sz w:val="24"/>
                <w:szCs w:val="24"/>
              </w:rPr>
            </w:pPr>
          </w:p>
        </w:tc>
        <w:tc>
          <w:tcPr>
            <w:tcW w:w="700" w:type="dxa"/>
            <w:gridSpan w:val="2"/>
            <w:vMerge w:val="continue"/>
            <w:tcBorders>
              <w:top w:val="single" w:color="000000" w:sz="4" w:space="0"/>
              <w:left w:val="nil"/>
              <w:bottom w:val="single" w:color="000000" w:sz="4" w:space="0"/>
              <w:right w:val="single" w:color="000000" w:sz="4" w:space="0"/>
            </w:tcBorders>
            <w:shd w:val="clear"/>
            <w:vAlign w:val="center"/>
          </w:tcPr>
          <w:p>
            <w:pPr>
              <w:rPr>
                <w:rFonts w:hint="eastAsia" w:ascii="宋体"/>
                <w:sz w:val="24"/>
                <w:szCs w:val="24"/>
              </w:rPr>
            </w:pPr>
          </w:p>
        </w:tc>
        <w:tc>
          <w:tcPr>
            <w:tcW w:w="906" w:type="dxa"/>
            <w:gridSpan w:val="2"/>
            <w:vMerge w:val="continue"/>
            <w:tcBorders>
              <w:top w:val="single" w:color="000000" w:sz="4" w:space="0"/>
              <w:left w:val="nil"/>
              <w:bottom w:val="single" w:color="000000" w:sz="4" w:space="0"/>
              <w:right w:val="single" w:color="000000" w:sz="4" w:space="0"/>
            </w:tcBorders>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0"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产出指标（50分）</w:t>
            </w:r>
          </w:p>
        </w:tc>
        <w:tc>
          <w:tcPr>
            <w:tcW w:w="729" w:type="dxa"/>
            <w:vMerge w:val="restart"/>
            <w:tcBorders>
              <w:top w:val="nil"/>
              <w:left w:val="nil"/>
              <w:bottom w:val="nil"/>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数量指标</w:t>
            </w: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义务教育生均公用经费执行标准</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不低于国家规定的标准</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不低于国家规定的标准</w:t>
            </w:r>
          </w:p>
        </w:tc>
        <w:tc>
          <w:tcPr>
            <w:tcW w:w="739"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8</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8</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vMerge w:val="continue"/>
            <w:tcBorders>
              <w:top w:val="nil"/>
              <w:left w:val="nil"/>
              <w:bottom w:val="nil"/>
              <w:right w:val="single" w:color="000000" w:sz="4" w:space="0"/>
            </w:tcBorders>
            <w:shd w:val="clear"/>
            <w:vAlign w:val="center"/>
          </w:tcPr>
          <w:p>
            <w:pPr>
              <w:rPr>
                <w:rFonts w:hint="eastAsia" w:ascii="宋体"/>
                <w:sz w:val="24"/>
                <w:szCs w:val="24"/>
              </w:rPr>
            </w:pP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义务教育生均公用经费拨付到位率</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739"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vMerge w:val="continue"/>
            <w:tcBorders>
              <w:top w:val="nil"/>
              <w:left w:val="nil"/>
              <w:bottom w:val="nil"/>
              <w:right w:val="single" w:color="000000" w:sz="4" w:space="0"/>
            </w:tcBorders>
            <w:shd w:val="clear"/>
            <w:vAlign w:val="center"/>
          </w:tcPr>
          <w:p>
            <w:pPr>
              <w:rPr>
                <w:rFonts w:hint="eastAsia" w:ascii="宋体"/>
                <w:sz w:val="24"/>
                <w:szCs w:val="24"/>
              </w:rPr>
            </w:pP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义务教育生均公用经费拨付及时率</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739"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8</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8</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质量指标</w:t>
            </w: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保障义务教育学校正常运行</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正常运行</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正常运行</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时效指标</w:t>
            </w: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资金按规定及时拨付率</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739"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7</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7</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年度预算执行进度</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739"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7</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7</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5"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效益指标（30分）</w:t>
            </w:r>
          </w:p>
        </w:tc>
        <w:tc>
          <w:tcPr>
            <w:tcW w:w="729"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社会效益</w:t>
            </w:r>
          </w:p>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指标</w:t>
            </w: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教学活动开展有序，办学水平不断提高</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提高</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提高</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15</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15</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5"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教育教学质量</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提高</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提高</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15</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15</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5"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满意度</w:t>
            </w:r>
          </w:p>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指标</w:t>
            </w:r>
          </w:p>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（10分）</w:t>
            </w:r>
          </w:p>
        </w:tc>
        <w:tc>
          <w:tcPr>
            <w:tcW w:w="729"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服务对象满意度指标</w:t>
            </w: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学校和教师满意度</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≥85%</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98%</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5</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4.9</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5" w:hRule="atLeast"/>
          <w:jc w:val="center"/>
        </w:trPr>
        <w:tc>
          <w:tcPr>
            <w:tcW w:w="591" w:type="dxa"/>
            <w:vMerge w:val="continue"/>
            <w:tcBorders>
              <w:top w:val="nil"/>
              <w:left w:val="single" w:color="000000" w:sz="4" w:space="0"/>
              <w:bottom w:val="single" w:color="000000" w:sz="4" w:space="0"/>
              <w:right w:val="single" w:color="000000" w:sz="4" w:space="0"/>
            </w:tcBorders>
            <w:shd w:val="clear"/>
            <w:vAlign w:val="center"/>
          </w:tcPr>
          <w:p>
            <w:pPr>
              <w:rPr>
                <w:rFonts w:hint="eastAsia" w:ascii="宋体"/>
                <w:sz w:val="24"/>
                <w:szCs w:val="24"/>
              </w:rPr>
            </w:pPr>
          </w:p>
        </w:tc>
        <w:tc>
          <w:tcPr>
            <w:tcW w:w="1086"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729" w:type="dxa"/>
            <w:vMerge w:val="continue"/>
            <w:tcBorders>
              <w:top w:val="nil"/>
              <w:left w:val="nil"/>
              <w:bottom w:val="single" w:color="000000" w:sz="4" w:space="0"/>
              <w:right w:val="single" w:color="000000" w:sz="4" w:space="0"/>
            </w:tcBorders>
            <w:shd w:val="clear"/>
            <w:vAlign w:val="center"/>
          </w:tcPr>
          <w:p>
            <w:pPr>
              <w:rPr>
                <w:rFonts w:hint="eastAsia" w:ascii="宋体"/>
                <w:sz w:val="24"/>
                <w:szCs w:val="24"/>
              </w:rPr>
            </w:pPr>
          </w:p>
        </w:tc>
        <w:tc>
          <w:tcPr>
            <w:tcW w:w="2794" w:type="dxa"/>
            <w:gridSpan w:val="3"/>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家长和学生满意度</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≥85%</w:t>
            </w:r>
          </w:p>
        </w:tc>
        <w:tc>
          <w:tcPr>
            <w:tcW w:w="1334"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98%</w:t>
            </w:r>
          </w:p>
        </w:tc>
        <w:tc>
          <w:tcPr>
            <w:tcW w:w="0" w:type="auto"/>
            <w:gridSpan w:val="2"/>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5</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4.9</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868" w:type="dxa"/>
            <w:gridSpan w:val="8"/>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总分</w:t>
            </w:r>
          </w:p>
        </w:tc>
        <w:tc>
          <w:tcPr>
            <w:tcW w:w="739"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100</w:t>
            </w:r>
          </w:p>
        </w:tc>
        <w:tc>
          <w:tcPr>
            <w:tcW w:w="700"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textAlignment w:val="center"/>
            </w:pPr>
            <w:r>
              <w:rPr>
                <w:rFonts w:hint="eastAsia" w:ascii="仿宋" w:hAnsi="仿宋" w:eastAsia="仿宋" w:cs="仿宋"/>
                <w:i w:val="0"/>
                <w:iCs w:val="0"/>
                <w:color w:val="000000"/>
                <w:kern w:val="0"/>
                <w:sz w:val="20"/>
                <w:szCs w:val="20"/>
                <w:bdr w:val="none" w:color="auto" w:sz="0" w:space="0"/>
                <w:lang w:val="en-US" w:eastAsia="zh-CN" w:bidi="ar"/>
              </w:rPr>
              <w:t>99.8</w:t>
            </w:r>
          </w:p>
        </w:tc>
        <w:tc>
          <w:tcPr>
            <w:tcW w:w="906" w:type="dxa"/>
            <w:gridSpan w:val="2"/>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spacing w:before="0" w:beforeAutospacing="1" w:after="0" w:afterAutospacing="1"/>
              <w:ind w:left="0" w:right="0"/>
              <w:jc w:val="center"/>
            </w:pPr>
            <w:r>
              <w:rPr>
                <w:rFonts w:hint="eastAsia" w:ascii="仿宋" w:hAnsi="仿宋" w:eastAsia="仿宋" w:cs="仿宋"/>
                <w:i w:val="0"/>
                <w:iCs w:val="0"/>
                <w:color w:val="000000"/>
                <w:kern w:val="2"/>
                <w:sz w:val="20"/>
                <w:szCs w:val="20"/>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5" w:hRule="atLeast"/>
          <w:jc w:val="center"/>
        </w:trPr>
        <w:tc>
          <w:tcPr>
            <w:tcW w:w="0" w:type="auto"/>
            <w:gridSpan w:val="14"/>
            <w:tcBorders>
              <w:top w:val="single" w:color="000000" w:sz="4" w:space="0"/>
              <w:left w:val="nil"/>
              <w:bottom w:val="nil"/>
              <w:right w:val="nil"/>
            </w:tcBorders>
            <w:shd w:val="clear"/>
            <w:noWrap/>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注：1.得分一档最高不能超过该指标分值上限。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jc w:val="center"/>
        </w:trPr>
        <w:tc>
          <w:tcPr>
            <w:tcW w:w="10213" w:type="dxa"/>
            <w:gridSpan w:val="14"/>
            <w:tcBorders>
              <w:top w:val="nil"/>
              <w:left w:val="nil"/>
              <w:bottom w:val="nil"/>
              <w:right w:val="nil"/>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color w:val="000000"/>
                <w:kern w:val="0"/>
                <w:sz w:val="20"/>
                <w:szCs w:val="20"/>
                <w:bdr w:val="none" w:color="auto" w:sz="0" w:space="0"/>
                <w:lang w:val="en-US" w:eastAsia="zh-CN" w:bidi="ar"/>
              </w:rPr>
              <w:t>    2.评分标准：（1） 若为</w:t>
            </w:r>
            <w:r>
              <w:rPr>
                <w:rFonts w:hint="eastAsia" w:ascii="仿宋" w:hAnsi="仿宋" w:eastAsia="仿宋" w:cs="仿宋"/>
                <w:b/>
                <w:bCs/>
                <w:color w:val="000000"/>
                <w:kern w:val="0"/>
                <w:sz w:val="20"/>
                <w:szCs w:val="20"/>
                <w:bdr w:val="none" w:color="auto" w:sz="0" w:space="0"/>
                <w:lang w:val="en-US" w:eastAsia="zh-CN" w:bidi="ar"/>
              </w:rPr>
              <w:t>定性指标</w:t>
            </w:r>
            <w:r>
              <w:rPr>
                <w:rFonts w:hint="eastAsia" w:ascii="仿宋" w:hAnsi="仿宋" w:eastAsia="仿宋" w:cs="仿宋"/>
                <w:color w:val="000000"/>
                <w:kern w:val="0"/>
                <w:sz w:val="20"/>
                <w:szCs w:val="20"/>
                <w:bdr w:val="none" w:color="auto" w:sz="0" w:space="0"/>
                <w:lang w:val="en-US" w:eastAsia="zh-CN" w:bidi="ar"/>
              </w:rPr>
              <w:t>，根据指标完成情况分为：达成年度指标、部分达成年度指标并具有一定效果、未达成年度指标且效果较差三档，分别按照该指标对应分值区间100-80%(含80%)、80-60%(含60%)、60-0%合理确定分值。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00" w:hRule="atLeast"/>
          <w:jc w:val="center"/>
        </w:trPr>
        <w:tc>
          <w:tcPr>
            <w:tcW w:w="10213" w:type="dxa"/>
            <w:gridSpan w:val="14"/>
            <w:tcBorders>
              <w:top w:val="nil"/>
              <w:left w:val="nil"/>
              <w:bottom w:val="nil"/>
              <w:right w:val="nil"/>
            </w:tcBorders>
            <w:shd w:val="clear"/>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color w:val="000000"/>
                <w:kern w:val="0"/>
                <w:sz w:val="20"/>
                <w:szCs w:val="20"/>
                <w:bdr w:val="none" w:color="auto" w:sz="0" w:space="0"/>
                <w:lang w:val="en-US" w:eastAsia="zh-CN" w:bidi="ar"/>
              </w:rPr>
              <w:t>   （2）若为</w:t>
            </w:r>
            <w:r>
              <w:rPr>
                <w:rFonts w:hint="eastAsia" w:ascii="仿宋" w:hAnsi="仿宋" w:eastAsia="仿宋" w:cs="仿宋"/>
                <w:b/>
                <w:bCs/>
                <w:color w:val="000000"/>
                <w:kern w:val="0"/>
                <w:sz w:val="20"/>
                <w:szCs w:val="20"/>
                <w:bdr w:val="none" w:color="auto" w:sz="0" w:space="0"/>
                <w:lang w:val="en-US" w:eastAsia="zh-CN" w:bidi="ar"/>
              </w:rPr>
              <w:t>定量指标</w:t>
            </w:r>
            <w:r>
              <w:rPr>
                <w:rFonts w:hint="eastAsia" w:ascii="仿宋" w:hAnsi="仿宋" w:eastAsia="仿宋" w:cs="仿宋"/>
                <w:color w:val="000000"/>
                <w:kern w:val="0"/>
                <w:sz w:val="20"/>
                <w:szCs w:val="20"/>
                <w:bdr w:val="none" w:color="auto" w:sz="0" w:space="0"/>
                <w:lang w:val="en-US" w:eastAsia="zh-CN" w:bidi="ar"/>
              </w:rPr>
              <w:t>，完成值达到指标值，记满分；未达到指标值，按B/A或A/B*该指标分值记分。定量指标若为正向指标（即指标值为≥*），则得分计算方法应用全年实际值（B）/年度指标值（A）*该指标分值；若定量指标为反向指标（即指标值为≤*），则得分计算方法应用年度指标值（A）/全年实际值（B）*该指标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jc w:val="center"/>
        </w:trPr>
        <w:tc>
          <w:tcPr>
            <w:tcW w:w="0" w:type="auto"/>
            <w:gridSpan w:val="11"/>
            <w:tcBorders>
              <w:top w:val="nil"/>
              <w:left w:val="nil"/>
              <w:bottom w:val="nil"/>
              <w:right w:val="nil"/>
            </w:tcBorders>
            <w:shd w:val="clear"/>
            <w:noWrap/>
            <w:vAlign w:val="center"/>
          </w:tcPr>
          <w:p>
            <w:pPr>
              <w:keepNext w:val="0"/>
              <w:keepLines w:val="0"/>
              <w:widowControl/>
              <w:suppressLineNumbers w:val="0"/>
              <w:spacing w:before="0" w:beforeAutospacing="1" w:after="0" w:afterAutospacing="1"/>
              <w:ind w:left="0" w:right="0"/>
              <w:jc w:val="left"/>
              <w:textAlignment w:val="center"/>
            </w:pPr>
            <w:r>
              <w:rPr>
                <w:rFonts w:hint="eastAsia" w:ascii="仿宋" w:hAnsi="仿宋" w:eastAsia="仿宋" w:cs="仿宋"/>
                <w:i w:val="0"/>
                <w:iCs w:val="0"/>
                <w:color w:val="000000"/>
                <w:kern w:val="0"/>
                <w:sz w:val="20"/>
                <w:szCs w:val="20"/>
                <w:bdr w:val="none" w:color="auto" w:sz="0" w:space="0"/>
                <w:lang w:val="en-US" w:eastAsia="zh-CN" w:bidi="ar"/>
              </w:rPr>
              <w:t>    3.请在“偏差原因分析及改进措施”中说明偏离目标、不能完成目标的原因及拟采取的措施。</w:t>
            </w:r>
          </w:p>
        </w:tc>
        <w:tc>
          <w:tcPr>
            <w:tcW w:w="0" w:type="auto"/>
            <w:tcBorders>
              <w:top w:val="nil"/>
              <w:left w:val="nil"/>
              <w:bottom w:val="nil"/>
              <w:right w:val="nil"/>
            </w:tcBorders>
            <w:shd w:val="clear"/>
            <w:noWrap/>
            <w:vAlign w:val="center"/>
          </w:tcPr>
          <w:p>
            <w:pPr>
              <w:keepNext w:val="0"/>
              <w:keepLines w:val="0"/>
              <w:widowControl/>
              <w:suppressLineNumbers w:val="0"/>
              <w:spacing w:before="0" w:beforeAutospacing="1" w:after="0" w:afterAutospacing="1"/>
              <w:ind w:left="0" w:right="0"/>
              <w:jc w:val="left"/>
            </w:pPr>
            <w:r>
              <w:rPr>
                <w:rFonts w:hint="eastAsia" w:ascii="仿宋" w:hAnsi="仿宋" w:eastAsia="仿宋" w:cs="仿宋"/>
                <w:i w:val="0"/>
                <w:iCs w:val="0"/>
                <w:color w:val="000000"/>
                <w:kern w:val="2"/>
                <w:sz w:val="20"/>
                <w:szCs w:val="20"/>
                <w:bdr w:val="none" w:color="auto" w:sz="0" w:space="0"/>
                <w:lang w:val="en-US" w:eastAsia="zh-CN" w:bidi="ar"/>
              </w:rPr>
              <w:t> </w:t>
            </w:r>
          </w:p>
        </w:tc>
        <w:tc>
          <w:tcPr>
            <w:tcW w:w="0" w:type="auto"/>
            <w:tcBorders>
              <w:top w:val="nil"/>
              <w:left w:val="nil"/>
              <w:bottom w:val="nil"/>
              <w:right w:val="nil"/>
            </w:tcBorders>
            <w:shd w:val="clear"/>
            <w:noWrap/>
            <w:vAlign w:val="center"/>
          </w:tcPr>
          <w:p>
            <w:pPr>
              <w:keepNext w:val="0"/>
              <w:keepLines w:val="0"/>
              <w:widowControl/>
              <w:suppressLineNumbers w:val="0"/>
              <w:spacing w:before="0" w:beforeAutospacing="1" w:after="0" w:afterAutospacing="1"/>
              <w:ind w:left="0" w:right="0"/>
              <w:jc w:val="left"/>
            </w:pPr>
            <w:r>
              <w:rPr>
                <w:rFonts w:hint="eastAsia" w:ascii="仿宋" w:hAnsi="仿宋" w:eastAsia="仿宋" w:cs="仿宋"/>
                <w:i w:val="0"/>
                <w:iCs w:val="0"/>
                <w:color w:val="000000"/>
                <w:kern w:val="2"/>
                <w:sz w:val="20"/>
                <w:szCs w:val="20"/>
                <w:bdr w:val="none" w:color="auto" w:sz="0" w:space="0"/>
                <w:lang w:val="en-US" w:eastAsia="zh-CN" w:bidi="ar"/>
              </w:rPr>
              <w:t> </w:t>
            </w:r>
          </w:p>
        </w:tc>
        <w:tc>
          <w:tcPr>
            <w:tcW w:w="0" w:type="auto"/>
            <w:tcBorders>
              <w:top w:val="nil"/>
              <w:left w:val="nil"/>
              <w:bottom w:val="nil"/>
              <w:right w:val="nil"/>
            </w:tcBorders>
            <w:shd w:val="clear"/>
            <w:noWrap/>
            <w:vAlign w:val="center"/>
          </w:tcPr>
          <w:p>
            <w:pPr>
              <w:keepNext w:val="0"/>
              <w:keepLines w:val="0"/>
              <w:widowControl/>
              <w:suppressLineNumbers w:val="0"/>
              <w:spacing w:before="0" w:beforeAutospacing="1" w:after="0" w:afterAutospacing="1"/>
              <w:ind w:left="0" w:right="0"/>
              <w:jc w:val="left"/>
            </w:pPr>
            <w:r>
              <w:rPr>
                <w:rFonts w:hint="eastAsia" w:ascii="仿宋" w:hAnsi="仿宋" w:eastAsia="仿宋" w:cs="仿宋"/>
                <w:i w:val="0"/>
                <w:iCs w:val="0"/>
                <w:color w:val="000000"/>
                <w:kern w:val="2"/>
                <w:sz w:val="20"/>
                <w:szCs w:val="20"/>
                <w:bdr w:val="none" w:color="auto" w:sz="0" w:space="0"/>
                <w:lang w:val="en-US" w:eastAsia="zh-CN" w:bidi="ar"/>
              </w:rPr>
              <w:t> </w:t>
            </w:r>
          </w:p>
        </w:tc>
      </w:tr>
    </w:tbl>
    <w:p>
      <w:pPr>
        <w:keepNext w:val="0"/>
        <w:keepLines w:val="0"/>
        <w:widowControl/>
        <w:suppressLineNumbers w:val="0"/>
        <w:autoSpaceDE w:val="0"/>
        <w:autoSpaceDN w:val="0"/>
        <w:adjustRightInd w:val="0"/>
        <w:spacing w:before="0" w:beforeAutospacing="1" w:after="0" w:afterAutospacing="1" w:line="23" w:lineRule="atLeast"/>
        <w:ind w:left="0" w:right="0"/>
        <w:jc w:val="left"/>
      </w:pPr>
      <w:r>
        <w:rPr>
          <w:rFonts w:hint="eastAsia" w:ascii="Calibri" w:hAnsi="Calibri" w:eastAsia="宋体" w:cs="宋体"/>
          <w:kern w:val="2"/>
          <w:sz w:val="21"/>
          <w:szCs w:val="21"/>
          <w:lang w:val="en-US" w:eastAsia="zh-CN" w:bidi="ar"/>
        </w:rPr>
        <w:t> </w:t>
      </w:r>
    </w:p>
    <w:p>
      <w:pPr>
        <w:keepNext w:val="0"/>
        <w:keepLines w:val="0"/>
        <w:widowControl/>
        <w:suppressLineNumbers w:val="0"/>
        <w:autoSpaceDE w:val="0"/>
        <w:autoSpaceDN w:val="0"/>
        <w:adjustRightInd w:val="0"/>
        <w:spacing w:before="0" w:beforeAutospacing="1" w:after="0" w:afterAutospacing="1" w:line="23" w:lineRule="atLeast"/>
        <w:ind w:left="0" w:right="0"/>
        <w:jc w:val="left"/>
      </w:pPr>
      <w:r>
        <w:rPr>
          <w:rFonts w:hint="default" w:ascii="Calibri" w:hAnsi="Calibri" w:cs="Calibri" w:eastAsiaTheme="minorEastAsia"/>
          <w:kern w:val="2"/>
          <w:sz w:val="21"/>
          <w:szCs w:val="21"/>
          <w:lang w:val="en-US" w:eastAsia="zh-CN" w:bidi="ar"/>
        </w:rPr>
        <w:t> </w:t>
      </w:r>
    </w:p>
    <w:p>
      <w:pPr>
        <w:keepNext w:val="0"/>
        <w:keepLines w:val="0"/>
        <w:widowControl/>
        <w:suppressLineNumbers w:val="0"/>
        <w:autoSpaceDE w:val="0"/>
        <w:autoSpaceDN w:val="0"/>
        <w:adjustRightInd w:val="0"/>
        <w:spacing w:before="0" w:beforeAutospacing="1" w:after="0" w:afterAutospacing="1" w:line="23" w:lineRule="atLeast"/>
        <w:ind w:left="0" w:right="0"/>
        <w:jc w:val="left"/>
      </w:pPr>
      <w:r>
        <w:rPr>
          <w:rFonts w:hint="default" w:ascii="Calibri" w:hAnsi="Calibri" w:cs="Calibri" w:eastAsiaTheme="minorEastAsia"/>
          <w:kern w:val="2"/>
          <w:sz w:val="21"/>
          <w:szCs w:val="21"/>
          <w:lang w:val="en-US" w:eastAsia="zh-CN" w:bidi="ar"/>
        </w:rPr>
        <w:t> </w:t>
      </w:r>
    </w:p>
    <w:p>
      <w:pPr>
        <w:keepNext w:val="0"/>
        <w:keepLines w:val="0"/>
        <w:widowControl/>
        <w:suppressLineNumbers w:val="0"/>
        <w:autoSpaceDE w:val="0"/>
        <w:autoSpaceDN w:val="0"/>
        <w:adjustRightInd w:val="0"/>
        <w:spacing w:before="0" w:beforeAutospacing="1" w:after="0" w:afterAutospacing="1" w:line="23" w:lineRule="atLeast"/>
        <w:ind w:left="0" w:right="0"/>
        <w:jc w:val="left"/>
      </w:pPr>
      <w:r>
        <w:rPr>
          <w:rFonts w:hint="eastAsia" w:ascii="Calibri" w:hAnsi="Calibri" w:eastAsia="宋体" w:cs="宋体"/>
          <w:kern w:val="2"/>
          <w:sz w:val="21"/>
          <w:szCs w:val="21"/>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eastAsia" w:ascii="宋体" w:hAnsi="宋体" w:eastAsia="宋体" w:cs="宋体"/>
          <w:b/>
          <w:bCs w:val="0"/>
          <w:kern w:val="2"/>
          <w:sz w:val="32"/>
          <w:szCs w:val="32"/>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default" w:ascii="方正小标宋简体" w:hAnsi="方正小标宋简体" w:eastAsia="方正小标宋简体" w:cs="方正小标宋简体"/>
          <w:bCs/>
          <w:kern w:val="2"/>
          <w:sz w:val="44"/>
          <w:szCs w:val="44"/>
          <w:lang w:val="en-US" w:eastAsia="zh-CN" w:bidi="ar"/>
        </w:rPr>
        <w:t>第三部分  2021年度单位决算情况说明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 </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color w:val="000000"/>
          <w:kern w:val="2"/>
          <w:sz w:val="30"/>
          <w:szCs w:val="30"/>
          <w:lang w:val="en-US" w:eastAsia="zh-CN" w:bidi="ar"/>
        </w:rPr>
        <w:t>一、收入决算情况说明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本单位2021年度收入总计 212.41万元，较2020年增加 54.04 万元，增加34.12%，其中：年初结转和结余0 万元，较2020年增加 0 万元，增加 0%；本年收入合计212.41万元，较2020年增加 54.04 万元，增加34.12%，主要原因是：中小学生增加了。</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本年收入的具体构成为：财政拨款收入212.41万元，占 100 %；事业收入 0 万元，占 0%；经营收入  0 万元，占0  %；其他收入 0 万元，占 0 %。  </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二、支出决算情况说明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本单位2021年度支出总计212.41万元，其中本年支出合计212.41万元，较2020增加54.04万元，增加 34.12%，主要原因是：中小学生增加了；年末结转和结余 0 万元，较2020年增加（减少）0  万元，增长（下降）0  %，主要原因是：维持收支平衡。</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本年支出的具体构成为：基本支出 212.41万元，占100%；项目支出0 万元，占0 %；经营支出0万元，占0%；其他支出（对附属单位补助支出、上缴上级支出）0万元，占0%。</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color w:val="000000"/>
          <w:kern w:val="2"/>
          <w:sz w:val="30"/>
          <w:szCs w:val="30"/>
          <w:lang w:val="en-US" w:eastAsia="zh-CN" w:bidi="ar"/>
        </w:rPr>
        <w:t>三、财政拨款支出决算情况说明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本单位2021年度财政拨款本年支出年初预算数为212.41万元，决算数为212.41万元，完成年初预算的100%。其中：</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0"/>
          <w:sz w:val="30"/>
          <w:szCs w:val="30"/>
          <w:lang w:val="en-US" w:eastAsia="zh-CN" w:bidi="ar"/>
        </w:rPr>
        <w:t>教育</w:t>
      </w:r>
      <w:r>
        <w:rPr>
          <w:rFonts w:hint="default" w:ascii="仿宋_GB2312" w:eastAsia="仿宋_GB2312" w:cs="仿宋_GB2312" w:hAnsiTheme="minorHAnsi"/>
          <w:kern w:val="2"/>
          <w:sz w:val="30"/>
          <w:szCs w:val="30"/>
          <w:lang w:val="en-US" w:eastAsia="zh-CN" w:bidi="ar"/>
        </w:rPr>
        <w:t>支出年初预算数为212.41万元，决算数为212.41万元，完成年初预算的100%，主要原因是：收支平衡。</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0"/>
          <w:sz w:val="30"/>
          <w:szCs w:val="30"/>
          <w:lang w:val="en-US" w:eastAsia="zh-CN" w:bidi="ar"/>
        </w:rPr>
        <w:t>四、一般公共预算财政拨款基本支出决算情况说明</w:t>
      </w:r>
    </w:p>
    <w:p>
      <w:pPr>
        <w:keepNext w:val="0"/>
        <w:keepLines w:val="0"/>
        <w:widowControl/>
        <w:suppressLineNumbers w:val="0"/>
        <w:spacing w:before="0" w:beforeAutospacing="1" w:after="0" w:afterAutospacing="1"/>
        <w:ind w:left="0" w:right="0" w:firstLine="585"/>
        <w:jc w:val="left"/>
      </w:pPr>
      <w:r>
        <w:rPr>
          <w:rFonts w:hint="default" w:ascii="仿宋_GB2312" w:eastAsia="仿宋_GB2312" w:cs="仿宋_GB2312" w:hAnsiTheme="minorHAnsi"/>
          <w:kern w:val="2"/>
          <w:sz w:val="30"/>
          <w:szCs w:val="30"/>
          <w:lang w:val="en-US" w:eastAsia="zh-CN" w:bidi="ar"/>
        </w:rPr>
        <w:t>本单位2021年度一般公共预算财政拨款基本支出212.41万元，其中：</w:t>
      </w:r>
    </w:p>
    <w:p>
      <w:pPr>
        <w:keepNext w:val="0"/>
        <w:keepLines w:val="0"/>
        <w:widowControl/>
        <w:suppressLineNumbers w:val="0"/>
        <w:spacing w:before="0" w:beforeAutospacing="1" w:after="0" w:afterAutospacing="1"/>
        <w:ind w:left="0" w:right="0" w:firstLine="585"/>
        <w:jc w:val="left"/>
      </w:pPr>
      <w:r>
        <w:rPr>
          <w:rFonts w:hint="default" w:ascii="仿宋_GB2312" w:eastAsia="仿宋_GB2312" w:cs="仿宋_GB2312" w:hAnsiTheme="minorHAnsi"/>
          <w:kern w:val="2"/>
          <w:sz w:val="30"/>
          <w:szCs w:val="30"/>
          <w:lang w:val="en-US" w:eastAsia="zh-CN" w:bidi="ar"/>
        </w:rPr>
        <w:t>（一）工资福利支出88.81万元，较2020年增加17.44万元，增加24.44 %，主要原因是：在职教师数量增加。</w:t>
      </w:r>
    </w:p>
    <w:p>
      <w:pPr>
        <w:keepNext w:val="0"/>
        <w:keepLines w:val="0"/>
        <w:widowControl/>
        <w:suppressLineNumbers w:val="0"/>
        <w:spacing w:before="0" w:beforeAutospacing="1" w:after="0" w:afterAutospacing="1"/>
        <w:ind w:left="0" w:right="0" w:firstLine="585"/>
        <w:jc w:val="left"/>
      </w:pPr>
      <w:r>
        <w:rPr>
          <w:rFonts w:hint="default" w:ascii="仿宋_GB2312" w:eastAsia="仿宋_GB2312" w:cs="仿宋_GB2312" w:hAnsiTheme="minorHAnsi"/>
          <w:kern w:val="2"/>
          <w:sz w:val="30"/>
          <w:szCs w:val="30"/>
          <w:lang w:val="en-US" w:eastAsia="zh-CN" w:bidi="ar"/>
        </w:rPr>
        <w:t>（二）商品和服务支出123.6万元，较2020年增加50.21  万元，增长68.41 %，主要原因是：增加了办公费和其他商品服务支出。</w:t>
      </w:r>
    </w:p>
    <w:p>
      <w:pPr>
        <w:keepNext w:val="0"/>
        <w:keepLines w:val="0"/>
        <w:widowControl/>
        <w:suppressLineNumbers w:val="0"/>
        <w:spacing w:before="0" w:beforeAutospacing="1" w:after="0" w:afterAutospacing="1"/>
        <w:ind w:left="0" w:right="0" w:firstLine="585"/>
        <w:jc w:val="left"/>
      </w:pPr>
      <w:r>
        <w:rPr>
          <w:rFonts w:hint="default" w:ascii="仿宋_GB2312" w:eastAsia="仿宋_GB2312" w:cs="仿宋_GB2312" w:hAnsiTheme="minorHAnsi"/>
          <w:kern w:val="2"/>
          <w:sz w:val="30"/>
          <w:szCs w:val="30"/>
          <w:lang w:val="en-US" w:eastAsia="zh-CN" w:bidi="ar"/>
        </w:rPr>
        <w:t>（三）对个人和家庭补助支出0万元，较2020年减少0万元，下降  0%，主要原因是：无支出    。</w:t>
      </w:r>
    </w:p>
    <w:p>
      <w:pPr>
        <w:keepNext w:val="0"/>
        <w:keepLines w:val="0"/>
        <w:widowControl/>
        <w:suppressLineNumbers w:val="0"/>
        <w:spacing w:before="0" w:beforeAutospacing="1" w:after="0" w:afterAutospacing="1"/>
        <w:ind w:left="0" w:right="0" w:firstLine="585"/>
        <w:jc w:val="left"/>
      </w:pPr>
      <w:r>
        <w:rPr>
          <w:rFonts w:hint="default" w:ascii="仿宋_GB2312" w:eastAsia="仿宋_GB2312" w:cs="仿宋_GB2312" w:hAnsiTheme="minorHAnsi"/>
          <w:kern w:val="2"/>
          <w:sz w:val="30"/>
          <w:szCs w:val="30"/>
          <w:lang w:val="en-US" w:eastAsia="zh-CN" w:bidi="ar"/>
        </w:rPr>
        <w:t>（四）资本性支出0万元，较2020年增加0万元，增长0%，主要原因是：无支出。</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五、一般公共预算财政拨款“三公”经费支出决算情况说明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本单位2021年度一般公共预算财政拨款“三公”经费支出年初预算数为1.5万元，决算数为0.89万元，完成预算的59.33%，决算数较2020年0万元，下降0%，其中：</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一）因公出国（境）支出年初预算数为0万元，决算数为0万元，完成预算的0%，决算数较2020年增加0万元，增长0%，主要原因是没有因公出国的。决算数较年初预算数增加0，的主要原因是：没有因公出国的。全年安排因公出国（境）团组0个，累计0人次，主要为：没有因公出国的。</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（二）公务接待费支出年初预算数为1.5万元，决算数为0.89 万元，完成预算的59.33%，决算数较2020年减少0 万元，下降0%，主要原因是响应政府号召，缩减三公经费开支。决算数较年初预算数增加（减少）的主要原因是：响应政府号召，缩减三公经费开支。全年国内公务接待12批，累计接待90人次，其中外事接待 0批，累计接待0人次，主要为：学校间的交流学习与培训。</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（三）公务用车购置及运行维护费支出0万元，其中公务用车购置年初预算数为0万元，决算数为0万元，完成预算的0%，决算数较2020年增加（减少）0万元，增长（下降）0 %，主要原因是没有公车。</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六、机关运行经费支出情况说明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 xml:space="preserve">本单位不是行政单位或参照公务员法管理事业单位，故无机关运行经费支出”。 </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 </w:t>
      </w:r>
      <w:r>
        <w:rPr>
          <w:rFonts w:hint="eastAsia" w:ascii="黑体" w:hAnsi="宋体" w:eastAsia="黑体" w:cs="黑体"/>
          <w:kern w:val="2"/>
          <w:sz w:val="30"/>
          <w:szCs w:val="30"/>
          <w:lang w:val="en-US" w:eastAsia="zh-CN" w:bidi="ar"/>
        </w:rPr>
        <w:t>七、政府采购支出情况说明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2"/>
          <w:sz w:val="30"/>
          <w:szCs w:val="30"/>
          <w:lang w:val="en-US" w:eastAsia="zh-CN" w:bidi="ar"/>
        </w:rPr>
        <w:t>本单位2021年度政府采购支出总额0万元，其中：政府采购货物支出0万元、政府采购工程支出0万元、政府采购服务支出0万元.</w:t>
      </w:r>
    </w:p>
    <w:p>
      <w:pPr>
        <w:keepNext w:val="0"/>
        <w:keepLines w:val="0"/>
        <w:widowControl/>
        <w:suppressLineNumbers w:val="0"/>
        <w:spacing w:before="0" w:beforeAutospacing="1" w:after="0" w:afterAutospacing="1"/>
        <w:ind w:left="0" w:right="0" w:firstLine="600" w:firstLineChars="200"/>
        <w:jc w:val="left"/>
      </w:pPr>
      <w:r>
        <w:rPr>
          <w:rFonts w:hint="eastAsia" w:ascii="黑体" w:hAnsi="宋体" w:eastAsia="黑体" w:cs="黑体"/>
          <w:kern w:val="2"/>
          <w:sz w:val="30"/>
          <w:szCs w:val="30"/>
          <w:lang w:val="en-US" w:eastAsia="zh-CN" w:bidi="ar"/>
        </w:rPr>
        <w:t>八、</w:t>
      </w:r>
      <w:r>
        <w:rPr>
          <w:rFonts w:hint="eastAsia" w:ascii="黑体" w:hAnsi="宋体" w:eastAsia="黑体" w:cs="黑体"/>
          <w:i w:val="0"/>
          <w:iCs w:val="0"/>
          <w:kern w:val="0"/>
          <w:sz w:val="32"/>
          <w:szCs w:val="32"/>
          <w:lang w:val="en-US" w:eastAsia="zh-CN" w:bidi="ar"/>
        </w:rPr>
        <w:t>国有资本经营预算财政拨款支出情况说明</w:t>
      </w:r>
    </w:p>
    <w:p>
      <w:pPr>
        <w:keepNext w:val="0"/>
        <w:keepLines w:val="0"/>
        <w:widowControl/>
        <w:suppressLineNumbers w:val="0"/>
        <w:spacing w:before="0" w:beforeAutospacing="1" w:after="0" w:afterAutospacing="1"/>
        <w:ind w:left="0" w:right="0" w:firstLine="630"/>
        <w:jc w:val="left"/>
      </w:pPr>
      <w:r>
        <w:rPr>
          <w:rFonts w:hint="eastAsia" w:ascii="仿宋" w:hAnsi="仿宋" w:eastAsia="仿宋" w:cs="仿宋"/>
          <w:i w:val="0"/>
          <w:iCs w:val="0"/>
          <w:kern w:val="0"/>
          <w:sz w:val="32"/>
          <w:szCs w:val="32"/>
          <w:lang w:val="en-US" w:eastAsia="zh-CN" w:bidi="ar"/>
        </w:rPr>
        <w:t>2021年本单位无国有资本经费预算财政拨款支出。</w:t>
      </w:r>
    </w:p>
    <w:p>
      <w:pPr>
        <w:keepNext w:val="0"/>
        <w:keepLines w:val="0"/>
        <w:widowControl/>
        <w:suppressLineNumbers w:val="0"/>
        <w:spacing w:before="0" w:beforeAutospacing="1" w:after="0" w:afterAutospacing="1"/>
        <w:ind w:left="0" w:right="0" w:firstLine="630"/>
        <w:jc w:val="left"/>
      </w:pPr>
      <w:r>
        <w:rPr>
          <w:rFonts w:hint="eastAsia" w:ascii="黑体" w:hAnsi="宋体" w:eastAsia="黑体" w:cs="黑体"/>
          <w:kern w:val="2"/>
          <w:sz w:val="30"/>
          <w:szCs w:val="30"/>
          <w:lang w:val="en-US" w:eastAsia="zh-CN" w:bidi="ar"/>
        </w:rPr>
        <w:t>九、国有资产占用情况说明。</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0"/>
          <w:sz w:val="30"/>
          <w:szCs w:val="30"/>
          <w:lang w:val="en-US" w:eastAsia="zh-CN" w:bidi="ar"/>
        </w:rPr>
        <w:t>截止2021年12月31日，本单位（单位）国有资产占用情况见公开10表《国有资产占用情况表》。</w:t>
      </w:r>
      <w:r>
        <w:rPr>
          <w:rFonts w:hint="default" w:ascii="仿宋_GB2312" w:eastAsia="仿宋_GB2312" w:cs="仿宋_GB2312" w:hAnsiTheme="minorHAnsi"/>
          <w:kern w:val="0"/>
          <w:sz w:val="30"/>
          <w:szCs w:val="30"/>
          <w:lang w:val="en-US" w:eastAsia="zh-CN" w:bidi="ar"/>
        </w:rPr>
        <w:t>本单位无其他用车。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640" w:firstLineChars="200"/>
        <w:jc w:val="both"/>
      </w:pPr>
      <w:r>
        <w:rPr>
          <w:rFonts w:hint="eastAsia" w:ascii="黑体" w:hAnsi="宋体" w:eastAsia="黑体" w:cs="黑体"/>
          <w:b w:val="0"/>
          <w:bCs w:val="0"/>
          <w:i w:val="0"/>
          <w:iCs w:val="0"/>
          <w:caps w:val="0"/>
          <w:color w:val="000000"/>
          <w:spacing w:val="0"/>
          <w:kern w:val="0"/>
          <w:sz w:val="32"/>
          <w:szCs w:val="32"/>
          <w:bdr w:val="none" w:color="auto" w:sz="0" w:space="0"/>
          <w:shd w:val="clear" w:fill="FFFFFF"/>
        </w:rPr>
        <w:t>十、预算绩效情况说明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420"/>
        <w:jc w:val="both"/>
      </w:pPr>
      <w:r>
        <w:rPr>
          <w:rFonts w:hint="eastAsia" w:ascii="仿宋" w:hAnsi="仿宋" w:eastAsia="仿宋" w:cs="仿宋"/>
          <w:i w:val="0"/>
          <w:iCs w:val="0"/>
          <w:caps w:val="0"/>
          <w:color w:val="000000"/>
          <w:spacing w:val="0"/>
          <w:kern w:val="0"/>
          <w:sz w:val="32"/>
          <w:szCs w:val="32"/>
          <w:bdr w:val="none" w:color="auto" w:sz="0" w:space="0"/>
          <w:shd w:val="clear" w:fill="FFFFFF"/>
        </w:rPr>
        <w:t>（一）绩效管理工作开展情况。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firstLine="640" w:firstLineChars="200"/>
        <w:jc w:val="both"/>
      </w:pPr>
      <w:r>
        <w:rPr>
          <w:rFonts w:hint="eastAsia" w:ascii="仿宋" w:hAnsi="仿宋" w:eastAsia="仿宋" w:cs="仿宋"/>
          <w:i w:val="0"/>
          <w:iCs w:val="0"/>
          <w:caps w:val="0"/>
          <w:color w:val="000000"/>
          <w:spacing w:val="0"/>
          <w:kern w:val="0"/>
          <w:sz w:val="32"/>
          <w:szCs w:val="32"/>
          <w:bdr w:val="none" w:color="auto" w:sz="0" w:space="0"/>
          <w:shd w:val="clear" w:fill="FFFFFF"/>
        </w:rPr>
        <w:t>根据预算绩效管理要求，我单位组织对纳入2021年度单位预算范围的二级项目1个公用经费项目全面开展绩效自评。</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leftChars="0" w:right="0" w:firstLine="630" w:firstLineChars="0"/>
        <w:jc w:val="both"/>
      </w:pPr>
      <w:r>
        <w:rPr>
          <w:rFonts w:hint="eastAsia" w:ascii="仿宋" w:hAnsi="仿宋" w:eastAsia="仿宋" w:cs="仿宋"/>
          <w:i w:val="0"/>
          <w:iCs w:val="0"/>
          <w:caps w:val="0"/>
          <w:color w:val="000000"/>
          <w:spacing w:val="0"/>
          <w:kern w:val="0"/>
          <w:sz w:val="32"/>
          <w:szCs w:val="32"/>
          <w:bdr w:val="none" w:color="auto" w:sz="0" w:space="0"/>
          <w:shd w:val="clear" w:fill="FFFFFF"/>
        </w:rPr>
        <w:t>（一）单位决算中项目绩效自评情况。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rightChars="0" w:firstLine="640"/>
        <w:jc w:val="both"/>
      </w:pPr>
      <w:r>
        <w:rPr>
          <w:rFonts w:hint="eastAsia" w:ascii="仿宋" w:hAnsi="仿宋" w:eastAsia="仿宋" w:cs="仿宋"/>
          <w:i w:val="0"/>
          <w:iCs w:val="0"/>
          <w:caps w:val="0"/>
          <w:color w:val="000000"/>
          <w:spacing w:val="0"/>
          <w:kern w:val="0"/>
          <w:sz w:val="32"/>
          <w:szCs w:val="32"/>
          <w:bdr w:val="none" w:color="auto" w:sz="0" w:space="0"/>
          <w:shd w:val="clear" w:fill="FFFFFF"/>
        </w:rPr>
        <w:t>我单位今年在单位决算中反映学校生均公用经费项目绩效自评结果。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240" w:lineRule="atLeast"/>
        <w:ind w:left="0" w:right="0" w:rightChars="0" w:firstLine="640"/>
        <w:jc w:val="both"/>
      </w:pPr>
      <w:r>
        <w:rPr>
          <w:rFonts w:hint="eastAsia" w:ascii="仿宋" w:hAnsi="仿宋" w:eastAsia="仿宋" w:cs="仿宋"/>
          <w:i w:val="0"/>
          <w:iCs w:val="0"/>
          <w:caps w:val="0"/>
          <w:color w:val="000000"/>
          <w:spacing w:val="0"/>
          <w:kern w:val="0"/>
          <w:sz w:val="32"/>
          <w:szCs w:val="32"/>
          <w:bdr w:val="none" w:color="auto" w:sz="0" w:space="0"/>
          <w:shd w:val="clear" w:fill="FFFFFF"/>
        </w:rPr>
        <w:t>学校生均公用经费绩效自评综述：根据年初设定的绩效目标，学校生均公用经费绩效自评得分为99.8分。项目全年预算为123.6万元，执行数为123.6万元，完成预算的100%。主要产出和效果：保障了学校的正常运行，提高了学校的教育教学质量，学校、家长和学生的满意度为98%。（见《项目支出绩效自评表》）</w:t>
      </w:r>
    </w:p>
    <w:p>
      <w:pPr>
        <w:keepNext w:val="0"/>
        <w:keepLines w:val="0"/>
        <w:widowControl/>
        <w:suppressLineNumbers w:val="0"/>
        <w:spacing w:before="0" w:beforeAutospacing="1" w:after="0" w:afterAutospacing="1"/>
        <w:ind w:left="0" w:right="0" w:firstLine="630"/>
        <w:jc w:val="left"/>
      </w:pPr>
      <w:r>
        <w:rPr>
          <w:rFonts w:hint="default" w:ascii="仿宋_GB2312" w:eastAsia="仿宋_GB2312" w:cs="仿宋_GB2312" w:hAnsiTheme="minorHAnsi"/>
          <w:kern w:val="0"/>
          <w:sz w:val="30"/>
          <w:szCs w:val="30"/>
          <w:lang w:val="en-US" w:eastAsia="zh-CN" w:bidi="ar"/>
        </w:rPr>
        <w:t> </w:t>
      </w:r>
    </w:p>
    <w:p>
      <w:pPr>
        <w:keepNext w:val="0"/>
        <w:keepLines w:val="0"/>
        <w:widowControl/>
        <w:suppressLineNumbers w:val="0"/>
        <w:autoSpaceDE w:val="0"/>
        <w:autoSpaceDN w:val="0"/>
        <w:adjustRightInd w:val="0"/>
        <w:spacing w:before="0" w:beforeAutospacing="1" w:after="0" w:afterAutospacing="1" w:line="23" w:lineRule="atLeast"/>
        <w:ind w:left="0" w:right="0" w:firstLine="600"/>
        <w:jc w:val="left"/>
      </w:pPr>
      <w:r>
        <w:rPr>
          <w:rFonts w:hint="default" w:ascii="方正小标宋简体" w:hAnsi="方正小标宋简体" w:eastAsia="方正小标宋简体" w:cs="方正小标宋简体"/>
          <w:kern w:val="0"/>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default" w:ascii="方正小标宋简体" w:hAnsi="方正小标宋简体" w:eastAsia="方正小标宋简体" w:cs="方正小标宋简体"/>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default" w:ascii="方正小标宋简体" w:hAnsi="方正小标宋简体" w:eastAsia="方正小标宋简体" w:cs="方正小标宋简体"/>
          <w:kern w:val="2"/>
          <w:sz w:val="44"/>
          <w:szCs w:val="44"/>
          <w:lang w:val="en-US" w:eastAsia="zh-CN" w:bidi="ar"/>
        </w:rPr>
        <w:t> </w:t>
      </w:r>
    </w:p>
    <w:p>
      <w:pPr>
        <w:keepNext w:val="0"/>
        <w:keepLines w:val="0"/>
        <w:widowControl/>
        <w:suppressLineNumbers w:val="0"/>
        <w:spacing w:before="0" w:beforeAutospacing="1" w:after="0" w:afterAutospacing="1" w:line="600" w:lineRule="exact"/>
        <w:ind w:left="0" w:right="0" w:firstLine="640"/>
        <w:jc w:val="center"/>
      </w:pPr>
      <w:r>
        <w:rPr>
          <w:rFonts w:hint="default" w:ascii="方正小标宋简体" w:hAnsi="方正小标宋简体" w:eastAsia="方正小标宋简体" w:cs="方正小标宋简体"/>
          <w:kern w:val="2"/>
          <w:sz w:val="44"/>
          <w:szCs w:val="44"/>
          <w:lang w:val="en-US" w:eastAsia="zh-CN" w:bidi="ar"/>
        </w:rPr>
        <w:t>第四部分  名词解释</w:t>
      </w:r>
    </w:p>
    <w:p>
      <w:pPr>
        <w:pStyle w:val="2"/>
        <w:keepNext w:val="0"/>
        <w:keepLines w:val="0"/>
        <w:widowControl/>
        <w:suppressLineNumbers w:val="0"/>
        <w:spacing w:before="0" w:beforeAutospacing="1" w:after="0" w:afterAutospacing="1" w:line="600" w:lineRule="atLeast"/>
        <w:ind w:left="0" w:right="0" w:firstLine="600"/>
      </w:pPr>
      <w:r>
        <w:rPr>
          <w:rFonts w:hint="default" w:ascii="仿宋_GB2312" w:eastAsia="仿宋_GB2312" w:cs="Times New Roman"/>
          <w:kern w:val="0"/>
          <w:sz w:val="30"/>
          <w:szCs w:val="30"/>
        </w:rPr>
        <w:t>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一、财政拨款收入：指单位本年度从本级财政单位取得的财政拨款，包括一般公共预算财政拨款和政府性基金预算财政拨款。</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二、上级补助收入：指事业单位从主管单位和上级单位取得的非财政补助收入。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三、事业收入：指事业单位开展专业业务活动及其辅助活动取得的收入；事业单位收到的财政专户实际核拨的教育收费等资金在此反映。</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四、经营收入：指事业单位在专业业务活动及其辅助活动之外开展非独立核算经营活动取得的收入。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五、附属单位缴款：指事业单位附属独立核算单位按照有关规定上缴的收入。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六、其他收入：指单位取得的除上述“财政拨款收入”、“事业收入”、“经营收入”、“附属单位缴款”等以外的各项收入。</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七、用事业基金弥补收支差额：指事业单位用事业基金弥补当年收支差额的数额。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八、年初结转和结余：指单位上年结转本年使用的基本支出结转、项目支出结转和结余和经营结余。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九、结余分配：指事业单位按规定对非财政补助结余资金提取的职工福利基金、事业基金和缴纳的所得税，以及减少单位按规定应缴回的基本建设竣工项目结余资金。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十、年末结转和结余资金：指单位结转下年的基本支出结转、项目支出结转和结余和经营结余。</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十一、基本支出：指为保障机构正常运转、完成日常工作任务而发生的人员支出和公用支出。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十二、项目支出：指在基本支出之外为完成特定的行政任务或事业发展目标所发生的支出。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十三、上缴上级支出：指事业单位按照财政单位和主管单位的规定上缴上级单位的支出。</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十四、经营支出：指事业单位在专业业务活动及其辅助活动之外开展非独立核算经营活动发生的支出。</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十五、对附属单位补助支出：指事业单位用财政补助收入之外的收入对附属单位补助发生的支出。</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 xml:space="preserve">十六、“三公”经费：指各单位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 </w:t>
      </w:r>
    </w:p>
    <w:p>
      <w:pPr>
        <w:keepNext w:val="0"/>
        <w:keepLines w:val="0"/>
        <w:widowControl/>
        <w:suppressLineNumbers w:val="0"/>
        <w:spacing w:before="0" w:beforeAutospacing="1" w:after="0" w:afterAutospacing="1"/>
        <w:ind w:left="0" w:right="0" w:firstLine="600" w:firstLineChars="200"/>
        <w:jc w:val="left"/>
      </w:pPr>
      <w:r>
        <w:rPr>
          <w:rFonts w:hint="eastAsia" w:ascii="仿宋" w:hAnsi="仿宋" w:eastAsia="仿宋" w:cs="仿宋"/>
          <w:kern w:val="0"/>
          <w:sz w:val="30"/>
          <w:szCs w:val="30"/>
          <w:lang w:val="en-US" w:eastAsia="zh-CN" w:bidi="ar"/>
        </w:rPr>
        <w:t>十七、机关运行经费：指为保障行政单位（含参照公务员法管理的事业单位）运行用于购买货物和服务的各项资金，包括办公费、印刷费、差旅费、会议费、日常维修费、专用材料及办公用房水电费、物业管理费、公务用车运行维护费等。在财政部有明确规定前，“机关运行经费”暂指一般公共预算安排的基本支出中的“商品和服务支出”经费。</w:t>
      </w:r>
      <w:r>
        <w:rPr>
          <w:rFonts w:hint="default" w:ascii="仿宋_GB2312" w:eastAsia="仿宋_GB2312" w:cs="仿宋_GB2312" w:hAnsiTheme="minorHAnsi"/>
          <w:kern w:val="0"/>
          <w:sz w:val="30"/>
          <w:szCs w:val="30"/>
          <w:lang w:val="en-US" w:eastAsia="zh-CN" w:bidi="ar"/>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0MjFkY2YxYmQ1M2IxNzNkYWU4ZjhkOTZhZDQyMGEifQ=="/>
  </w:docVars>
  <w:rsids>
    <w:rsidRoot w:val="3488380E"/>
    <w:rsid w:val="34883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2023-10-07T09:32:00Z</dcterms:created>
  <dc:creator>才东东</dc:creator>
  <cp:lastModifiedBy>才东东</cp:lastModifiedBy>
  <dcterms:modified xsi:type="dcterms:W3CDTF">2023-10-07T09:35:48Z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5F35E5984DF54EFFB785541A47E21E88_11</vt:lpwstr>
  </property>
</Properties>
</file>