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kern w:val="2"/>
          <w:sz w:val="44"/>
          <w:szCs w:val="44"/>
          <w:lang w:val="en-US" w:eastAsia="zh-CN" w:bidi="ar"/>
        </w:rPr>
        <w:t>宁都县</w:t>
      </w:r>
      <w:r>
        <w:rPr>
          <w:rFonts w:hint="eastAsia" w:ascii="方正小标宋简体" w:hAnsi="方正小标宋简体" w:eastAsia="方正小标宋简体" w:cs="方正小标宋简体"/>
          <w:kern w:val="2"/>
          <w:sz w:val="44"/>
          <w:szCs w:val="44"/>
          <w:lang w:val="en-US" w:eastAsia="zh-CN" w:bidi="ar"/>
        </w:rPr>
        <w:t>东韶中心小学2021年度单位决算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eastAsia" w:ascii="方正小标宋简体" w:hAnsi="方正小标宋简体" w:eastAsia="方正小标宋简体" w:cs="方正小标宋简体"/>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 东韶中心小学概况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numId w:val="0"/>
        </w:numPr>
        <w:suppressLineNumbers w:val="0"/>
        <w:spacing w:before="0" w:beforeAutospacing="1" w:after="0" w:afterAutospacing="1" w:line="600" w:lineRule="exact"/>
        <w:ind w:left="1280" w:right="0" w:firstLine="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right="0" w:firstLine="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十、国有资产占用情况表</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 2021年度单位决算情况说明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bdr w:val="none" w:color="auto" w:sz="0" w:space="0"/>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2"/>
          <w:sz w:val="36"/>
          <w:szCs w:val="36"/>
          <w:lang w:val="en-US" w:eastAsia="zh-CN" w:bidi="ar"/>
        </w:rPr>
        <w:t> </w:t>
      </w:r>
    </w:p>
    <w:p>
      <w:pPr>
        <w:keepNext w:val="0"/>
        <w:keepLines w:val="0"/>
        <w:widowControl/>
        <w:suppressLineNumbers w:val="0"/>
        <w:spacing w:before="0" w:beforeAutospacing="1" w:after="0" w:afterAutospacing="1" w:line="580" w:lineRule="exact"/>
        <w:ind w:left="0" w:right="0"/>
        <w:jc w:val="center"/>
      </w:pPr>
      <w:r>
        <w:rPr>
          <w:rFonts w:hint="eastAsia" w:ascii="方正小标宋简体" w:hAnsi="方正小标宋简体" w:eastAsia="方正小标宋简体" w:cs="方正小标宋简体"/>
          <w:bCs/>
          <w:kern w:val="2"/>
          <w:sz w:val="44"/>
          <w:szCs w:val="44"/>
          <w:lang w:val="en-US" w:eastAsia="zh-CN" w:bidi="ar"/>
        </w:rPr>
        <w:t>第一部分  东韶中心小学概况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一、单位主要职能</w:t>
      </w:r>
    </w:p>
    <w:p>
      <w:pPr>
        <w:pStyle w:val="2"/>
        <w:keepNext w:val="0"/>
        <w:keepLines w:val="0"/>
        <w:widowControl/>
        <w:suppressLineNumbers w:val="0"/>
        <w:spacing w:before="0" w:beforeAutospacing="0" w:after="0" w:afterAutospacing="0" w:line="500" w:lineRule="exact"/>
        <w:ind w:left="0" w:right="0" w:firstLine="600" w:firstLineChars="200"/>
      </w:pPr>
      <w:r>
        <w:rPr>
          <w:rFonts w:hint="eastAsia" w:ascii="仿宋" w:hAnsi="仿宋" w:eastAsia="仿宋" w:cs="仿宋"/>
          <w:sz w:val="30"/>
          <w:szCs w:val="30"/>
        </w:rPr>
        <w:t>1</w:t>
      </w:r>
      <w:r>
        <w:rPr>
          <w:rFonts w:hint="eastAsia" w:ascii="仿宋" w:hAnsi="仿宋" w:eastAsia="仿宋" w:cs="仿宋"/>
          <w:spacing w:val="7"/>
          <w:sz w:val="30"/>
          <w:szCs w:val="30"/>
        </w:rPr>
        <w:t>、负责贯彻党的教育方针，坚持社会主义办学方向，对学生进行德</w:t>
      </w:r>
      <w:r>
        <w:rPr>
          <w:rFonts w:hint="eastAsia" w:ascii="仿宋" w:hAnsi="仿宋" w:eastAsia="仿宋" w:cs="仿宋"/>
          <w:spacing w:val="-9"/>
          <w:sz w:val="30"/>
          <w:szCs w:val="30"/>
        </w:rPr>
        <w:t>育、智育、体育、美育和劳动教育等方面的教育。</w:t>
      </w:r>
    </w:p>
    <w:p>
      <w:pPr>
        <w:pStyle w:val="2"/>
        <w:keepNext w:val="0"/>
        <w:keepLines w:val="0"/>
        <w:widowControl/>
        <w:suppressLineNumbers w:val="0"/>
        <w:spacing w:before="0" w:beforeAutospacing="0" w:after="0" w:afterAutospacing="0" w:line="500" w:lineRule="exact"/>
        <w:ind w:left="0" w:right="0" w:firstLine="600" w:firstLineChars="200"/>
      </w:pPr>
      <w:r>
        <w:rPr>
          <w:rFonts w:hint="eastAsia" w:ascii="仿宋" w:hAnsi="仿宋" w:eastAsia="仿宋" w:cs="仿宋"/>
          <w:sz w:val="30"/>
          <w:szCs w:val="30"/>
        </w:rPr>
        <w:t>2</w:t>
      </w:r>
      <w:r>
        <w:rPr>
          <w:rFonts w:hint="eastAsia" w:ascii="仿宋" w:hAnsi="仿宋" w:eastAsia="仿宋" w:cs="仿宋"/>
          <w:spacing w:val="7"/>
          <w:sz w:val="30"/>
          <w:szCs w:val="30"/>
        </w:rPr>
        <w:t>、负责配合各级人民政府依法动员适龄儿童、少年入学，严格控制</w:t>
      </w:r>
      <w:r>
        <w:rPr>
          <w:rFonts w:hint="eastAsia" w:ascii="仿宋" w:hAnsi="仿宋" w:eastAsia="仿宋" w:cs="仿宋"/>
          <w:spacing w:val="-11"/>
          <w:sz w:val="30"/>
          <w:szCs w:val="30"/>
        </w:rPr>
        <w:t>学生辍学，依法保证适龄儿童、少年接受九年义务教育。</w:t>
      </w:r>
      <w:r>
        <w:rPr>
          <w:rFonts w:hint="eastAsia" w:ascii="仿宋" w:hAnsi="仿宋" w:eastAsia="仿宋" w:cs="仿宋"/>
          <w:sz w:val="30"/>
          <w:szCs w:val="30"/>
        </w:rPr>
        <w:t> </w:t>
      </w:r>
    </w:p>
    <w:p>
      <w:pPr>
        <w:pStyle w:val="2"/>
        <w:keepNext w:val="0"/>
        <w:keepLines w:val="0"/>
        <w:widowControl/>
        <w:suppressLineNumbers w:val="0"/>
        <w:spacing w:before="0" w:beforeAutospacing="0" w:after="0" w:afterAutospacing="0" w:line="500" w:lineRule="exact"/>
        <w:ind w:left="0" w:right="0" w:firstLine="600" w:firstLineChars="200"/>
      </w:pPr>
      <w:r>
        <w:rPr>
          <w:rFonts w:hint="eastAsia" w:ascii="仿宋" w:hAnsi="仿宋" w:eastAsia="仿宋" w:cs="仿宋"/>
          <w:sz w:val="30"/>
          <w:szCs w:val="30"/>
        </w:rPr>
        <w:t>3</w:t>
      </w:r>
      <w:r>
        <w:rPr>
          <w:rFonts w:hint="eastAsia" w:ascii="仿宋" w:hAnsi="仿宋" w:eastAsia="仿宋" w:cs="仿宋"/>
          <w:spacing w:val="-9"/>
          <w:sz w:val="30"/>
          <w:szCs w:val="30"/>
        </w:rPr>
        <w:t>、负责制定学校教育发展规划，并抓好组织实施和落实工作。</w:t>
      </w:r>
    </w:p>
    <w:p>
      <w:pPr>
        <w:pStyle w:val="2"/>
        <w:keepNext w:val="0"/>
        <w:keepLines w:val="0"/>
        <w:widowControl/>
        <w:suppressLineNumbers w:val="0"/>
        <w:spacing w:before="0" w:beforeAutospacing="0" w:after="0" w:afterAutospacing="0" w:line="500" w:lineRule="exact"/>
        <w:ind w:left="0" w:right="0" w:firstLine="600" w:firstLineChars="200"/>
      </w:pPr>
      <w:r>
        <w:rPr>
          <w:rFonts w:hint="eastAsia" w:ascii="仿宋" w:hAnsi="仿宋" w:eastAsia="仿宋" w:cs="仿宋"/>
          <w:sz w:val="30"/>
          <w:szCs w:val="30"/>
        </w:rPr>
        <w:t>4</w:t>
      </w:r>
      <w:r>
        <w:rPr>
          <w:rFonts w:hint="eastAsia" w:ascii="仿宋" w:hAnsi="仿宋" w:eastAsia="仿宋" w:cs="仿宋"/>
          <w:spacing w:val="7"/>
          <w:sz w:val="30"/>
          <w:szCs w:val="30"/>
        </w:rPr>
        <w:t>、负责按照教育主管单位发布的指导性教学计划、教学大纲，组织</w:t>
      </w:r>
      <w:r>
        <w:rPr>
          <w:rFonts w:hint="eastAsia" w:ascii="仿宋" w:hAnsi="仿宋" w:eastAsia="仿宋" w:cs="仿宋"/>
          <w:spacing w:val="-11"/>
          <w:sz w:val="30"/>
          <w:szCs w:val="30"/>
        </w:rPr>
        <w:t>实施教育教学活动。</w:t>
      </w:r>
    </w:p>
    <w:p>
      <w:pPr>
        <w:pStyle w:val="2"/>
        <w:keepNext w:val="0"/>
        <w:keepLines w:val="0"/>
        <w:widowControl/>
        <w:suppressLineNumbers w:val="0"/>
        <w:spacing w:before="0" w:beforeAutospacing="0" w:after="0" w:afterAutospacing="0" w:line="500" w:lineRule="exact"/>
        <w:ind w:left="0" w:right="0" w:firstLine="600" w:firstLineChars="200"/>
      </w:pPr>
      <w:r>
        <w:rPr>
          <w:rFonts w:hint="eastAsia" w:ascii="仿宋" w:hAnsi="仿宋" w:eastAsia="仿宋" w:cs="仿宋"/>
          <w:sz w:val="30"/>
          <w:szCs w:val="30"/>
        </w:rPr>
        <w:t>5</w:t>
      </w:r>
      <w:r>
        <w:rPr>
          <w:rFonts w:hint="eastAsia" w:ascii="仿宋" w:hAnsi="仿宋" w:eastAsia="仿宋" w:cs="仿宋"/>
          <w:spacing w:val="7"/>
          <w:sz w:val="30"/>
          <w:szCs w:val="30"/>
        </w:rPr>
        <w:t>、负责依据国家主管单位有关教学计划、课程设置等方面的规定，决定和实施本校的教学计划，组织教学评比、集体备课，对学生进行考核、考试等。</w:t>
      </w:r>
    </w:p>
    <w:p>
      <w:pPr>
        <w:pStyle w:val="2"/>
        <w:keepNext w:val="0"/>
        <w:keepLines w:val="0"/>
        <w:widowControl/>
        <w:suppressLineNumbers w:val="0"/>
        <w:spacing w:before="0" w:beforeAutospacing="0" w:after="0" w:afterAutospacing="0" w:line="500" w:lineRule="exact"/>
        <w:ind w:left="0" w:right="0" w:firstLine="600" w:firstLineChars="200"/>
      </w:pPr>
      <w:r>
        <w:rPr>
          <w:rFonts w:hint="eastAsia" w:ascii="仿宋" w:hAnsi="仿宋" w:eastAsia="仿宋" w:cs="仿宋"/>
          <w:sz w:val="30"/>
          <w:szCs w:val="30"/>
        </w:rPr>
        <w:t>6</w:t>
      </w:r>
      <w:r>
        <w:rPr>
          <w:rFonts w:hint="eastAsia" w:ascii="仿宋" w:hAnsi="仿宋" w:eastAsia="仿宋" w:cs="仿宋"/>
          <w:spacing w:val="-4"/>
          <w:sz w:val="30"/>
          <w:szCs w:val="30"/>
        </w:rPr>
        <w:t>、负责学籍管理。</w:t>
      </w:r>
    </w:p>
    <w:p>
      <w:pPr>
        <w:pStyle w:val="2"/>
        <w:keepNext w:val="0"/>
        <w:keepLines w:val="0"/>
        <w:widowControl/>
        <w:suppressLineNumbers w:val="0"/>
        <w:spacing w:before="0" w:beforeAutospacing="0" w:after="0" w:afterAutospacing="0" w:line="500" w:lineRule="exact"/>
        <w:ind w:left="0" w:right="0" w:firstLine="600" w:firstLineChars="200"/>
      </w:pPr>
      <w:r>
        <w:rPr>
          <w:rFonts w:hint="eastAsia" w:ascii="仿宋" w:hAnsi="仿宋" w:eastAsia="仿宋" w:cs="仿宋"/>
          <w:sz w:val="30"/>
          <w:szCs w:val="30"/>
        </w:rPr>
        <w:t>7</w:t>
      </w:r>
      <w:r>
        <w:rPr>
          <w:rFonts w:hint="eastAsia" w:ascii="仿宋" w:hAnsi="仿宋" w:eastAsia="仿宋" w:cs="仿宋"/>
          <w:spacing w:val="-9"/>
          <w:sz w:val="30"/>
          <w:szCs w:val="30"/>
        </w:rPr>
        <w:t>、负责聘任、培训、考核教师，依法奖励或处分有关教师和职工。</w:t>
      </w:r>
    </w:p>
    <w:p>
      <w:pPr>
        <w:pStyle w:val="2"/>
        <w:keepNext w:val="0"/>
        <w:keepLines w:val="0"/>
        <w:widowControl/>
        <w:suppressLineNumbers w:val="0"/>
        <w:spacing w:before="0" w:beforeAutospacing="0" w:after="0" w:afterAutospacing="0" w:line="500" w:lineRule="exact"/>
        <w:ind w:left="0" w:right="0" w:firstLine="600" w:firstLineChars="200"/>
      </w:pPr>
      <w:r>
        <w:rPr>
          <w:rFonts w:hint="eastAsia" w:ascii="仿宋" w:hAnsi="仿宋" w:eastAsia="仿宋" w:cs="仿宋"/>
          <w:sz w:val="30"/>
          <w:szCs w:val="30"/>
        </w:rPr>
        <w:t>8</w:t>
      </w:r>
      <w:r>
        <w:rPr>
          <w:rFonts w:hint="eastAsia" w:ascii="仿宋" w:hAnsi="仿宋" w:eastAsia="仿宋" w:cs="仿宋"/>
          <w:spacing w:val="7"/>
          <w:sz w:val="30"/>
          <w:szCs w:val="30"/>
        </w:rPr>
        <w:t>、负责科学管理、合理使用学校的设施和经费，并积极筹措资金，</w:t>
      </w:r>
      <w:r>
        <w:rPr>
          <w:rFonts w:hint="eastAsia" w:ascii="仿宋" w:hAnsi="仿宋" w:eastAsia="仿宋" w:cs="仿宋"/>
          <w:spacing w:val="-5"/>
          <w:sz w:val="30"/>
          <w:szCs w:val="30"/>
        </w:rPr>
        <w:t>改善办学条件。</w:t>
      </w:r>
    </w:p>
    <w:p>
      <w:pPr>
        <w:pStyle w:val="2"/>
        <w:keepNext w:val="0"/>
        <w:keepLines w:val="0"/>
        <w:widowControl/>
        <w:suppressLineNumbers w:val="0"/>
        <w:spacing w:before="0" w:beforeAutospacing="0" w:after="0" w:afterAutospacing="0" w:line="500" w:lineRule="exact"/>
        <w:ind w:left="0" w:right="0" w:firstLine="600" w:firstLineChars="200"/>
      </w:pPr>
      <w:r>
        <w:rPr>
          <w:rFonts w:hint="eastAsia" w:ascii="仿宋" w:hAnsi="仿宋" w:eastAsia="仿宋" w:cs="仿宋"/>
          <w:sz w:val="30"/>
          <w:szCs w:val="30"/>
        </w:rPr>
        <w:t>9</w:t>
      </w:r>
      <w:r>
        <w:rPr>
          <w:rFonts w:hint="eastAsia" w:ascii="仿宋" w:hAnsi="仿宋" w:eastAsia="仿宋" w:cs="仿宋"/>
          <w:spacing w:val="7"/>
          <w:sz w:val="30"/>
          <w:szCs w:val="30"/>
        </w:rPr>
        <w:t>、负责维护学校、师生的合法权益，有权拒绝任何组织和个人对教</w:t>
      </w:r>
      <w:r>
        <w:rPr>
          <w:rFonts w:hint="eastAsia" w:ascii="仿宋" w:hAnsi="仿宋" w:eastAsia="仿宋" w:cs="仿宋"/>
          <w:spacing w:val="-8"/>
          <w:sz w:val="30"/>
          <w:szCs w:val="30"/>
        </w:rPr>
        <w:t>育教学活动进行非法干涉。</w:t>
      </w:r>
    </w:p>
    <w:p>
      <w:pPr>
        <w:pStyle w:val="2"/>
        <w:keepNext w:val="0"/>
        <w:keepLines w:val="0"/>
        <w:widowControl/>
        <w:suppressLineNumbers w:val="0"/>
        <w:spacing w:before="0" w:beforeAutospacing="0" w:after="0" w:afterAutospacing="0" w:line="500" w:lineRule="exact"/>
        <w:ind w:left="0" w:right="0" w:firstLine="564" w:firstLineChars="200"/>
      </w:pPr>
      <w:r>
        <w:rPr>
          <w:rFonts w:hint="eastAsia" w:ascii="仿宋" w:hAnsi="仿宋" w:eastAsia="仿宋" w:cs="仿宋"/>
          <w:spacing w:val="-9"/>
          <w:sz w:val="30"/>
          <w:szCs w:val="30"/>
        </w:rPr>
        <w:t>10、依法接受各级教育行政单位的检查指导和人民群众的监督。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二、单位基本情况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 1个。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本单位2021年年末实有人数115人，其中在职人员55人，离休人员0人，退休人员60人（含由养老保险基金发放养老金的离退休人员）；年末其他人员0人；年末学生人数732人。</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asciiTheme="minorHAnsi" w:hAnsiTheme="minorHAnsi" w:eastAsiaTheme="minorEastAsia" w:cstheme="minorBidi"/>
          <w:b/>
          <w:bCs/>
          <w:kern w:val="0"/>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Cs/>
          <w:kern w:val="2"/>
          <w:sz w:val="44"/>
          <w:szCs w:val="44"/>
          <w:lang w:val="en-US" w:eastAsia="zh-CN" w:bidi="ar"/>
        </w:rPr>
        <w:t>第二部分  2021年度单位决算表</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cs="Calibri" w:eastAsiaTheme="minorEastAsia"/>
          <w:kern w:val="2"/>
          <w:sz w:val="21"/>
          <w:szCs w:val="21"/>
          <w:lang w:val="en-US" w:eastAsia="zh-CN" w:bidi="ar"/>
        </w:rPr>
        <w:t> </w:t>
      </w:r>
    </w:p>
    <w:tbl>
      <w:tblPr>
        <w:tblW w:w="6340"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08"/>
        <w:gridCol w:w="478"/>
        <w:gridCol w:w="721"/>
        <w:gridCol w:w="3354"/>
        <w:gridCol w:w="478"/>
        <w:gridCol w:w="1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8" w:hRule="atLeast"/>
        </w:trPr>
        <w:tc>
          <w:tcPr>
            <w:tcW w:w="6340" w:type="dxa"/>
            <w:gridSpan w:val="6"/>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kern w:val="0"/>
                <w:sz w:val="44"/>
                <w:szCs w:val="44"/>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kern w:val="0"/>
                <w:sz w:val="20"/>
                <w:szCs w:val="20"/>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kern w:val="0"/>
                <w:sz w:val="20"/>
                <w:szCs w:val="20"/>
                <w:bdr w:val="none" w:color="auto" w:sz="0" w:space="0"/>
                <w:lang w:val="en-US" w:eastAsia="zh-CN" w:bidi="ar"/>
              </w:rPr>
              <w:t>编制单位：宁都县东韶中心小学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收     入</w:t>
            </w:r>
          </w:p>
        </w:tc>
        <w:tc>
          <w:tcPr>
            <w:tcW w:w="0" w:type="auto"/>
            <w:gridSpan w:val="3"/>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项    目</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行次</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决算数</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项目（按功能分类）</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行次</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栏    次</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栏    次</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一、一般公共预算财政拨款收入</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729.66</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一、一般公共服务支出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32</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二、政府性基金预算财政拨款收入</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二、外交支出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33</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三、国有资本经营预算财政拨款收入</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3</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三、国防支出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34</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四、上级补助收入</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4</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四、公共安全支出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35</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五、事业收入</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5</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46.66</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五、教育支出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36</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776.31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六、经营收入</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6</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六、科学技术支出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37</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七、附属单位上缴收入</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7</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七、文化旅游体育与传媒支出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38</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八、其他收入</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8</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八、社会保障和就业支出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39</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9</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九、卫生健康支出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40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十、节能环保支出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41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十一、城乡社区支出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42</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12</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十二、农林水支出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43</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13</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十三、交通运输支出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44</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14</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十四、资源勘探工业信息等支出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45</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15</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十五、商业服务业等支出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46</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16</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十六、金融支出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47</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17</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十七、援助其他地区支出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48</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18</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十八、自然资源海洋气象等支出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49</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19</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十九、住房保障支出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50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二十、粮油物资储备支出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51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二十一、国有资本经营预算支出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52</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22</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二十二、灾害防治及应急管理支出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53</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23</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二十三、其他支出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54</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24</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二十四、债务还本支出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55</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25</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二十五、债务付息支出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56</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26</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二十六、抗疫特别国债安排的支出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57</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本年收入合计</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27</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776.31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本年支出合计</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58</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776.31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  使用非财政拨款结余</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28</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  结余分配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59</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  年初结转和结余</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29</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  年末结转和结余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60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30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61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kern w:val="0"/>
                <w:sz w:val="22"/>
                <w:szCs w:val="22"/>
                <w:bdr w:val="none" w:color="auto" w:sz="0" w:space="0"/>
                <w:lang w:val="en-US" w:eastAsia="zh-CN" w:bidi="ar"/>
              </w:rPr>
              <w:t>总计</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31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776.31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kern w:val="0"/>
                <w:sz w:val="22"/>
                <w:szCs w:val="22"/>
                <w:bdr w:val="none" w:color="auto" w:sz="0" w:space="0"/>
                <w:lang w:val="en-US" w:eastAsia="zh-CN" w:bidi="ar"/>
              </w:rPr>
              <w:t>总计</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62</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776.31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6"/>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注：1.本表反映单位本年度的总收支和年末结转结余情况。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6"/>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    2.本套报表金额单位转换时可能存在尾数误差。</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仿宋_GB2312" w:eastAsia="仿宋_GB2312" w:cs="仿宋_GB2312" w:hAnsiTheme="minorHAnsi"/>
          <w:kern w:val="0"/>
          <w:sz w:val="30"/>
          <w:szCs w:val="30"/>
          <w:lang w:val="en-US" w:eastAsia="zh-CN" w:bidi="ar"/>
        </w:rPr>
        <w:t> </w:t>
      </w:r>
    </w:p>
    <w:tbl>
      <w:tblPr>
        <w:tblW w:w="77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43"/>
        <w:gridCol w:w="383"/>
        <w:gridCol w:w="383"/>
        <w:gridCol w:w="1051"/>
        <w:gridCol w:w="717"/>
        <w:gridCol w:w="717"/>
        <w:gridCol w:w="550"/>
        <w:gridCol w:w="634"/>
        <w:gridCol w:w="550"/>
        <w:gridCol w:w="550"/>
        <w:gridCol w:w="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755" w:type="dxa"/>
            <w:gridSpan w:val="11"/>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kern w:val="0"/>
                <w:sz w:val="44"/>
                <w:szCs w:val="44"/>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780"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600"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630"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630"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780"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780"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kern w:val="0"/>
                <w:sz w:val="20"/>
                <w:szCs w:val="20"/>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kern w:val="0"/>
                <w:sz w:val="20"/>
                <w:szCs w:val="20"/>
                <w:bdr w:val="none" w:color="auto" w:sz="0" w:space="0"/>
                <w:lang w:val="en-US" w:eastAsia="zh-CN" w:bidi="ar"/>
              </w:rPr>
              <w:t>编制单位：宁都县东韶中心小学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780"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600"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kern w:val="0"/>
                <w:sz w:val="20"/>
                <w:szCs w:val="20"/>
                <w:bdr w:val="none" w:color="auto" w:sz="0" w:space="0"/>
                <w:lang w:val="en-US" w:eastAsia="zh-CN" w:bidi="ar"/>
              </w:rPr>
              <w:t>2021年度</w:t>
            </w:r>
          </w:p>
        </w:tc>
        <w:tc>
          <w:tcPr>
            <w:tcW w:w="630"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630"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780"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780"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项    目</w:t>
            </w:r>
          </w:p>
        </w:tc>
        <w:tc>
          <w:tcPr>
            <w:tcW w:w="885"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本年收入合计</w:t>
            </w:r>
          </w:p>
        </w:tc>
        <w:tc>
          <w:tcPr>
            <w:tcW w:w="780"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财政拨款收入</w:t>
            </w:r>
          </w:p>
        </w:tc>
        <w:tc>
          <w:tcPr>
            <w:tcW w:w="600"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上级补助收入</w:t>
            </w:r>
          </w:p>
        </w:tc>
        <w:tc>
          <w:tcPr>
            <w:tcW w:w="630"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事业收入</w:t>
            </w:r>
          </w:p>
        </w:tc>
        <w:tc>
          <w:tcPr>
            <w:tcW w:w="630"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经营收入</w:t>
            </w:r>
          </w:p>
        </w:tc>
        <w:tc>
          <w:tcPr>
            <w:tcW w:w="780"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附属单位上缴收入</w:t>
            </w:r>
          </w:p>
        </w:tc>
        <w:tc>
          <w:tcPr>
            <w:tcW w:w="780"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5" w:type="dxa"/>
            <w:gridSpan w:val="3"/>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支出功能分类科目编码</w:t>
            </w:r>
          </w:p>
        </w:tc>
        <w:tc>
          <w:tcPr>
            <w:tcW w:w="0" w:type="auto"/>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科目名称</w:t>
            </w:r>
          </w:p>
        </w:tc>
        <w:tc>
          <w:tcPr>
            <w:tcW w:w="885" w:type="dxa"/>
            <w:vMerge w:val="continue"/>
            <w:tcBorders>
              <w:left w:val="nil"/>
            </w:tcBorders>
            <w:shd w:val="clear"/>
            <w:vAlign w:val="center"/>
          </w:tcPr>
          <w:p>
            <w:pPr>
              <w:rPr>
                <w:rFonts w:hint="eastAsia" w:ascii="宋体"/>
                <w:sz w:val="24"/>
                <w:szCs w:val="24"/>
              </w:rPr>
            </w:pPr>
          </w:p>
        </w:tc>
        <w:tc>
          <w:tcPr>
            <w:tcW w:w="780" w:type="dxa"/>
            <w:vMerge w:val="continue"/>
            <w:tcBorders>
              <w:left w:val="nil"/>
            </w:tcBorders>
            <w:shd w:val="clear"/>
            <w:vAlign w:val="center"/>
          </w:tcPr>
          <w:p>
            <w:pPr>
              <w:rPr>
                <w:rFonts w:hint="eastAsia" w:ascii="宋体"/>
                <w:sz w:val="24"/>
                <w:szCs w:val="24"/>
              </w:rPr>
            </w:pPr>
          </w:p>
        </w:tc>
        <w:tc>
          <w:tcPr>
            <w:tcW w:w="600" w:type="dxa"/>
            <w:vMerge w:val="continue"/>
            <w:tcBorders>
              <w:left w:val="nil"/>
            </w:tcBorders>
            <w:shd w:val="clear"/>
            <w:vAlign w:val="center"/>
          </w:tcPr>
          <w:p>
            <w:pPr>
              <w:rPr>
                <w:rFonts w:hint="eastAsia" w:ascii="宋体"/>
                <w:sz w:val="24"/>
                <w:szCs w:val="24"/>
              </w:rPr>
            </w:pPr>
          </w:p>
        </w:tc>
        <w:tc>
          <w:tcPr>
            <w:tcW w:w="630" w:type="dxa"/>
            <w:vMerge w:val="continue"/>
            <w:tcBorders>
              <w:left w:val="nil"/>
            </w:tcBorders>
            <w:shd w:val="clear"/>
            <w:vAlign w:val="center"/>
          </w:tcPr>
          <w:p>
            <w:pPr>
              <w:rPr>
                <w:rFonts w:hint="eastAsia" w:ascii="宋体"/>
                <w:sz w:val="24"/>
                <w:szCs w:val="24"/>
              </w:rPr>
            </w:pPr>
          </w:p>
        </w:tc>
        <w:tc>
          <w:tcPr>
            <w:tcW w:w="630" w:type="dxa"/>
            <w:vMerge w:val="continue"/>
            <w:tcBorders>
              <w:left w:val="nil"/>
            </w:tcBorders>
            <w:shd w:val="clear"/>
            <w:vAlign w:val="center"/>
          </w:tcPr>
          <w:p>
            <w:pPr>
              <w:rPr>
                <w:rFonts w:hint="eastAsia" w:ascii="宋体"/>
                <w:sz w:val="24"/>
                <w:szCs w:val="24"/>
              </w:rPr>
            </w:pPr>
          </w:p>
        </w:tc>
        <w:tc>
          <w:tcPr>
            <w:tcW w:w="780" w:type="dxa"/>
            <w:vMerge w:val="continue"/>
            <w:tcBorders>
              <w:left w:val="nil"/>
            </w:tcBorders>
            <w:shd w:val="clear"/>
            <w:vAlign w:val="center"/>
          </w:tcPr>
          <w:p>
            <w:pPr>
              <w:rPr>
                <w:rFonts w:hint="eastAsia" w:ascii="宋体"/>
                <w:sz w:val="24"/>
                <w:szCs w:val="24"/>
              </w:rPr>
            </w:pPr>
          </w:p>
        </w:tc>
        <w:tc>
          <w:tcPr>
            <w:tcW w:w="780" w:type="dxa"/>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5" w:type="dxa"/>
            <w:gridSpan w:val="3"/>
            <w:vMerge w:val="continue"/>
            <w:tcBorders>
              <w:top w:val="nil"/>
            </w:tcBorders>
            <w:shd w:val="clear"/>
            <w:vAlign w:val="center"/>
          </w:tcPr>
          <w:p>
            <w:pPr>
              <w:rPr>
                <w:rFonts w:hint="eastAsia" w:ascii="宋体"/>
                <w:sz w:val="24"/>
                <w:szCs w:val="24"/>
              </w:rPr>
            </w:pPr>
          </w:p>
        </w:tc>
        <w:tc>
          <w:tcPr>
            <w:tcW w:w="0" w:type="auto"/>
            <w:vMerge w:val="continue"/>
            <w:tcBorders>
              <w:top w:val="nil"/>
              <w:left w:val="nil"/>
            </w:tcBorders>
            <w:shd w:val="clear"/>
            <w:noWrap/>
            <w:vAlign w:val="center"/>
          </w:tcPr>
          <w:p>
            <w:pPr>
              <w:rPr>
                <w:rFonts w:hint="eastAsia" w:ascii="宋体"/>
                <w:sz w:val="24"/>
                <w:szCs w:val="24"/>
              </w:rPr>
            </w:pPr>
          </w:p>
        </w:tc>
        <w:tc>
          <w:tcPr>
            <w:tcW w:w="885" w:type="dxa"/>
            <w:vMerge w:val="continue"/>
            <w:tcBorders>
              <w:left w:val="nil"/>
            </w:tcBorders>
            <w:shd w:val="clear"/>
            <w:vAlign w:val="center"/>
          </w:tcPr>
          <w:p>
            <w:pPr>
              <w:rPr>
                <w:rFonts w:hint="eastAsia" w:ascii="宋体"/>
                <w:sz w:val="24"/>
                <w:szCs w:val="24"/>
              </w:rPr>
            </w:pPr>
          </w:p>
        </w:tc>
        <w:tc>
          <w:tcPr>
            <w:tcW w:w="780" w:type="dxa"/>
            <w:vMerge w:val="continue"/>
            <w:tcBorders>
              <w:left w:val="nil"/>
            </w:tcBorders>
            <w:shd w:val="clear"/>
            <w:vAlign w:val="center"/>
          </w:tcPr>
          <w:p>
            <w:pPr>
              <w:rPr>
                <w:rFonts w:hint="eastAsia" w:ascii="宋体"/>
                <w:sz w:val="24"/>
                <w:szCs w:val="24"/>
              </w:rPr>
            </w:pPr>
          </w:p>
        </w:tc>
        <w:tc>
          <w:tcPr>
            <w:tcW w:w="600" w:type="dxa"/>
            <w:vMerge w:val="continue"/>
            <w:tcBorders>
              <w:left w:val="nil"/>
            </w:tcBorders>
            <w:shd w:val="clear"/>
            <w:vAlign w:val="center"/>
          </w:tcPr>
          <w:p>
            <w:pPr>
              <w:rPr>
                <w:rFonts w:hint="eastAsia" w:ascii="宋体"/>
                <w:sz w:val="24"/>
                <w:szCs w:val="24"/>
              </w:rPr>
            </w:pPr>
          </w:p>
        </w:tc>
        <w:tc>
          <w:tcPr>
            <w:tcW w:w="630" w:type="dxa"/>
            <w:vMerge w:val="continue"/>
            <w:tcBorders>
              <w:left w:val="nil"/>
            </w:tcBorders>
            <w:shd w:val="clear"/>
            <w:vAlign w:val="center"/>
          </w:tcPr>
          <w:p>
            <w:pPr>
              <w:rPr>
                <w:rFonts w:hint="eastAsia" w:ascii="宋体"/>
                <w:sz w:val="24"/>
                <w:szCs w:val="24"/>
              </w:rPr>
            </w:pPr>
          </w:p>
        </w:tc>
        <w:tc>
          <w:tcPr>
            <w:tcW w:w="630" w:type="dxa"/>
            <w:vMerge w:val="continue"/>
            <w:tcBorders>
              <w:left w:val="nil"/>
            </w:tcBorders>
            <w:shd w:val="clear"/>
            <w:vAlign w:val="center"/>
          </w:tcPr>
          <w:p>
            <w:pPr>
              <w:rPr>
                <w:rFonts w:hint="eastAsia" w:ascii="宋体"/>
                <w:sz w:val="24"/>
                <w:szCs w:val="24"/>
              </w:rPr>
            </w:pPr>
          </w:p>
        </w:tc>
        <w:tc>
          <w:tcPr>
            <w:tcW w:w="780" w:type="dxa"/>
            <w:vMerge w:val="continue"/>
            <w:tcBorders>
              <w:left w:val="nil"/>
            </w:tcBorders>
            <w:shd w:val="clear"/>
            <w:vAlign w:val="center"/>
          </w:tcPr>
          <w:p>
            <w:pPr>
              <w:rPr>
                <w:rFonts w:hint="eastAsia" w:ascii="宋体"/>
                <w:sz w:val="24"/>
                <w:szCs w:val="24"/>
              </w:rPr>
            </w:pPr>
          </w:p>
        </w:tc>
        <w:tc>
          <w:tcPr>
            <w:tcW w:w="780" w:type="dxa"/>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5" w:type="dxa"/>
            <w:gridSpan w:val="3"/>
            <w:vMerge w:val="continue"/>
            <w:tcBorders>
              <w:top w:val="nil"/>
            </w:tcBorders>
            <w:shd w:val="clear"/>
            <w:vAlign w:val="center"/>
          </w:tcPr>
          <w:p>
            <w:pPr>
              <w:rPr>
                <w:rFonts w:hint="eastAsia" w:ascii="宋体"/>
                <w:sz w:val="24"/>
                <w:szCs w:val="24"/>
              </w:rPr>
            </w:pPr>
          </w:p>
        </w:tc>
        <w:tc>
          <w:tcPr>
            <w:tcW w:w="0" w:type="auto"/>
            <w:vMerge w:val="continue"/>
            <w:tcBorders>
              <w:top w:val="nil"/>
              <w:left w:val="nil"/>
            </w:tcBorders>
            <w:shd w:val="clear"/>
            <w:noWrap/>
            <w:vAlign w:val="center"/>
          </w:tcPr>
          <w:p>
            <w:pPr>
              <w:rPr>
                <w:rFonts w:hint="eastAsia" w:ascii="宋体"/>
                <w:sz w:val="24"/>
                <w:szCs w:val="24"/>
              </w:rPr>
            </w:pPr>
          </w:p>
        </w:tc>
        <w:tc>
          <w:tcPr>
            <w:tcW w:w="885" w:type="dxa"/>
            <w:vMerge w:val="continue"/>
            <w:tcBorders>
              <w:left w:val="nil"/>
            </w:tcBorders>
            <w:shd w:val="clear"/>
            <w:vAlign w:val="center"/>
          </w:tcPr>
          <w:p>
            <w:pPr>
              <w:rPr>
                <w:rFonts w:hint="eastAsia" w:ascii="宋体"/>
                <w:sz w:val="24"/>
                <w:szCs w:val="24"/>
              </w:rPr>
            </w:pPr>
          </w:p>
        </w:tc>
        <w:tc>
          <w:tcPr>
            <w:tcW w:w="780" w:type="dxa"/>
            <w:vMerge w:val="continue"/>
            <w:tcBorders>
              <w:left w:val="nil"/>
            </w:tcBorders>
            <w:shd w:val="clear"/>
            <w:vAlign w:val="center"/>
          </w:tcPr>
          <w:p>
            <w:pPr>
              <w:rPr>
                <w:rFonts w:hint="eastAsia" w:ascii="宋体"/>
                <w:sz w:val="24"/>
                <w:szCs w:val="24"/>
              </w:rPr>
            </w:pPr>
          </w:p>
        </w:tc>
        <w:tc>
          <w:tcPr>
            <w:tcW w:w="600" w:type="dxa"/>
            <w:vMerge w:val="continue"/>
            <w:tcBorders>
              <w:left w:val="nil"/>
            </w:tcBorders>
            <w:shd w:val="clear"/>
            <w:vAlign w:val="center"/>
          </w:tcPr>
          <w:p>
            <w:pPr>
              <w:rPr>
                <w:rFonts w:hint="eastAsia" w:ascii="宋体"/>
                <w:sz w:val="24"/>
                <w:szCs w:val="24"/>
              </w:rPr>
            </w:pPr>
          </w:p>
        </w:tc>
        <w:tc>
          <w:tcPr>
            <w:tcW w:w="630" w:type="dxa"/>
            <w:vMerge w:val="continue"/>
            <w:tcBorders>
              <w:left w:val="nil"/>
            </w:tcBorders>
            <w:shd w:val="clear"/>
            <w:vAlign w:val="center"/>
          </w:tcPr>
          <w:p>
            <w:pPr>
              <w:rPr>
                <w:rFonts w:hint="eastAsia" w:ascii="宋体"/>
                <w:sz w:val="24"/>
                <w:szCs w:val="24"/>
              </w:rPr>
            </w:pPr>
          </w:p>
        </w:tc>
        <w:tc>
          <w:tcPr>
            <w:tcW w:w="630" w:type="dxa"/>
            <w:vMerge w:val="continue"/>
            <w:tcBorders>
              <w:left w:val="nil"/>
            </w:tcBorders>
            <w:shd w:val="clear"/>
            <w:vAlign w:val="center"/>
          </w:tcPr>
          <w:p>
            <w:pPr>
              <w:rPr>
                <w:rFonts w:hint="eastAsia" w:ascii="宋体"/>
                <w:sz w:val="24"/>
                <w:szCs w:val="24"/>
              </w:rPr>
            </w:pPr>
          </w:p>
        </w:tc>
        <w:tc>
          <w:tcPr>
            <w:tcW w:w="780" w:type="dxa"/>
            <w:vMerge w:val="continue"/>
            <w:tcBorders>
              <w:left w:val="nil"/>
            </w:tcBorders>
            <w:shd w:val="clear"/>
            <w:vAlign w:val="center"/>
          </w:tcPr>
          <w:p>
            <w:pPr>
              <w:rPr>
                <w:rFonts w:hint="eastAsia" w:ascii="宋体"/>
                <w:sz w:val="24"/>
                <w:szCs w:val="24"/>
              </w:rPr>
            </w:pPr>
          </w:p>
        </w:tc>
        <w:tc>
          <w:tcPr>
            <w:tcW w:w="780" w:type="dxa"/>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restar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类</w:t>
            </w:r>
          </w:p>
        </w:tc>
        <w:tc>
          <w:tcPr>
            <w:tcW w:w="0" w:type="auto"/>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款</w:t>
            </w:r>
          </w:p>
        </w:tc>
        <w:tc>
          <w:tcPr>
            <w:tcW w:w="0" w:type="auto"/>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项</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栏次</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w:t>
            </w:r>
          </w:p>
        </w:tc>
        <w:tc>
          <w:tcPr>
            <w:tcW w:w="780"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w:t>
            </w:r>
          </w:p>
        </w:tc>
        <w:tc>
          <w:tcPr>
            <w:tcW w:w="600"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3</w:t>
            </w:r>
          </w:p>
        </w:tc>
        <w:tc>
          <w:tcPr>
            <w:tcW w:w="630"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4</w:t>
            </w:r>
          </w:p>
        </w:tc>
        <w:tc>
          <w:tcPr>
            <w:tcW w:w="630"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5</w:t>
            </w:r>
          </w:p>
        </w:tc>
        <w:tc>
          <w:tcPr>
            <w:tcW w:w="780"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6</w:t>
            </w:r>
          </w:p>
        </w:tc>
        <w:tc>
          <w:tcPr>
            <w:tcW w:w="780"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continue"/>
            <w:tcBorders>
              <w:top w:val="nil"/>
            </w:tcBorders>
            <w:shd w:val="clear"/>
            <w:noWrap/>
            <w:vAlign w:val="center"/>
          </w:tcPr>
          <w:p>
            <w:pPr>
              <w:rPr>
                <w:rFonts w:hint="eastAsia" w:ascii="宋体"/>
                <w:sz w:val="24"/>
                <w:szCs w:val="24"/>
              </w:rPr>
            </w:pPr>
          </w:p>
        </w:tc>
        <w:tc>
          <w:tcPr>
            <w:tcW w:w="0" w:type="auto"/>
            <w:vMerge w:val="continue"/>
            <w:tcBorders>
              <w:top w:val="nil"/>
              <w:left w:val="nil"/>
            </w:tcBorders>
            <w:shd w:val="clear"/>
            <w:noWrap/>
            <w:vAlign w:val="center"/>
          </w:tcPr>
          <w:p>
            <w:pPr>
              <w:rPr>
                <w:rFonts w:hint="eastAsia" w:ascii="宋体"/>
                <w:sz w:val="24"/>
                <w:szCs w:val="24"/>
              </w:rPr>
            </w:pPr>
          </w:p>
        </w:tc>
        <w:tc>
          <w:tcPr>
            <w:tcW w:w="0" w:type="auto"/>
            <w:vMerge w:val="continue"/>
            <w:tcBorders>
              <w:top w:val="nil"/>
              <w:left w:val="nil"/>
            </w:tcBorders>
            <w:shd w:val="clear"/>
            <w:noWrap/>
            <w:vAlign w:val="center"/>
          </w:tcPr>
          <w:p>
            <w:pPr>
              <w:rPr>
                <w:rFonts w:hint="eastAsia" w:ascii="宋体"/>
                <w:sz w:val="24"/>
                <w:szCs w:val="24"/>
              </w:rPr>
            </w:pP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合计</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776.31</w:t>
            </w:r>
          </w:p>
        </w:tc>
        <w:tc>
          <w:tcPr>
            <w:tcW w:w="78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729.66</w:t>
            </w:r>
          </w:p>
        </w:tc>
        <w:tc>
          <w:tcPr>
            <w:tcW w:w="60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63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46.66</w:t>
            </w:r>
          </w:p>
        </w:tc>
        <w:tc>
          <w:tcPr>
            <w:tcW w:w="63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8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8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205</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教育支出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776.31</w:t>
            </w:r>
          </w:p>
        </w:tc>
        <w:tc>
          <w:tcPr>
            <w:tcW w:w="78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729.66</w:t>
            </w:r>
          </w:p>
        </w:tc>
        <w:tc>
          <w:tcPr>
            <w:tcW w:w="60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63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46.66</w:t>
            </w:r>
          </w:p>
        </w:tc>
        <w:tc>
          <w:tcPr>
            <w:tcW w:w="63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8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8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20502</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普通教育</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776.31</w:t>
            </w:r>
          </w:p>
        </w:tc>
        <w:tc>
          <w:tcPr>
            <w:tcW w:w="78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729.66</w:t>
            </w:r>
          </w:p>
        </w:tc>
        <w:tc>
          <w:tcPr>
            <w:tcW w:w="60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63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46.66</w:t>
            </w:r>
          </w:p>
        </w:tc>
        <w:tc>
          <w:tcPr>
            <w:tcW w:w="63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8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8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2050202</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  小学教育</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776.31</w:t>
            </w:r>
          </w:p>
        </w:tc>
        <w:tc>
          <w:tcPr>
            <w:tcW w:w="78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729.66</w:t>
            </w:r>
          </w:p>
        </w:tc>
        <w:tc>
          <w:tcPr>
            <w:tcW w:w="60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63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46.66</w:t>
            </w:r>
          </w:p>
        </w:tc>
        <w:tc>
          <w:tcPr>
            <w:tcW w:w="63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8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8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78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60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63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63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78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78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78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60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63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63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78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78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78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60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63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63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78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78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78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60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63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63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78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78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78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60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63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63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78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780" w:type="dxa"/>
            <w:tcBorders>
              <w:top w:val="nil"/>
              <w:left w:val="nil"/>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7755" w:type="dxa"/>
            <w:gridSpan w:val="11"/>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注：本表反映单位本年度取得的各项收入情况。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cs="Calibri" w:eastAsiaTheme="minorEastAsia"/>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cs="Calibri" w:eastAsiaTheme="minorEastAsia"/>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cs="Calibri" w:eastAsiaTheme="minorEastAsia"/>
          <w:kern w:val="2"/>
          <w:sz w:val="21"/>
          <w:szCs w:val="21"/>
          <w:lang w:val="en-US" w:eastAsia="zh-CN" w:bidi="ar"/>
        </w:rPr>
      </w:pPr>
      <w:r>
        <w:rPr>
          <w:rFonts w:hint="default" w:ascii="Calibri" w:hAnsi="Calibri" w:cs="Calibri" w:eastAsiaTheme="minorEastAsia"/>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cs="Calibri" w:eastAsiaTheme="minorEastAsia"/>
          <w:kern w:val="2"/>
          <w:sz w:val="21"/>
          <w:szCs w:val="21"/>
          <w:lang w:val="en-US" w:eastAsia="zh-CN" w:bidi="ar"/>
        </w:rPr>
      </w:pPr>
    </w:p>
    <w:tbl>
      <w:tblPr>
        <w:tblW w:w="78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263"/>
        <w:gridCol w:w="377"/>
        <w:gridCol w:w="377"/>
        <w:gridCol w:w="1021"/>
        <w:gridCol w:w="699"/>
        <w:gridCol w:w="838"/>
        <w:gridCol w:w="538"/>
        <w:gridCol w:w="538"/>
        <w:gridCol w:w="538"/>
        <w:gridCol w:w="1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90" w:type="dxa"/>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kern w:val="0"/>
                <w:sz w:val="44"/>
                <w:szCs w:val="44"/>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kern w:val="0"/>
                <w:sz w:val="20"/>
                <w:szCs w:val="20"/>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kern w:val="0"/>
                <w:sz w:val="20"/>
                <w:szCs w:val="20"/>
                <w:bdr w:val="none" w:color="auto" w:sz="0" w:space="0"/>
                <w:lang w:val="en-US" w:eastAsia="zh-CN" w:bidi="ar"/>
              </w:rPr>
              <w:t>编制单位：宁都县东韶中心小学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项    目</w:t>
            </w:r>
          </w:p>
        </w:tc>
        <w:tc>
          <w:tcPr>
            <w:tcW w:w="795"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本年支出合计</w:t>
            </w:r>
          </w:p>
        </w:tc>
        <w:tc>
          <w:tcPr>
            <w:tcW w:w="795"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基本支出</w:t>
            </w:r>
          </w:p>
        </w:tc>
        <w:tc>
          <w:tcPr>
            <w:tcW w:w="795"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项目支出</w:t>
            </w:r>
          </w:p>
        </w:tc>
        <w:tc>
          <w:tcPr>
            <w:tcW w:w="795"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上缴上级支出</w:t>
            </w:r>
          </w:p>
        </w:tc>
        <w:tc>
          <w:tcPr>
            <w:tcW w:w="795"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经营支出</w:t>
            </w:r>
          </w:p>
        </w:tc>
        <w:tc>
          <w:tcPr>
            <w:tcW w:w="795"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560" w:type="dxa"/>
            <w:gridSpan w:val="3"/>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支出功能分类科目编码</w:t>
            </w:r>
          </w:p>
        </w:tc>
        <w:tc>
          <w:tcPr>
            <w:tcW w:w="0" w:type="auto"/>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科目名称</w:t>
            </w:r>
          </w:p>
        </w:tc>
        <w:tc>
          <w:tcPr>
            <w:tcW w:w="795" w:type="dxa"/>
            <w:vMerge w:val="continue"/>
            <w:tcBorders>
              <w:left w:val="nil"/>
            </w:tcBorders>
            <w:shd w:val="clear"/>
            <w:vAlign w:val="center"/>
          </w:tcPr>
          <w:p>
            <w:pPr>
              <w:rPr>
                <w:rFonts w:hint="eastAsia" w:ascii="宋体"/>
                <w:sz w:val="24"/>
                <w:szCs w:val="24"/>
              </w:rPr>
            </w:pPr>
          </w:p>
        </w:tc>
        <w:tc>
          <w:tcPr>
            <w:tcW w:w="795" w:type="dxa"/>
            <w:vMerge w:val="continue"/>
            <w:tcBorders>
              <w:left w:val="nil"/>
            </w:tcBorders>
            <w:shd w:val="clear"/>
            <w:vAlign w:val="center"/>
          </w:tcPr>
          <w:p>
            <w:pPr>
              <w:rPr>
                <w:rFonts w:hint="eastAsia" w:ascii="宋体"/>
                <w:sz w:val="24"/>
                <w:szCs w:val="24"/>
              </w:rPr>
            </w:pPr>
          </w:p>
        </w:tc>
        <w:tc>
          <w:tcPr>
            <w:tcW w:w="795" w:type="dxa"/>
            <w:vMerge w:val="continue"/>
            <w:tcBorders>
              <w:left w:val="nil"/>
            </w:tcBorders>
            <w:shd w:val="clear"/>
            <w:vAlign w:val="center"/>
          </w:tcPr>
          <w:p>
            <w:pPr>
              <w:rPr>
                <w:rFonts w:hint="eastAsia" w:ascii="宋体"/>
                <w:sz w:val="24"/>
                <w:szCs w:val="24"/>
              </w:rPr>
            </w:pPr>
          </w:p>
        </w:tc>
        <w:tc>
          <w:tcPr>
            <w:tcW w:w="795" w:type="dxa"/>
            <w:vMerge w:val="continue"/>
            <w:tcBorders>
              <w:left w:val="nil"/>
            </w:tcBorders>
            <w:shd w:val="clear"/>
            <w:vAlign w:val="center"/>
          </w:tcPr>
          <w:p>
            <w:pPr>
              <w:rPr>
                <w:rFonts w:hint="eastAsia" w:ascii="宋体"/>
                <w:sz w:val="24"/>
                <w:szCs w:val="24"/>
              </w:rPr>
            </w:pPr>
          </w:p>
        </w:tc>
        <w:tc>
          <w:tcPr>
            <w:tcW w:w="795" w:type="dxa"/>
            <w:vMerge w:val="continue"/>
            <w:tcBorders>
              <w:left w:val="nil"/>
            </w:tcBorders>
            <w:shd w:val="clear"/>
            <w:vAlign w:val="center"/>
          </w:tcPr>
          <w:p>
            <w:pPr>
              <w:rPr>
                <w:rFonts w:hint="eastAsia" w:ascii="宋体"/>
                <w:sz w:val="24"/>
                <w:szCs w:val="24"/>
              </w:rPr>
            </w:pPr>
          </w:p>
        </w:tc>
        <w:tc>
          <w:tcPr>
            <w:tcW w:w="795" w:type="dxa"/>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560" w:type="dxa"/>
            <w:gridSpan w:val="3"/>
            <w:vMerge w:val="continue"/>
            <w:tcBorders>
              <w:top w:val="nil"/>
            </w:tcBorders>
            <w:shd w:val="clear"/>
            <w:vAlign w:val="center"/>
          </w:tcPr>
          <w:p>
            <w:pPr>
              <w:rPr>
                <w:rFonts w:hint="eastAsia" w:ascii="宋体"/>
                <w:sz w:val="24"/>
                <w:szCs w:val="24"/>
              </w:rPr>
            </w:pPr>
          </w:p>
        </w:tc>
        <w:tc>
          <w:tcPr>
            <w:tcW w:w="0" w:type="auto"/>
            <w:vMerge w:val="continue"/>
            <w:tcBorders>
              <w:top w:val="nil"/>
              <w:left w:val="nil"/>
            </w:tcBorders>
            <w:shd w:val="clear"/>
            <w:noWrap/>
            <w:vAlign w:val="center"/>
          </w:tcPr>
          <w:p>
            <w:pPr>
              <w:rPr>
                <w:rFonts w:hint="eastAsia" w:ascii="宋体"/>
                <w:sz w:val="24"/>
                <w:szCs w:val="24"/>
              </w:rPr>
            </w:pPr>
          </w:p>
        </w:tc>
        <w:tc>
          <w:tcPr>
            <w:tcW w:w="795" w:type="dxa"/>
            <w:vMerge w:val="continue"/>
            <w:tcBorders>
              <w:left w:val="nil"/>
            </w:tcBorders>
            <w:shd w:val="clear"/>
            <w:vAlign w:val="center"/>
          </w:tcPr>
          <w:p>
            <w:pPr>
              <w:rPr>
                <w:rFonts w:hint="eastAsia" w:ascii="宋体"/>
                <w:sz w:val="24"/>
                <w:szCs w:val="24"/>
              </w:rPr>
            </w:pPr>
          </w:p>
        </w:tc>
        <w:tc>
          <w:tcPr>
            <w:tcW w:w="795" w:type="dxa"/>
            <w:vMerge w:val="continue"/>
            <w:tcBorders>
              <w:left w:val="nil"/>
            </w:tcBorders>
            <w:shd w:val="clear"/>
            <w:vAlign w:val="center"/>
          </w:tcPr>
          <w:p>
            <w:pPr>
              <w:rPr>
                <w:rFonts w:hint="eastAsia" w:ascii="宋体"/>
                <w:sz w:val="24"/>
                <w:szCs w:val="24"/>
              </w:rPr>
            </w:pPr>
          </w:p>
        </w:tc>
        <w:tc>
          <w:tcPr>
            <w:tcW w:w="795" w:type="dxa"/>
            <w:vMerge w:val="continue"/>
            <w:tcBorders>
              <w:left w:val="nil"/>
            </w:tcBorders>
            <w:shd w:val="clear"/>
            <w:vAlign w:val="center"/>
          </w:tcPr>
          <w:p>
            <w:pPr>
              <w:rPr>
                <w:rFonts w:hint="eastAsia" w:ascii="宋体"/>
                <w:sz w:val="24"/>
                <w:szCs w:val="24"/>
              </w:rPr>
            </w:pPr>
          </w:p>
        </w:tc>
        <w:tc>
          <w:tcPr>
            <w:tcW w:w="795" w:type="dxa"/>
            <w:vMerge w:val="continue"/>
            <w:tcBorders>
              <w:left w:val="nil"/>
            </w:tcBorders>
            <w:shd w:val="clear"/>
            <w:vAlign w:val="center"/>
          </w:tcPr>
          <w:p>
            <w:pPr>
              <w:rPr>
                <w:rFonts w:hint="eastAsia" w:ascii="宋体"/>
                <w:sz w:val="24"/>
                <w:szCs w:val="24"/>
              </w:rPr>
            </w:pPr>
          </w:p>
        </w:tc>
        <w:tc>
          <w:tcPr>
            <w:tcW w:w="795" w:type="dxa"/>
            <w:vMerge w:val="continue"/>
            <w:tcBorders>
              <w:left w:val="nil"/>
            </w:tcBorders>
            <w:shd w:val="clear"/>
            <w:vAlign w:val="center"/>
          </w:tcPr>
          <w:p>
            <w:pPr>
              <w:rPr>
                <w:rFonts w:hint="eastAsia" w:ascii="宋体"/>
                <w:sz w:val="24"/>
                <w:szCs w:val="24"/>
              </w:rPr>
            </w:pPr>
          </w:p>
        </w:tc>
        <w:tc>
          <w:tcPr>
            <w:tcW w:w="795" w:type="dxa"/>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560" w:type="dxa"/>
            <w:gridSpan w:val="3"/>
            <w:vMerge w:val="continue"/>
            <w:tcBorders>
              <w:top w:val="nil"/>
            </w:tcBorders>
            <w:shd w:val="clear"/>
            <w:vAlign w:val="center"/>
          </w:tcPr>
          <w:p>
            <w:pPr>
              <w:rPr>
                <w:rFonts w:hint="eastAsia" w:ascii="宋体"/>
                <w:sz w:val="24"/>
                <w:szCs w:val="24"/>
              </w:rPr>
            </w:pPr>
          </w:p>
        </w:tc>
        <w:tc>
          <w:tcPr>
            <w:tcW w:w="0" w:type="auto"/>
            <w:vMerge w:val="continue"/>
            <w:tcBorders>
              <w:top w:val="nil"/>
              <w:left w:val="nil"/>
            </w:tcBorders>
            <w:shd w:val="clear"/>
            <w:noWrap/>
            <w:vAlign w:val="center"/>
          </w:tcPr>
          <w:p>
            <w:pPr>
              <w:rPr>
                <w:rFonts w:hint="eastAsia" w:ascii="宋体"/>
                <w:sz w:val="24"/>
                <w:szCs w:val="24"/>
              </w:rPr>
            </w:pPr>
          </w:p>
        </w:tc>
        <w:tc>
          <w:tcPr>
            <w:tcW w:w="795" w:type="dxa"/>
            <w:vMerge w:val="continue"/>
            <w:tcBorders>
              <w:left w:val="nil"/>
            </w:tcBorders>
            <w:shd w:val="clear"/>
            <w:vAlign w:val="center"/>
          </w:tcPr>
          <w:p>
            <w:pPr>
              <w:rPr>
                <w:rFonts w:hint="eastAsia" w:ascii="宋体"/>
                <w:sz w:val="24"/>
                <w:szCs w:val="24"/>
              </w:rPr>
            </w:pPr>
          </w:p>
        </w:tc>
        <w:tc>
          <w:tcPr>
            <w:tcW w:w="795" w:type="dxa"/>
            <w:vMerge w:val="continue"/>
            <w:tcBorders>
              <w:left w:val="nil"/>
            </w:tcBorders>
            <w:shd w:val="clear"/>
            <w:vAlign w:val="center"/>
          </w:tcPr>
          <w:p>
            <w:pPr>
              <w:rPr>
                <w:rFonts w:hint="eastAsia" w:ascii="宋体"/>
                <w:sz w:val="24"/>
                <w:szCs w:val="24"/>
              </w:rPr>
            </w:pPr>
          </w:p>
        </w:tc>
        <w:tc>
          <w:tcPr>
            <w:tcW w:w="795" w:type="dxa"/>
            <w:vMerge w:val="continue"/>
            <w:tcBorders>
              <w:left w:val="nil"/>
            </w:tcBorders>
            <w:shd w:val="clear"/>
            <w:vAlign w:val="center"/>
          </w:tcPr>
          <w:p>
            <w:pPr>
              <w:rPr>
                <w:rFonts w:hint="eastAsia" w:ascii="宋体"/>
                <w:sz w:val="24"/>
                <w:szCs w:val="24"/>
              </w:rPr>
            </w:pPr>
          </w:p>
        </w:tc>
        <w:tc>
          <w:tcPr>
            <w:tcW w:w="795" w:type="dxa"/>
            <w:vMerge w:val="continue"/>
            <w:tcBorders>
              <w:left w:val="nil"/>
            </w:tcBorders>
            <w:shd w:val="clear"/>
            <w:vAlign w:val="center"/>
          </w:tcPr>
          <w:p>
            <w:pPr>
              <w:rPr>
                <w:rFonts w:hint="eastAsia" w:ascii="宋体"/>
                <w:sz w:val="24"/>
                <w:szCs w:val="24"/>
              </w:rPr>
            </w:pPr>
          </w:p>
        </w:tc>
        <w:tc>
          <w:tcPr>
            <w:tcW w:w="795" w:type="dxa"/>
            <w:vMerge w:val="continue"/>
            <w:tcBorders>
              <w:left w:val="nil"/>
            </w:tcBorders>
            <w:shd w:val="clear"/>
            <w:vAlign w:val="center"/>
          </w:tcPr>
          <w:p>
            <w:pPr>
              <w:rPr>
                <w:rFonts w:hint="eastAsia" w:ascii="宋体"/>
                <w:sz w:val="24"/>
                <w:szCs w:val="24"/>
              </w:rPr>
            </w:pPr>
          </w:p>
        </w:tc>
        <w:tc>
          <w:tcPr>
            <w:tcW w:w="795" w:type="dxa"/>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vMerge w:val="restar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类</w:t>
            </w:r>
          </w:p>
        </w:tc>
        <w:tc>
          <w:tcPr>
            <w:tcW w:w="0" w:type="auto"/>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款</w:t>
            </w:r>
          </w:p>
        </w:tc>
        <w:tc>
          <w:tcPr>
            <w:tcW w:w="0" w:type="auto"/>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项</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栏次</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3</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4</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5</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continue"/>
            <w:tcBorders>
              <w:top w:val="nil"/>
            </w:tcBorders>
            <w:shd w:val="clear"/>
            <w:noWrap/>
            <w:vAlign w:val="center"/>
          </w:tcPr>
          <w:p>
            <w:pPr>
              <w:rPr>
                <w:rFonts w:hint="eastAsia" w:ascii="宋体"/>
                <w:sz w:val="24"/>
                <w:szCs w:val="24"/>
              </w:rPr>
            </w:pPr>
          </w:p>
        </w:tc>
        <w:tc>
          <w:tcPr>
            <w:tcW w:w="0" w:type="auto"/>
            <w:vMerge w:val="continue"/>
            <w:tcBorders>
              <w:top w:val="nil"/>
              <w:left w:val="nil"/>
            </w:tcBorders>
            <w:shd w:val="clear"/>
            <w:noWrap/>
            <w:vAlign w:val="center"/>
          </w:tcPr>
          <w:p>
            <w:pPr>
              <w:rPr>
                <w:rFonts w:hint="eastAsia" w:ascii="宋体"/>
                <w:sz w:val="24"/>
                <w:szCs w:val="24"/>
              </w:rPr>
            </w:pPr>
          </w:p>
        </w:tc>
        <w:tc>
          <w:tcPr>
            <w:tcW w:w="0" w:type="auto"/>
            <w:vMerge w:val="continue"/>
            <w:tcBorders>
              <w:top w:val="nil"/>
              <w:left w:val="nil"/>
            </w:tcBorders>
            <w:shd w:val="clear"/>
            <w:noWrap/>
            <w:vAlign w:val="center"/>
          </w:tcPr>
          <w:p>
            <w:pPr>
              <w:rPr>
                <w:rFonts w:hint="eastAsia" w:ascii="宋体"/>
                <w:sz w:val="24"/>
                <w:szCs w:val="24"/>
              </w:rPr>
            </w:pP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合计</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776.31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776.31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205</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教育支出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776.31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776.31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20502</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普通教育</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776.31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776.31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2050202</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  小学教育</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776.31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776.31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cs="Calibri" w:eastAsiaTheme="minorEastAsia"/>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cs="Calibri" w:eastAsiaTheme="minorEastAsia"/>
          <w:kern w:val="2"/>
          <w:sz w:val="21"/>
          <w:szCs w:val="21"/>
          <w:lang w:val="en-US" w:eastAsia="zh-CN" w:bidi="ar"/>
        </w:rPr>
        <w:t> </w:t>
      </w:r>
    </w:p>
    <w:tbl>
      <w:tblPr>
        <w:tblW w:w="86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657"/>
        <w:gridCol w:w="545"/>
        <w:gridCol w:w="963"/>
        <w:gridCol w:w="1560"/>
        <w:gridCol w:w="491"/>
        <w:gridCol w:w="907"/>
        <w:gridCol w:w="906"/>
        <w:gridCol w:w="750"/>
        <w:gridCol w:w="8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666" w:type="dxa"/>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kern w:val="0"/>
                <w:sz w:val="44"/>
                <w:szCs w:val="44"/>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165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kern w:val="2"/>
                <w:sz w:val="20"/>
                <w:szCs w:val="20"/>
                <w:bdr w:val="none" w:color="auto" w:sz="0" w:space="0"/>
                <w:lang w:val="en-US" w:eastAsia="zh-CN" w:bidi="ar"/>
              </w:rPr>
              <w:t> </w:t>
            </w:r>
          </w:p>
        </w:tc>
        <w:tc>
          <w:tcPr>
            <w:tcW w:w="54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96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156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49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90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90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1637"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65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kern w:val="0"/>
                <w:sz w:val="20"/>
                <w:szCs w:val="20"/>
                <w:bdr w:val="none" w:color="auto" w:sz="0" w:space="0"/>
                <w:lang w:val="en-US" w:eastAsia="zh-CN" w:bidi="ar"/>
              </w:rPr>
              <w:t>编制单位：宁都县东韶中心小学</w:t>
            </w:r>
          </w:p>
        </w:tc>
        <w:tc>
          <w:tcPr>
            <w:tcW w:w="54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96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156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kern w:val="0"/>
                <w:sz w:val="20"/>
                <w:szCs w:val="20"/>
                <w:bdr w:val="none" w:color="auto" w:sz="0" w:space="0"/>
                <w:lang w:val="en-US" w:eastAsia="zh-CN" w:bidi="ar"/>
              </w:rPr>
              <w:t>2021年度</w:t>
            </w:r>
          </w:p>
        </w:tc>
        <w:tc>
          <w:tcPr>
            <w:tcW w:w="49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90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90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1637"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3165" w:type="dxa"/>
            <w:gridSpan w:val="3"/>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收     入</w:t>
            </w:r>
          </w:p>
        </w:tc>
        <w:tc>
          <w:tcPr>
            <w:tcW w:w="5501" w:type="dxa"/>
            <w:gridSpan w:val="6"/>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657" w:type="dxa"/>
            <w:vMerge w:val="restar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项    目</w:t>
            </w:r>
          </w:p>
        </w:tc>
        <w:tc>
          <w:tcPr>
            <w:tcW w:w="545"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行次</w:t>
            </w:r>
          </w:p>
        </w:tc>
        <w:tc>
          <w:tcPr>
            <w:tcW w:w="963"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金额</w:t>
            </w:r>
          </w:p>
        </w:tc>
        <w:tc>
          <w:tcPr>
            <w:tcW w:w="1560" w:type="dxa"/>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项目（按功能分类）</w:t>
            </w:r>
          </w:p>
        </w:tc>
        <w:tc>
          <w:tcPr>
            <w:tcW w:w="491"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行次</w:t>
            </w:r>
          </w:p>
        </w:tc>
        <w:tc>
          <w:tcPr>
            <w:tcW w:w="907" w:type="dxa"/>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合计</w:t>
            </w:r>
          </w:p>
        </w:tc>
        <w:tc>
          <w:tcPr>
            <w:tcW w:w="906"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一般公共预算财政拨款</w:t>
            </w:r>
          </w:p>
        </w:tc>
        <w:tc>
          <w:tcPr>
            <w:tcW w:w="750"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政府性基金预算财政拨款</w:t>
            </w:r>
          </w:p>
        </w:tc>
        <w:tc>
          <w:tcPr>
            <w:tcW w:w="887"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1657" w:type="dxa"/>
            <w:vMerge w:val="continue"/>
            <w:tcBorders>
              <w:top w:val="nil"/>
            </w:tcBorders>
            <w:shd w:val="clear"/>
            <w:noWrap/>
            <w:vAlign w:val="center"/>
          </w:tcPr>
          <w:p>
            <w:pPr>
              <w:rPr>
                <w:rFonts w:hint="eastAsia" w:ascii="宋体"/>
                <w:sz w:val="24"/>
                <w:szCs w:val="24"/>
              </w:rPr>
            </w:pPr>
          </w:p>
        </w:tc>
        <w:tc>
          <w:tcPr>
            <w:tcW w:w="545" w:type="dxa"/>
            <w:vMerge w:val="continue"/>
            <w:tcBorders>
              <w:top w:val="nil"/>
              <w:left w:val="nil"/>
            </w:tcBorders>
            <w:shd w:val="clear"/>
            <w:vAlign w:val="center"/>
          </w:tcPr>
          <w:p>
            <w:pPr>
              <w:rPr>
                <w:rFonts w:hint="eastAsia" w:ascii="宋体"/>
                <w:sz w:val="24"/>
                <w:szCs w:val="24"/>
              </w:rPr>
            </w:pPr>
          </w:p>
        </w:tc>
        <w:tc>
          <w:tcPr>
            <w:tcW w:w="963" w:type="dxa"/>
            <w:vMerge w:val="continue"/>
            <w:tcBorders>
              <w:top w:val="nil"/>
              <w:left w:val="nil"/>
            </w:tcBorders>
            <w:shd w:val="clear"/>
            <w:vAlign w:val="center"/>
          </w:tcPr>
          <w:p>
            <w:pPr>
              <w:rPr>
                <w:rFonts w:hint="eastAsia" w:ascii="宋体"/>
                <w:sz w:val="24"/>
                <w:szCs w:val="24"/>
              </w:rPr>
            </w:pPr>
          </w:p>
        </w:tc>
        <w:tc>
          <w:tcPr>
            <w:tcW w:w="1560" w:type="dxa"/>
            <w:vMerge w:val="continue"/>
            <w:tcBorders>
              <w:top w:val="nil"/>
              <w:left w:val="nil"/>
            </w:tcBorders>
            <w:shd w:val="clear"/>
            <w:noWrap/>
            <w:vAlign w:val="center"/>
          </w:tcPr>
          <w:p>
            <w:pPr>
              <w:rPr>
                <w:rFonts w:hint="eastAsia" w:ascii="宋体"/>
                <w:sz w:val="24"/>
                <w:szCs w:val="24"/>
              </w:rPr>
            </w:pPr>
          </w:p>
        </w:tc>
        <w:tc>
          <w:tcPr>
            <w:tcW w:w="491" w:type="dxa"/>
            <w:vMerge w:val="continue"/>
            <w:tcBorders>
              <w:top w:val="nil"/>
              <w:left w:val="nil"/>
            </w:tcBorders>
            <w:shd w:val="clear"/>
            <w:vAlign w:val="center"/>
          </w:tcPr>
          <w:p>
            <w:pPr>
              <w:rPr>
                <w:rFonts w:hint="eastAsia" w:ascii="宋体"/>
                <w:sz w:val="24"/>
                <w:szCs w:val="24"/>
              </w:rPr>
            </w:pPr>
          </w:p>
        </w:tc>
        <w:tc>
          <w:tcPr>
            <w:tcW w:w="907" w:type="dxa"/>
            <w:vMerge w:val="continue"/>
            <w:tcBorders>
              <w:top w:val="nil"/>
              <w:left w:val="nil"/>
            </w:tcBorders>
            <w:shd w:val="clear"/>
            <w:noWrap/>
            <w:vAlign w:val="center"/>
          </w:tcPr>
          <w:p>
            <w:pPr>
              <w:rPr>
                <w:rFonts w:hint="eastAsia" w:ascii="宋体"/>
                <w:sz w:val="24"/>
                <w:szCs w:val="24"/>
              </w:rPr>
            </w:pPr>
          </w:p>
        </w:tc>
        <w:tc>
          <w:tcPr>
            <w:tcW w:w="906" w:type="dxa"/>
            <w:vMerge w:val="continue"/>
            <w:tcBorders>
              <w:top w:val="nil"/>
              <w:left w:val="nil"/>
            </w:tcBorders>
            <w:shd w:val="clear"/>
            <w:vAlign w:val="center"/>
          </w:tcPr>
          <w:p>
            <w:pPr>
              <w:rPr>
                <w:rFonts w:hint="eastAsia" w:ascii="宋体"/>
                <w:sz w:val="24"/>
                <w:szCs w:val="24"/>
              </w:rPr>
            </w:pPr>
          </w:p>
        </w:tc>
        <w:tc>
          <w:tcPr>
            <w:tcW w:w="750" w:type="dxa"/>
            <w:vMerge w:val="continue"/>
            <w:tcBorders>
              <w:top w:val="nil"/>
              <w:left w:val="nil"/>
            </w:tcBorders>
            <w:shd w:val="clear"/>
            <w:vAlign w:val="center"/>
          </w:tcPr>
          <w:p>
            <w:pPr>
              <w:rPr>
                <w:rFonts w:hint="eastAsia" w:ascii="宋体"/>
                <w:sz w:val="24"/>
                <w:szCs w:val="24"/>
              </w:rPr>
            </w:pPr>
          </w:p>
        </w:tc>
        <w:tc>
          <w:tcPr>
            <w:tcW w:w="887" w:type="dxa"/>
            <w:vMerge w:val="continue"/>
            <w:tcBorders>
              <w:top w:val="nil"/>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jc w:val="center"/>
        </w:trPr>
        <w:tc>
          <w:tcPr>
            <w:tcW w:w="1657" w:type="dxa"/>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栏    次</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2"/>
                <w:szCs w:val="22"/>
                <w:bdr w:val="none" w:color="auto" w:sz="0" w:space="0"/>
                <w:lang w:val="en-US" w:eastAsia="zh-CN" w:bidi="ar"/>
              </w:rPr>
              <w:t> </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w:t>
            </w:r>
          </w:p>
        </w:tc>
        <w:tc>
          <w:tcPr>
            <w:tcW w:w="156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栏    次</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2"/>
                <w:szCs w:val="22"/>
                <w:bdr w:val="none" w:color="auto" w:sz="0" w:space="0"/>
                <w:lang w:val="en-US" w:eastAsia="zh-CN" w:bidi="ar"/>
              </w:rPr>
              <w:t> </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3</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4</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657"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一、一般公共预算财政拨款</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729.66</w:t>
            </w:r>
          </w:p>
        </w:tc>
        <w:tc>
          <w:tcPr>
            <w:tcW w:w="156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一、一般公共服务支出</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33</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657"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二、政府性基金预算财政拨款</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156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二、外交支出</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34</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657"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三、国有资本经营预算财政拨款</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3</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156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三、国防支出</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35</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7" w:type="dxa"/>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4</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2"/>
                <w:szCs w:val="22"/>
                <w:bdr w:val="none" w:color="auto" w:sz="0" w:space="0"/>
                <w:lang w:val="en-US" w:eastAsia="zh-CN" w:bidi="ar"/>
              </w:rPr>
              <w:t> </w:t>
            </w:r>
          </w:p>
        </w:tc>
        <w:tc>
          <w:tcPr>
            <w:tcW w:w="156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四、公共安全支出</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36</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657" w:type="dxa"/>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5</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2"/>
                <w:szCs w:val="22"/>
                <w:bdr w:val="none" w:color="auto" w:sz="0" w:space="0"/>
                <w:lang w:val="en-US" w:eastAsia="zh-CN" w:bidi="ar"/>
              </w:rPr>
              <w:t> </w:t>
            </w:r>
          </w:p>
        </w:tc>
        <w:tc>
          <w:tcPr>
            <w:tcW w:w="156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五、教育支出</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37</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729.66</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729.66</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7" w:type="dxa"/>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6</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2"/>
                <w:szCs w:val="22"/>
                <w:bdr w:val="none" w:color="auto" w:sz="0" w:space="0"/>
                <w:lang w:val="en-US" w:eastAsia="zh-CN" w:bidi="ar"/>
              </w:rPr>
              <w:t> </w:t>
            </w:r>
          </w:p>
        </w:tc>
        <w:tc>
          <w:tcPr>
            <w:tcW w:w="156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六、科学技术支出</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38</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7" w:type="dxa"/>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7</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2"/>
                <w:szCs w:val="22"/>
                <w:bdr w:val="none" w:color="auto" w:sz="0" w:space="0"/>
                <w:lang w:val="en-US" w:eastAsia="zh-CN" w:bidi="ar"/>
              </w:rPr>
              <w:t> </w:t>
            </w:r>
          </w:p>
        </w:tc>
        <w:tc>
          <w:tcPr>
            <w:tcW w:w="156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七、文化旅游体育与传媒支出</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39</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7" w:type="dxa"/>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8</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2"/>
                <w:szCs w:val="22"/>
                <w:bdr w:val="none" w:color="auto" w:sz="0" w:space="0"/>
                <w:lang w:val="en-US" w:eastAsia="zh-CN" w:bidi="ar"/>
              </w:rPr>
              <w:t> </w:t>
            </w:r>
          </w:p>
        </w:tc>
        <w:tc>
          <w:tcPr>
            <w:tcW w:w="156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八、社会保障和就业支出</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40</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7" w:type="dxa"/>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9</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2"/>
                <w:szCs w:val="22"/>
                <w:bdr w:val="none" w:color="auto" w:sz="0" w:space="0"/>
                <w:lang w:val="en-US" w:eastAsia="zh-CN" w:bidi="ar"/>
              </w:rPr>
              <w:t> </w:t>
            </w:r>
          </w:p>
        </w:tc>
        <w:tc>
          <w:tcPr>
            <w:tcW w:w="156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九、卫生健康支出</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41</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7" w:type="dxa"/>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10</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2"/>
                <w:szCs w:val="22"/>
                <w:bdr w:val="none" w:color="auto" w:sz="0" w:space="0"/>
                <w:lang w:val="en-US" w:eastAsia="zh-CN" w:bidi="ar"/>
              </w:rPr>
              <w:t> </w:t>
            </w:r>
          </w:p>
        </w:tc>
        <w:tc>
          <w:tcPr>
            <w:tcW w:w="156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十、节能环保支出</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42</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7" w:type="dxa"/>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11</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2"/>
                <w:szCs w:val="22"/>
                <w:bdr w:val="none" w:color="auto" w:sz="0" w:space="0"/>
                <w:lang w:val="en-US" w:eastAsia="zh-CN" w:bidi="ar"/>
              </w:rPr>
              <w:t> </w:t>
            </w:r>
          </w:p>
        </w:tc>
        <w:tc>
          <w:tcPr>
            <w:tcW w:w="156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十一、城乡社区支出</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43</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7" w:type="dxa"/>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12</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2"/>
                <w:szCs w:val="22"/>
                <w:bdr w:val="none" w:color="auto" w:sz="0" w:space="0"/>
                <w:lang w:val="en-US" w:eastAsia="zh-CN" w:bidi="ar"/>
              </w:rPr>
              <w:t> </w:t>
            </w:r>
          </w:p>
        </w:tc>
        <w:tc>
          <w:tcPr>
            <w:tcW w:w="156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十二、农林水支出</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44</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7" w:type="dxa"/>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13</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2"/>
                <w:szCs w:val="22"/>
                <w:bdr w:val="none" w:color="auto" w:sz="0" w:space="0"/>
                <w:lang w:val="en-US" w:eastAsia="zh-CN" w:bidi="ar"/>
              </w:rPr>
              <w:t> </w:t>
            </w:r>
          </w:p>
        </w:tc>
        <w:tc>
          <w:tcPr>
            <w:tcW w:w="156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十三、交通运输支出</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45</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7" w:type="dxa"/>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14</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2"/>
                <w:szCs w:val="22"/>
                <w:bdr w:val="none" w:color="auto" w:sz="0" w:space="0"/>
                <w:lang w:val="en-US" w:eastAsia="zh-CN" w:bidi="ar"/>
              </w:rPr>
              <w:t> </w:t>
            </w:r>
          </w:p>
        </w:tc>
        <w:tc>
          <w:tcPr>
            <w:tcW w:w="156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十四、资源勘探工业信息等支出</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46</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57" w:type="dxa"/>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15</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2"/>
                <w:szCs w:val="22"/>
                <w:bdr w:val="none" w:color="auto" w:sz="0" w:space="0"/>
                <w:lang w:val="en-US" w:eastAsia="zh-CN" w:bidi="ar"/>
              </w:rPr>
              <w:t> </w:t>
            </w:r>
          </w:p>
        </w:tc>
        <w:tc>
          <w:tcPr>
            <w:tcW w:w="156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十五、商业服务业等支出</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47</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7" w:type="dxa"/>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16</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2"/>
                <w:szCs w:val="22"/>
                <w:bdr w:val="none" w:color="auto" w:sz="0" w:space="0"/>
                <w:lang w:val="en-US" w:eastAsia="zh-CN" w:bidi="ar"/>
              </w:rPr>
              <w:t> </w:t>
            </w:r>
          </w:p>
        </w:tc>
        <w:tc>
          <w:tcPr>
            <w:tcW w:w="156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十六、金融支出</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48</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7" w:type="dxa"/>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17</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2"/>
                <w:szCs w:val="22"/>
                <w:bdr w:val="none" w:color="auto" w:sz="0" w:space="0"/>
                <w:lang w:val="en-US" w:eastAsia="zh-CN" w:bidi="ar"/>
              </w:rPr>
              <w:t> </w:t>
            </w:r>
          </w:p>
        </w:tc>
        <w:tc>
          <w:tcPr>
            <w:tcW w:w="156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十七、援助其他地区支出</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49</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7" w:type="dxa"/>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18</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2"/>
                <w:szCs w:val="22"/>
                <w:bdr w:val="none" w:color="auto" w:sz="0" w:space="0"/>
                <w:lang w:val="en-US" w:eastAsia="zh-CN" w:bidi="ar"/>
              </w:rPr>
              <w:t> </w:t>
            </w:r>
          </w:p>
        </w:tc>
        <w:tc>
          <w:tcPr>
            <w:tcW w:w="156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十八、自然资源海洋气象等支出</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50</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7" w:type="dxa"/>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19</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2"/>
                <w:szCs w:val="22"/>
                <w:bdr w:val="none" w:color="auto" w:sz="0" w:space="0"/>
                <w:lang w:val="en-US" w:eastAsia="zh-CN" w:bidi="ar"/>
              </w:rPr>
              <w:t> </w:t>
            </w:r>
          </w:p>
        </w:tc>
        <w:tc>
          <w:tcPr>
            <w:tcW w:w="156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十九、住房保障支出</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51</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7" w:type="dxa"/>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20</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2"/>
                <w:szCs w:val="22"/>
                <w:bdr w:val="none" w:color="auto" w:sz="0" w:space="0"/>
                <w:lang w:val="en-US" w:eastAsia="zh-CN" w:bidi="ar"/>
              </w:rPr>
              <w:t> </w:t>
            </w:r>
          </w:p>
        </w:tc>
        <w:tc>
          <w:tcPr>
            <w:tcW w:w="156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二十、粮油物资储备支出</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52</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7" w:type="dxa"/>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21</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2"/>
                <w:szCs w:val="22"/>
                <w:bdr w:val="none" w:color="auto" w:sz="0" w:space="0"/>
                <w:lang w:val="en-US" w:eastAsia="zh-CN" w:bidi="ar"/>
              </w:rPr>
              <w:t> </w:t>
            </w:r>
          </w:p>
        </w:tc>
        <w:tc>
          <w:tcPr>
            <w:tcW w:w="156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二十一、国有资本经营预算支出</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53</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7" w:type="dxa"/>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22</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2"/>
                <w:szCs w:val="22"/>
                <w:bdr w:val="none" w:color="auto" w:sz="0" w:space="0"/>
                <w:lang w:val="en-US" w:eastAsia="zh-CN" w:bidi="ar"/>
              </w:rPr>
              <w:t> </w:t>
            </w:r>
          </w:p>
        </w:tc>
        <w:tc>
          <w:tcPr>
            <w:tcW w:w="156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二十二、灾害防治及应急管理支出</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54</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7" w:type="dxa"/>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23</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2"/>
                <w:szCs w:val="22"/>
                <w:bdr w:val="none" w:color="auto" w:sz="0" w:space="0"/>
                <w:lang w:val="en-US" w:eastAsia="zh-CN" w:bidi="ar"/>
              </w:rPr>
              <w:t> </w:t>
            </w:r>
          </w:p>
        </w:tc>
        <w:tc>
          <w:tcPr>
            <w:tcW w:w="156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二十三、其他支出</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55</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7" w:type="dxa"/>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24</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2"/>
                <w:szCs w:val="22"/>
                <w:bdr w:val="none" w:color="auto" w:sz="0" w:space="0"/>
                <w:lang w:val="en-US" w:eastAsia="zh-CN" w:bidi="ar"/>
              </w:rPr>
              <w:t> </w:t>
            </w:r>
          </w:p>
        </w:tc>
        <w:tc>
          <w:tcPr>
            <w:tcW w:w="156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二十四、债务还本支出</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56</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7" w:type="dxa"/>
            <w:tcBorders>
              <w:top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kern w:val="2"/>
                <w:sz w:val="22"/>
                <w:szCs w:val="22"/>
                <w:bdr w:val="none" w:color="auto" w:sz="0" w:space="0"/>
                <w:lang w:val="en-US" w:eastAsia="zh-CN" w:bidi="ar"/>
              </w:rPr>
              <w:t> </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25</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2"/>
                <w:szCs w:val="22"/>
                <w:bdr w:val="none" w:color="auto" w:sz="0" w:space="0"/>
                <w:lang w:val="en-US" w:eastAsia="zh-CN" w:bidi="ar"/>
              </w:rPr>
              <w:t> </w:t>
            </w:r>
          </w:p>
        </w:tc>
        <w:tc>
          <w:tcPr>
            <w:tcW w:w="156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二十五、债务付息支出</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57</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7" w:type="dxa"/>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26</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2"/>
                <w:szCs w:val="22"/>
                <w:bdr w:val="none" w:color="auto" w:sz="0" w:space="0"/>
                <w:lang w:val="en-US" w:eastAsia="zh-CN" w:bidi="ar"/>
              </w:rPr>
              <w:t> </w:t>
            </w:r>
          </w:p>
        </w:tc>
        <w:tc>
          <w:tcPr>
            <w:tcW w:w="156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二十六、抗疫特别国债安排的支出</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58</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7" w:type="dxa"/>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kern w:val="0"/>
                <w:sz w:val="22"/>
                <w:szCs w:val="22"/>
                <w:bdr w:val="none" w:color="auto" w:sz="0" w:space="0"/>
                <w:lang w:val="en-US" w:eastAsia="zh-CN" w:bidi="ar"/>
              </w:rPr>
              <w:t>本年收入合计</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27</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729.66</w:t>
            </w:r>
          </w:p>
        </w:tc>
        <w:tc>
          <w:tcPr>
            <w:tcW w:w="156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kern w:val="0"/>
                <w:sz w:val="22"/>
                <w:szCs w:val="22"/>
                <w:bdr w:val="none" w:color="auto" w:sz="0" w:space="0"/>
                <w:lang w:val="en-US" w:eastAsia="zh-CN" w:bidi="ar"/>
              </w:rPr>
              <w:t>本年支出合计</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59</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729.66</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729.66</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57"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年初财政拨款结转和结余</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28</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156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年末财政拨款结转和结余</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60</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57"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一、一般公共预算财政拨款</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29</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156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61</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1657"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二、政府性基金预算财政拨款</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30</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156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kern w:val="2"/>
                <w:sz w:val="22"/>
                <w:szCs w:val="22"/>
                <w:bdr w:val="none" w:color="auto" w:sz="0" w:space="0"/>
                <w:lang w:val="en-US" w:eastAsia="zh-CN" w:bidi="ar"/>
              </w:rPr>
              <w:t> </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62</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1657"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三、国有资本经营预算财政拨款</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31</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156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kern w:val="2"/>
                <w:sz w:val="22"/>
                <w:szCs w:val="22"/>
                <w:bdr w:val="none" w:color="auto" w:sz="0" w:space="0"/>
                <w:lang w:val="en-US" w:eastAsia="zh-CN" w:bidi="ar"/>
              </w:rPr>
              <w:t> </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63</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1657" w:type="dxa"/>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kern w:val="0"/>
                <w:sz w:val="22"/>
                <w:szCs w:val="22"/>
                <w:bdr w:val="none" w:color="auto" w:sz="0" w:space="0"/>
                <w:lang w:val="en-US" w:eastAsia="zh-CN" w:bidi="ar"/>
              </w:rPr>
              <w:t>总计</w:t>
            </w:r>
          </w:p>
        </w:tc>
        <w:tc>
          <w:tcPr>
            <w:tcW w:w="54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32</w:t>
            </w:r>
          </w:p>
        </w:tc>
        <w:tc>
          <w:tcPr>
            <w:tcW w:w="96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729.66</w:t>
            </w:r>
          </w:p>
        </w:tc>
        <w:tc>
          <w:tcPr>
            <w:tcW w:w="156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kern w:val="0"/>
                <w:sz w:val="22"/>
                <w:szCs w:val="22"/>
                <w:bdr w:val="none" w:color="auto" w:sz="0" w:space="0"/>
                <w:lang w:val="en-US" w:eastAsia="zh-CN" w:bidi="ar"/>
              </w:rPr>
              <w:t>总计</w:t>
            </w:r>
          </w:p>
        </w:tc>
        <w:tc>
          <w:tcPr>
            <w:tcW w:w="49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64</w:t>
            </w:r>
          </w:p>
        </w:tc>
        <w:tc>
          <w:tcPr>
            <w:tcW w:w="90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729.66</w:t>
            </w:r>
          </w:p>
        </w:tc>
        <w:tc>
          <w:tcPr>
            <w:tcW w:w="90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729.66</w:t>
            </w:r>
          </w:p>
        </w:tc>
        <w:tc>
          <w:tcPr>
            <w:tcW w:w="7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666" w:type="dxa"/>
            <w:gridSpan w:val="9"/>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注：本表反映单位本年度一般公共预算财政拨款、政府性基金预算财政拨款和国有资本经营预算财政拨款的总收支和年末结转结余情况。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cs="Calibri" w:eastAsiaTheme="minorEastAsia"/>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cs="Calibri" w:eastAsiaTheme="minorEastAsia"/>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cs="Calibri" w:eastAsiaTheme="minorEastAsia"/>
          <w:kern w:val="2"/>
          <w:sz w:val="21"/>
          <w:szCs w:val="21"/>
          <w:lang w:val="en-US" w:eastAsia="zh-CN" w:bidi="ar"/>
        </w:rPr>
        <w:t> </w:t>
      </w:r>
    </w:p>
    <w:tbl>
      <w:tblPr>
        <w:tblW w:w="5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887"/>
        <w:gridCol w:w="426"/>
        <w:gridCol w:w="426"/>
        <w:gridCol w:w="1265"/>
        <w:gridCol w:w="1027"/>
        <w:gridCol w:w="846"/>
        <w:gridCol w:w="15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820" w:type="dxa"/>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kern w:val="0"/>
                <w:sz w:val="32"/>
                <w:szCs w:val="32"/>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kern w:val="0"/>
                <w:sz w:val="20"/>
                <w:szCs w:val="20"/>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kern w:val="0"/>
                <w:sz w:val="20"/>
                <w:szCs w:val="20"/>
                <w:bdr w:val="none" w:color="auto" w:sz="0" w:space="0"/>
                <w:lang w:val="en-US" w:eastAsia="zh-CN" w:bidi="ar"/>
              </w:rPr>
              <w:t>编制单位：宁都县东韶中心小学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gridSpan w:val="4"/>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项    目</w:t>
            </w:r>
          </w:p>
        </w:tc>
        <w:tc>
          <w:tcPr>
            <w:tcW w:w="900"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本年支出合计</w:t>
            </w:r>
          </w:p>
        </w:tc>
        <w:tc>
          <w:tcPr>
            <w:tcW w:w="720"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基本支出</w:t>
            </w:r>
          </w:p>
        </w:tc>
        <w:tc>
          <w:tcPr>
            <w:tcW w:w="705"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515" w:type="dxa"/>
            <w:gridSpan w:val="3"/>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支出功能分类科目编码</w:t>
            </w:r>
          </w:p>
        </w:tc>
        <w:tc>
          <w:tcPr>
            <w:tcW w:w="0" w:type="auto"/>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科目名称</w:t>
            </w:r>
          </w:p>
        </w:tc>
        <w:tc>
          <w:tcPr>
            <w:tcW w:w="900" w:type="dxa"/>
            <w:vMerge w:val="continue"/>
            <w:tcBorders>
              <w:left w:val="nil"/>
            </w:tcBorders>
            <w:shd w:val="clear"/>
            <w:vAlign w:val="center"/>
          </w:tcPr>
          <w:p>
            <w:pPr>
              <w:rPr>
                <w:rFonts w:hint="eastAsia" w:ascii="宋体"/>
                <w:sz w:val="24"/>
                <w:szCs w:val="24"/>
              </w:rPr>
            </w:pPr>
          </w:p>
        </w:tc>
        <w:tc>
          <w:tcPr>
            <w:tcW w:w="720" w:type="dxa"/>
            <w:vMerge w:val="continue"/>
            <w:tcBorders>
              <w:left w:val="nil"/>
            </w:tcBorders>
            <w:shd w:val="clear"/>
            <w:vAlign w:val="center"/>
          </w:tcPr>
          <w:p>
            <w:pPr>
              <w:rPr>
                <w:rFonts w:hint="eastAsia" w:ascii="宋体"/>
                <w:sz w:val="24"/>
                <w:szCs w:val="24"/>
              </w:rPr>
            </w:pPr>
          </w:p>
        </w:tc>
        <w:tc>
          <w:tcPr>
            <w:tcW w:w="705" w:type="dxa"/>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515" w:type="dxa"/>
            <w:gridSpan w:val="3"/>
            <w:vMerge w:val="continue"/>
            <w:tcBorders>
              <w:top w:val="nil"/>
            </w:tcBorders>
            <w:shd w:val="clear"/>
            <w:vAlign w:val="center"/>
          </w:tcPr>
          <w:p>
            <w:pPr>
              <w:rPr>
                <w:rFonts w:hint="eastAsia" w:ascii="宋体"/>
                <w:sz w:val="24"/>
                <w:szCs w:val="24"/>
              </w:rPr>
            </w:pPr>
          </w:p>
        </w:tc>
        <w:tc>
          <w:tcPr>
            <w:tcW w:w="0" w:type="auto"/>
            <w:vMerge w:val="continue"/>
            <w:tcBorders>
              <w:top w:val="nil"/>
              <w:left w:val="nil"/>
            </w:tcBorders>
            <w:shd w:val="clear"/>
            <w:noWrap/>
            <w:vAlign w:val="center"/>
          </w:tcPr>
          <w:p>
            <w:pPr>
              <w:rPr>
                <w:rFonts w:hint="eastAsia" w:ascii="宋体"/>
                <w:sz w:val="24"/>
                <w:szCs w:val="24"/>
              </w:rPr>
            </w:pPr>
          </w:p>
        </w:tc>
        <w:tc>
          <w:tcPr>
            <w:tcW w:w="900" w:type="dxa"/>
            <w:vMerge w:val="continue"/>
            <w:tcBorders>
              <w:left w:val="nil"/>
            </w:tcBorders>
            <w:shd w:val="clear"/>
            <w:vAlign w:val="center"/>
          </w:tcPr>
          <w:p>
            <w:pPr>
              <w:rPr>
                <w:rFonts w:hint="eastAsia" w:ascii="宋体"/>
                <w:sz w:val="24"/>
                <w:szCs w:val="24"/>
              </w:rPr>
            </w:pPr>
          </w:p>
        </w:tc>
        <w:tc>
          <w:tcPr>
            <w:tcW w:w="720" w:type="dxa"/>
            <w:vMerge w:val="continue"/>
            <w:tcBorders>
              <w:left w:val="nil"/>
            </w:tcBorders>
            <w:shd w:val="clear"/>
            <w:vAlign w:val="center"/>
          </w:tcPr>
          <w:p>
            <w:pPr>
              <w:rPr>
                <w:rFonts w:hint="eastAsia" w:ascii="宋体"/>
                <w:sz w:val="24"/>
                <w:szCs w:val="24"/>
              </w:rPr>
            </w:pPr>
          </w:p>
        </w:tc>
        <w:tc>
          <w:tcPr>
            <w:tcW w:w="705" w:type="dxa"/>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515" w:type="dxa"/>
            <w:gridSpan w:val="3"/>
            <w:vMerge w:val="continue"/>
            <w:tcBorders>
              <w:top w:val="nil"/>
            </w:tcBorders>
            <w:shd w:val="clear"/>
            <w:vAlign w:val="center"/>
          </w:tcPr>
          <w:p>
            <w:pPr>
              <w:rPr>
                <w:rFonts w:hint="eastAsia" w:ascii="宋体"/>
                <w:sz w:val="24"/>
                <w:szCs w:val="24"/>
              </w:rPr>
            </w:pPr>
          </w:p>
        </w:tc>
        <w:tc>
          <w:tcPr>
            <w:tcW w:w="0" w:type="auto"/>
            <w:vMerge w:val="continue"/>
            <w:tcBorders>
              <w:top w:val="nil"/>
              <w:left w:val="nil"/>
            </w:tcBorders>
            <w:shd w:val="clear"/>
            <w:noWrap/>
            <w:vAlign w:val="center"/>
          </w:tcPr>
          <w:p>
            <w:pPr>
              <w:rPr>
                <w:rFonts w:hint="eastAsia" w:ascii="宋体"/>
                <w:sz w:val="24"/>
                <w:szCs w:val="24"/>
              </w:rPr>
            </w:pPr>
          </w:p>
        </w:tc>
        <w:tc>
          <w:tcPr>
            <w:tcW w:w="900" w:type="dxa"/>
            <w:vMerge w:val="continue"/>
            <w:tcBorders>
              <w:left w:val="nil"/>
            </w:tcBorders>
            <w:shd w:val="clear"/>
            <w:vAlign w:val="center"/>
          </w:tcPr>
          <w:p>
            <w:pPr>
              <w:rPr>
                <w:rFonts w:hint="eastAsia" w:ascii="宋体"/>
                <w:sz w:val="24"/>
                <w:szCs w:val="24"/>
              </w:rPr>
            </w:pPr>
          </w:p>
        </w:tc>
        <w:tc>
          <w:tcPr>
            <w:tcW w:w="720" w:type="dxa"/>
            <w:vMerge w:val="continue"/>
            <w:tcBorders>
              <w:left w:val="nil"/>
            </w:tcBorders>
            <w:shd w:val="clear"/>
            <w:vAlign w:val="center"/>
          </w:tcPr>
          <w:p>
            <w:pPr>
              <w:rPr>
                <w:rFonts w:hint="eastAsia" w:ascii="宋体"/>
                <w:sz w:val="24"/>
                <w:szCs w:val="24"/>
              </w:rPr>
            </w:pPr>
          </w:p>
        </w:tc>
        <w:tc>
          <w:tcPr>
            <w:tcW w:w="705" w:type="dxa"/>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vMerge w:val="restar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类</w:t>
            </w:r>
          </w:p>
        </w:tc>
        <w:tc>
          <w:tcPr>
            <w:tcW w:w="0" w:type="auto"/>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款</w:t>
            </w:r>
          </w:p>
        </w:tc>
        <w:tc>
          <w:tcPr>
            <w:tcW w:w="0" w:type="auto"/>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项</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栏次</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continue"/>
            <w:tcBorders>
              <w:top w:val="nil"/>
            </w:tcBorders>
            <w:shd w:val="clear"/>
            <w:noWrap/>
            <w:vAlign w:val="center"/>
          </w:tcPr>
          <w:p>
            <w:pPr>
              <w:rPr>
                <w:rFonts w:hint="eastAsia" w:ascii="宋体"/>
                <w:sz w:val="24"/>
                <w:szCs w:val="24"/>
              </w:rPr>
            </w:pPr>
          </w:p>
        </w:tc>
        <w:tc>
          <w:tcPr>
            <w:tcW w:w="0" w:type="auto"/>
            <w:vMerge w:val="continue"/>
            <w:tcBorders>
              <w:top w:val="nil"/>
              <w:left w:val="nil"/>
            </w:tcBorders>
            <w:shd w:val="clear"/>
            <w:noWrap/>
            <w:vAlign w:val="center"/>
          </w:tcPr>
          <w:p>
            <w:pPr>
              <w:rPr>
                <w:rFonts w:hint="eastAsia" w:ascii="宋体"/>
                <w:sz w:val="24"/>
                <w:szCs w:val="24"/>
              </w:rPr>
            </w:pPr>
          </w:p>
        </w:tc>
        <w:tc>
          <w:tcPr>
            <w:tcW w:w="0" w:type="auto"/>
            <w:vMerge w:val="continue"/>
            <w:tcBorders>
              <w:top w:val="nil"/>
              <w:left w:val="nil"/>
            </w:tcBorders>
            <w:shd w:val="clear"/>
            <w:noWrap/>
            <w:vAlign w:val="center"/>
          </w:tcPr>
          <w:p>
            <w:pPr>
              <w:rPr>
                <w:rFonts w:hint="eastAsia" w:ascii="宋体"/>
                <w:sz w:val="24"/>
                <w:szCs w:val="24"/>
              </w:rPr>
            </w:pP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合计</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729.66</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729.66</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205</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教育支出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729.66</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729.66</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20502</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普通教育</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729.66</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729.66</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2050202</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  小学教育</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729.66</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729.66</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5820" w:type="dxa"/>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注：本表反映单位本年度一般公共预算财政拨款支出情况。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cs="Calibri" w:eastAsiaTheme="minorEastAsia"/>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cs="Calibri" w:eastAsiaTheme="minorEastAsia"/>
          <w:kern w:val="2"/>
          <w:sz w:val="21"/>
          <w:szCs w:val="21"/>
          <w:lang w:val="en-US" w:eastAsia="zh-CN" w:bidi="ar"/>
        </w:rPr>
        <w:t> </w:t>
      </w:r>
    </w:p>
    <w:tbl>
      <w:tblPr>
        <w:tblW w:w="87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968"/>
        <w:gridCol w:w="1250"/>
        <w:gridCol w:w="996"/>
        <w:gridCol w:w="804"/>
        <w:gridCol w:w="1118"/>
        <w:gridCol w:w="873"/>
        <w:gridCol w:w="805"/>
        <w:gridCol w:w="1186"/>
        <w:gridCol w:w="7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777" w:type="dxa"/>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kern w:val="0"/>
                <w:sz w:val="44"/>
                <w:szCs w:val="44"/>
                <w:bdr w:val="none" w:color="auto" w:sz="0" w:space="0"/>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6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kern w:val="2"/>
                <w:sz w:val="20"/>
                <w:szCs w:val="20"/>
                <w:bdr w:val="none" w:color="auto" w:sz="0" w:space="0"/>
                <w:lang w:val="en-US" w:eastAsia="zh-CN" w:bidi="ar"/>
              </w:rPr>
              <w:t> </w:t>
            </w:r>
          </w:p>
        </w:tc>
        <w:tc>
          <w:tcPr>
            <w:tcW w:w="125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99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80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111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87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80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1963"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14" w:type="dxa"/>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kern w:val="0"/>
                <w:sz w:val="20"/>
                <w:szCs w:val="20"/>
                <w:bdr w:val="none" w:color="auto" w:sz="0" w:space="0"/>
                <w:lang w:val="en-US" w:eastAsia="zh-CN" w:bidi="ar"/>
              </w:rPr>
              <w:t>编制单位：宁都县东韶中心小学</w:t>
            </w:r>
            <w:r>
              <w:rPr>
                <w:rFonts w:hint="default" w:ascii="Arial" w:hAnsi="Arial" w:cs="Arial" w:eastAsiaTheme="minorEastAsia"/>
                <w:kern w:val="2"/>
                <w:sz w:val="20"/>
                <w:szCs w:val="20"/>
                <w:bdr w:val="none" w:color="auto" w:sz="0" w:space="0"/>
                <w:lang w:val="en-US" w:eastAsia="zh-CN" w:bidi="ar"/>
              </w:rPr>
              <w:t> </w:t>
            </w:r>
          </w:p>
        </w:tc>
        <w:tc>
          <w:tcPr>
            <w:tcW w:w="80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111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kern w:val="0"/>
                <w:sz w:val="20"/>
                <w:szCs w:val="20"/>
                <w:bdr w:val="none" w:color="auto" w:sz="0" w:space="0"/>
                <w:lang w:val="en-US" w:eastAsia="zh-CN" w:bidi="ar"/>
              </w:rPr>
              <w:t>2021年度</w:t>
            </w:r>
          </w:p>
        </w:tc>
        <w:tc>
          <w:tcPr>
            <w:tcW w:w="87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80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1963"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4" w:type="dxa"/>
            <w:gridSpan w:val="3"/>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人员经费</w:t>
            </w:r>
          </w:p>
        </w:tc>
        <w:tc>
          <w:tcPr>
            <w:tcW w:w="5563" w:type="dxa"/>
            <w:gridSpan w:val="6"/>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68"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经济分类科目编码</w:t>
            </w:r>
          </w:p>
        </w:tc>
        <w:tc>
          <w:tcPr>
            <w:tcW w:w="125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科目名称</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金额</w:t>
            </w:r>
          </w:p>
        </w:tc>
        <w:tc>
          <w:tcPr>
            <w:tcW w:w="804"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经济分类科目编码</w:t>
            </w:r>
          </w:p>
        </w:tc>
        <w:tc>
          <w:tcPr>
            <w:tcW w:w="1118"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科目名称</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金额</w:t>
            </w:r>
          </w:p>
        </w:tc>
        <w:tc>
          <w:tcPr>
            <w:tcW w:w="805"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经济分类科目编码</w:t>
            </w:r>
          </w:p>
        </w:tc>
        <w:tc>
          <w:tcPr>
            <w:tcW w:w="118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科目名称</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kern w:val="0"/>
                <w:sz w:val="22"/>
                <w:szCs w:val="22"/>
                <w:bdr w:val="none" w:color="auto" w:sz="0" w:space="0"/>
                <w:lang w:val="en-US" w:eastAsia="zh-CN" w:bidi="ar"/>
              </w:rPr>
              <w:t>301</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kern w:val="0"/>
                <w:sz w:val="22"/>
                <w:szCs w:val="22"/>
                <w:bdr w:val="none" w:color="auto" w:sz="0" w:space="0"/>
                <w:lang w:val="en-US" w:eastAsia="zh-CN" w:bidi="ar"/>
              </w:rPr>
              <w:t>工资福利支出</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614.14</w:t>
            </w:r>
          </w:p>
        </w:tc>
        <w:tc>
          <w:tcPr>
            <w:tcW w:w="804"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kern w:val="0"/>
                <w:sz w:val="22"/>
                <w:szCs w:val="22"/>
                <w:bdr w:val="none" w:color="auto" w:sz="0" w:space="0"/>
                <w:lang w:val="en-US" w:eastAsia="zh-CN" w:bidi="ar"/>
              </w:rPr>
              <w:t>302</w:t>
            </w:r>
          </w:p>
        </w:tc>
        <w:tc>
          <w:tcPr>
            <w:tcW w:w="1118"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kern w:val="0"/>
                <w:sz w:val="22"/>
                <w:szCs w:val="22"/>
                <w:bdr w:val="none" w:color="auto" w:sz="0" w:space="0"/>
                <w:lang w:val="en-US" w:eastAsia="zh-CN" w:bidi="ar"/>
              </w:rPr>
              <w:t>商品和服务支出</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115.52</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kern w:val="0"/>
                <w:sz w:val="22"/>
                <w:szCs w:val="22"/>
                <w:bdr w:val="none" w:color="auto" w:sz="0" w:space="0"/>
                <w:lang w:val="en-US" w:eastAsia="zh-CN" w:bidi="ar"/>
              </w:rPr>
              <w:t>307</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kern w:val="0"/>
                <w:sz w:val="22"/>
                <w:szCs w:val="22"/>
                <w:bdr w:val="none" w:color="auto" w:sz="0" w:space="0"/>
                <w:lang w:val="en-US" w:eastAsia="zh-CN" w:bidi="ar"/>
              </w:rPr>
              <w:t>债务利息及费用支出</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30101</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  基本工资</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203.16</w:t>
            </w:r>
          </w:p>
        </w:tc>
        <w:tc>
          <w:tcPr>
            <w:tcW w:w="804"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30201</w:t>
            </w:r>
          </w:p>
        </w:tc>
        <w:tc>
          <w:tcPr>
            <w:tcW w:w="1118"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  办公费</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32.44</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30701</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  国内债务付息</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30102</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  津贴补贴</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99.97</w:t>
            </w:r>
          </w:p>
        </w:tc>
        <w:tc>
          <w:tcPr>
            <w:tcW w:w="804"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30202</w:t>
            </w:r>
          </w:p>
        </w:tc>
        <w:tc>
          <w:tcPr>
            <w:tcW w:w="1118"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  印刷费</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2.21</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30702</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  国外债务付息</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30103</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  奖金</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18.34</w:t>
            </w:r>
          </w:p>
        </w:tc>
        <w:tc>
          <w:tcPr>
            <w:tcW w:w="804"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30203</w:t>
            </w:r>
          </w:p>
        </w:tc>
        <w:tc>
          <w:tcPr>
            <w:tcW w:w="1118"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  咨询费</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1.85</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30703</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  国内债务发行费用</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30106</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  伙食补助费</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1.11</w:t>
            </w:r>
          </w:p>
        </w:tc>
        <w:tc>
          <w:tcPr>
            <w:tcW w:w="804"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30204</w:t>
            </w:r>
          </w:p>
        </w:tc>
        <w:tc>
          <w:tcPr>
            <w:tcW w:w="1118"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  手续费</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30704</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  国外债务发行费用</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30107</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  绩效工资</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137.40</w:t>
            </w:r>
          </w:p>
        </w:tc>
        <w:tc>
          <w:tcPr>
            <w:tcW w:w="804"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30205</w:t>
            </w:r>
          </w:p>
        </w:tc>
        <w:tc>
          <w:tcPr>
            <w:tcW w:w="1118"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  水费</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4.06</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kern w:val="0"/>
                <w:sz w:val="22"/>
                <w:szCs w:val="22"/>
                <w:bdr w:val="none" w:color="auto" w:sz="0" w:space="0"/>
                <w:lang w:val="en-US" w:eastAsia="zh-CN" w:bidi="ar"/>
              </w:rPr>
              <w:t>310</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kern w:val="0"/>
                <w:sz w:val="22"/>
                <w:szCs w:val="22"/>
                <w:bdr w:val="none" w:color="auto" w:sz="0" w:space="0"/>
                <w:lang w:val="en-US" w:eastAsia="zh-CN" w:bidi="ar"/>
              </w:rPr>
              <w:t>资本性支出</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30108</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  机关事业单位基本养老保险缴费</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54.43</w:t>
            </w:r>
          </w:p>
        </w:tc>
        <w:tc>
          <w:tcPr>
            <w:tcW w:w="804"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30206</w:t>
            </w:r>
          </w:p>
        </w:tc>
        <w:tc>
          <w:tcPr>
            <w:tcW w:w="1118"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  电费</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7.99</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31001</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  房屋建筑物购建</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30109</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  职业年金缴费</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04"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30207</w:t>
            </w:r>
          </w:p>
        </w:tc>
        <w:tc>
          <w:tcPr>
            <w:tcW w:w="1118"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  邮电费</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1.45</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31002</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  办公设备购置</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30110</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  职工基本医疗保险缴费</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49.50</w:t>
            </w:r>
          </w:p>
        </w:tc>
        <w:tc>
          <w:tcPr>
            <w:tcW w:w="804"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30208</w:t>
            </w:r>
          </w:p>
        </w:tc>
        <w:tc>
          <w:tcPr>
            <w:tcW w:w="1118"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  取暖费</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31003</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  专用设备购置</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30111</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  公务员医疗补助缴款</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04"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30209</w:t>
            </w:r>
          </w:p>
        </w:tc>
        <w:tc>
          <w:tcPr>
            <w:tcW w:w="1118"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  物业管理费</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10.17</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31005</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  基础设施建设</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30112</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  其他社会保障缴费</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3.04</w:t>
            </w:r>
          </w:p>
        </w:tc>
        <w:tc>
          <w:tcPr>
            <w:tcW w:w="804"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30211</w:t>
            </w:r>
          </w:p>
        </w:tc>
        <w:tc>
          <w:tcPr>
            <w:tcW w:w="1118"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  差旅费</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2.56</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31006</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  大型修缮</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30113</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  住房公积金</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04"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30212</w:t>
            </w:r>
          </w:p>
        </w:tc>
        <w:tc>
          <w:tcPr>
            <w:tcW w:w="1118"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  因公出国（境）费用</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31007</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  信息网络及软件购置更新</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30114</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  医疗费</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04"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30213</w:t>
            </w:r>
          </w:p>
        </w:tc>
        <w:tc>
          <w:tcPr>
            <w:tcW w:w="1118"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  维修（护）费</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30.54</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31008</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  物资储备</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30199</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  其他工资福利支出</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47.19</w:t>
            </w:r>
          </w:p>
        </w:tc>
        <w:tc>
          <w:tcPr>
            <w:tcW w:w="804"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30214</w:t>
            </w:r>
          </w:p>
        </w:tc>
        <w:tc>
          <w:tcPr>
            <w:tcW w:w="1118"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  租赁费</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31009</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  土地补偿</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kern w:val="0"/>
                <w:sz w:val="22"/>
                <w:szCs w:val="22"/>
                <w:bdr w:val="none" w:color="auto" w:sz="0" w:space="0"/>
                <w:lang w:val="en-US" w:eastAsia="zh-CN" w:bidi="ar"/>
              </w:rPr>
              <w:t>303</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kern w:val="0"/>
                <w:sz w:val="22"/>
                <w:szCs w:val="22"/>
                <w:bdr w:val="none" w:color="auto" w:sz="0" w:space="0"/>
                <w:lang w:val="en-US" w:eastAsia="zh-CN" w:bidi="ar"/>
              </w:rPr>
              <w:t>对个人和家庭的补助</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04"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30215</w:t>
            </w:r>
          </w:p>
        </w:tc>
        <w:tc>
          <w:tcPr>
            <w:tcW w:w="1118"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  会议费</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31010</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  安置补助</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30301</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  离休费</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04"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30216</w:t>
            </w:r>
          </w:p>
        </w:tc>
        <w:tc>
          <w:tcPr>
            <w:tcW w:w="1118"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  培训费</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6.98</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310111</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  地上附着物和青苗补偿</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30302</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  退休费</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04"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30217</w:t>
            </w:r>
          </w:p>
        </w:tc>
        <w:tc>
          <w:tcPr>
            <w:tcW w:w="1118"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  公务接待费</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0.72</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31012</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  拆迁补偿</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30303</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  退职（役）费</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04"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30218</w:t>
            </w:r>
          </w:p>
        </w:tc>
        <w:tc>
          <w:tcPr>
            <w:tcW w:w="1118"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  专用材料费</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0.99</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31013</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  公务用车购置</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30304</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  抚恤金</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04"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30224</w:t>
            </w:r>
          </w:p>
        </w:tc>
        <w:tc>
          <w:tcPr>
            <w:tcW w:w="1118"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  被装购置费</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31019</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  其他交通工具购置</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30305</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  生活补贴</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04"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30225</w:t>
            </w:r>
          </w:p>
        </w:tc>
        <w:tc>
          <w:tcPr>
            <w:tcW w:w="1118"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  专用燃料费</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31021</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  文物和陈列品购置</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30306</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  救济费</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04"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30226</w:t>
            </w:r>
          </w:p>
        </w:tc>
        <w:tc>
          <w:tcPr>
            <w:tcW w:w="1118"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  劳务费</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1.59</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31022</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  无形资产购置</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30307</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  医疗费补助</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04"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30227</w:t>
            </w:r>
          </w:p>
        </w:tc>
        <w:tc>
          <w:tcPr>
            <w:tcW w:w="1118"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  委托业务费</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31099</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  其他资本性支出</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30308</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  助学金</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04"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30228</w:t>
            </w:r>
          </w:p>
        </w:tc>
        <w:tc>
          <w:tcPr>
            <w:tcW w:w="1118"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  工会经费</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2.52</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kern w:val="0"/>
                <w:sz w:val="22"/>
                <w:szCs w:val="22"/>
                <w:bdr w:val="none" w:color="auto" w:sz="0" w:space="0"/>
                <w:lang w:val="en-US" w:eastAsia="zh-CN" w:bidi="ar"/>
              </w:rPr>
              <w:t>312</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kern w:val="0"/>
                <w:sz w:val="22"/>
                <w:szCs w:val="22"/>
                <w:bdr w:val="none" w:color="auto" w:sz="0" w:space="0"/>
                <w:lang w:val="en-US" w:eastAsia="zh-CN" w:bidi="ar"/>
              </w:rPr>
              <w:t>对企业补助</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30309</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  奖励金</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04"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30229</w:t>
            </w:r>
          </w:p>
        </w:tc>
        <w:tc>
          <w:tcPr>
            <w:tcW w:w="1118"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  福利费</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31201</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  资本金注入</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30310</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  个人农业生产补贴</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04"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30231</w:t>
            </w:r>
          </w:p>
        </w:tc>
        <w:tc>
          <w:tcPr>
            <w:tcW w:w="1118"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  公务用车运行维护费</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31203</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  政府投资基金股权投资</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30311</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代缴社会保险费</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04"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30239</w:t>
            </w:r>
          </w:p>
        </w:tc>
        <w:tc>
          <w:tcPr>
            <w:tcW w:w="1118"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  其他交通费用</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31204</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  费用补贴</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30399</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  其他对个人和家庭的补助支出</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04"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30240</w:t>
            </w:r>
          </w:p>
        </w:tc>
        <w:tc>
          <w:tcPr>
            <w:tcW w:w="1118"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  税金及附加费用</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31205</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  利息补贴</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804"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30299</w:t>
            </w:r>
          </w:p>
        </w:tc>
        <w:tc>
          <w:tcPr>
            <w:tcW w:w="1118"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  其他商品和服务支出</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9.46</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31299</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  其他对企业补助</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804" w:type="dxa"/>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1118" w:type="dxa"/>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kern w:val="0"/>
                <w:sz w:val="22"/>
                <w:szCs w:val="22"/>
                <w:bdr w:val="none" w:color="auto" w:sz="0" w:space="0"/>
                <w:lang w:val="en-US" w:eastAsia="zh-CN" w:bidi="ar"/>
              </w:rPr>
              <w:t>399</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kern w:val="0"/>
                <w:sz w:val="22"/>
                <w:szCs w:val="22"/>
                <w:bdr w:val="none" w:color="auto" w:sz="0" w:space="0"/>
                <w:lang w:val="en-US" w:eastAsia="zh-CN" w:bidi="ar"/>
              </w:rPr>
              <w:t>其他支出</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804" w:type="dxa"/>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1118" w:type="dxa"/>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39906</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  赠与</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8" w:type="dxa"/>
            <w:tcBorders>
              <w:top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1250" w:type="dxa"/>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804" w:type="dxa"/>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1118" w:type="dxa"/>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39907</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  国家赔偿费用支出</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804" w:type="dxa"/>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1118" w:type="dxa"/>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39908</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  对民间非营利组织和群众性自治组织补贴</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8" w:type="dxa"/>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1250"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804" w:type="dxa"/>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1118" w:type="dxa"/>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873"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805"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39999</w:t>
            </w:r>
          </w:p>
        </w:tc>
        <w:tc>
          <w:tcPr>
            <w:tcW w:w="1186" w:type="dxa"/>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  其他支出</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2218" w:type="dxa"/>
            <w:gridSpan w:val="2"/>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人员经费合计</w:t>
            </w:r>
          </w:p>
        </w:tc>
        <w:tc>
          <w:tcPr>
            <w:tcW w:w="996"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614.14</w:t>
            </w:r>
          </w:p>
        </w:tc>
        <w:tc>
          <w:tcPr>
            <w:tcW w:w="4786" w:type="dxa"/>
            <w:gridSpan w:val="5"/>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公用支出合计</w:t>
            </w:r>
          </w:p>
        </w:tc>
        <w:tc>
          <w:tcPr>
            <w:tcW w:w="77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115.52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8777" w:type="dxa"/>
            <w:gridSpan w:val="9"/>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4"/>
                <w:szCs w:val="24"/>
                <w:bdr w:val="none" w:color="auto" w:sz="0" w:space="0"/>
                <w:lang w:val="en-US" w:eastAsia="zh-CN" w:bidi="ar"/>
              </w:rPr>
              <w:t>注：本表反映单位本年度一般公共预算财政拨款基本支出明细情况。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64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736"/>
        <w:gridCol w:w="1066"/>
        <w:gridCol w:w="131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6465" w:type="dxa"/>
            <w:gridSpan w:val="4"/>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kern w:val="0"/>
                <w:sz w:val="44"/>
                <w:szCs w:val="44"/>
                <w:bdr w:val="none" w:color="auto" w:sz="0" w:space="0"/>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kern w:val="0"/>
                <w:sz w:val="20"/>
                <w:szCs w:val="20"/>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kern w:val="0"/>
                <w:sz w:val="20"/>
                <w:szCs w:val="20"/>
                <w:bdr w:val="none" w:color="auto" w:sz="0" w:space="0"/>
                <w:lang w:val="en-US" w:eastAsia="zh-CN" w:bidi="ar"/>
              </w:rPr>
              <w:t>编制单位：宁都县东韶中心小学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项目</w:t>
            </w:r>
          </w:p>
        </w:tc>
        <w:tc>
          <w:tcPr>
            <w:tcW w:w="0" w:type="auto"/>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栏次</w:t>
            </w:r>
          </w:p>
        </w:tc>
        <w:tc>
          <w:tcPr>
            <w:tcW w:w="0" w:type="auto"/>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年初预算数</w:t>
            </w:r>
          </w:p>
        </w:tc>
        <w:tc>
          <w:tcPr>
            <w:tcW w:w="0" w:type="auto"/>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行次</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一、“三公”经费支出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1.00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  1.因公出国（境）费</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  2.公务用车购置及运行维护费</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3</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    （1）公务用车购置费</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4</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    （2）公务用车运行维护费</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5</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  3.公务接待费</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6</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1.00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    （1）国内接待费</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7</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         其中：外事接待费</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8</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    （2）国（境）外接待费</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9</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二、相关统计数</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  1.因公出国（境）团组数（个）</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  2.因公出国（境）人次数（人）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12</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  3.公务用车购置数（辆）</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13</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  4.公务用车保有量（辆）</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14</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  5.国内公务接待批次（个）</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15</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    其中：外事接待批次（个）</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16</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  6.国内公务接待人次（人）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17</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    其中：外事接待人次（人）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18</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  7.国（境）外公务接待批次（个）</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19</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  8.国（境）外公务接待人次（人）</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trPr>
        <w:tc>
          <w:tcPr>
            <w:tcW w:w="6465" w:type="dxa"/>
            <w:gridSpan w:val="4"/>
            <w:vMerge w:val="restart"/>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注：本表反映单位本年度“三公”经费支出预决算情况。其中，预算数为“三公”经费年初预算数，决算数是包括当年一般公共预算财政拨款和以前年度结转资金安排的实际支出。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6465" w:type="dxa"/>
            <w:gridSpan w:val="4"/>
            <w:vMerge w:val="continue"/>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cs="Calibri" w:eastAsiaTheme="minorEastAsia"/>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cs="Calibri" w:eastAsiaTheme="minorEastAsia"/>
          <w:kern w:val="2"/>
          <w:sz w:val="21"/>
          <w:szCs w:val="21"/>
          <w:lang w:val="en-US" w:eastAsia="zh-CN" w:bidi="ar"/>
        </w:rPr>
        <w:t> </w:t>
      </w:r>
    </w:p>
    <w:tbl>
      <w:tblPr>
        <w:tblW w:w="67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637"/>
        <w:gridCol w:w="406"/>
        <w:gridCol w:w="406"/>
        <w:gridCol w:w="977"/>
        <w:gridCol w:w="406"/>
        <w:gridCol w:w="951"/>
        <w:gridCol w:w="406"/>
        <w:gridCol w:w="406"/>
        <w:gridCol w:w="406"/>
        <w:gridCol w:w="1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80" w:hRule="atLeast"/>
        </w:trPr>
        <w:tc>
          <w:tcPr>
            <w:tcW w:w="6765" w:type="dxa"/>
            <w:gridSpan w:val="10"/>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kern w:val="0"/>
                <w:sz w:val="44"/>
                <w:szCs w:val="44"/>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kern w:val="0"/>
                <w:sz w:val="20"/>
                <w:szCs w:val="20"/>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kern w:val="0"/>
                <w:sz w:val="20"/>
                <w:szCs w:val="20"/>
                <w:bdr w:val="none" w:color="auto" w:sz="0" w:space="0"/>
                <w:lang w:val="en-US" w:eastAsia="zh-CN" w:bidi="ar"/>
              </w:rPr>
              <w:t>编制单位：宁都县东韶中心小学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0" w:type="auto"/>
            <w:gridSpan w:val="4"/>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项    目</w:t>
            </w:r>
          </w:p>
        </w:tc>
        <w:tc>
          <w:tcPr>
            <w:tcW w:w="795"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年初结转和结余</w:t>
            </w:r>
          </w:p>
        </w:tc>
        <w:tc>
          <w:tcPr>
            <w:tcW w:w="615"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本年收入</w:t>
            </w:r>
          </w:p>
        </w:tc>
        <w:tc>
          <w:tcPr>
            <w:tcW w:w="1695" w:type="dxa"/>
            <w:gridSpan w:val="3"/>
            <w:tcBorders>
              <w:left w:val="nil"/>
              <w:bottom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本年支出</w:t>
            </w:r>
          </w:p>
        </w:tc>
        <w:tc>
          <w:tcPr>
            <w:tcW w:w="690"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65" w:type="dxa"/>
            <w:gridSpan w:val="3"/>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支出功能分类科目编码</w:t>
            </w:r>
          </w:p>
        </w:tc>
        <w:tc>
          <w:tcPr>
            <w:tcW w:w="0" w:type="auto"/>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科目名称</w:t>
            </w:r>
          </w:p>
        </w:tc>
        <w:tc>
          <w:tcPr>
            <w:tcW w:w="795" w:type="dxa"/>
            <w:vMerge w:val="continue"/>
            <w:tcBorders>
              <w:left w:val="nil"/>
            </w:tcBorders>
            <w:shd w:val="clear"/>
            <w:vAlign w:val="center"/>
          </w:tcPr>
          <w:p>
            <w:pPr>
              <w:rPr>
                <w:rFonts w:hint="eastAsia" w:ascii="宋体"/>
                <w:sz w:val="24"/>
                <w:szCs w:val="24"/>
              </w:rPr>
            </w:pPr>
          </w:p>
        </w:tc>
        <w:tc>
          <w:tcPr>
            <w:tcW w:w="615" w:type="dxa"/>
            <w:vMerge w:val="continue"/>
            <w:tcBorders>
              <w:left w:val="nil"/>
            </w:tcBorders>
            <w:shd w:val="clear"/>
            <w:vAlign w:val="center"/>
          </w:tcPr>
          <w:p>
            <w:pPr>
              <w:rPr>
                <w:rFonts w:hint="eastAsia" w:ascii="宋体"/>
                <w:sz w:val="24"/>
                <w:szCs w:val="24"/>
              </w:rPr>
            </w:pPr>
          </w:p>
        </w:tc>
        <w:tc>
          <w:tcPr>
            <w:tcW w:w="555"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小计</w:t>
            </w:r>
          </w:p>
        </w:tc>
        <w:tc>
          <w:tcPr>
            <w:tcW w:w="585"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基本支出</w:t>
            </w:r>
          </w:p>
        </w:tc>
        <w:tc>
          <w:tcPr>
            <w:tcW w:w="555"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项目支出</w:t>
            </w:r>
          </w:p>
        </w:tc>
        <w:tc>
          <w:tcPr>
            <w:tcW w:w="690" w:type="dxa"/>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65" w:type="dxa"/>
            <w:gridSpan w:val="3"/>
            <w:vMerge w:val="continue"/>
            <w:tcBorders>
              <w:top w:val="nil"/>
            </w:tcBorders>
            <w:shd w:val="clear"/>
            <w:vAlign w:val="center"/>
          </w:tcPr>
          <w:p>
            <w:pPr>
              <w:rPr>
                <w:rFonts w:hint="eastAsia" w:ascii="宋体"/>
                <w:sz w:val="24"/>
                <w:szCs w:val="24"/>
              </w:rPr>
            </w:pPr>
          </w:p>
        </w:tc>
        <w:tc>
          <w:tcPr>
            <w:tcW w:w="0" w:type="auto"/>
            <w:vMerge w:val="continue"/>
            <w:tcBorders>
              <w:top w:val="nil"/>
              <w:left w:val="nil"/>
            </w:tcBorders>
            <w:shd w:val="clear"/>
            <w:noWrap/>
            <w:vAlign w:val="center"/>
          </w:tcPr>
          <w:p>
            <w:pPr>
              <w:rPr>
                <w:rFonts w:hint="eastAsia" w:ascii="宋体"/>
                <w:sz w:val="24"/>
                <w:szCs w:val="24"/>
              </w:rPr>
            </w:pPr>
          </w:p>
        </w:tc>
        <w:tc>
          <w:tcPr>
            <w:tcW w:w="795" w:type="dxa"/>
            <w:vMerge w:val="continue"/>
            <w:tcBorders>
              <w:left w:val="nil"/>
            </w:tcBorders>
            <w:shd w:val="clear"/>
            <w:vAlign w:val="center"/>
          </w:tcPr>
          <w:p>
            <w:pPr>
              <w:rPr>
                <w:rFonts w:hint="eastAsia" w:ascii="宋体"/>
                <w:sz w:val="24"/>
                <w:szCs w:val="24"/>
              </w:rPr>
            </w:pPr>
          </w:p>
        </w:tc>
        <w:tc>
          <w:tcPr>
            <w:tcW w:w="615" w:type="dxa"/>
            <w:vMerge w:val="continue"/>
            <w:tcBorders>
              <w:left w:val="nil"/>
            </w:tcBorders>
            <w:shd w:val="clear"/>
            <w:vAlign w:val="center"/>
          </w:tcPr>
          <w:p>
            <w:pPr>
              <w:rPr>
                <w:rFonts w:hint="eastAsia" w:ascii="宋体"/>
                <w:sz w:val="24"/>
                <w:szCs w:val="24"/>
              </w:rPr>
            </w:pPr>
          </w:p>
        </w:tc>
        <w:tc>
          <w:tcPr>
            <w:tcW w:w="555" w:type="dxa"/>
            <w:vMerge w:val="continue"/>
            <w:tcBorders>
              <w:top w:val="nil"/>
              <w:left w:val="nil"/>
            </w:tcBorders>
            <w:shd w:val="clear"/>
            <w:vAlign w:val="center"/>
          </w:tcPr>
          <w:p>
            <w:pPr>
              <w:rPr>
                <w:rFonts w:hint="eastAsia" w:ascii="宋体"/>
                <w:sz w:val="24"/>
                <w:szCs w:val="24"/>
              </w:rPr>
            </w:pPr>
          </w:p>
        </w:tc>
        <w:tc>
          <w:tcPr>
            <w:tcW w:w="585" w:type="dxa"/>
            <w:vMerge w:val="continue"/>
            <w:tcBorders>
              <w:top w:val="nil"/>
              <w:left w:val="nil"/>
            </w:tcBorders>
            <w:shd w:val="clear"/>
            <w:vAlign w:val="center"/>
          </w:tcPr>
          <w:p>
            <w:pPr>
              <w:rPr>
                <w:rFonts w:hint="eastAsia" w:ascii="宋体"/>
                <w:sz w:val="24"/>
                <w:szCs w:val="24"/>
              </w:rPr>
            </w:pPr>
          </w:p>
        </w:tc>
        <w:tc>
          <w:tcPr>
            <w:tcW w:w="555" w:type="dxa"/>
            <w:vMerge w:val="continue"/>
            <w:tcBorders>
              <w:top w:val="nil"/>
              <w:left w:val="nil"/>
            </w:tcBorders>
            <w:shd w:val="clear"/>
            <w:vAlign w:val="center"/>
          </w:tcPr>
          <w:p>
            <w:pPr>
              <w:rPr>
                <w:rFonts w:hint="eastAsia" w:ascii="宋体"/>
                <w:sz w:val="24"/>
                <w:szCs w:val="24"/>
              </w:rPr>
            </w:pPr>
          </w:p>
        </w:tc>
        <w:tc>
          <w:tcPr>
            <w:tcW w:w="690" w:type="dxa"/>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65" w:type="dxa"/>
            <w:gridSpan w:val="3"/>
            <w:vMerge w:val="continue"/>
            <w:tcBorders>
              <w:top w:val="nil"/>
            </w:tcBorders>
            <w:shd w:val="clear"/>
            <w:vAlign w:val="center"/>
          </w:tcPr>
          <w:p>
            <w:pPr>
              <w:rPr>
                <w:rFonts w:hint="eastAsia" w:ascii="宋体"/>
                <w:sz w:val="24"/>
                <w:szCs w:val="24"/>
              </w:rPr>
            </w:pPr>
          </w:p>
        </w:tc>
        <w:tc>
          <w:tcPr>
            <w:tcW w:w="0" w:type="auto"/>
            <w:vMerge w:val="continue"/>
            <w:tcBorders>
              <w:top w:val="nil"/>
              <w:left w:val="nil"/>
            </w:tcBorders>
            <w:shd w:val="clear"/>
            <w:noWrap/>
            <w:vAlign w:val="center"/>
          </w:tcPr>
          <w:p>
            <w:pPr>
              <w:rPr>
                <w:rFonts w:hint="eastAsia" w:ascii="宋体"/>
                <w:sz w:val="24"/>
                <w:szCs w:val="24"/>
              </w:rPr>
            </w:pPr>
          </w:p>
        </w:tc>
        <w:tc>
          <w:tcPr>
            <w:tcW w:w="795" w:type="dxa"/>
            <w:vMerge w:val="continue"/>
            <w:tcBorders>
              <w:left w:val="nil"/>
            </w:tcBorders>
            <w:shd w:val="clear"/>
            <w:vAlign w:val="center"/>
          </w:tcPr>
          <w:p>
            <w:pPr>
              <w:rPr>
                <w:rFonts w:hint="eastAsia" w:ascii="宋体"/>
                <w:sz w:val="24"/>
                <w:szCs w:val="24"/>
              </w:rPr>
            </w:pPr>
          </w:p>
        </w:tc>
        <w:tc>
          <w:tcPr>
            <w:tcW w:w="615" w:type="dxa"/>
            <w:vMerge w:val="continue"/>
            <w:tcBorders>
              <w:left w:val="nil"/>
            </w:tcBorders>
            <w:shd w:val="clear"/>
            <w:vAlign w:val="center"/>
          </w:tcPr>
          <w:p>
            <w:pPr>
              <w:rPr>
                <w:rFonts w:hint="eastAsia" w:ascii="宋体"/>
                <w:sz w:val="24"/>
                <w:szCs w:val="24"/>
              </w:rPr>
            </w:pPr>
          </w:p>
        </w:tc>
        <w:tc>
          <w:tcPr>
            <w:tcW w:w="555" w:type="dxa"/>
            <w:vMerge w:val="continue"/>
            <w:tcBorders>
              <w:top w:val="nil"/>
              <w:left w:val="nil"/>
            </w:tcBorders>
            <w:shd w:val="clear"/>
            <w:vAlign w:val="center"/>
          </w:tcPr>
          <w:p>
            <w:pPr>
              <w:rPr>
                <w:rFonts w:hint="eastAsia" w:ascii="宋体"/>
                <w:sz w:val="24"/>
                <w:szCs w:val="24"/>
              </w:rPr>
            </w:pPr>
          </w:p>
        </w:tc>
        <w:tc>
          <w:tcPr>
            <w:tcW w:w="585" w:type="dxa"/>
            <w:vMerge w:val="continue"/>
            <w:tcBorders>
              <w:top w:val="nil"/>
              <w:left w:val="nil"/>
            </w:tcBorders>
            <w:shd w:val="clear"/>
            <w:vAlign w:val="center"/>
          </w:tcPr>
          <w:p>
            <w:pPr>
              <w:rPr>
                <w:rFonts w:hint="eastAsia" w:ascii="宋体"/>
                <w:sz w:val="24"/>
                <w:szCs w:val="24"/>
              </w:rPr>
            </w:pPr>
          </w:p>
        </w:tc>
        <w:tc>
          <w:tcPr>
            <w:tcW w:w="555" w:type="dxa"/>
            <w:vMerge w:val="continue"/>
            <w:tcBorders>
              <w:top w:val="nil"/>
              <w:left w:val="nil"/>
            </w:tcBorders>
            <w:shd w:val="clear"/>
            <w:vAlign w:val="center"/>
          </w:tcPr>
          <w:p>
            <w:pPr>
              <w:rPr>
                <w:rFonts w:hint="eastAsia" w:ascii="宋体"/>
                <w:sz w:val="24"/>
                <w:szCs w:val="24"/>
              </w:rPr>
            </w:pPr>
          </w:p>
        </w:tc>
        <w:tc>
          <w:tcPr>
            <w:tcW w:w="690" w:type="dxa"/>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vMerge w:val="restar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类</w:t>
            </w:r>
          </w:p>
        </w:tc>
        <w:tc>
          <w:tcPr>
            <w:tcW w:w="0" w:type="auto"/>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款</w:t>
            </w:r>
          </w:p>
        </w:tc>
        <w:tc>
          <w:tcPr>
            <w:tcW w:w="0" w:type="auto"/>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项</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栏次</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3</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4</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5</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continue"/>
            <w:tcBorders>
              <w:top w:val="nil"/>
            </w:tcBorders>
            <w:shd w:val="clear"/>
            <w:noWrap/>
            <w:vAlign w:val="center"/>
          </w:tcPr>
          <w:p>
            <w:pPr>
              <w:rPr>
                <w:rFonts w:hint="eastAsia" w:ascii="宋体"/>
                <w:sz w:val="24"/>
                <w:szCs w:val="24"/>
              </w:rPr>
            </w:pPr>
          </w:p>
        </w:tc>
        <w:tc>
          <w:tcPr>
            <w:tcW w:w="0" w:type="auto"/>
            <w:vMerge w:val="continue"/>
            <w:tcBorders>
              <w:top w:val="nil"/>
              <w:left w:val="nil"/>
            </w:tcBorders>
            <w:shd w:val="clear"/>
            <w:noWrap/>
            <w:vAlign w:val="center"/>
          </w:tcPr>
          <w:p>
            <w:pPr>
              <w:rPr>
                <w:rFonts w:hint="eastAsia" w:ascii="宋体"/>
                <w:sz w:val="24"/>
                <w:szCs w:val="24"/>
              </w:rPr>
            </w:pPr>
          </w:p>
        </w:tc>
        <w:tc>
          <w:tcPr>
            <w:tcW w:w="0" w:type="auto"/>
            <w:vMerge w:val="continue"/>
            <w:tcBorders>
              <w:top w:val="nil"/>
              <w:left w:val="nil"/>
            </w:tcBorders>
            <w:shd w:val="clear"/>
            <w:noWrap/>
            <w:vAlign w:val="center"/>
          </w:tcPr>
          <w:p>
            <w:pPr>
              <w:rPr>
                <w:rFonts w:hint="eastAsia" w:ascii="宋体"/>
                <w:sz w:val="24"/>
                <w:szCs w:val="24"/>
              </w:rPr>
            </w:pP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合计</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0" w:type="auto"/>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注：本表反映单位本年度政府性基金预算财政拨款收入、支出及结转和结余情况。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0" w:type="auto"/>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说明：当此表数据为零时，即本单位无政府性基金预算财政拨款收入、支出。</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cs="Calibri" w:eastAsiaTheme="minorEastAsia"/>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cs="Calibri" w:eastAsiaTheme="minorEastAsia"/>
          <w:kern w:val="2"/>
          <w:sz w:val="21"/>
          <w:szCs w:val="21"/>
          <w:lang w:val="en-US" w:eastAsia="zh-CN" w:bidi="ar"/>
        </w:rPr>
        <w:t> </w:t>
      </w:r>
    </w:p>
    <w:tbl>
      <w:tblPr>
        <w:tblW w:w="62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016"/>
        <w:gridCol w:w="436"/>
        <w:gridCol w:w="436"/>
        <w:gridCol w:w="1096"/>
        <w:gridCol w:w="1066"/>
        <w:gridCol w:w="43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6225" w:type="dxa"/>
            <w:gridSpan w:val="7"/>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kern w:val="0"/>
                <w:sz w:val="44"/>
                <w:szCs w:val="44"/>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kern w:val="0"/>
                <w:sz w:val="20"/>
                <w:szCs w:val="20"/>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kern w:val="0"/>
                <w:sz w:val="20"/>
                <w:szCs w:val="20"/>
                <w:bdr w:val="none" w:color="auto" w:sz="0" w:space="0"/>
                <w:lang w:val="en-US" w:eastAsia="zh-CN" w:bidi="ar"/>
              </w:rPr>
              <w:t>编制单位：宁都县东韶中心小学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项    目</w:t>
            </w:r>
          </w:p>
        </w:tc>
        <w:tc>
          <w:tcPr>
            <w:tcW w:w="975"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合计</w:t>
            </w:r>
          </w:p>
        </w:tc>
        <w:tc>
          <w:tcPr>
            <w:tcW w:w="915"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基本支出</w:t>
            </w:r>
          </w:p>
        </w:tc>
        <w:tc>
          <w:tcPr>
            <w:tcW w:w="885"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560" w:type="dxa"/>
            <w:gridSpan w:val="3"/>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支出功能分类科目编码</w:t>
            </w:r>
          </w:p>
        </w:tc>
        <w:tc>
          <w:tcPr>
            <w:tcW w:w="0" w:type="auto"/>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科目名称</w:t>
            </w:r>
          </w:p>
        </w:tc>
        <w:tc>
          <w:tcPr>
            <w:tcW w:w="975" w:type="dxa"/>
            <w:vMerge w:val="continue"/>
            <w:tcBorders>
              <w:left w:val="nil"/>
            </w:tcBorders>
            <w:shd w:val="clear"/>
            <w:vAlign w:val="center"/>
          </w:tcPr>
          <w:p>
            <w:pPr>
              <w:rPr>
                <w:rFonts w:hint="eastAsia" w:ascii="宋体"/>
                <w:sz w:val="24"/>
                <w:szCs w:val="24"/>
              </w:rPr>
            </w:pPr>
          </w:p>
        </w:tc>
        <w:tc>
          <w:tcPr>
            <w:tcW w:w="915" w:type="dxa"/>
            <w:vMerge w:val="continue"/>
            <w:tcBorders>
              <w:left w:val="nil"/>
            </w:tcBorders>
            <w:shd w:val="clear"/>
            <w:vAlign w:val="center"/>
          </w:tcPr>
          <w:p>
            <w:pPr>
              <w:rPr>
                <w:rFonts w:hint="eastAsia" w:ascii="宋体"/>
                <w:sz w:val="24"/>
                <w:szCs w:val="24"/>
              </w:rPr>
            </w:pPr>
          </w:p>
        </w:tc>
        <w:tc>
          <w:tcPr>
            <w:tcW w:w="885" w:type="dxa"/>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560" w:type="dxa"/>
            <w:gridSpan w:val="3"/>
            <w:vMerge w:val="continue"/>
            <w:tcBorders>
              <w:top w:val="nil"/>
            </w:tcBorders>
            <w:shd w:val="clear"/>
            <w:vAlign w:val="center"/>
          </w:tcPr>
          <w:p>
            <w:pPr>
              <w:rPr>
                <w:rFonts w:hint="eastAsia" w:ascii="宋体"/>
                <w:sz w:val="24"/>
                <w:szCs w:val="24"/>
              </w:rPr>
            </w:pPr>
          </w:p>
        </w:tc>
        <w:tc>
          <w:tcPr>
            <w:tcW w:w="0" w:type="auto"/>
            <w:vMerge w:val="continue"/>
            <w:tcBorders>
              <w:top w:val="nil"/>
              <w:left w:val="nil"/>
            </w:tcBorders>
            <w:shd w:val="clear"/>
            <w:noWrap/>
            <w:vAlign w:val="center"/>
          </w:tcPr>
          <w:p>
            <w:pPr>
              <w:rPr>
                <w:rFonts w:hint="eastAsia" w:ascii="宋体"/>
                <w:sz w:val="24"/>
                <w:szCs w:val="24"/>
              </w:rPr>
            </w:pPr>
          </w:p>
        </w:tc>
        <w:tc>
          <w:tcPr>
            <w:tcW w:w="975" w:type="dxa"/>
            <w:vMerge w:val="continue"/>
            <w:tcBorders>
              <w:left w:val="nil"/>
            </w:tcBorders>
            <w:shd w:val="clear"/>
            <w:vAlign w:val="center"/>
          </w:tcPr>
          <w:p>
            <w:pPr>
              <w:rPr>
                <w:rFonts w:hint="eastAsia" w:ascii="宋体"/>
                <w:sz w:val="24"/>
                <w:szCs w:val="24"/>
              </w:rPr>
            </w:pPr>
          </w:p>
        </w:tc>
        <w:tc>
          <w:tcPr>
            <w:tcW w:w="915" w:type="dxa"/>
            <w:vMerge w:val="continue"/>
            <w:tcBorders>
              <w:left w:val="nil"/>
            </w:tcBorders>
            <w:shd w:val="clear"/>
            <w:vAlign w:val="center"/>
          </w:tcPr>
          <w:p>
            <w:pPr>
              <w:rPr>
                <w:rFonts w:hint="eastAsia" w:ascii="宋体"/>
                <w:sz w:val="24"/>
                <w:szCs w:val="24"/>
              </w:rPr>
            </w:pPr>
          </w:p>
        </w:tc>
        <w:tc>
          <w:tcPr>
            <w:tcW w:w="885" w:type="dxa"/>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560" w:type="dxa"/>
            <w:gridSpan w:val="3"/>
            <w:vMerge w:val="continue"/>
            <w:tcBorders>
              <w:top w:val="nil"/>
            </w:tcBorders>
            <w:shd w:val="clear"/>
            <w:vAlign w:val="center"/>
          </w:tcPr>
          <w:p>
            <w:pPr>
              <w:rPr>
                <w:rFonts w:hint="eastAsia" w:ascii="宋体"/>
                <w:sz w:val="24"/>
                <w:szCs w:val="24"/>
              </w:rPr>
            </w:pPr>
          </w:p>
        </w:tc>
        <w:tc>
          <w:tcPr>
            <w:tcW w:w="0" w:type="auto"/>
            <w:vMerge w:val="continue"/>
            <w:tcBorders>
              <w:top w:val="nil"/>
              <w:left w:val="nil"/>
            </w:tcBorders>
            <w:shd w:val="clear"/>
            <w:noWrap/>
            <w:vAlign w:val="center"/>
          </w:tcPr>
          <w:p>
            <w:pPr>
              <w:rPr>
                <w:rFonts w:hint="eastAsia" w:ascii="宋体"/>
                <w:sz w:val="24"/>
                <w:szCs w:val="24"/>
              </w:rPr>
            </w:pPr>
          </w:p>
        </w:tc>
        <w:tc>
          <w:tcPr>
            <w:tcW w:w="975" w:type="dxa"/>
            <w:vMerge w:val="continue"/>
            <w:tcBorders>
              <w:left w:val="nil"/>
            </w:tcBorders>
            <w:shd w:val="clear"/>
            <w:vAlign w:val="center"/>
          </w:tcPr>
          <w:p>
            <w:pPr>
              <w:rPr>
                <w:rFonts w:hint="eastAsia" w:ascii="宋体"/>
                <w:sz w:val="24"/>
                <w:szCs w:val="24"/>
              </w:rPr>
            </w:pPr>
          </w:p>
        </w:tc>
        <w:tc>
          <w:tcPr>
            <w:tcW w:w="915" w:type="dxa"/>
            <w:vMerge w:val="continue"/>
            <w:tcBorders>
              <w:left w:val="nil"/>
            </w:tcBorders>
            <w:shd w:val="clear"/>
            <w:vAlign w:val="center"/>
          </w:tcPr>
          <w:p>
            <w:pPr>
              <w:rPr>
                <w:rFonts w:hint="eastAsia" w:ascii="宋体"/>
                <w:sz w:val="24"/>
                <w:szCs w:val="24"/>
              </w:rPr>
            </w:pPr>
          </w:p>
        </w:tc>
        <w:tc>
          <w:tcPr>
            <w:tcW w:w="885" w:type="dxa"/>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restar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类</w:t>
            </w:r>
          </w:p>
        </w:tc>
        <w:tc>
          <w:tcPr>
            <w:tcW w:w="0" w:type="auto"/>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款</w:t>
            </w:r>
          </w:p>
        </w:tc>
        <w:tc>
          <w:tcPr>
            <w:tcW w:w="0" w:type="auto"/>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项</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栏次</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continue"/>
            <w:tcBorders>
              <w:top w:val="nil"/>
            </w:tcBorders>
            <w:shd w:val="clear"/>
            <w:noWrap/>
            <w:vAlign w:val="center"/>
          </w:tcPr>
          <w:p>
            <w:pPr>
              <w:rPr>
                <w:rFonts w:hint="eastAsia" w:ascii="宋体"/>
                <w:sz w:val="24"/>
                <w:szCs w:val="24"/>
              </w:rPr>
            </w:pPr>
          </w:p>
        </w:tc>
        <w:tc>
          <w:tcPr>
            <w:tcW w:w="0" w:type="auto"/>
            <w:vMerge w:val="continue"/>
            <w:tcBorders>
              <w:top w:val="nil"/>
              <w:left w:val="nil"/>
            </w:tcBorders>
            <w:shd w:val="clear"/>
            <w:noWrap/>
            <w:vAlign w:val="center"/>
          </w:tcPr>
          <w:p>
            <w:pPr>
              <w:rPr>
                <w:rFonts w:hint="eastAsia" w:ascii="宋体"/>
                <w:sz w:val="24"/>
                <w:szCs w:val="24"/>
              </w:rPr>
            </w:pPr>
          </w:p>
        </w:tc>
        <w:tc>
          <w:tcPr>
            <w:tcW w:w="0" w:type="auto"/>
            <w:vMerge w:val="continue"/>
            <w:tcBorders>
              <w:top w:val="nil"/>
              <w:left w:val="nil"/>
            </w:tcBorders>
            <w:shd w:val="clear"/>
            <w:noWrap/>
            <w:vAlign w:val="center"/>
          </w:tcPr>
          <w:p>
            <w:pPr>
              <w:rPr>
                <w:rFonts w:hint="eastAsia" w:ascii="宋体"/>
                <w:sz w:val="24"/>
                <w:szCs w:val="24"/>
              </w:rPr>
            </w:pP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合计</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6225" w:type="dxa"/>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注：本表反映单位本年度国有资本经营预算财政拨款支出情况。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kern w:val="0"/>
                <w:sz w:val="22"/>
                <w:szCs w:val="22"/>
                <w:bdr w:val="none" w:color="auto" w:sz="0" w:space="0"/>
                <w:lang w:val="en-US" w:eastAsia="zh-CN" w:bidi="ar"/>
              </w:rPr>
              <w:t>说明：当此表数据为空时，即本单位无国有资本经营预算财政拨款支出。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cs="Calibri" w:eastAsiaTheme="minorEastAsia"/>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cs="Calibri" w:eastAsiaTheme="minorEastAsia"/>
          <w:kern w:val="2"/>
          <w:sz w:val="21"/>
          <w:szCs w:val="21"/>
          <w:lang w:val="en-US" w:eastAsia="zh-CN" w:bidi="ar"/>
        </w:rPr>
        <w:t> </w:t>
      </w:r>
    </w:p>
    <w:tbl>
      <w:tblPr>
        <w:tblW w:w="71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4208"/>
        <w:gridCol w:w="898"/>
        <w:gridCol w:w="2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193" w:type="dxa"/>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kern w:val="0"/>
                <w:sz w:val="44"/>
                <w:szCs w:val="44"/>
                <w:bdr w:val="none" w:color="auto" w:sz="0" w:space="0"/>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420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kern w:val="2"/>
                <w:sz w:val="20"/>
                <w:szCs w:val="20"/>
                <w:bdr w:val="none" w:color="auto" w:sz="0" w:space="0"/>
                <w:lang w:val="en-US" w:eastAsia="zh-CN" w:bidi="ar"/>
              </w:rPr>
              <w:t> </w:t>
            </w:r>
          </w:p>
        </w:tc>
        <w:tc>
          <w:tcPr>
            <w:tcW w:w="89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kern w:val="2"/>
                <w:sz w:val="20"/>
                <w:szCs w:val="20"/>
                <w:bdr w:val="none" w:color="auto" w:sz="0" w:space="0"/>
                <w:lang w:val="en-US" w:eastAsia="zh-CN" w:bidi="ar"/>
              </w:rPr>
              <w:t> </w:t>
            </w:r>
          </w:p>
        </w:tc>
        <w:tc>
          <w:tcPr>
            <w:tcW w:w="20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kern w:val="0"/>
                <w:sz w:val="20"/>
                <w:szCs w:val="20"/>
                <w:bdr w:val="none" w:color="auto" w:sz="0" w:space="0"/>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420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kern w:val="0"/>
                <w:sz w:val="20"/>
                <w:szCs w:val="20"/>
                <w:bdr w:val="none" w:color="auto" w:sz="0" w:space="0"/>
                <w:lang w:val="en-US" w:eastAsia="zh-CN" w:bidi="ar"/>
              </w:rPr>
              <w:t>编制单位：宁都县东韶中心小学</w:t>
            </w:r>
          </w:p>
        </w:tc>
        <w:tc>
          <w:tcPr>
            <w:tcW w:w="89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kern w:val="0"/>
                <w:sz w:val="20"/>
                <w:szCs w:val="20"/>
                <w:bdr w:val="none" w:color="auto" w:sz="0" w:space="0"/>
                <w:lang w:val="en-US" w:eastAsia="zh-CN" w:bidi="ar"/>
              </w:rPr>
              <w:t>2021年度</w:t>
            </w:r>
          </w:p>
        </w:tc>
        <w:tc>
          <w:tcPr>
            <w:tcW w:w="20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kern w:val="0"/>
                <w:sz w:val="20"/>
                <w:szCs w:val="20"/>
                <w:bdr w:val="none" w:color="auto" w:sz="0" w:space="0"/>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4208" w:type="dxa"/>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项  目</w:t>
            </w:r>
          </w:p>
        </w:tc>
        <w:tc>
          <w:tcPr>
            <w:tcW w:w="898" w:type="dxa"/>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栏次</w:t>
            </w:r>
          </w:p>
        </w:tc>
        <w:tc>
          <w:tcPr>
            <w:tcW w:w="2087" w:type="dxa"/>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420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一、车辆数合计&amp; #40;台、辆&amp; #41;</w:t>
            </w:r>
          </w:p>
        </w:tc>
        <w:tc>
          <w:tcPr>
            <w:tcW w:w="898"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w:t>
            </w:r>
          </w:p>
        </w:tc>
        <w:tc>
          <w:tcPr>
            <w:tcW w:w="20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420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  1.副部（省）级及以上领导用车</w:t>
            </w:r>
          </w:p>
        </w:tc>
        <w:tc>
          <w:tcPr>
            <w:tcW w:w="898"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2</w:t>
            </w:r>
          </w:p>
        </w:tc>
        <w:tc>
          <w:tcPr>
            <w:tcW w:w="20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20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  2.主要领导干部用车</w:t>
            </w:r>
          </w:p>
        </w:tc>
        <w:tc>
          <w:tcPr>
            <w:tcW w:w="898"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3</w:t>
            </w:r>
          </w:p>
        </w:tc>
        <w:tc>
          <w:tcPr>
            <w:tcW w:w="20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20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  3.机要通信用车</w:t>
            </w:r>
          </w:p>
        </w:tc>
        <w:tc>
          <w:tcPr>
            <w:tcW w:w="898"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4</w:t>
            </w:r>
          </w:p>
        </w:tc>
        <w:tc>
          <w:tcPr>
            <w:tcW w:w="20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20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  4.应急保障用车</w:t>
            </w:r>
          </w:p>
        </w:tc>
        <w:tc>
          <w:tcPr>
            <w:tcW w:w="898"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5</w:t>
            </w:r>
          </w:p>
        </w:tc>
        <w:tc>
          <w:tcPr>
            <w:tcW w:w="20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20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  5.执法执勤用车</w:t>
            </w:r>
          </w:p>
        </w:tc>
        <w:tc>
          <w:tcPr>
            <w:tcW w:w="898"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6</w:t>
            </w:r>
          </w:p>
        </w:tc>
        <w:tc>
          <w:tcPr>
            <w:tcW w:w="20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20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  6.特种专业技术用车</w:t>
            </w:r>
          </w:p>
        </w:tc>
        <w:tc>
          <w:tcPr>
            <w:tcW w:w="898"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7</w:t>
            </w:r>
          </w:p>
        </w:tc>
        <w:tc>
          <w:tcPr>
            <w:tcW w:w="20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20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  7.离退休干部用车</w:t>
            </w:r>
          </w:p>
        </w:tc>
        <w:tc>
          <w:tcPr>
            <w:tcW w:w="898"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8</w:t>
            </w:r>
          </w:p>
        </w:tc>
        <w:tc>
          <w:tcPr>
            <w:tcW w:w="20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20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  8.其他用车</w:t>
            </w:r>
          </w:p>
        </w:tc>
        <w:tc>
          <w:tcPr>
            <w:tcW w:w="898"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9</w:t>
            </w:r>
          </w:p>
        </w:tc>
        <w:tc>
          <w:tcPr>
            <w:tcW w:w="20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20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二、单价50万元（含）以上通用设备（台，套）</w:t>
            </w:r>
          </w:p>
        </w:tc>
        <w:tc>
          <w:tcPr>
            <w:tcW w:w="898"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10</w:t>
            </w:r>
          </w:p>
        </w:tc>
        <w:tc>
          <w:tcPr>
            <w:tcW w:w="20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208" w:type="dxa"/>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三、单价100万元（含）以上专用设备（台，套）</w:t>
            </w:r>
          </w:p>
        </w:tc>
        <w:tc>
          <w:tcPr>
            <w:tcW w:w="898"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bdr w:val="none" w:color="auto" w:sz="0" w:space="0"/>
                <w:lang w:val="en-US" w:eastAsia="zh-CN" w:bidi="ar"/>
              </w:rPr>
              <w:t>11</w:t>
            </w:r>
          </w:p>
        </w:tc>
        <w:tc>
          <w:tcPr>
            <w:tcW w:w="2087"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7193" w:type="dxa"/>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注：本表反映截止2021年12月31日，单位占用的国有资产情况。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7193" w:type="dxa"/>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2"/>
                <w:szCs w:val="22"/>
                <w:bdr w:val="none" w:color="auto" w:sz="0" w:space="0"/>
                <w:lang w:val="en-US" w:eastAsia="zh-CN" w:bidi="ar"/>
              </w:rPr>
              <w:t>说明：当此表数据为空时，即本单位（单位）无相关资产。</w:t>
            </w:r>
          </w:p>
        </w:tc>
      </w:tr>
    </w:tbl>
    <w:p/>
    <w:p/>
    <w:tbl>
      <w:tblPr>
        <w:tblW w:w="88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70"/>
        <w:gridCol w:w="914"/>
        <w:gridCol w:w="630"/>
        <w:gridCol w:w="909"/>
        <w:gridCol w:w="917"/>
        <w:gridCol w:w="522"/>
        <w:gridCol w:w="1111"/>
        <w:gridCol w:w="1081"/>
        <w:gridCol w:w="620"/>
        <w:gridCol w:w="112"/>
        <w:gridCol w:w="61"/>
        <w:gridCol w:w="236"/>
        <w:gridCol w:w="192"/>
        <w:gridCol w:w="395"/>
        <w:gridCol w:w="297"/>
        <w:gridCol w:w="155"/>
        <w:gridCol w:w="2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97" w:type="dxa"/>
          <w:trHeight w:val="409" w:hRule="atLeast"/>
        </w:trPr>
        <w:tc>
          <w:tcPr>
            <w:tcW w:w="8522"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7" w:type="dxa"/>
          <w:trHeight w:val="270" w:hRule="atLeast"/>
        </w:trPr>
        <w:tc>
          <w:tcPr>
            <w:tcW w:w="8522"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7" w:type="dxa"/>
          <w:trHeight w:val="270" w:hRule="atLeast"/>
        </w:trPr>
        <w:tc>
          <w:tcPr>
            <w:tcW w:w="1284" w:type="dxa"/>
            <w:gridSpan w:val="2"/>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项目名称</w:t>
            </w:r>
          </w:p>
        </w:tc>
        <w:tc>
          <w:tcPr>
            <w:tcW w:w="7238" w:type="dxa"/>
            <w:gridSpan w:val="14"/>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7" w:type="dxa"/>
          <w:trHeight w:val="270" w:hRule="atLeast"/>
        </w:trPr>
        <w:tc>
          <w:tcPr>
            <w:tcW w:w="1284" w:type="dxa"/>
            <w:gridSpan w:val="2"/>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主管单位</w:t>
            </w:r>
          </w:p>
        </w:tc>
        <w:tc>
          <w:tcPr>
            <w:tcW w:w="4089" w:type="dxa"/>
            <w:gridSpan w:val="5"/>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宁都县财政局</w:t>
            </w:r>
          </w:p>
        </w:tc>
        <w:tc>
          <w:tcPr>
            <w:tcW w:w="1874" w:type="dxa"/>
            <w:gridSpan w:val="4"/>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实施单位</w:t>
            </w:r>
          </w:p>
        </w:tc>
        <w:tc>
          <w:tcPr>
            <w:tcW w:w="1275" w:type="dxa"/>
            <w:gridSpan w:val="5"/>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宁都县东韶中心小学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284" w:type="dxa"/>
            <w:gridSpan w:val="2"/>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（万元）</w:t>
            </w:r>
          </w:p>
        </w:tc>
        <w:tc>
          <w:tcPr>
            <w:tcW w:w="1539"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917"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年初预算数</w:t>
            </w:r>
          </w:p>
        </w:tc>
        <w:tc>
          <w:tcPr>
            <w:tcW w:w="1633"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全年预算数（A&amp; #41;</w:t>
            </w:r>
          </w:p>
        </w:tc>
        <w:tc>
          <w:tcPr>
            <w:tcW w:w="1874" w:type="dxa"/>
            <w:gridSpan w:val="4"/>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全年执行数&amp; #40;B&amp; #41;</w:t>
            </w:r>
          </w:p>
        </w:tc>
        <w:tc>
          <w:tcPr>
            <w:tcW w:w="236" w:type="dxa"/>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分值</w:t>
            </w:r>
          </w:p>
        </w:tc>
        <w:tc>
          <w:tcPr>
            <w:tcW w:w="884" w:type="dxa"/>
            <w:gridSpan w:val="3"/>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执行率&amp; #40;B/A&amp; #41;</w:t>
            </w:r>
          </w:p>
        </w:tc>
        <w:tc>
          <w:tcPr>
            <w:tcW w:w="452" w:type="dxa"/>
            <w:gridSpan w:val="2"/>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84" w:type="dxa"/>
            <w:gridSpan w:val="2"/>
            <w:vMerge w:val="continue"/>
            <w:tcBorders>
              <w:top w:val="nil"/>
            </w:tcBorders>
            <w:shd w:val="clear"/>
            <w:vAlign w:val="center"/>
          </w:tcPr>
          <w:p>
            <w:pPr>
              <w:rPr>
                <w:rFonts w:hint="eastAsia" w:ascii="宋体"/>
                <w:sz w:val="24"/>
                <w:szCs w:val="24"/>
              </w:rPr>
            </w:pPr>
          </w:p>
        </w:tc>
        <w:tc>
          <w:tcPr>
            <w:tcW w:w="1539"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kern w:val="0"/>
                <w:sz w:val="20"/>
                <w:szCs w:val="20"/>
                <w:bdr w:val="none" w:color="auto" w:sz="0" w:space="0"/>
                <w:lang w:val="en-US" w:eastAsia="zh-CN" w:bidi="ar"/>
              </w:rPr>
              <w:t>年度资金总额</w:t>
            </w:r>
          </w:p>
        </w:tc>
        <w:tc>
          <w:tcPr>
            <w:tcW w:w="917"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aps w:val="0"/>
                <w:spacing w:val="0"/>
                <w:kern w:val="2"/>
                <w:sz w:val="24"/>
                <w:szCs w:val="24"/>
                <w:bdr w:val="none" w:color="auto" w:sz="0" w:space="0"/>
                <w:lang w:val="en-US" w:eastAsia="zh-CN" w:bidi="ar"/>
              </w:rPr>
              <w:t>111.38</w:t>
            </w:r>
          </w:p>
        </w:tc>
        <w:tc>
          <w:tcPr>
            <w:tcW w:w="1633"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aps w:val="0"/>
                <w:spacing w:val="0"/>
                <w:kern w:val="2"/>
                <w:sz w:val="24"/>
                <w:szCs w:val="24"/>
                <w:bdr w:val="none" w:color="auto" w:sz="0" w:space="0"/>
                <w:lang w:val="en-US" w:eastAsia="zh-CN" w:bidi="ar"/>
              </w:rPr>
              <w:t>111.38</w:t>
            </w:r>
          </w:p>
        </w:tc>
        <w:tc>
          <w:tcPr>
            <w:tcW w:w="1874"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aps w:val="0"/>
                <w:spacing w:val="0"/>
                <w:kern w:val="2"/>
                <w:sz w:val="24"/>
                <w:szCs w:val="24"/>
                <w:bdr w:val="none" w:color="auto" w:sz="0" w:space="0"/>
                <w:lang w:val="en-US" w:eastAsia="zh-CN" w:bidi="ar"/>
              </w:rPr>
              <w:t>111.38</w:t>
            </w:r>
          </w:p>
        </w:tc>
        <w:tc>
          <w:tcPr>
            <w:tcW w:w="236"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c>
          <w:tcPr>
            <w:tcW w:w="88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452"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84" w:type="dxa"/>
            <w:gridSpan w:val="2"/>
            <w:vMerge w:val="continue"/>
            <w:tcBorders>
              <w:top w:val="nil"/>
            </w:tcBorders>
            <w:shd w:val="clear"/>
            <w:vAlign w:val="center"/>
          </w:tcPr>
          <w:p>
            <w:pPr>
              <w:rPr>
                <w:rFonts w:hint="eastAsia" w:ascii="宋体"/>
                <w:sz w:val="24"/>
                <w:szCs w:val="24"/>
              </w:rPr>
            </w:pPr>
          </w:p>
        </w:tc>
        <w:tc>
          <w:tcPr>
            <w:tcW w:w="1539"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其中：当年财政拨款</w:t>
            </w:r>
          </w:p>
        </w:tc>
        <w:tc>
          <w:tcPr>
            <w:tcW w:w="917"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 111.38</w:t>
            </w:r>
          </w:p>
        </w:tc>
        <w:tc>
          <w:tcPr>
            <w:tcW w:w="1633"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111.38 </w:t>
            </w:r>
          </w:p>
        </w:tc>
        <w:tc>
          <w:tcPr>
            <w:tcW w:w="1874"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111.38 </w:t>
            </w:r>
          </w:p>
        </w:tc>
        <w:tc>
          <w:tcPr>
            <w:tcW w:w="236"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c>
          <w:tcPr>
            <w:tcW w:w="88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452"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84" w:type="dxa"/>
            <w:gridSpan w:val="2"/>
            <w:vMerge w:val="continue"/>
            <w:tcBorders>
              <w:top w:val="nil"/>
            </w:tcBorders>
            <w:shd w:val="clear"/>
            <w:vAlign w:val="center"/>
          </w:tcPr>
          <w:p>
            <w:pPr>
              <w:rPr>
                <w:rFonts w:hint="eastAsia" w:ascii="宋体"/>
                <w:sz w:val="24"/>
                <w:szCs w:val="24"/>
              </w:rPr>
            </w:pPr>
          </w:p>
        </w:tc>
        <w:tc>
          <w:tcPr>
            <w:tcW w:w="1539"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      上年结转资金</w:t>
            </w:r>
          </w:p>
        </w:tc>
        <w:tc>
          <w:tcPr>
            <w:tcW w:w="917"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1633"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1874"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236"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c>
          <w:tcPr>
            <w:tcW w:w="88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452"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284" w:type="dxa"/>
            <w:gridSpan w:val="2"/>
            <w:vMerge w:val="continue"/>
            <w:tcBorders>
              <w:top w:val="nil"/>
            </w:tcBorders>
            <w:shd w:val="clear"/>
            <w:vAlign w:val="center"/>
          </w:tcPr>
          <w:p>
            <w:pPr>
              <w:rPr>
                <w:rFonts w:hint="eastAsia" w:ascii="宋体"/>
                <w:sz w:val="24"/>
                <w:szCs w:val="24"/>
              </w:rPr>
            </w:pPr>
          </w:p>
        </w:tc>
        <w:tc>
          <w:tcPr>
            <w:tcW w:w="1539"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    其他资金</w:t>
            </w:r>
          </w:p>
        </w:tc>
        <w:tc>
          <w:tcPr>
            <w:tcW w:w="917"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1633"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1874"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236"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c>
          <w:tcPr>
            <w:tcW w:w="88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452"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7" w:type="dxa"/>
          <w:trHeight w:val="270" w:hRule="atLeast"/>
        </w:trPr>
        <w:tc>
          <w:tcPr>
            <w:tcW w:w="370" w:type="dxa"/>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年度总体目标</w:t>
            </w:r>
          </w:p>
        </w:tc>
        <w:tc>
          <w:tcPr>
            <w:tcW w:w="5003" w:type="dxa"/>
            <w:gridSpan w:val="6"/>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预期目标</w:t>
            </w:r>
          </w:p>
        </w:tc>
        <w:tc>
          <w:tcPr>
            <w:tcW w:w="3149" w:type="dxa"/>
            <w:gridSpan w:val="9"/>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7" w:type="dxa"/>
          <w:trHeight w:val="1120" w:hRule="atLeast"/>
        </w:trPr>
        <w:tc>
          <w:tcPr>
            <w:tcW w:w="370" w:type="dxa"/>
            <w:vMerge w:val="continue"/>
            <w:tcBorders>
              <w:top w:val="nil"/>
            </w:tcBorders>
            <w:shd w:val="clear"/>
            <w:vAlign w:val="center"/>
          </w:tcPr>
          <w:p>
            <w:pPr>
              <w:rPr>
                <w:rFonts w:hint="eastAsia" w:ascii="宋体"/>
                <w:sz w:val="24"/>
                <w:szCs w:val="24"/>
              </w:rPr>
            </w:pPr>
          </w:p>
        </w:tc>
        <w:tc>
          <w:tcPr>
            <w:tcW w:w="5003" w:type="dxa"/>
            <w:gridSpan w:val="6"/>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目标1：按省定额标准下达公用经费                                                   目标2：按学生人数下达公用经费                                                        目标3：基本保障义务教育学校日常运行                                                             目标4：提高义务教育学校教育教学质量</w:t>
            </w:r>
          </w:p>
        </w:tc>
        <w:tc>
          <w:tcPr>
            <w:tcW w:w="3149" w:type="dxa"/>
            <w:gridSpan w:val="9"/>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7" w:type="dxa"/>
          <w:trHeight w:val="270" w:hRule="atLeast"/>
        </w:trPr>
        <w:tc>
          <w:tcPr>
            <w:tcW w:w="370" w:type="dxa"/>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标</w:t>
            </w:r>
          </w:p>
        </w:tc>
        <w:tc>
          <w:tcPr>
            <w:tcW w:w="914"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一级指标</w:t>
            </w:r>
          </w:p>
        </w:tc>
        <w:tc>
          <w:tcPr>
            <w:tcW w:w="630"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二级指标</w:t>
            </w:r>
          </w:p>
        </w:tc>
        <w:tc>
          <w:tcPr>
            <w:tcW w:w="2348" w:type="dxa"/>
            <w:gridSpan w:val="3"/>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三级指标</w:t>
            </w:r>
          </w:p>
        </w:tc>
        <w:tc>
          <w:tcPr>
            <w:tcW w:w="1111"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年度指标值（A&amp; #41;</w:t>
            </w:r>
          </w:p>
        </w:tc>
        <w:tc>
          <w:tcPr>
            <w:tcW w:w="1081"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实际完成值&amp; #40;B&amp; #41;</w:t>
            </w:r>
          </w:p>
        </w:tc>
        <w:tc>
          <w:tcPr>
            <w:tcW w:w="620"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分值</w:t>
            </w:r>
          </w:p>
        </w:tc>
        <w:tc>
          <w:tcPr>
            <w:tcW w:w="601" w:type="dxa"/>
            <w:gridSpan w:val="4"/>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得分</w:t>
            </w:r>
          </w:p>
        </w:tc>
        <w:tc>
          <w:tcPr>
            <w:tcW w:w="847" w:type="dxa"/>
            <w:gridSpan w:val="3"/>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7" w:type="dxa"/>
          <w:trHeight w:val="270" w:hRule="atLeast"/>
        </w:trPr>
        <w:tc>
          <w:tcPr>
            <w:tcW w:w="370" w:type="dxa"/>
            <w:vMerge w:val="continue"/>
            <w:tcBorders>
              <w:top w:val="nil"/>
            </w:tcBorders>
            <w:shd w:val="clear"/>
            <w:vAlign w:val="center"/>
          </w:tcPr>
          <w:p>
            <w:pPr>
              <w:rPr>
                <w:rFonts w:hint="eastAsia" w:ascii="宋体"/>
                <w:sz w:val="24"/>
                <w:szCs w:val="24"/>
              </w:rPr>
            </w:pPr>
          </w:p>
        </w:tc>
        <w:tc>
          <w:tcPr>
            <w:tcW w:w="914" w:type="dxa"/>
            <w:vMerge w:val="continue"/>
            <w:tcBorders>
              <w:top w:val="nil"/>
              <w:left w:val="nil"/>
            </w:tcBorders>
            <w:shd w:val="clear"/>
            <w:vAlign w:val="center"/>
          </w:tcPr>
          <w:p>
            <w:pPr>
              <w:rPr>
                <w:rFonts w:hint="eastAsia" w:ascii="宋体"/>
                <w:sz w:val="24"/>
                <w:szCs w:val="24"/>
              </w:rPr>
            </w:pPr>
          </w:p>
        </w:tc>
        <w:tc>
          <w:tcPr>
            <w:tcW w:w="630" w:type="dxa"/>
            <w:vMerge w:val="continue"/>
            <w:tcBorders>
              <w:top w:val="nil"/>
              <w:left w:val="nil"/>
            </w:tcBorders>
            <w:shd w:val="clear"/>
            <w:vAlign w:val="center"/>
          </w:tcPr>
          <w:p>
            <w:pPr>
              <w:rPr>
                <w:rFonts w:hint="eastAsia" w:ascii="宋体"/>
                <w:sz w:val="24"/>
                <w:szCs w:val="24"/>
              </w:rPr>
            </w:pPr>
          </w:p>
        </w:tc>
        <w:tc>
          <w:tcPr>
            <w:tcW w:w="2348" w:type="dxa"/>
            <w:gridSpan w:val="3"/>
            <w:vMerge w:val="continue"/>
            <w:tcBorders>
              <w:left w:val="nil"/>
            </w:tcBorders>
            <w:shd w:val="clear"/>
            <w:vAlign w:val="center"/>
          </w:tcPr>
          <w:p>
            <w:pPr>
              <w:rPr>
                <w:rFonts w:hint="eastAsia" w:ascii="宋体"/>
                <w:sz w:val="24"/>
                <w:szCs w:val="24"/>
              </w:rPr>
            </w:pPr>
          </w:p>
        </w:tc>
        <w:tc>
          <w:tcPr>
            <w:tcW w:w="1111" w:type="dxa"/>
            <w:vMerge w:val="continue"/>
            <w:tcBorders>
              <w:left w:val="nil"/>
            </w:tcBorders>
            <w:shd w:val="clear"/>
            <w:vAlign w:val="center"/>
          </w:tcPr>
          <w:p>
            <w:pPr>
              <w:rPr>
                <w:rFonts w:hint="eastAsia" w:ascii="宋体"/>
                <w:sz w:val="24"/>
                <w:szCs w:val="24"/>
              </w:rPr>
            </w:pPr>
          </w:p>
        </w:tc>
        <w:tc>
          <w:tcPr>
            <w:tcW w:w="1081" w:type="dxa"/>
            <w:vMerge w:val="continue"/>
            <w:tcBorders>
              <w:left w:val="nil"/>
            </w:tcBorders>
            <w:shd w:val="clear"/>
            <w:vAlign w:val="center"/>
          </w:tcPr>
          <w:p>
            <w:pPr>
              <w:rPr>
                <w:rFonts w:hint="eastAsia" w:ascii="宋体"/>
                <w:sz w:val="24"/>
                <w:szCs w:val="24"/>
              </w:rPr>
            </w:pPr>
          </w:p>
        </w:tc>
        <w:tc>
          <w:tcPr>
            <w:tcW w:w="620" w:type="dxa"/>
            <w:vMerge w:val="continue"/>
            <w:tcBorders>
              <w:left w:val="nil"/>
            </w:tcBorders>
            <w:shd w:val="clear"/>
            <w:vAlign w:val="center"/>
          </w:tcPr>
          <w:p>
            <w:pPr>
              <w:rPr>
                <w:rFonts w:hint="eastAsia" w:ascii="宋体"/>
                <w:sz w:val="24"/>
                <w:szCs w:val="24"/>
              </w:rPr>
            </w:pPr>
          </w:p>
        </w:tc>
        <w:tc>
          <w:tcPr>
            <w:tcW w:w="601" w:type="dxa"/>
            <w:gridSpan w:val="4"/>
            <w:vMerge w:val="continue"/>
            <w:tcBorders>
              <w:left w:val="nil"/>
            </w:tcBorders>
            <w:shd w:val="clear"/>
            <w:vAlign w:val="center"/>
          </w:tcPr>
          <w:p>
            <w:pPr>
              <w:rPr>
                <w:rFonts w:hint="eastAsia" w:ascii="宋体"/>
                <w:sz w:val="24"/>
                <w:szCs w:val="24"/>
              </w:rPr>
            </w:pPr>
          </w:p>
        </w:tc>
        <w:tc>
          <w:tcPr>
            <w:tcW w:w="847" w:type="dxa"/>
            <w:gridSpan w:val="3"/>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7" w:type="dxa"/>
          <w:trHeight w:val="780" w:hRule="atLeast"/>
        </w:trPr>
        <w:tc>
          <w:tcPr>
            <w:tcW w:w="370" w:type="dxa"/>
            <w:vMerge w:val="continue"/>
            <w:tcBorders>
              <w:top w:val="nil"/>
            </w:tcBorders>
            <w:shd w:val="clear"/>
            <w:vAlign w:val="center"/>
          </w:tcPr>
          <w:p>
            <w:pPr>
              <w:rPr>
                <w:rFonts w:hint="eastAsia" w:ascii="宋体"/>
                <w:sz w:val="24"/>
                <w:szCs w:val="24"/>
              </w:rPr>
            </w:pPr>
          </w:p>
        </w:tc>
        <w:tc>
          <w:tcPr>
            <w:tcW w:w="914"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产出指标（50分）</w:t>
            </w:r>
          </w:p>
        </w:tc>
        <w:tc>
          <w:tcPr>
            <w:tcW w:w="630" w:type="dxa"/>
            <w:vMerge w:val="restart"/>
            <w:tcBorders>
              <w:top w:val="nil"/>
              <w:left w:val="nil"/>
              <w:bottom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数量指标</w:t>
            </w:r>
          </w:p>
        </w:tc>
        <w:tc>
          <w:tcPr>
            <w:tcW w:w="2348"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义务教育生均公用经费执行标准</w:t>
            </w:r>
          </w:p>
        </w:tc>
        <w:tc>
          <w:tcPr>
            <w:tcW w:w="111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不低于国家规定的标准</w:t>
            </w:r>
          </w:p>
        </w:tc>
        <w:tc>
          <w:tcPr>
            <w:tcW w:w="108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不低于国家规定的标准</w:t>
            </w:r>
          </w:p>
        </w:tc>
        <w:tc>
          <w:tcPr>
            <w:tcW w:w="620"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w:t>
            </w:r>
          </w:p>
        </w:tc>
        <w:tc>
          <w:tcPr>
            <w:tcW w:w="601"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w:t>
            </w:r>
          </w:p>
        </w:tc>
        <w:tc>
          <w:tcPr>
            <w:tcW w:w="847"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7" w:type="dxa"/>
          <w:trHeight w:val="360" w:hRule="atLeast"/>
        </w:trPr>
        <w:tc>
          <w:tcPr>
            <w:tcW w:w="370" w:type="dxa"/>
            <w:vMerge w:val="continue"/>
            <w:tcBorders>
              <w:top w:val="nil"/>
            </w:tcBorders>
            <w:shd w:val="clear"/>
            <w:vAlign w:val="center"/>
          </w:tcPr>
          <w:p>
            <w:pPr>
              <w:rPr>
                <w:rFonts w:hint="eastAsia" w:ascii="宋体"/>
                <w:sz w:val="24"/>
                <w:szCs w:val="24"/>
              </w:rPr>
            </w:pPr>
          </w:p>
        </w:tc>
        <w:tc>
          <w:tcPr>
            <w:tcW w:w="914" w:type="dxa"/>
            <w:vMerge w:val="continue"/>
            <w:tcBorders>
              <w:top w:val="nil"/>
              <w:left w:val="nil"/>
            </w:tcBorders>
            <w:shd w:val="clear"/>
            <w:vAlign w:val="center"/>
          </w:tcPr>
          <w:p>
            <w:pPr>
              <w:rPr>
                <w:rFonts w:hint="eastAsia" w:ascii="宋体"/>
                <w:sz w:val="24"/>
                <w:szCs w:val="24"/>
              </w:rPr>
            </w:pPr>
          </w:p>
        </w:tc>
        <w:tc>
          <w:tcPr>
            <w:tcW w:w="630" w:type="dxa"/>
            <w:vMerge w:val="continue"/>
            <w:tcBorders>
              <w:top w:val="nil"/>
              <w:left w:val="nil"/>
              <w:bottom w:val="nil"/>
            </w:tcBorders>
            <w:shd w:val="clear"/>
            <w:vAlign w:val="center"/>
          </w:tcPr>
          <w:p>
            <w:pPr>
              <w:rPr>
                <w:rFonts w:hint="eastAsia" w:ascii="宋体"/>
                <w:sz w:val="24"/>
                <w:szCs w:val="24"/>
              </w:rPr>
            </w:pPr>
          </w:p>
        </w:tc>
        <w:tc>
          <w:tcPr>
            <w:tcW w:w="2348"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义务教育生均公用经费拨付到位率</w:t>
            </w:r>
          </w:p>
        </w:tc>
        <w:tc>
          <w:tcPr>
            <w:tcW w:w="111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108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620"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c>
          <w:tcPr>
            <w:tcW w:w="601"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c>
          <w:tcPr>
            <w:tcW w:w="847"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7" w:type="dxa"/>
          <w:trHeight w:val="360" w:hRule="atLeast"/>
        </w:trPr>
        <w:tc>
          <w:tcPr>
            <w:tcW w:w="370" w:type="dxa"/>
            <w:vMerge w:val="continue"/>
            <w:tcBorders>
              <w:top w:val="nil"/>
            </w:tcBorders>
            <w:shd w:val="clear"/>
            <w:vAlign w:val="center"/>
          </w:tcPr>
          <w:p>
            <w:pPr>
              <w:rPr>
                <w:rFonts w:hint="eastAsia" w:ascii="宋体"/>
                <w:sz w:val="24"/>
                <w:szCs w:val="24"/>
              </w:rPr>
            </w:pPr>
          </w:p>
        </w:tc>
        <w:tc>
          <w:tcPr>
            <w:tcW w:w="914" w:type="dxa"/>
            <w:vMerge w:val="continue"/>
            <w:tcBorders>
              <w:top w:val="nil"/>
              <w:left w:val="nil"/>
            </w:tcBorders>
            <w:shd w:val="clear"/>
            <w:vAlign w:val="center"/>
          </w:tcPr>
          <w:p>
            <w:pPr>
              <w:rPr>
                <w:rFonts w:hint="eastAsia" w:ascii="宋体"/>
                <w:sz w:val="24"/>
                <w:szCs w:val="24"/>
              </w:rPr>
            </w:pPr>
          </w:p>
        </w:tc>
        <w:tc>
          <w:tcPr>
            <w:tcW w:w="630" w:type="dxa"/>
            <w:vMerge w:val="continue"/>
            <w:tcBorders>
              <w:top w:val="nil"/>
              <w:left w:val="nil"/>
              <w:bottom w:val="nil"/>
            </w:tcBorders>
            <w:shd w:val="clear"/>
            <w:vAlign w:val="center"/>
          </w:tcPr>
          <w:p>
            <w:pPr>
              <w:rPr>
                <w:rFonts w:hint="eastAsia" w:ascii="宋体"/>
                <w:sz w:val="24"/>
                <w:szCs w:val="24"/>
              </w:rPr>
            </w:pPr>
          </w:p>
        </w:tc>
        <w:tc>
          <w:tcPr>
            <w:tcW w:w="2348"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义务教育生均公用经费拨付及时率</w:t>
            </w:r>
          </w:p>
        </w:tc>
        <w:tc>
          <w:tcPr>
            <w:tcW w:w="111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108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620"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w:t>
            </w:r>
          </w:p>
        </w:tc>
        <w:tc>
          <w:tcPr>
            <w:tcW w:w="601"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w:t>
            </w:r>
          </w:p>
        </w:tc>
        <w:tc>
          <w:tcPr>
            <w:tcW w:w="847"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97" w:type="dxa"/>
          <w:trHeight w:val="510" w:hRule="atLeast"/>
        </w:trPr>
        <w:tc>
          <w:tcPr>
            <w:tcW w:w="370" w:type="dxa"/>
            <w:vMerge w:val="continue"/>
            <w:tcBorders>
              <w:top w:val="nil"/>
            </w:tcBorders>
            <w:shd w:val="clear"/>
            <w:vAlign w:val="center"/>
          </w:tcPr>
          <w:p>
            <w:pPr>
              <w:rPr>
                <w:rFonts w:hint="eastAsia" w:ascii="宋体"/>
                <w:sz w:val="24"/>
                <w:szCs w:val="24"/>
              </w:rPr>
            </w:pPr>
          </w:p>
        </w:tc>
        <w:tc>
          <w:tcPr>
            <w:tcW w:w="914" w:type="dxa"/>
            <w:vMerge w:val="continue"/>
            <w:tcBorders>
              <w:top w:val="nil"/>
              <w:left w:val="nil"/>
            </w:tcBorders>
            <w:shd w:val="clear"/>
            <w:vAlign w:val="center"/>
          </w:tcPr>
          <w:p>
            <w:pPr>
              <w:rPr>
                <w:rFonts w:hint="eastAsia" w:ascii="宋体"/>
                <w:sz w:val="24"/>
                <w:szCs w:val="24"/>
              </w:rPr>
            </w:pPr>
          </w:p>
        </w:tc>
        <w:tc>
          <w:tcPr>
            <w:tcW w:w="630" w:type="dxa"/>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质量指标</w:t>
            </w:r>
          </w:p>
        </w:tc>
        <w:tc>
          <w:tcPr>
            <w:tcW w:w="2348"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保障义务教育学校正常运行</w:t>
            </w:r>
          </w:p>
        </w:tc>
        <w:tc>
          <w:tcPr>
            <w:tcW w:w="111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正常运行</w:t>
            </w:r>
          </w:p>
        </w:tc>
        <w:tc>
          <w:tcPr>
            <w:tcW w:w="108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正常运行</w:t>
            </w:r>
          </w:p>
        </w:tc>
        <w:tc>
          <w:tcPr>
            <w:tcW w:w="62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c>
          <w:tcPr>
            <w:tcW w:w="601" w:type="dxa"/>
            <w:gridSpan w:val="4"/>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c>
          <w:tcPr>
            <w:tcW w:w="847"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7" w:type="dxa"/>
          <w:trHeight w:val="405" w:hRule="atLeast"/>
        </w:trPr>
        <w:tc>
          <w:tcPr>
            <w:tcW w:w="370" w:type="dxa"/>
            <w:vMerge w:val="continue"/>
            <w:tcBorders>
              <w:top w:val="nil"/>
            </w:tcBorders>
            <w:shd w:val="clear"/>
            <w:vAlign w:val="center"/>
          </w:tcPr>
          <w:p>
            <w:pPr>
              <w:rPr>
                <w:rFonts w:hint="eastAsia" w:ascii="宋体"/>
                <w:sz w:val="24"/>
                <w:szCs w:val="24"/>
              </w:rPr>
            </w:pPr>
          </w:p>
        </w:tc>
        <w:tc>
          <w:tcPr>
            <w:tcW w:w="914" w:type="dxa"/>
            <w:vMerge w:val="continue"/>
            <w:tcBorders>
              <w:top w:val="nil"/>
              <w:left w:val="nil"/>
            </w:tcBorders>
            <w:shd w:val="clear"/>
            <w:vAlign w:val="center"/>
          </w:tcPr>
          <w:p>
            <w:pPr>
              <w:rPr>
                <w:rFonts w:hint="eastAsia" w:ascii="宋体"/>
                <w:sz w:val="24"/>
                <w:szCs w:val="24"/>
              </w:rPr>
            </w:pPr>
          </w:p>
        </w:tc>
        <w:tc>
          <w:tcPr>
            <w:tcW w:w="630"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时效指标</w:t>
            </w:r>
          </w:p>
        </w:tc>
        <w:tc>
          <w:tcPr>
            <w:tcW w:w="2348"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资金按规定及时拨付率</w:t>
            </w:r>
          </w:p>
        </w:tc>
        <w:tc>
          <w:tcPr>
            <w:tcW w:w="111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108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620"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7</w:t>
            </w:r>
          </w:p>
        </w:tc>
        <w:tc>
          <w:tcPr>
            <w:tcW w:w="601"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7</w:t>
            </w:r>
          </w:p>
        </w:tc>
        <w:tc>
          <w:tcPr>
            <w:tcW w:w="847"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97" w:type="dxa"/>
          <w:trHeight w:val="405" w:hRule="atLeast"/>
        </w:trPr>
        <w:tc>
          <w:tcPr>
            <w:tcW w:w="370" w:type="dxa"/>
            <w:vMerge w:val="continue"/>
            <w:tcBorders>
              <w:top w:val="nil"/>
            </w:tcBorders>
            <w:shd w:val="clear"/>
            <w:vAlign w:val="center"/>
          </w:tcPr>
          <w:p>
            <w:pPr>
              <w:rPr>
                <w:rFonts w:hint="eastAsia" w:ascii="宋体"/>
                <w:sz w:val="24"/>
                <w:szCs w:val="24"/>
              </w:rPr>
            </w:pPr>
          </w:p>
        </w:tc>
        <w:tc>
          <w:tcPr>
            <w:tcW w:w="914" w:type="dxa"/>
            <w:vMerge w:val="continue"/>
            <w:tcBorders>
              <w:top w:val="nil"/>
              <w:left w:val="nil"/>
            </w:tcBorders>
            <w:shd w:val="clear"/>
            <w:vAlign w:val="center"/>
          </w:tcPr>
          <w:p>
            <w:pPr>
              <w:rPr>
                <w:rFonts w:hint="eastAsia" w:ascii="宋体"/>
                <w:sz w:val="24"/>
                <w:szCs w:val="24"/>
              </w:rPr>
            </w:pPr>
          </w:p>
        </w:tc>
        <w:tc>
          <w:tcPr>
            <w:tcW w:w="630" w:type="dxa"/>
            <w:vMerge w:val="continue"/>
            <w:tcBorders>
              <w:top w:val="nil"/>
              <w:left w:val="nil"/>
            </w:tcBorders>
            <w:shd w:val="clear"/>
            <w:vAlign w:val="center"/>
          </w:tcPr>
          <w:p>
            <w:pPr>
              <w:rPr>
                <w:rFonts w:hint="eastAsia" w:ascii="宋体"/>
                <w:sz w:val="24"/>
                <w:szCs w:val="24"/>
              </w:rPr>
            </w:pPr>
          </w:p>
        </w:tc>
        <w:tc>
          <w:tcPr>
            <w:tcW w:w="2348"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年度预算执行进度</w:t>
            </w:r>
          </w:p>
        </w:tc>
        <w:tc>
          <w:tcPr>
            <w:tcW w:w="111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108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620"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7</w:t>
            </w:r>
          </w:p>
        </w:tc>
        <w:tc>
          <w:tcPr>
            <w:tcW w:w="601"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7</w:t>
            </w:r>
          </w:p>
        </w:tc>
        <w:tc>
          <w:tcPr>
            <w:tcW w:w="847"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7" w:type="dxa"/>
          <w:trHeight w:val="495" w:hRule="atLeast"/>
        </w:trPr>
        <w:tc>
          <w:tcPr>
            <w:tcW w:w="370" w:type="dxa"/>
            <w:vMerge w:val="continue"/>
            <w:tcBorders>
              <w:top w:val="nil"/>
            </w:tcBorders>
            <w:shd w:val="clear"/>
            <w:vAlign w:val="center"/>
          </w:tcPr>
          <w:p>
            <w:pPr>
              <w:rPr>
                <w:rFonts w:hint="eastAsia" w:ascii="宋体"/>
                <w:sz w:val="24"/>
                <w:szCs w:val="24"/>
              </w:rPr>
            </w:pPr>
          </w:p>
        </w:tc>
        <w:tc>
          <w:tcPr>
            <w:tcW w:w="914"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效益指标（30分）</w:t>
            </w:r>
          </w:p>
        </w:tc>
        <w:tc>
          <w:tcPr>
            <w:tcW w:w="630"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指标</w:t>
            </w:r>
          </w:p>
        </w:tc>
        <w:tc>
          <w:tcPr>
            <w:tcW w:w="2348"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教学活动开展有序，办学水平不断提高</w:t>
            </w:r>
          </w:p>
        </w:tc>
        <w:tc>
          <w:tcPr>
            <w:tcW w:w="111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提高</w:t>
            </w:r>
          </w:p>
        </w:tc>
        <w:tc>
          <w:tcPr>
            <w:tcW w:w="108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提高</w:t>
            </w:r>
          </w:p>
        </w:tc>
        <w:tc>
          <w:tcPr>
            <w:tcW w:w="62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15</w:t>
            </w:r>
          </w:p>
        </w:tc>
        <w:tc>
          <w:tcPr>
            <w:tcW w:w="601" w:type="dxa"/>
            <w:gridSpan w:val="4"/>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15</w:t>
            </w:r>
          </w:p>
        </w:tc>
        <w:tc>
          <w:tcPr>
            <w:tcW w:w="847"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7" w:type="dxa"/>
          <w:trHeight w:val="345" w:hRule="atLeast"/>
        </w:trPr>
        <w:tc>
          <w:tcPr>
            <w:tcW w:w="370" w:type="dxa"/>
            <w:vMerge w:val="continue"/>
            <w:tcBorders>
              <w:top w:val="nil"/>
            </w:tcBorders>
            <w:shd w:val="clear"/>
            <w:vAlign w:val="center"/>
          </w:tcPr>
          <w:p>
            <w:pPr>
              <w:rPr>
                <w:rFonts w:hint="eastAsia" w:ascii="宋体"/>
                <w:sz w:val="24"/>
                <w:szCs w:val="24"/>
              </w:rPr>
            </w:pPr>
          </w:p>
        </w:tc>
        <w:tc>
          <w:tcPr>
            <w:tcW w:w="914" w:type="dxa"/>
            <w:vMerge w:val="continue"/>
            <w:tcBorders>
              <w:top w:val="nil"/>
              <w:left w:val="nil"/>
            </w:tcBorders>
            <w:shd w:val="clear"/>
            <w:vAlign w:val="center"/>
          </w:tcPr>
          <w:p>
            <w:pPr>
              <w:rPr>
                <w:rFonts w:hint="eastAsia" w:ascii="宋体"/>
                <w:sz w:val="24"/>
                <w:szCs w:val="24"/>
              </w:rPr>
            </w:pPr>
          </w:p>
        </w:tc>
        <w:tc>
          <w:tcPr>
            <w:tcW w:w="630" w:type="dxa"/>
            <w:vMerge w:val="continue"/>
            <w:tcBorders>
              <w:top w:val="nil"/>
              <w:left w:val="nil"/>
            </w:tcBorders>
            <w:shd w:val="clear"/>
            <w:vAlign w:val="center"/>
          </w:tcPr>
          <w:p>
            <w:pPr>
              <w:rPr>
                <w:rFonts w:hint="eastAsia" w:ascii="宋体"/>
                <w:sz w:val="24"/>
                <w:szCs w:val="24"/>
              </w:rPr>
            </w:pPr>
          </w:p>
        </w:tc>
        <w:tc>
          <w:tcPr>
            <w:tcW w:w="2348"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教育教学质量</w:t>
            </w:r>
          </w:p>
        </w:tc>
        <w:tc>
          <w:tcPr>
            <w:tcW w:w="111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提高</w:t>
            </w:r>
          </w:p>
        </w:tc>
        <w:tc>
          <w:tcPr>
            <w:tcW w:w="108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提高</w:t>
            </w:r>
          </w:p>
        </w:tc>
        <w:tc>
          <w:tcPr>
            <w:tcW w:w="62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15</w:t>
            </w:r>
          </w:p>
        </w:tc>
        <w:tc>
          <w:tcPr>
            <w:tcW w:w="601" w:type="dxa"/>
            <w:gridSpan w:val="4"/>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15</w:t>
            </w:r>
          </w:p>
        </w:tc>
        <w:tc>
          <w:tcPr>
            <w:tcW w:w="847"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7" w:type="dxa"/>
          <w:trHeight w:val="615" w:hRule="atLeast"/>
        </w:trPr>
        <w:tc>
          <w:tcPr>
            <w:tcW w:w="370" w:type="dxa"/>
            <w:vMerge w:val="continue"/>
            <w:tcBorders>
              <w:top w:val="nil"/>
            </w:tcBorders>
            <w:shd w:val="clear"/>
            <w:vAlign w:val="center"/>
          </w:tcPr>
          <w:p>
            <w:pPr>
              <w:rPr>
                <w:rFonts w:hint="eastAsia" w:ascii="宋体"/>
                <w:sz w:val="24"/>
                <w:szCs w:val="24"/>
              </w:rPr>
            </w:pPr>
          </w:p>
        </w:tc>
        <w:tc>
          <w:tcPr>
            <w:tcW w:w="914"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（10分）</w:t>
            </w:r>
          </w:p>
        </w:tc>
        <w:tc>
          <w:tcPr>
            <w:tcW w:w="630"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服务对象满意度指标</w:t>
            </w:r>
          </w:p>
        </w:tc>
        <w:tc>
          <w:tcPr>
            <w:tcW w:w="2348"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学校和教师满意度</w:t>
            </w:r>
          </w:p>
        </w:tc>
        <w:tc>
          <w:tcPr>
            <w:tcW w:w="111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≥85%</w:t>
            </w:r>
          </w:p>
        </w:tc>
        <w:tc>
          <w:tcPr>
            <w:tcW w:w="108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98%</w:t>
            </w:r>
          </w:p>
        </w:tc>
        <w:tc>
          <w:tcPr>
            <w:tcW w:w="62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5</w:t>
            </w:r>
          </w:p>
        </w:tc>
        <w:tc>
          <w:tcPr>
            <w:tcW w:w="601"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4.9</w:t>
            </w:r>
          </w:p>
        </w:tc>
        <w:tc>
          <w:tcPr>
            <w:tcW w:w="847"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7" w:type="dxa"/>
          <w:trHeight w:val="615" w:hRule="atLeast"/>
        </w:trPr>
        <w:tc>
          <w:tcPr>
            <w:tcW w:w="370" w:type="dxa"/>
            <w:vMerge w:val="continue"/>
            <w:tcBorders>
              <w:top w:val="nil"/>
            </w:tcBorders>
            <w:shd w:val="clear"/>
            <w:vAlign w:val="center"/>
          </w:tcPr>
          <w:p>
            <w:pPr>
              <w:rPr>
                <w:rFonts w:hint="eastAsia" w:ascii="宋体"/>
                <w:sz w:val="24"/>
                <w:szCs w:val="24"/>
              </w:rPr>
            </w:pPr>
          </w:p>
        </w:tc>
        <w:tc>
          <w:tcPr>
            <w:tcW w:w="914" w:type="dxa"/>
            <w:vMerge w:val="continue"/>
            <w:tcBorders>
              <w:top w:val="nil"/>
              <w:left w:val="nil"/>
            </w:tcBorders>
            <w:shd w:val="clear"/>
            <w:vAlign w:val="center"/>
          </w:tcPr>
          <w:p>
            <w:pPr>
              <w:rPr>
                <w:rFonts w:hint="eastAsia" w:ascii="宋体"/>
                <w:sz w:val="24"/>
                <w:szCs w:val="24"/>
              </w:rPr>
            </w:pPr>
          </w:p>
        </w:tc>
        <w:tc>
          <w:tcPr>
            <w:tcW w:w="630" w:type="dxa"/>
            <w:vMerge w:val="continue"/>
            <w:tcBorders>
              <w:top w:val="nil"/>
              <w:left w:val="nil"/>
            </w:tcBorders>
            <w:shd w:val="clear"/>
            <w:vAlign w:val="center"/>
          </w:tcPr>
          <w:p>
            <w:pPr>
              <w:rPr>
                <w:rFonts w:hint="eastAsia" w:ascii="宋体"/>
                <w:sz w:val="24"/>
                <w:szCs w:val="24"/>
              </w:rPr>
            </w:pPr>
          </w:p>
        </w:tc>
        <w:tc>
          <w:tcPr>
            <w:tcW w:w="2348"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家长和学生满意度</w:t>
            </w:r>
          </w:p>
        </w:tc>
        <w:tc>
          <w:tcPr>
            <w:tcW w:w="1111"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≥85%</w:t>
            </w:r>
          </w:p>
        </w:tc>
        <w:tc>
          <w:tcPr>
            <w:tcW w:w="108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98%</w:t>
            </w:r>
          </w:p>
        </w:tc>
        <w:tc>
          <w:tcPr>
            <w:tcW w:w="620" w:type="dxa"/>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5</w:t>
            </w:r>
          </w:p>
        </w:tc>
        <w:tc>
          <w:tcPr>
            <w:tcW w:w="601"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4.9</w:t>
            </w:r>
          </w:p>
        </w:tc>
        <w:tc>
          <w:tcPr>
            <w:tcW w:w="847"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7" w:type="dxa"/>
          <w:trHeight w:val="270" w:hRule="atLeast"/>
        </w:trPr>
        <w:tc>
          <w:tcPr>
            <w:tcW w:w="6454" w:type="dxa"/>
            <w:gridSpan w:val="8"/>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总分</w:t>
            </w:r>
          </w:p>
        </w:tc>
        <w:tc>
          <w:tcPr>
            <w:tcW w:w="620"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601"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99.8</w:t>
            </w:r>
          </w:p>
        </w:tc>
        <w:tc>
          <w:tcPr>
            <w:tcW w:w="847"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7" w:type="dxa"/>
          <w:trHeight w:val="465" w:hRule="atLeast"/>
        </w:trPr>
        <w:tc>
          <w:tcPr>
            <w:tcW w:w="8522" w:type="dxa"/>
            <w:gridSpan w:val="16"/>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7" w:type="dxa"/>
          <w:trHeight w:val="750" w:hRule="atLeast"/>
        </w:trPr>
        <w:tc>
          <w:tcPr>
            <w:tcW w:w="8522"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kern w:val="0"/>
                <w:sz w:val="20"/>
                <w:szCs w:val="20"/>
                <w:bdr w:val="none" w:color="auto" w:sz="0" w:space="0"/>
                <w:lang w:val="en-US" w:eastAsia="zh-CN" w:bidi="ar"/>
              </w:rPr>
              <w:t>    2.评分标准：（1） 若为</w:t>
            </w:r>
            <w:r>
              <w:rPr>
                <w:rFonts w:hint="eastAsia" w:ascii="仿宋" w:hAnsi="仿宋" w:eastAsia="仿宋" w:cs="仿宋"/>
                <w:b/>
                <w:bCs/>
                <w:kern w:val="0"/>
                <w:sz w:val="20"/>
                <w:szCs w:val="20"/>
                <w:bdr w:val="none" w:color="auto" w:sz="0" w:space="0"/>
                <w:lang w:val="en-US" w:eastAsia="zh-CN" w:bidi="ar"/>
              </w:rPr>
              <w:t>定性指标</w:t>
            </w:r>
            <w:r>
              <w:rPr>
                <w:rFonts w:hint="eastAsia" w:ascii="仿宋" w:hAnsi="仿宋" w:eastAsia="仿宋" w:cs="仿宋"/>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，根据指标完成情况分为：达成年度指标、部分达成年度指标并具有一定效果、未达成年度指标且效果较差三档，分别按照该指标对应分值区间100-80%&amp; #40;含80%&amp; #41;、80-60%&amp; #40;含60%&amp; #41;、60-0%合理确定分值。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7" w:type="dxa"/>
          <w:trHeight w:val="1100" w:hRule="atLeast"/>
        </w:trPr>
        <w:tc>
          <w:tcPr>
            <w:tcW w:w="8522"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kern w:val="0"/>
                <w:sz w:val="20"/>
                <w:szCs w:val="20"/>
                <w:bdr w:val="none" w:color="auto" w:sz="0" w:space="0"/>
                <w:lang w:val="en-US" w:eastAsia="zh-CN" w:bidi="ar"/>
              </w:rPr>
              <w:t>   （2）若为</w:t>
            </w:r>
            <w:r>
              <w:rPr>
                <w:rFonts w:hint="eastAsia" w:ascii="仿宋" w:hAnsi="仿宋" w:eastAsia="仿宋" w:cs="仿宋"/>
                <w:b/>
                <w:bCs/>
                <w:kern w:val="0"/>
                <w:sz w:val="20"/>
                <w:szCs w:val="20"/>
                <w:bdr w:val="none" w:color="auto" w:sz="0" w:space="0"/>
                <w:lang w:val="en-US" w:eastAsia="zh-CN" w:bidi="ar"/>
              </w:rPr>
              <w:t>定量指标</w:t>
            </w:r>
            <w:r>
              <w:rPr>
                <w:rFonts w:hint="eastAsia" w:ascii="仿宋" w:hAnsi="仿宋" w:eastAsia="仿宋" w:cs="仿宋"/>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7" w:type="dxa"/>
          <w:trHeight w:val="420" w:hRule="atLeast"/>
        </w:trPr>
        <w:tc>
          <w:tcPr>
            <w:tcW w:w="7186" w:type="dxa"/>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    3.请在“偏差原因分析及改进措施”中说明偏离目标、不能完成目标的原因及拟采取的措施。</w:t>
            </w:r>
          </w:p>
        </w:tc>
        <w:tc>
          <w:tcPr>
            <w:tcW w:w="489" w:type="dxa"/>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kern w:val="2"/>
                <w:sz w:val="20"/>
                <w:szCs w:val="20"/>
                <w:bdr w:val="none" w:color="auto" w:sz="0" w:space="0"/>
                <w:lang w:val="en-US" w:eastAsia="zh-CN" w:bidi="ar"/>
              </w:rPr>
              <w:t> </w:t>
            </w:r>
          </w:p>
        </w:tc>
        <w:tc>
          <w:tcPr>
            <w:tcW w:w="395" w:type="dxa"/>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kern w:val="2"/>
                <w:sz w:val="20"/>
                <w:szCs w:val="20"/>
                <w:bdr w:val="none" w:color="auto" w:sz="0" w:space="0"/>
                <w:lang w:val="en-US" w:eastAsia="zh-CN" w:bidi="ar"/>
              </w:rPr>
              <w:t> </w:t>
            </w:r>
          </w:p>
        </w:tc>
        <w:tc>
          <w:tcPr>
            <w:tcW w:w="452" w:type="dxa"/>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cs="Calibri" w:eastAsiaTheme="minorEastAsia"/>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spacing w:before="0" w:beforeAutospacing="1" w:after="0" w:afterAutospacing="1" w:line="600" w:lineRule="exact"/>
        <w:ind w:left="0" w:right="0" w:firstLine="640"/>
        <w:jc w:val="center"/>
        <w:rPr>
          <w:rFonts w:hint="eastAsia" w:ascii="宋体" w:hAnsi="宋体" w:eastAsia="宋体" w:cs="宋体"/>
          <w:b/>
          <w:bCs w:val="0"/>
          <w:kern w:val="2"/>
          <w:sz w:val="32"/>
          <w:szCs w:val="32"/>
          <w:lang w:val="en-US" w:eastAsia="zh-CN" w:bidi="ar"/>
        </w:rPr>
      </w:pP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Cs/>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本单位2021年度收入总计776.31万元，较2020年减少11.42万元，下降1.45%，</w:t>
      </w:r>
      <w:r>
        <w:rPr>
          <w:rFonts w:hint="eastAsia" w:ascii="仿宋" w:hAnsi="仿宋" w:eastAsia="仿宋" w:cs="仿宋"/>
          <w:kern w:val="0"/>
          <w:sz w:val="30"/>
          <w:szCs w:val="30"/>
          <w:lang w:val="en-US" w:eastAsia="zh-CN" w:bidi="ar"/>
        </w:rPr>
        <w:t>其中年初结转和结余 0万元，较2020年减少0 万元,下降0%；本年收入合计776.31万元，较2020年减少11.42万元，下降1.45%；</w:t>
      </w:r>
      <w:r>
        <w:rPr>
          <w:rFonts w:hint="default" w:ascii="仿宋_GB2312" w:eastAsia="仿宋_GB2312" w:cs="仿宋_GB2312" w:hAnsiTheme="minorHAnsi"/>
          <w:kern w:val="0"/>
          <w:sz w:val="30"/>
          <w:szCs w:val="30"/>
          <w:lang w:val="en-US" w:eastAsia="zh-CN" w:bidi="ar"/>
        </w:rPr>
        <w:t>主要原因是：人员减少。</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本年收入的具体构成为：财政拨款收入729.66万元，占93.99%；事业收入46.66万元，占6.01%；经营收入0万元，占0%；其他收入 0 万元，占0 %。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 776.31万元，其中本年支出合计 776.31万元，较2020年减少11.42万元，下降1.45 %，主要原因是：人员减少；年末结转和结余0万元。</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本年支出的具体构成为：基本支出776.31万元，占100 %；项目支出 0万元，占 0 %；经营支出 0万元，占0 %；其他支出（对附属单位补助支出、上缴上级支出） 0万元，占 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本单位2021年度财政拨款本年支出年初预算数为729.66万元，决算数为729.66万元，完成年初预算的100%。其中：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0"/>
          <w:sz w:val="30"/>
          <w:szCs w:val="30"/>
          <w:lang w:val="en-US" w:eastAsia="zh-CN" w:bidi="ar"/>
        </w:rPr>
        <w:t>教育</w:t>
      </w:r>
      <w:r>
        <w:rPr>
          <w:rFonts w:hint="default" w:ascii="仿宋_GB2312" w:eastAsia="仿宋_GB2312" w:cs="仿宋_GB2312" w:hAnsiTheme="minorHAnsi"/>
          <w:kern w:val="2"/>
          <w:sz w:val="30"/>
          <w:szCs w:val="30"/>
          <w:lang w:val="en-US" w:eastAsia="zh-CN" w:bidi="ar"/>
        </w:rPr>
        <w:t>支出年初预算数为729.66万元，决算数为  729.66万元，完成年初预算的100%，主要原因是：严格按预算执行。</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本单位2021年度一般公共预算财政拨款基本支出729.66万元，其中：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（一）工资福利支出614.14万元，较2020年减少74.14万元，下降10.77%，主要原因是：人员减少。</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（二）商品和服务支出115.52万元，较2020年增加39.09 万元，增长51.14%，主要原因是：人员变化。</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（三）对个人和家庭补助支出0万元，无个人家庭支出。</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（四）资本性支出0万元，无资本性支出。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本单位2021年度一般公共预算财政拨款“三公”经费支出年初预算数为1万元，决算数为0.72万元，完成预算的72%，决算数较2020年增加0万元，增长0 %,主要为:</w:t>
      </w:r>
      <w:r>
        <w:rPr>
          <w:rFonts w:hint="eastAsia" w:ascii="宋体" w:hAnsi="宋体" w:eastAsia="宋体" w:cs="宋体"/>
          <w:spacing w:val="0"/>
          <w:kern w:val="2"/>
          <w:sz w:val="32"/>
          <w:szCs w:val="32"/>
          <w:lang w:val="en-US" w:eastAsia="zh-CN" w:bidi="ar"/>
        </w:rPr>
        <w:t>严格执行八项规定要求，加强公务接待管理，节约公务接待开支</w:t>
      </w:r>
      <w:r>
        <w:rPr>
          <w:rFonts w:hint="default" w:ascii="仿宋_GB2312" w:eastAsia="仿宋_GB2312" w:cs="仿宋_GB2312" w:hAnsiTheme="minorHAnsi"/>
          <w:kern w:val="2"/>
          <w:sz w:val="30"/>
          <w:szCs w:val="30"/>
          <w:lang w:val="en-US" w:eastAsia="zh-CN" w:bidi="ar"/>
        </w:rPr>
        <w:t>。</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（一）因公出国（境）支出年初预算数为0万元，决算数为  0万元，完成预算的 %，决算数较2020年增加（减少）  万元，增长（下降）  %，主要原因是无出国人员。决算数较年初预算数增加（减少）的主要原因是：无此支出。全年安排因公出国（境）团组  个，累计  人次，主要为：无出国人员。</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（二）公务接待费支出年初预算数为1万元，决算数为0.72万元，完成预算的72%，决算数较2020年增加0万元，增长0%，主要原因是</w:t>
      </w:r>
      <w:r>
        <w:rPr>
          <w:rFonts w:hint="eastAsia" w:ascii="宋体" w:hAnsi="宋体" w:eastAsia="宋体" w:cs="宋体"/>
          <w:spacing w:val="0"/>
          <w:kern w:val="2"/>
          <w:sz w:val="32"/>
          <w:szCs w:val="32"/>
          <w:lang w:val="en-US" w:eastAsia="zh-CN" w:bidi="ar"/>
        </w:rPr>
        <w:t>严格执行财政政策</w:t>
      </w:r>
      <w:r>
        <w:rPr>
          <w:rFonts w:hint="default" w:ascii="仿宋_GB2312" w:eastAsia="仿宋_GB2312" w:cs="仿宋_GB2312" w:hAnsiTheme="minorHAnsi"/>
          <w:kern w:val="2"/>
          <w:sz w:val="30"/>
          <w:szCs w:val="30"/>
          <w:lang w:val="en-US" w:eastAsia="zh-CN" w:bidi="ar"/>
        </w:rPr>
        <w:t>。决算数较年初预算数增加（减少）的主要原因是：</w:t>
      </w:r>
      <w:r>
        <w:rPr>
          <w:rFonts w:hint="eastAsia" w:ascii="宋体" w:hAnsi="宋体" w:eastAsia="宋体" w:cs="宋体"/>
          <w:spacing w:val="0"/>
          <w:kern w:val="2"/>
          <w:sz w:val="32"/>
          <w:szCs w:val="32"/>
          <w:lang w:val="en-US" w:eastAsia="zh-CN" w:bidi="ar"/>
        </w:rPr>
        <w:t>严格执行八项规定要求，加强公务接待管理，节约公务接待开支</w:t>
      </w:r>
      <w:r>
        <w:rPr>
          <w:rFonts w:hint="default" w:ascii="仿宋_GB2312" w:eastAsia="仿宋_GB2312" w:cs="仿宋_GB2312" w:hAnsiTheme="minorHAnsi"/>
          <w:kern w:val="2"/>
          <w:sz w:val="30"/>
          <w:szCs w:val="30"/>
          <w:lang w:val="en-US" w:eastAsia="zh-CN" w:bidi="ar"/>
        </w:rPr>
        <w:t>。全年国内公务接待23批，累计接待68人次，其中外事接待0批，累计接待 0人次，主要为上级主管部门工作安排产生的公务接待。</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（三）公务用车购置及运行维护费支出0万元，其中公务用车购置年初预算数为 0万元，决算数为0万元，完成预算的 %，决算数较2020年增加（减少）0 万元，增长（下降）0 %，主要原因是无此支出.，全年购置公务用车 0辆。决算数较年初预算数增加（减少）的主要原因是：单位无公车；公务用车运行维护费支出年初预算数为 0 万元，决算数为  0万元，完成预算的 %，决算数较2020年增加（减少）0万元，增长（下降）0 %，主要原因是无此支出，年末公务用车保有0辆。决算数较年初预算数增加（减少）的主要原因是：单位无公车。</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asciiTheme="minorHAnsi" w:hAnsiTheme="minorHAnsi" w:eastAsiaTheme="minorEastAsia" w:cstheme="minorBidi"/>
          <w:kern w:val="0"/>
          <w:sz w:val="30"/>
          <w:szCs w:val="30"/>
          <w:lang w:val="en-US" w:eastAsia="zh-CN" w:bidi="ar"/>
        </w:rPr>
        <w:t>本单位不是行政单位或参照公务员法管理事业单位，故无机关运行经费支出。</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本单位2021年度政府采购支出总额0万元，较上年增长0%，其中：政府采购货物支出0万元、政府采购工程支出0万元、政府采购服务支出0万元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2021年本单位无国有资本经费预算财政拨款支出，与上年持平。</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r>
        <w:rPr>
          <w:rFonts w:hint="default" w:ascii="仿宋_GB2312" w:eastAsia="仿宋_GB2312" w:cs="仿宋_GB2312" w:hAnsiTheme="minorHAnsi"/>
          <w:kern w:val="0"/>
          <w:sz w:val="30"/>
          <w:szCs w:val="30"/>
          <w:lang w:val="en-US" w:eastAsia="zh-CN" w:bidi="ar"/>
        </w:rPr>
        <w:t>本单位无其他用车。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spacing w:val="0"/>
          <w:kern w:val="0"/>
          <w:sz w:val="32"/>
          <w:szCs w:val="32"/>
          <w:bdr w:val="none" w:color="auto" w:sz="0" w:space="0"/>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420"/>
        <w:jc w:val="both"/>
      </w:pPr>
      <w:r>
        <w:rPr>
          <w:rFonts w:hint="eastAsia" w:ascii="仿宋" w:hAnsi="仿宋" w:eastAsia="仿宋" w:cs="仿宋"/>
          <w:i w:val="0"/>
          <w:iCs w:val="0"/>
          <w:caps w:val="0"/>
          <w:spacing w:val="0"/>
          <w:kern w:val="0"/>
          <w:sz w:val="32"/>
          <w:szCs w:val="32"/>
          <w:bdr w:val="none" w:color="auto" w:sz="0" w:space="0"/>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spacing w:val="0"/>
          <w:kern w:val="0"/>
          <w:sz w:val="32"/>
          <w:szCs w:val="32"/>
          <w:bdr w:val="none" w:color="auto" w:sz="0" w:space="0"/>
        </w:rPr>
        <w:t>根据预算绩效管理要求，我单位组织对纳入2021年度单位预算范围的二级项目1个公用经费项目全面开展绩效自评。</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leftChars="0" w:right="0" w:firstLine="630" w:firstLineChars="0"/>
        <w:jc w:val="both"/>
      </w:pPr>
      <w:r>
        <w:rPr>
          <w:rFonts w:hint="eastAsia" w:ascii="仿宋" w:hAnsi="仿宋" w:eastAsia="仿宋" w:cs="仿宋"/>
          <w:i w:val="0"/>
          <w:iCs w:val="0"/>
          <w:caps w:val="0"/>
          <w:spacing w:val="0"/>
          <w:kern w:val="0"/>
          <w:sz w:val="32"/>
          <w:szCs w:val="32"/>
          <w:bdr w:val="none" w:color="auto" w:sz="0" w:space="0"/>
        </w:rPr>
        <w:t>（一）单位决算中项目绩效自评情况。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bdr w:val="none" w:color="auto" w:sz="0" w:space="0"/>
        </w:rPr>
        <w:t>我单位今年在单位决算中反映学校生均公用经费项目绩效自评结果。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bdr w:val="none" w:color="auto" w:sz="0" w:space="0"/>
        </w:rPr>
        <w:t>学校生均公用经费绩效自评综述：根据年初设定的绩效目标，学校生均公用经费绩效自评得分为99.8分。项目全年预算为</w:t>
      </w:r>
      <w:r>
        <w:rPr>
          <w:rFonts w:hint="eastAsia" w:ascii="宋体" w:hAnsi="宋体" w:eastAsia="宋体" w:cs="宋体"/>
          <w:kern w:val="0"/>
          <w:sz w:val="28"/>
          <w:szCs w:val="28"/>
          <w:bdr w:val="none" w:color="auto" w:sz="0" w:space="0"/>
        </w:rPr>
        <w:t>111.38</w:t>
      </w:r>
      <w:r>
        <w:rPr>
          <w:rFonts w:hint="eastAsia" w:ascii="仿宋" w:hAnsi="仿宋" w:eastAsia="仿宋" w:cs="仿宋"/>
          <w:i w:val="0"/>
          <w:iCs w:val="0"/>
          <w:caps w:val="0"/>
          <w:spacing w:val="0"/>
          <w:kern w:val="0"/>
          <w:sz w:val="32"/>
          <w:szCs w:val="32"/>
          <w:bdr w:val="none" w:color="auto" w:sz="0" w:space="0"/>
        </w:rPr>
        <w:t>万元，执行数为111.38万元，完成预算的100%。主要产出和效果：保障了学校的正常运行，提高了学校的教育教学质量，学校、家长和学生的满意度为98%。（见《项目支出绩效自评表》）</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 </w:t>
      </w:r>
      <w:bookmarkStart w:id="0" w:name="_GoBack"/>
      <w:bookmarkEnd w:id="0"/>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eastAsia" w:ascii="方正小标宋简体" w:hAnsi="方正小标宋简体" w:eastAsia="方正小标宋简体" w:cs="方正小标宋简体"/>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kern w:val="2"/>
          <w:sz w:val="44"/>
          <w:szCs w:val="44"/>
          <w:lang w:val="en-US" w:eastAsia="zh-CN" w:bidi="ar"/>
        </w:rPr>
        <w:t>第四部分  名词解释</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kern w:val="2"/>
          <w:sz w:val="44"/>
          <w:szCs w:val="44"/>
          <w:lang w:val="en-US" w:eastAsia="zh-CN" w:bidi="ar"/>
        </w:rPr>
        <w:t> </w:t>
      </w:r>
    </w:p>
    <w:p>
      <w:pPr>
        <w:keepNext w:val="0"/>
        <w:keepLines w:val="0"/>
        <w:widowControl/>
        <w:suppressLineNumbers w:val="0"/>
        <w:spacing w:before="0" w:beforeAutospacing="1" w:after="0" w:afterAutospacing="1"/>
        <w:ind w:left="0" w:right="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七、用事业基金弥补收支差额：指事业单位用事业基金弥补当年收支差额的数额。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八、年初结转和结余：指单位上年结转本年使用的基本支出结转、项目支出结转和结余和经营结余。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九、结余分配：指事业单位按规定对非财政补助结余资金提取的职工福利基金、事业基金和缴纳的所得税，以及减少单位按规定应缴回的基本建设竣工项目结余资金。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十一、基本支出：指为保障机构正常运转、完成日常工作任务而发生的人员支出和公用支出。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十二、项目支出：指在基本支出之外为完成特定的行政任务或事业发展目标所发生的支出。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十三、上缴上级支出：指事业单位按照财政单位和主管单位的规定上缴上级单位的支出。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十五、对附属单位补助支出：指事业单位用财政补助收入之外的收入对附属单位补助发生的支出。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六、“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七、机关运行经费：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机关运行经费”暂指一般公共预算安排的基本支出中的“商品和服务支出”经费。</w:t>
      </w:r>
    </w:p>
    <w:p>
      <w:pPr>
        <w:keepNext w:val="0"/>
        <w:keepLines w:val="0"/>
        <w:widowControl/>
        <w:suppressLineNumbers w:val="0"/>
        <w:spacing w:before="0" w:beforeAutospacing="1" w:after="0" w:afterAutospacing="1"/>
        <w:ind w:left="0" w:right="0" w:firstLine="600"/>
        <w:jc w:val="left"/>
      </w:pPr>
      <w:r>
        <w:rPr>
          <w:rFonts w:hint="default" w:ascii="仿宋_GB2312" w:eastAsia="仿宋_GB2312" w:cs="仿宋_GB2312" w:hAnsiTheme="minorHAnsi"/>
          <w:kern w:val="0"/>
          <w:sz w:val="30"/>
          <w:szCs w:val="3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75D934B-B036-490A-86F5-833D381AF46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0F06B02-DF18-44A9-AFF1-70C712FF2368}"/>
  </w:font>
  <w:font w:name="方正小标宋简体">
    <w:panose1 w:val="02000000000000000000"/>
    <w:charset w:val="86"/>
    <w:family w:val="auto"/>
    <w:pitch w:val="default"/>
    <w:sig w:usb0="00000001" w:usb1="08000000" w:usb2="00000000" w:usb3="00000000" w:csb0="00040000" w:csb1="00000000"/>
    <w:embedRegular r:id="rId3" w:fontKey="{94248EA9-6C26-4582-97DB-7DB39878B995}"/>
  </w:font>
  <w:font w:name="仿宋_GB2312">
    <w:altName w:val="仿宋"/>
    <w:panose1 w:val="00000000000000000000"/>
    <w:charset w:val="00"/>
    <w:family w:val="auto"/>
    <w:pitch w:val="default"/>
    <w:sig w:usb0="00000000" w:usb1="00000000" w:usb2="00000000" w:usb3="00000000" w:csb0="00000000" w:csb1="00000000"/>
    <w:embedRegular r:id="rId4" w:fontKey="{B38E391D-AFF6-42A1-9141-EC02724C3F30}"/>
  </w:font>
  <w:font w:name="仿宋">
    <w:panose1 w:val="02010609060101010101"/>
    <w:charset w:val="86"/>
    <w:family w:val="auto"/>
    <w:pitch w:val="default"/>
    <w:sig w:usb0="800002BF" w:usb1="38CF7CFA" w:usb2="00000016" w:usb3="00000000" w:csb0="00040001" w:csb1="00000000"/>
    <w:embedRegular r:id="rId5" w:fontKey="{89021B95-9AE5-48F7-80B8-DDE4AB331ED4}"/>
  </w:font>
  <w:font w:name="Arial">
    <w:panose1 w:val="020B0604020202020204"/>
    <w:charset w:val="00"/>
    <w:family w:val="auto"/>
    <w:pitch w:val="default"/>
    <w:sig w:usb0="E0002EFF" w:usb1="C000785B" w:usb2="00000009" w:usb3="00000000" w:csb0="400001FF" w:csb1="FFFF0000"/>
    <w:embedRegular r:id="rId6" w:fontKey="{5CF8D7DC-1199-4CE1-A3F9-0C2D9BBAB98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429E7D17"/>
    <w:rsid w:val="429E7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2023-10-07T12:54:00Z</dcterms:created>
  <dc:creator>才东东</dc:creator>
  <cp:lastModifiedBy>才东东</cp:lastModifiedBy>
  <dcterms:modified xsi:type="dcterms:W3CDTF">2023-10-07T13:00:56Z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BF0D5BFB74F14E6C808AA6EF30D04C97_11</vt:lpwstr>
  </property>
</Properties>
</file>