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消防安全重点单位申报表</w:t>
      </w:r>
    </w:p>
    <w:tbl>
      <w:tblPr>
        <w:tblStyle w:val="4"/>
        <w:tblW w:w="9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4781"/>
        <w:gridCol w:w="133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4781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187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地   址</w:t>
            </w:r>
          </w:p>
        </w:tc>
        <w:tc>
          <w:tcPr>
            <w:tcW w:w="4781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邮    编</w:t>
            </w:r>
          </w:p>
        </w:tc>
        <w:tc>
          <w:tcPr>
            <w:tcW w:w="2187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0" w:hRule="atLeast"/>
          <w:jc w:val="center"/>
        </w:trPr>
        <w:tc>
          <w:tcPr>
            <w:tcW w:w="1518" w:type="dxa"/>
            <w:vMerge w:val="restart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申</w:t>
            </w:r>
          </w:p>
          <w:p>
            <w:pPr>
              <w:spacing w:line="9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报</w:t>
            </w:r>
          </w:p>
          <w:p>
            <w:pPr>
              <w:spacing w:line="9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单</w:t>
            </w:r>
          </w:p>
          <w:p>
            <w:pPr>
              <w:spacing w:line="9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位</w:t>
            </w:r>
          </w:p>
          <w:p>
            <w:pPr>
              <w:spacing w:line="90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属</w:t>
            </w:r>
          </w:p>
          <w:p>
            <w:pPr>
              <w:spacing w:line="9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</w:t>
            </w: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经营可燃物品的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室内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商场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市场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且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经营可燃物品的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地下或半地下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商场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□客房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总数＞10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0间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或总建筑面积＞30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的宾馆、饭店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等住宿场所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座位数＞30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个的体育馆，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座位数＞30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个的体育场，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座位数＞20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个的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会堂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礼堂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总建筑面积＞25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的影剧院、录像厅等演出、放映场所；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总建筑面积＞5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的地下或半地下影剧院、录像厅等演出、放映场所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舞厅、卡拉OK厅等歌舞娱乐场所；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总建筑面积＞5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的地下或半地下舞厅、卡拉OK厅等歌舞娱乐场所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具有娱乐功能的夜总会、音乐茶座、酒吧和餐饮场所；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总建筑面积＞5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地下或半地下具有娱乐功能的夜总会、音乐茶座、酒吧和餐饮场所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室内游艺、游乐场所和保龄球馆、桑拿等娱乐、健身、休闲场所和互联网上网服务营业场所；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总建筑面积＞5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地下或半地下室内游艺、游乐场所和保龄球馆、桑拿等娱乐、健身、休闲场所和互联网上网服务营业场所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不具有娱乐功能的餐饮场所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51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□病房楼、门诊楼或者手术部建筑面积大于3000平方米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□住院床位数在100张以上的医疗机构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□住宿床位数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100张的养老机构、福利院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□住宿床位数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200张的学校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□幼儿园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9个班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□幼儿园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幼儿人数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200人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□托位数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100位的托育机构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1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□县级以上党委、人大、政府、政协机关办公场所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□县级以上政府政务服务中心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51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□地市级以上广播电台、电视台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地市级以上的邮政和通信枢纽单位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51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□候车厅、候船厅的建筑面积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00m2的客运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汽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车站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IE"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客运码头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□城市地下轨道交通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51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□总建筑面积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4500m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的公共图书馆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□总建筑面积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5000m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的博物馆、纪念馆、美术馆、科技馆、陈列馆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□总建筑面积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4000m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的文化馆、工人文化宫、青少年宫、妇女儿童活动中心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□总建筑面积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10000m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的展览馆、会展中心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□县级以上档案馆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具有火灾危险性的省级以上文物保护单位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□具有建筑火灾危险的国家AAAA级以上旅游景区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51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□单机容量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300MW或者总装机容量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600MW的大型火力发电厂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□装机容量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300MW的大型水电站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省辖市级以上电力调度机构的电力调度控制中心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□功率为30MW且容量为30MW·h以上的大型电化学储能电站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□特高压直流换流站、特高压交流变电站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51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易燃易爆化学物品生产企业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储存易燃易爆化学物品的专用仓库（石油库、化工原料库、储罐、堆场）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一级营业性加油加气加氢站（加油站、加气站、加氢站、合建站）、CNG加气母站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储罐总容积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100m³的液化石油气供应站（储存站、储配站、灌装站）、气化站、混气站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二级以上压缩天然气供应站，储罐总容积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100m³液化天然气储配站、气化站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国家石油天然气管网集团省级以上输油、输气单位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51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总建筑面积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3000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m</w:t>
            </w:r>
            <w:r>
              <w:rPr>
                <w:rFonts w:hint="default" w:ascii="Times New Roman" w:hAnsi="Times New Roman" w:eastAsia="方正仿宋_GBK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且生产车间员工总数超过1000人或者任一生产车间同一工作时段员工人数超过100人的服装、鞋帽、玩具、木制品、医疗器械、家具、塑料、食品加工和纺织、印染、印刷等劳动密集型企业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从业人员300人以上，且营业收入2000万元以上具有火灾危险性的工业企业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从业人员100人以上，且营业收入1000万元以上的仓储物流企业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51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 xml:space="preserve">县级以上粮油、棉麻储备仓库。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建筑高度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 xml:space="preserve">50米的高层办公楼（写字楼）、高层公寓楼等高层公共建筑。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总建筑面积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 xml:space="preserve">500平方米的密室逃脱、剧本杀等剧本娱乐经营场所。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其他具有较大火灾危险性或者发生火灾后可能造成重大危害的单位。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9821" w:type="dxa"/>
            <w:gridSpan w:val="4"/>
            <w:noWrap w:val="0"/>
            <w:vAlign w:val="top"/>
          </w:tcPr>
          <w:p>
            <w:pPr>
              <w:spacing w:line="42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我单位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符合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《机关、团体、企业、事业单位消防安全管理规定》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《江西省消防安全重点单位界定标准》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规范中消防安全重点单位的标准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，现申报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备案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。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spacing w:line="42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  <w:p>
            <w:pPr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单位（盖章）： 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月   日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法定代表人（签名）：                                           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pStyle w:val="2"/>
        <w:ind w:firstLine="210" w:firstLineChars="100"/>
        <w:rPr>
          <w:rFonts w:hint="default" w:ascii="Times New Roman" w:hAnsi="Times New Roman" w:cs="Times New Roman"/>
        </w:rPr>
      </w:pPr>
    </w:p>
    <w:p>
      <w:pPr>
        <w:pStyle w:val="2"/>
        <w:ind w:firstLine="210" w:firstLineChars="100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t>注：各单位自行对照，并在申报单位属性栏内选择一项打“√”。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ZTBiNWIxNGU4MDhlODllYjM4ZjMxNTk4OTU5MWQifQ=="/>
  </w:docVars>
  <w:rsids>
    <w:rsidRoot w:val="05BF71CD"/>
    <w:rsid w:val="05BF71CD"/>
    <w:rsid w:val="0F32467D"/>
    <w:rsid w:val="2FFA0E6E"/>
    <w:rsid w:val="438E21BC"/>
    <w:rsid w:val="5DE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kern w:val="2"/>
      <w:sz w:val="21"/>
      <w:lang w:val="en-US" w:eastAsia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2023-12-28T05:52:00Z</dcterms:created>
  <dc:creator>Administrator</dc:creator>
  <cp:lastModifiedBy>犹记当初丶</cp:lastModifiedBy>
  <dcterms:modified xsi:type="dcterms:W3CDTF">2024-01-04T01:56:26Z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D3B675D5F614453D9C069B6E3D592C93_13</vt:lpwstr>
  </property>
</Properties>
</file>