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546" w:hanging="1124" w:hangingChars="350"/>
        <w:jc w:val="left"/>
        <w:rPr>
          <w:rFonts w:hint="default"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lang w:eastAsia="zh-CN"/>
        </w:rPr>
        <w:t>附件</w:t>
      </w:r>
      <w:r>
        <w:rPr>
          <w:rFonts w:hint="eastAsia" w:asciiTheme="majorEastAsia" w:hAnsiTheme="majorEastAsia" w:eastAsiaTheme="majorEastAsia"/>
          <w:b/>
          <w:sz w:val="32"/>
          <w:szCs w:val="32"/>
          <w:lang w:val="en-US" w:eastAsia="zh-CN"/>
        </w:rPr>
        <w:t>1：</w:t>
      </w:r>
    </w:p>
    <w:p>
      <w:pPr>
        <w:ind w:left="1546" w:hanging="1546" w:hangingChars="350"/>
        <w:jc w:val="center"/>
        <w:rPr>
          <w:rFonts w:asciiTheme="majorEastAsia" w:hAnsiTheme="majorEastAsia" w:eastAsiaTheme="majorEastAsia"/>
          <w:b/>
          <w:sz w:val="44"/>
          <w:szCs w:val="44"/>
        </w:rPr>
      </w:pPr>
      <w:r>
        <w:rPr>
          <w:rFonts w:asciiTheme="majorEastAsia" w:hAnsiTheme="majorEastAsia" w:eastAsiaTheme="majorEastAsia"/>
          <w:b/>
          <w:sz w:val="44"/>
          <w:szCs w:val="44"/>
        </w:rPr>
        <w:t>202</w:t>
      </w:r>
      <w:r>
        <w:rPr>
          <w:rFonts w:hint="eastAsia" w:asciiTheme="majorEastAsia" w:hAnsiTheme="majorEastAsia" w:eastAsiaTheme="majorEastAsia"/>
          <w:b/>
          <w:sz w:val="44"/>
          <w:szCs w:val="44"/>
        </w:rPr>
        <w:t>1</w:t>
      </w:r>
      <w:r>
        <w:rPr>
          <w:rFonts w:asciiTheme="majorEastAsia" w:hAnsiTheme="majorEastAsia" w:eastAsiaTheme="majorEastAsia"/>
          <w:b/>
          <w:sz w:val="44"/>
          <w:szCs w:val="44"/>
        </w:rPr>
        <w:t>年</w:t>
      </w:r>
      <w:r>
        <w:rPr>
          <w:rFonts w:hint="eastAsia" w:asciiTheme="majorEastAsia" w:hAnsiTheme="majorEastAsia" w:eastAsiaTheme="majorEastAsia"/>
          <w:b/>
          <w:sz w:val="44"/>
          <w:szCs w:val="44"/>
        </w:rPr>
        <w:t>宁都县</w:t>
      </w:r>
      <w:r>
        <w:rPr>
          <w:rFonts w:asciiTheme="majorEastAsia" w:hAnsiTheme="majorEastAsia" w:eastAsiaTheme="majorEastAsia"/>
          <w:b/>
          <w:sz w:val="44"/>
          <w:szCs w:val="44"/>
        </w:rPr>
        <w:t>生态环境保护监督执法</w:t>
      </w:r>
    </w:p>
    <w:p>
      <w:pPr>
        <w:ind w:left="1546" w:hanging="1546" w:hangingChars="350"/>
        <w:jc w:val="center"/>
        <w:rPr>
          <w:rFonts w:asciiTheme="majorEastAsia" w:hAnsiTheme="majorEastAsia" w:eastAsiaTheme="majorEastAsia"/>
          <w:b/>
          <w:sz w:val="44"/>
          <w:szCs w:val="44"/>
        </w:rPr>
      </w:pPr>
      <w:r>
        <w:rPr>
          <w:rFonts w:asciiTheme="majorEastAsia" w:hAnsiTheme="majorEastAsia" w:eastAsiaTheme="majorEastAsia"/>
          <w:b/>
          <w:sz w:val="44"/>
          <w:szCs w:val="44"/>
        </w:rPr>
        <w:t>正面清单实施办法</w:t>
      </w:r>
    </w:p>
    <w:p>
      <w:pPr>
        <w:ind w:left="1546" w:hanging="1546" w:hangingChars="350"/>
        <w:jc w:val="center"/>
        <w:rPr>
          <w:rFonts w:asciiTheme="majorEastAsia" w:hAnsiTheme="majorEastAsia" w:eastAsiaTheme="majorEastAsia"/>
          <w:b/>
          <w:sz w:val="44"/>
          <w:szCs w:val="44"/>
        </w:rPr>
      </w:pPr>
    </w:p>
    <w:p>
      <w:pPr>
        <w:pStyle w:val="10"/>
        <w:ind w:left="360" w:firstLine="0" w:firstLineChars="0"/>
        <w:rPr>
          <w:rFonts w:ascii="仿宋_GB2312" w:hAnsi="仿宋" w:eastAsia="仿宋_GB2312"/>
          <w:color w:val="000000"/>
          <w:sz w:val="32"/>
          <w:szCs w:val="32"/>
        </w:rPr>
      </w:pPr>
      <w:r>
        <w:rPr>
          <w:rFonts w:hint="eastAsia" w:ascii="仿宋_GB2312" w:hAnsi="仿宋" w:eastAsia="仿宋_GB2312"/>
          <w:color w:val="000000"/>
          <w:sz w:val="32"/>
          <w:szCs w:val="32"/>
        </w:rPr>
        <w:t xml:space="preserve">               第一章 总则</w:t>
      </w:r>
    </w:p>
    <w:p>
      <w:pPr>
        <w:ind w:firstLine="643" w:firstLineChars="200"/>
        <w:jc w:val="left"/>
        <w:rPr>
          <w:rFonts w:ascii="仿宋_GB2312" w:hAnsi="仿宋" w:eastAsia="仿宋_GB2312"/>
          <w:color w:val="000000"/>
          <w:sz w:val="32"/>
          <w:szCs w:val="32"/>
        </w:rPr>
      </w:pPr>
      <w:r>
        <w:rPr>
          <w:rStyle w:val="9"/>
          <w:rFonts w:hint="eastAsia" w:ascii="仿宋_GB2312" w:hAnsi="仿宋" w:eastAsia="仿宋_GB2312"/>
          <w:color w:val="000000"/>
          <w:sz w:val="32"/>
          <w:szCs w:val="32"/>
        </w:rPr>
        <w:t>第一条</w:t>
      </w:r>
      <w:r>
        <w:rPr>
          <w:rFonts w:hint="eastAsia" w:ascii="仿宋_GB2312" w:eastAsia="仿宋_GB2312"/>
          <w:color w:val="000000"/>
          <w:sz w:val="32"/>
          <w:szCs w:val="32"/>
        </w:rPr>
        <w:t>  </w:t>
      </w:r>
      <w:r>
        <w:rPr>
          <w:rFonts w:hint="eastAsia" w:ascii="仿宋_GB2312" w:hAnsi="仿宋" w:eastAsia="仿宋_GB2312"/>
          <w:color w:val="000000"/>
          <w:sz w:val="32"/>
          <w:szCs w:val="32"/>
        </w:rPr>
        <w:t>为适应生态环境治理体系现代化建设需求，转变监管理念，优化执法方式，加强生态环境监督执法正面清单管理（以下简称“正面清单”），推动差异化生态环境执法监管走向制度化、常态化，持续发挥生态环境守法企业在日常监管中的正面激励和示范效应，根据生态环境部《关于加强生态环境监督执法正面清单管理推动差异化执法监管的指导意见》（环办执法〔2021〕10号）、江西省生态环境厅《关于印发&lt;江西省实施生态环境监督执法正面清单推动差异化监管工作方案&gt;的通知》（赣环执法[2021] 19号）及赣州市生态环境局《关于印发&lt;赣州市生态环境保护监督执法正面清单实施细则&gt;的通知》（赣市环执法[2021]14号）要求，结合我县工作实际，制定本实施办法。</w:t>
      </w:r>
    </w:p>
    <w:p>
      <w:pPr>
        <w:ind w:firstLine="643" w:firstLineChars="200"/>
        <w:jc w:val="left"/>
        <w:rPr>
          <w:rFonts w:ascii="仿宋_GB2312" w:hAnsi="仿宋" w:eastAsia="仿宋_GB2312"/>
          <w:sz w:val="32"/>
          <w:szCs w:val="32"/>
          <w:shd w:val="clear" w:color="auto" w:fill="FFFFFF"/>
        </w:rPr>
      </w:pPr>
      <w:r>
        <w:rPr>
          <w:rStyle w:val="9"/>
          <w:rFonts w:hint="eastAsia" w:ascii="仿宋_GB2312" w:hAnsi="仿宋" w:eastAsia="仿宋_GB2312"/>
          <w:sz w:val="32"/>
          <w:szCs w:val="32"/>
          <w:shd w:val="clear" w:color="auto" w:fill="FFFFFF"/>
        </w:rPr>
        <w:t>第二条</w:t>
      </w:r>
      <w:r>
        <w:rPr>
          <w:rFonts w:hint="eastAsia" w:ascii="仿宋_GB2312" w:eastAsia="仿宋_GB2312"/>
          <w:sz w:val="32"/>
          <w:szCs w:val="32"/>
          <w:shd w:val="clear" w:color="auto" w:fill="FFFFFF"/>
        </w:rPr>
        <w:t>  </w:t>
      </w:r>
      <w:r>
        <w:rPr>
          <w:rFonts w:hint="eastAsia" w:ascii="仿宋_GB2312" w:hAnsi="仿宋" w:eastAsia="仿宋_GB2312"/>
          <w:sz w:val="32"/>
          <w:szCs w:val="32"/>
          <w:shd w:val="clear" w:color="auto" w:fill="FFFFFF"/>
        </w:rPr>
        <w:t>本办法所称正面清单，是指生态环境保护监督执法活动中，对经筛选程序编入的企业和项目，予以采取减少、免除现场检查等正面激励措施的名录制度。</w:t>
      </w:r>
    </w:p>
    <w:p>
      <w:pPr>
        <w:ind w:firstLine="643" w:firstLineChars="200"/>
        <w:jc w:val="left"/>
        <w:rPr>
          <w:rFonts w:ascii="仿宋_GB2312" w:hAnsi="仿宋" w:eastAsia="仿宋_GB2312"/>
          <w:sz w:val="32"/>
          <w:szCs w:val="32"/>
          <w:shd w:val="clear" w:color="auto" w:fill="FFFFFF"/>
        </w:rPr>
      </w:pPr>
      <w:r>
        <w:rPr>
          <w:rStyle w:val="9"/>
          <w:rFonts w:hint="eastAsia" w:ascii="仿宋_GB2312" w:hAnsi="仿宋" w:eastAsia="仿宋_GB2312"/>
          <w:sz w:val="32"/>
          <w:szCs w:val="32"/>
          <w:shd w:val="clear" w:color="auto" w:fill="FFFFFF"/>
        </w:rPr>
        <w:t>第三条</w:t>
      </w:r>
      <w:r>
        <w:rPr>
          <w:rFonts w:hint="eastAsia" w:ascii="仿宋_GB2312" w:eastAsia="仿宋_GB2312"/>
          <w:sz w:val="32"/>
          <w:szCs w:val="32"/>
          <w:shd w:val="clear" w:color="auto" w:fill="FFFFFF"/>
        </w:rPr>
        <w:t>  </w:t>
      </w:r>
      <w:r>
        <w:rPr>
          <w:rFonts w:hint="eastAsia" w:ascii="仿宋_GB2312" w:hAnsi="仿宋" w:eastAsia="仿宋_GB2312"/>
          <w:sz w:val="32"/>
          <w:szCs w:val="32"/>
          <w:shd w:val="clear" w:color="auto" w:fill="FFFFFF"/>
        </w:rPr>
        <w:t>制定和实施正面清单制度遵循公开公正、筛选从严、监管与守法相适应和守法激励、失信惩戒原则。</w:t>
      </w:r>
    </w:p>
    <w:p>
      <w:pPr>
        <w:ind w:firstLine="2880" w:firstLineChars="900"/>
        <w:jc w:val="left"/>
        <w:rPr>
          <w:rFonts w:ascii="仿宋_GB2312" w:hAnsi="仿宋" w:eastAsia="仿宋_GB2312"/>
          <w:color w:val="000000"/>
          <w:sz w:val="32"/>
          <w:szCs w:val="32"/>
        </w:rPr>
      </w:pPr>
      <w:r>
        <w:rPr>
          <w:rFonts w:hint="eastAsia" w:ascii="仿宋_GB2312" w:hAnsi="仿宋" w:eastAsia="仿宋_GB2312"/>
          <w:color w:val="000000"/>
          <w:sz w:val="32"/>
          <w:szCs w:val="32"/>
        </w:rPr>
        <w:t>第二章管理职责</w:t>
      </w:r>
    </w:p>
    <w:p>
      <w:pPr>
        <w:ind w:firstLine="643" w:firstLineChars="200"/>
        <w:jc w:val="left"/>
        <w:rPr>
          <w:rFonts w:ascii="仿宋_GB2312" w:hAnsi="仿宋" w:eastAsia="仿宋_GB2312"/>
          <w:sz w:val="32"/>
          <w:szCs w:val="32"/>
          <w:shd w:val="clear" w:color="auto" w:fill="FFFFFF"/>
        </w:rPr>
      </w:pPr>
      <w:r>
        <w:rPr>
          <w:rStyle w:val="9"/>
          <w:rFonts w:hint="eastAsia" w:ascii="仿宋_GB2312" w:hAnsi="仿宋" w:eastAsia="仿宋_GB2312"/>
          <w:sz w:val="32"/>
          <w:szCs w:val="32"/>
          <w:shd w:val="clear" w:color="auto" w:fill="FFFFFF"/>
        </w:rPr>
        <w:t>第四条</w:t>
      </w:r>
      <w:r>
        <w:rPr>
          <w:rFonts w:hint="eastAsia" w:ascii="仿宋_GB2312" w:eastAsia="仿宋_GB2312"/>
          <w:sz w:val="32"/>
          <w:szCs w:val="32"/>
          <w:shd w:val="clear" w:color="auto" w:fill="FFFFFF"/>
        </w:rPr>
        <w:t>  </w:t>
      </w:r>
      <w:r>
        <w:rPr>
          <w:rFonts w:hint="eastAsia" w:ascii="仿宋_GB2312" w:hAnsi="仿宋" w:eastAsia="仿宋_GB2312"/>
          <w:sz w:val="32"/>
          <w:szCs w:val="32"/>
          <w:shd w:val="clear" w:color="auto" w:fill="FFFFFF"/>
        </w:rPr>
        <w:t>正面清单的编制分为初选、复选和复核三个阶段。初选。组织综合协调股、水生态环境股、大气环境股、自然生态保护股、赣州市生态环境保护综合执法支队宁都大队、赣州市生态环境技术服务中心宁都技术服务站对辖区内所有排污单位进行初选，形成初选名单。复选。将初选名单函告发改、工信、市监、自然资源、应急管理、城管、卫健委、工业园区管委会及有关乡镇等相关行政主管部门或行业协会、社会组织征求意见，并向社会公开征求意见，形成复选名单。复核。将复选名单上报赣州市生态环境保护综合执法支队复核，对复核不符合要求的企业移出名单，公示后确定最终名单。</w:t>
      </w:r>
    </w:p>
    <w:p>
      <w:pPr>
        <w:ind w:firstLine="643" w:firstLineChars="200"/>
        <w:jc w:val="left"/>
        <w:rPr>
          <w:rFonts w:ascii="仿宋_GB2312" w:hAnsi="仿宋" w:eastAsia="仿宋_GB2312"/>
          <w:sz w:val="32"/>
          <w:szCs w:val="32"/>
          <w:shd w:val="clear" w:color="auto" w:fill="FFFFFF"/>
        </w:rPr>
      </w:pPr>
      <w:r>
        <w:rPr>
          <w:rStyle w:val="9"/>
          <w:rFonts w:hint="eastAsia" w:ascii="仿宋_GB2312" w:hAnsi="仿宋" w:eastAsia="仿宋_GB2312"/>
          <w:sz w:val="32"/>
          <w:szCs w:val="32"/>
          <w:shd w:val="clear" w:color="auto" w:fill="FFFFFF"/>
        </w:rPr>
        <w:t>第五条</w:t>
      </w:r>
      <w:r>
        <w:rPr>
          <w:rFonts w:hint="eastAsia" w:ascii="仿宋_GB2312" w:eastAsia="仿宋_GB2312"/>
          <w:sz w:val="32"/>
          <w:szCs w:val="32"/>
          <w:shd w:val="clear" w:color="auto" w:fill="FFFFFF"/>
        </w:rPr>
        <w:t>  </w:t>
      </w:r>
      <w:r>
        <w:rPr>
          <w:rFonts w:hint="eastAsia" w:ascii="仿宋_GB2312" w:hAnsi="仿宋" w:eastAsia="仿宋_GB2312"/>
          <w:sz w:val="32"/>
          <w:szCs w:val="32"/>
          <w:shd w:val="clear" w:color="auto" w:fill="FFFFFF"/>
        </w:rPr>
        <w:t>对正面清单企业，主动告知正面清单事项要求，由企业做出守法承诺。</w:t>
      </w:r>
    </w:p>
    <w:p>
      <w:pPr>
        <w:ind w:firstLine="643" w:firstLineChars="200"/>
        <w:jc w:val="left"/>
        <w:rPr>
          <w:rFonts w:ascii="仿宋_GB2312" w:hAnsi="仿宋" w:eastAsia="仿宋_GB2312"/>
          <w:sz w:val="32"/>
          <w:szCs w:val="32"/>
          <w:shd w:val="clear" w:color="auto" w:fill="FFFFFF"/>
        </w:rPr>
      </w:pPr>
      <w:r>
        <w:rPr>
          <w:rStyle w:val="9"/>
          <w:rFonts w:hint="eastAsia" w:ascii="仿宋_GB2312" w:hAnsi="仿宋" w:eastAsia="仿宋_GB2312"/>
          <w:sz w:val="32"/>
          <w:szCs w:val="32"/>
          <w:shd w:val="clear" w:color="auto" w:fill="FFFFFF"/>
        </w:rPr>
        <w:t>第六条</w:t>
      </w:r>
      <w:r>
        <w:rPr>
          <w:rFonts w:hint="eastAsia" w:ascii="仿宋_GB2312" w:eastAsia="仿宋_GB2312"/>
          <w:sz w:val="32"/>
          <w:szCs w:val="32"/>
          <w:shd w:val="clear" w:color="auto" w:fill="FFFFFF"/>
        </w:rPr>
        <w:t>  </w:t>
      </w:r>
      <w:r>
        <w:rPr>
          <w:rFonts w:hint="eastAsia" w:ascii="仿宋_GB2312" w:hAnsi="仿宋" w:eastAsia="仿宋_GB2312"/>
          <w:sz w:val="32"/>
          <w:szCs w:val="32"/>
          <w:shd w:val="clear" w:color="auto" w:fill="FFFFFF"/>
        </w:rPr>
        <w:t>编入正面清单的企业或项目，出现以下情形之一的，应及时从正面清单中予以移出，并将移出决定（含移出理由）书面告知被移出的企业：（一）因环境违法受到行政处罚的；（二）涉嫌污染环境罪经调查属实的，移出后不得再次纳入；（三）发生突发环境事件的；（四）逾期未完成限期整改的；（五）因企业合并、破产、注销等原因导致主体灭失的；（六）企业要求移出正面清单的；（七）法律、法规、规章另有规定的。</w:t>
      </w:r>
    </w:p>
    <w:p>
      <w:pPr>
        <w:ind w:firstLine="643" w:firstLineChars="200"/>
        <w:jc w:val="left"/>
        <w:rPr>
          <w:rFonts w:ascii="仿宋_GB2312" w:hAnsi="仿宋" w:eastAsia="仿宋_GB2312"/>
          <w:sz w:val="32"/>
          <w:szCs w:val="32"/>
          <w:shd w:val="clear" w:color="auto" w:fill="FFFFFF"/>
        </w:rPr>
      </w:pPr>
      <w:r>
        <w:rPr>
          <w:rStyle w:val="9"/>
          <w:rFonts w:hint="eastAsia" w:ascii="仿宋_GB2312" w:hAnsi="仿宋" w:eastAsia="仿宋_GB2312"/>
          <w:sz w:val="32"/>
          <w:szCs w:val="32"/>
          <w:shd w:val="clear" w:color="auto" w:fill="FFFFFF"/>
        </w:rPr>
        <w:t>第七条</w:t>
      </w:r>
      <w:r>
        <w:rPr>
          <w:rFonts w:hint="eastAsia" w:ascii="仿宋_GB2312" w:eastAsia="仿宋_GB2312"/>
          <w:sz w:val="32"/>
          <w:szCs w:val="32"/>
          <w:shd w:val="clear" w:color="auto" w:fill="FFFFFF"/>
        </w:rPr>
        <w:t>  </w:t>
      </w:r>
      <w:r>
        <w:rPr>
          <w:rFonts w:hint="eastAsia" w:ascii="仿宋_GB2312" w:hAnsi="仿宋" w:eastAsia="仿宋_GB2312"/>
          <w:sz w:val="32"/>
          <w:szCs w:val="32"/>
          <w:shd w:val="clear" w:color="auto" w:fill="FFFFFF"/>
        </w:rPr>
        <w:t>向社会公示的正面清单应包括企业或项目的以下内容：（一）名称；（二）所在地；（三）统一社会信用代码；（四）行业类别；（五）排污许可证编号（排污登记编号）；（六）分类监管类别（A/B/C）；（七）正面清单纳入时间及有效期。发生调整事项的，公示内容还应包括调整事由。</w:t>
      </w:r>
    </w:p>
    <w:p>
      <w:pPr>
        <w:ind w:firstLine="2400" w:firstLineChars="750"/>
        <w:jc w:val="left"/>
        <w:rPr>
          <w:rFonts w:ascii="仿宋_GB2312" w:hAnsi="仿宋" w:eastAsia="仿宋_GB2312"/>
          <w:color w:val="000000"/>
          <w:sz w:val="32"/>
          <w:szCs w:val="32"/>
        </w:rPr>
      </w:pPr>
      <w:r>
        <w:rPr>
          <w:rFonts w:hint="eastAsia" w:ascii="仿宋_GB2312" w:eastAsia="仿宋_GB2312"/>
          <w:sz w:val="32"/>
          <w:szCs w:val="32"/>
          <w:shd w:val="clear" w:color="auto" w:fill="FFFFFF"/>
        </w:rPr>
        <w:t xml:space="preserve">   </w:t>
      </w:r>
      <w:r>
        <w:rPr>
          <w:rFonts w:hint="eastAsia" w:ascii="仿宋_GB2312" w:hAnsi="仿宋" w:eastAsia="仿宋_GB2312"/>
          <w:color w:val="000000"/>
          <w:sz w:val="32"/>
          <w:szCs w:val="32"/>
        </w:rPr>
        <w:t>第三章 分类实施</w:t>
      </w:r>
    </w:p>
    <w:p>
      <w:pPr>
        <w:ind w:firstLine="643" w:firstLineChars="200"/>
        <w:jc w:val="left"/>
        <w:rPr>
          <w:rFonts w:ascii="仿宋_GB2312" w:hAnsi="仿宋" w:eastAsia="仿宋_GB2312"/>
          <w:sz w:val="32"/>
          <w:szCs w:val="32"/>
        </w:rPr>
      </w:pPr>
      <w:r>
        <w:rPr>
          <w:rStyle w:val="9"/>
          <w:rFonts w:hint="eastAsia" w:ascii="仿宋_GB2312" w:hAnsi="仿宋" w:eastAsia="仿宋_GB2312"/>
          <w:sz w:val="32"/>
          <w:szCs w:val="32"/>
        </w:rPr>
        <w:t>第八条</w:t>
      </w:r>
      <w:r>
        <w:rPr>
          <w:rFonts w:hint="eastAsia" w:ascii="仿宋_GB2312" w:eastAsia="仿宋_GB2312"/>
          <w:sz w:val="32"/>
          <w:szCs w:val="32"/>
        </w:rPr>
        <w:t>  </w:t>
      </w:r>
      <w:r>
        <w:rPr>
          <w:rFonts w:hint="eastAsia" w:ascii="仿宋_GB2312" w:hAnsi="仿宋" w:eastAsia="仿宋_GB2312"/>
          <w:sz w:val="32"/>
          <w:szCs w:val="32"/>
        </w:rPr>
        <w:t>符合以下条件之一的，可以纳入生态环境保护监督执法正面清单：（一）疫情防控期间的医疗卫生、物资生产行业企业：疫情防控等特殊时期急需的口罩、防护服、消毒液、医药、医疗设备等医疗卫生、物资生产企业及医疗机构；（二）民生保障重点行业企业：种植业、屠宰及肉类加工、农副食品加工、食品制造、水、电、燃气等与民生保障直接相关的企业；（三）污染小、吸纳就业能力强的行业企业:如计算机、通信电子、机械加工等污染小的技术密集型和劳动密集型行业企业，以及住宿、娱乐等服务行业企业；（四）重点工程项目:包括国家和地方重点交通基建、水利、拆迁安置、市政基础设施及乡村振兴项目；（五）重点领域企业：航空、电子设备、装备制造、中医药、新能源、汽车、船舶制造、关键零部件、清洁能源开发、核能与核技术利用等领域企业。</w:t>
      </w:r>
    </w:p>
    <w:p>
      <w:pPr>
        <w:ind w:firstLine="643" w:firstLineChars="200"/>
        <w:jc w:val="left"/>
        <w:rPr>
          <w:rFonts w:ascii="仿宋_GB2312" w:hAnsi="仿宋" w:eastAsia="仿宋_GB2312"/>
          <w:sz w:val="32"/>
          <w:szCs w:val="32"/>
        </w:rPr>
      </w:pPr>
      <w:r>
        <w:rPr>
          <w:rStyle w:val="9"/>
          <w:rFonts w:hint="eastAsia" w:ascii="仿宋_GB2312" w:hAnsi="仿宋" w:eastAsia="仿宋_GB2312"/>
          <w:sz w:val="32"/>
          <w:szCs w:val="32"/>
        </w:rPr>
        <w:t>第九条</w:t>
      </w:r>
      <w:r>
        <w:rPr>
          <w:rFonts w:hint="eastAsia" w:ascii="仿宋_GB2312" w:eastAsia="仿宋_GB2312"/>
          <w:sz w:val="32"/>
          <w:szCs w:val="32"/>
        </w:rPr>
        <w:t>  </w:t>
      </w:r>
      <w:r>
        <w:rPr>
          <w:rFonts w:hint="eastAsia" w:ascii="仿宋_GB2312" w:hAnsi="仿宋" w:eastAsia="仿宋_GB2312"/>
          <w:sz w:val="32"/>
          <w:szCs w:val="32"/>
        </w:rPr>
        <w:t>存在以下情形之一的企业，禁止纳入正面清单：（一）未依法取得排污许可证或未依法完成排污登记的；（二）需要办理，但未办理其他各类生态环境相关手续的；（三）生产设备、设施及配套的污染防治设施不符合国家或地方生态环境保护标准的、运行管理不规范的；（四）近三年内因环境违法受到行政处罚或有污染环境犯罪记录的；（五）近两年内发生突发环境事件的；（六）属于生态环境部明确规定的“两高”项目的；（七）中央、省级生态环境保护督察信访件反馈问题属实且未整改销号的;（八）群众重复投诉、反映强烈的及媒体曝光的;（九）法律、法规、规章另有规定的。</w:t>
      </w:r>
    </w:p>
    <w:p>
      <w:pPr>
        <w:ind w:firstLine="2880" w:firstLineChars="900"/>
        <w:jc w:val="left"/>
        <w:rPr>
          <w:rFonts w:ascii="仿宋_GB2312" w:hAnsi="仿宋" w:eastAsia="仿宋_GB2312"/>
          <w:color w:val="000000"/>
          <w:sz w:val="32"/>
          <w:szCs w:val="32"/>
        </w:rPr>
      </w:pPr>
      <w:r>
        <w:rPr>
          <w:rFonts w:hint="eastAsia" w:ascii="仿宋_GB2312" w:hAnsi="仿宋" w:eastAsia="仿宋_GB2312"/>
          <w:color w:val="000000"/>
          <w:sz w:val="32"/>
          <w:szCs w:val="32"/>
        </w:rPr>
        <w:t>第四章 监督执法</w:t>
      </w:r>
    </w:p>
    <w:p>
      <w:pPr>
        <w:ind w:firstLine="643" w:firstLineChars="200"/>
        <w:jc w:val="left"/>
        <w:rPr>
          <w:rFonts w:ascii="仿宋_GB2312" w:hAnsi="仿宋" w:eastAsia="仿宋_GB2312"/>
          <w:sz w:val="32"/>
          <w:szCs w:val="32"/>
        </w:rPr>
      </w:pPr>
      <w:r>
        <w:rPr>
          <w:rStyle w:val="9"/>
          <w:rFonts w:hint="eastAsia" w:ascii="仿宋_GB2312" w:hAnsi="仿宋" w:eastAsia="仿宋_GB2312"/>
          <w:sz w:val="32"/>
          <w:szCs w:val="32"/>
        </w:rPr>
        <w:t>第十条</w:t>
      </w:r>
      <w:r>
        <w:rPr>
          <w:rFonts w:hint="eastAsia" w:ascii="仿宋_GB2312" w:eastAsia="仿宋_GB2312"/>
          <w:sz w:val="32"/>
          <w:szCs w:val="32"/>
        </w:rPr>
        <w:t>  </w:t>
      </w:r>
      <w:r>
        <w:rPr>
          <w:rFonts w:hint="eastAsia" w:ascii="仿宋_GB2312" w:hAnsi="仿宋" w:eastAsia="仿宋_GB2312"/>
          <w:sz w:val="32"/>
          <w:szCs w:val="32"/>
        </w:rPr>
        <w:t>对正面清单企业实施差异化执法监管：（一）部分企业免于现场执法检查。对正面清单中的企业，在清单实行期间被“双随机”抽查到的，可免于现场执法检查；（二）部分企业减少现场检查频次。对纳入正面清单的已安装在线监控且在线监控设备与生态环境部门联网的企业，其在线监控设备稳定运行、在线监控数据稳定达标，一年内无环境违法记录，可不将其作为“双随机、一公开”重点监管对象，在随机抽查管理系统中调整至一般监管对象，减少开展现场执法检查的频次；（三）对于被信访举报、自动监控数据异常超标的企业，执法人员应到现场核实，不受正面清单影响；（四）对影响污染防治攻坚约束性指标考核的重点区域、重点流域及重污染天气应急响应，应视情况开展专项执法检查，不受正面清单影响；（五）原则上A类排污单位一年内至少开展一次现场检查，B类排污单位两年内至少开展一次现场检查，C类排污单位正面清单有效期内（3年）至少开展一次现场检查。</w:t>
      </w:r>
    </w:p>
    <w:p>
      <w:pPr>
        <w:ind w:firstLine="643" w:firstLineChars="200"/>
        <w:jc w:val="left"/>
        <w:rPr>
          <w:rFonts w:ascii="仿宋_GB2312" w:hAnsi="仿宋" w:eastAsia="仿宋_GB2312"/>
          <w:sz w:val="32"/>
          <w:szCs w:val="32"/>
        </w:rPr>
      </w:pPr>
      <w:r>
        <w:rPr>
          <w:rStyle w:val="9"/>
          <w:rFonts w:hint="eastAsia" w:ascii="仿宋_GB2312" w:hAnsi="仿宋" w:eastAsia="仿宋_GB2312"/>
          <w:sz w:val="32"/>
          <w:szCs w:val="32"/>
        </w:rPr>
        <w:t>第十一条</w:t>
      </w:r>
      <w:r>
        <w:rPr>
          <w:rFonts w:hint="eastAsia" w:ascii="仿宋_GB2312" w:eastAsia="仿宋_GB2312"/>
          <w:sz w:val="32"/>
          <w:szCs w:val="32"/>
        </w:rPr>
        <w:t>  </w:t>
      </w:r>
      <w:r>
        <w:rPr>
          <w:rFonts w:hint="eastAsia" w:ascii="仿宋_GB2312" w:hAnsi="仿宋" w:eastAsia="仿宋_GB2312"/>
          <w:sz w:val="32"/>
          <w:szCs w:val="32"/>
        </w:rPr>
        <w:t>正面清单企业，存在以下情形之一的，经局执法机构负责人同意后，依照法定程序规范开展现场执法检查：（一）被群众举报投诉、媒体曝光，上级交办的问题线索的；（二）在线监控数据异常或超标等非现场监管中发现环境违法线索的，经审核企业自查情况报告仍需现场核实的；（三）其他需要赴现场调查核实的。</w:t>
      </w:r>
    </w:p>
    <w:p>
      <w:pPr>
        <w:ind w:firstLine="3040" w:firstLineChars="950"/>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第五章 </w:t>
      </w:r>
      <w:r>
        <w:rPr>
          <w:rFonts w:hint="eastAsia" w:ascii="仿宋_GB2312" w:hAnsi="宋体" w:eastAsia="仿宋_GB2312" w:cs="宋体"/>
          <w:color w:val="000000"/>
          <w:sz w:val="32"/>
          <w:szCs w:val="32"/>
        </w:rPr>
        <w:t> </w:t>
      </w:r>
      <w:r>
        <w:rPr>
          <w:rFonts w:hint="eastAsia" w:ascii="仿宋_GB2312" w:hAnsi="仿宋" w:eastAsia="仿宋_GB2312"/>
          <w:color w:val="000000"/>
          <w:sz w:val="32"/>
          <w:szCs w:val="32"/>
        </w:rPr>
        <w:t>保障措施</w:t>
      </w:r>
    </w:p>
    <w:p>
      <w:pPr>
        <w:ind w:firstLine="643" w:firstLineChars="200"/>
        <w:jc w:val="left"/>
        <w:rPr>
          <w:rFonts w:ascii="仿宋_GB2312" w:hAnsi="仿宋" w:eastAsia="仿宋_GB2312"/>
          <w:sz w:val="32"/>
          <w:szCs w:val="32"/>
        </w:rPr>
      </w:pPr>
      <w:r>
        <w:rPr>
          <w:rStyle w:val="9"/>
          <w:rFonts w:hint="eastAsia" w:ascii="仿宋_GB2312" w:hAnsi="仿宋" w:eastAsia="仿宋_GB2312"/>
          <w:sz w:val="32"/>
          <w:szCs w:val="32"/>
        </w:rPr>
        <w:t>第十二条</w:t>
      </w:r>
      <w:r>
        <w:rPr>
          <w:rFonts w:hint="eastAsia" w:ascii="仿宋_GB2312" w:eastAsia="仿宋_GB2312"/>
          <w:sz w:val="32"/>
          <w:szCs w:val="32"/>
        </w:rPr>
        <w:t>  </w:t>
      </w:r>
      <w:r>
        <w:rPr>
          <w:rFonts w:hint="eastAsia" w:ascii="仿宋_GB2312" w:hAnsi="仿宋" w:eastAsia="仿宋_GB2312"/>
          <w:sz w:val="32"/>
          <w:szCs w:val="32"/>
        </w:rPr>
        <w:t>建立健全监督执法正面清单档案归档和保存制度。</w:t>
      </w:r>
    </w:p>
    <w:p>
      <w:pPr>
        <w:ind w:firstLine="643" w:firstLineChars="200"/>
        <w:jc w:val="left"/>
        <w:rPr>
          <w:rFonts w:ascii="仿宋_GB2312" w:hAnsi="仿宋" w:eastAsia="仿宋_GB2312"/>
          <w:sz w:val="32"/>
          <w:szCs w:val="32"/>
        </w:rPr>
      </w:pPr>
      <w:r>
        <w:rPr>
          <w:rStyle w:val="9"/>
          <w:rFonts w:hint="eastAsia" w:ascii="仿宋_GB2312" w:hAnsi="仿宋" w:eastAsia="仿宋_GB2312"/>
          <w:sz w:val="32"/>
          <w:szCs w:val="32"/>
        </w:rPr>
        <w:t>第十三条</w:t>
      </w:r>
      <w:r>
        <w:rPr>
          <w:rFonts w:hint="eastAsia" w:ascii="仿宋_GB2312" w:eastAsia="仿宋_GB2312"/>
          <w:sz w:val="32"/>
          <w:szCs w:val="32"/>
        </w:rPr>
        <w:t>  </w:t>
      </w:r>
      <w:r>
        <w:rPr>
          <w:rFonts w:hint="eastAsia" w:ascii="仿宋_GB2312" w:hAnsi="仿宋" w:eastAsia="仿宋_GB2312"/>
          <w:sz w:val="32"/>
          <w:szCs w:val="32"/>
        </w:rPr>
        <w:t>对编入正面清单的企业或项目，可应企业需要开展帮扶指导，指导企业进一步建立健全污染防治措施，确保污染防治设施正常运行、污染物达标排放。</w:t>
      </w:r>
    </w:p>
    <w:p>
      <w:pPr>
        <w:ind w:firstLine="643" w:firstLineChars="200"/>
        <w:jc w:val="left"/>
        <w:rPr>
          <w:rFonts w:ascii="仿宋_GB2312" w:hAnsi="仿宋" w:eastAsia="仿宋_GB2312"/>
          <w:sz w:val="32"/>
          <w:szCs w:val="32"/>
        </w:rPr>
      </w:pPr>
      <w:r>
        <w:rPr>
          <w:rStyle w:val="9"/>
          <w:rFonts w:hint="eastAsia" w:ascii="仿宋_GB2312" w:hAnsi="仿宋" w:eastAsia="仿宋_GB2312"/>
          <w:sz w:val="32"/>
          <w:szCs w:val="32"/>
        </w:rPr>
        <w:t>第十四条</w:t>
      </w:r>
      <w:r>
        <w:rPr>
          <w:rFonts w:hint="eastAsia" w:ascii="仿宋_GB2312" w:eastAsia="仿宋_GB2312"/>
          <w:sz w:val="32"/>
          <w:szCs w:val="32"/>
        </w:rPr>
        <w:t>  </w:t>
      </w:r>
      <w:r>
        <w:rPr>
          <w:rFonts w:hint="eastAsia" w:ascii="仿宋_GB2312" w:hAnsi="仿宋" w:eastAsia="仿宋_GB2312"/>
          <w:sz w:val="32"/>
          <w:szCs w:val="32"/>
        </w:rPr>
        <w:t>对符合要求的企业免于或减少现场执法检查，不等同于“不管不问”“降低要求”。对群众反映强烈、损害群众利益的，对偷排偷放、主观恶意排污的，对监测数据弄虚作假和严重污染环境、构成环境污染犯罪的环境违法行为，加强与司法机关联动，坚决依法查处，公开曝光。对群众举报投诉情况属实的企业，立即移出正面清单并及时向社会曝光；对影响污染防治攻坚约束性指标考核的重点区域、重点流域，视情况开展专项执法检查。对未纳入监督执法正面清单的企业，应严格按照“双随机、一公开”监管工作要求，开展日常执法检查。</w:t>
      </w:r>
    </w:p>
    <w:p>
      <w:pPr>
        <w:ind w:firstLine="3040" w:firstLineChars="950"/>
        <w:jc w:val="left"/>
        <w:rPr>
          <w:rFonts w:ascii="仿宋_GB2312" w:hAnsi="仿宋" w:eastAsia="仿宋_GB2312"/>
          <w:color w:val="000000"/>
          <w:sz w:val="32"/>
          <w:szCs w:val="32"/>
        </w:rPr>
      </w:pPr>
      <w:r>
        <w:rPr>
          <w:rFonts w:hint="eastAsia" w:ascii="仿宋_GB2312" w:hAnsi="仿宋" w:eastAsia="仿宋_GB2312"/>
          <w:color w:val="000000"/>
          <w:sz w:val="32"/>
          <w:szCs w:val="32"/>
        </w:rPr>
        <w:t>第六章监管手段</w:t>
      </w:r>
    </w:p>
    <w:p>
      <w:pPr>
        <w:ind w:firstLine="643" w:firstLineChars="200"/>
        <w:jc w:val="left"/>
        <w:rPr>
          <w:rFonts w:ascii="仿宋_GB2312" w:hAnsi="宋体" w:eastAsia="仿宋_GB2312" w:cs="宋体"/>
          <w:color w:val="000000"/>
          <w:sz w:val="32"/>
          <w:szCs w:val="32"/>
        </w:rPr>
      </w:pPr>
      <w:r>
        <w:rPr>
          <w:rStyle w:val="9"/>
          <w:rFonts w:hint="eastAsia" w:ascii="仿宋_GB2312" w:eastAsia="仿宋_GB2312"/>
          <w:sz w:val="32"/>
          <w:szCs w:val="32"/>
        </w:rPr>
        <w:t>第十五条</w:t>
      </w:r>
      <w:r>
        <w:rPr>
          <w:rFonts w:hint="eastAsia" w:ascii="仿宋_GB2312" w:hAnsi="仿宋" w:eastAsia="仿宋_GB2312"/>
          <w:color w:val="000000"/>
          <w:sz w:val="32"/>
          <w:szCs w:val="32"/>
        </w:rPr>
        <w:t>　优化监管方式，对纳入正面清单范围的企业，推行非现场监管方式。充分利用遥感、无人机巡查、在线监控、视频监控、用电监控、大数据分析等科技手段开展非现场检查，及时提醒复工复产企业正常运行治污设施。通过线上检查和大数据分析，实现违法行为智能管控，并以此为契机，强化运用科技手段，提升“互联网+监管”水平和执法效能。</w:t>
      </w:r>
      <w:r>
        <w:rPr>
          <w:rFonts w:hint="eastAsia" w:ascii="仿宋_GB2312" w:hAnsi="仿宋" w:eastAsia="仿宋_GB2312"/>
          <w:color w:val="000000"/>
          <w:sz w:val="32"/>
          <w:szCs w:val="32"/>
        </w:rPr>
        <w:cr/>
      </w:r>
      <w:r>
        <w:rPr>
          <w:rFonts w:hint="eastAsia" w:ascii="仿宋_GB2312" w:hAnsi="仿宋" w:eastAsia="仿宋_GB2312"/>
          <w:color w:val="000000"/>
          <w:sz w:val="32"/>
          <w:szCs w:val="32"/>
        </w:rPr>
        <w:t xml:space="preserve"> </w:t>
      </w:r>
      <w:r>
        <w:rPr>
          <w:rFonts w:hint="eastAsia" w:ascii="仿宋_GB2312" w:hAnsi="宋体" w:eastAsia="仿宋_GB2312" w:cs="宋体"/>
          <w:color w:val="000000"/>
          <w:sz w:val="32"/>
          <w:szCs w:val="32"/>
        </w:rPr>
        <w:t> </w:t>
      </w:r>
    </w:p>
    <w:p>
      <w:pPr>
        <w:ind w:firstLine="3040" w:firstLineChars="950"/>
        <w:jc w:val="left"/>
        <w:rPr>
          <w:rFonts w:ascii="仿宋_GB2312" w:hAnsi="仿宋" w:eastAsia="仿宋_GB2312"/>
          <w:color w:val="000000"/>
          <w:sz w:val="32"/>
          <w:szCs w:val="32"/>
        </w:rPr>
      </w:pPr>
      <w:r>
        <w:rPr>
          <w:rFonts w:hint="eastAsia" w:ascii="仿宋_GB2312" w:hAnsi="仿宋" w:eastAsia="仿宋_GB2312"/>
          <w:color w:val="000000"/>
          <w:sz w:val="32"/>
          <w:szCs w:val="32"/>
        </w:rPr>
        <w:t>第七章 附则</w:t>
      </w:r>
    </w:p>
    <w:p>
      <w:pPr>
        <w:ind w:firstLine="643" w:firstLineChars="200"/>
        <w:jc w:val="left"/>
        <w:rPr>
          <w:rStyle w:val="9"/>
          <w:rFonts w:ascii="仿宋_GB2312" w:hAnsi="仿宋" w:eastAsia="仿宋_GB2312"/>
          <w:sz w:val="32"/>
          <w:szCs w:val="32"/>
        </w:rPr>
      </w:pPr>
      <w:r>
        <w:rPr>
          <w:rStyle w:val="9"/>
          <w:rFonts w:hint="eastAsia" w:ascii="仿宋_GB2312" w:hAnsi="仿宋" w:eastAsia="仿宋_GB2312"/>
          <w:sz w:val="32"/>
          <w:szCs w:val="32"/>
        </w:rPr>
        <w:t>第十六条</w:t>
      </w:r>
      <w:r>
        <w:rPr>
          <w:rFonts w:hint="eastAsia" w:ascii="仿宋_GB2312" w:eastAsia="仿宋_GB2312"/>
          <w:sz w:val="32"/>
          <w:szCs w:val="32"/>
        </w:rPr>
        <w:t>  </w:t>
      </w:r>
      <w:r>
        <w:rPr>
          <w:rFonts w:hint="eastAsia" w:ascii="仿宋_GB2312" w:hAnsi="仿宋" w:eastAsia="仿宋_GB2312"/>
          <w:sz w:val="32"/>
          <w:szCs w:val="32"/>
        </w:rPr>
        <w:t>本办法由赣州市宁都生态环境局负责解释及实施。</w:t>
      </w:r>
      <w:r>
        <w:rPr>
          <w:rStyle w:val="9"/>
          <w:rFonts w:hint="eastAsia" w:ascii="仿宋_GB2312" w:eastAsia="仿宋_GB2312"/>
          <w:sz w:val="32"/>
          <w:szCs w:val="32"/>
        </w:rPr>
        <w:t> </w:t>
      </w:r>
      <w:r>
        <w:rPr>
          <w:rStyle w:val="9"/>
          <w:rFonts w:hint="eastAsia" w:ascii="仿宋_GB2312" w:hAnsi="仿宋" w:eastAsia="仿宋_GB2312"/>
          <w:sz w:val="32"/>
          <w:szCs w:val="32"/>
        </w:rPr>
        <w:t xml:space="preserve"> </w:t>
      </w:r>
      <w:r>
        <w:rPr>
          <w:rStyle w:val="9"/>
          <w:rFonts w:hint="eastAsia" w:ascii="仿宋_GB2312" w:eastAsia="仿宋_GB2312"/>
          <w:sz w:val="32"/>
          <w:szCs w:val="32"/>
        </w:rPr>
        <w:t> </w:t>
      </w:r>
      <w:r>
        <w:rPr>
          <w:rStyle w:val="9"/>
          <w:rFonts w:hint="eastAsia" w:ascii="仿宋_GB2312" w:hAnsi="仿宋" w:eastAsia="仿宋_GB2312"/>
          <w:sz w:val="32"/>
          <w:szCs w:val="32"/>
        </w:rPr>
        <w:t xml:space="preserve"> </w:t>
      </w:r>
      <w:r>
        <w:rPr>
          <w:rStyle w:val="9"/>
          <w:rFonts w:hint="eastAsia" w:ascii="仿宋_GB2312" w:eastAsia="仿宋_GB2312"/>
          <w:sz w:val="32"/>
          <w:szCs w:val="32"/>
        </w:rPr>
        <w:t> </w:t>
      </w:r>
      <w:r>
        <w:rPr>
          <w:rStyle w:val="9"/>
          <w:rFonts w:hint="eastAsia" w:ascii="仿宋_GB2312" w:hAnsi="仿宋" w:eastAsia="仿宋_GB2312"/>
          <w:sz w:val="32"/>
          <w:szCs w:val="32"/>
        </w:rPr>
        <w:t xml:space="preserve"> </w:t>
      </w:r>
      <w:r>
        <w:rPr>
          <w:rStyle w:val="9"/>
          <w:rFonts w:hint="eastAsia" w:ascii="仿宋_GB2312" w:eastAsia="仿宋_GB2312"/>
          <w:sz w:val="32"/>
          <w:szCs w:val="32"/>
        </w:rPr>
        <w:t> </w:t>
      </w:r>
      <w:r>
        <w:rPr>
          <w:rStyle w:val="9"/>
          <w:rFonts w:hint="eastAsia" w:ascii="仿宋_GB2312" w:hAnsi="仿宋" w:eastAsia="仿宋_GB2312"/>
          <w:sz w:val="32"/>
          <w:szCs w:val="32"/>
        </w:rPr>
        <w:t xml:space="preserve"> </w:t>
      </w:r>
    </w:p>
    <w:p>
      <w:pPr>
        <w:ind w:firstLine="643" w:firstLineChars="200"/>
        <w:jc w:val="left"/>
        <w:rPr>
          <w:rFonts w:ascii="仿宋_GB2312" w:hAnsi="仿宋" w:eastAsia="仿宋_GB2312"/>
          <w:sz w:val="32"/>
          <w:szCs w:val="32"/>
        </w:rPr>
      </w:pPr>
      <w:r>
        <w:rPr>
          <w:rStyle w:val="9"/>
          <w:rFonts w:hint="eastAsia" w:ascii="仿宋_GB2312" w:hAnsi="仿宋" w:eastAsia="仿宋_GB2312"/>
          <w:sz w:val="32"/>
          <w:szCs w:val="32"/>
        </w:rPr>
        <w:t>第十七条</w:t>
      </w:r>
      <w:r>
        <w:rPr>
          <w:rFonts w:hint="eastAsia" w:ascii="仿宋_GB2312" w:eastAsia="仿宋_GB2312"/>
          <w:sz w:val="32"/>
          <w:szCs w:val="32"/>
        </w:rPr>
        <w:t>  </w:t>
      </w:r>
      <w:r>
        <w:rPr>
          <w:rFonts w:hint="eastAsia" w:ascii="仿宋_GB2312" w:hAnsi="仿宋" w:eastAsia="仿宋_GB2312"/>
          <w:sz w:val="32"/>
          <w:szCs w:val="32"/>
        </w:rPr>
        <w:t>本施办法自发布之日起实施。实施期间，上级部门出台相关指引细则的，将按上级文件要求落实。</w:t>
      </w:r>
    </w:p>
    <w:p>
      <w:pPr>
        <w:jc w:val="left"/>
        <w:rPr>
          <w:rFonts w:ascii="仿宋_GB2312" w:hAnsi="仿宋" w:eastAsia="仿宋_GB2312"/>
          <w:sz w:val="32"/>
          <w:szCs w:val="32"/>
        </w:rPr>
      </w:pPr>
    </w:p>
    <w:p>
      <w:pPr>
        <w:autoSpaceDE w:val="0"/>
        <w:snapToGrid w:val="0"/>
        <w:rPr>
          <w:rFonts w:hint="eastAsia" w:ascii="仿宋_GB2312" w:hAnsi="仿宋" w:eastAsia="仿宋_GB2312"/>
          <w:sz w:val="32"/>
          <w:szCs w:val="32"/>
        </w:rPr>
      </w:pPr>
    </w:p>
    <w:p>
      <w:pPr>
        <w:autoSpaceDE w:val="0"/>
        <w:snapToGrid w:val="0"/>
        <w:rPr>
          <w:rFonts w:hint="eastAsia" w:ascii="仿宋_GB2312" w:hAnsi="仿宋" w:eastAsia="仿宋_GB2312"/>
          <w:sz w:val="32"/>
          <w:szCs w:val="32"/>
        </w:rPr>
      </w:pPr>
    </w:p>
    <w:p>
      <w:pPr>
        <w:autoSpaceDE w:val="0"/>
        <w:snapToGrid w:val="0"/>
        <w:rPr>
          <w:rFonts w:hint="eastAsia" w:ascii="仿宋_GB2312" w:hAnsi="仿宋" w:eastAsia="仿宋_GB2312"/>
          <w:sz w:val="32"/>
          <w:szCs w:val="32"/>
        </w:rPr>
      </w:pPr>
    </w:p>
    <w:p>
      <w:pPr>
        <w:autoSpaceDE w:val="0"/>
        <w:snapToGrid w:val="0"/>
        <w:rPr>
          <w:rFonts w:hint="eastAsia" w:ascii="仿宋_GB2312" w:hAnsi="仿宋" w:eastAsia="仿宋_GB2312"/>
          <w:sz w:val="32"/>
          <w:szCs w:val="32"/>
        </w:rPr>
      </w:pPr>
    </w:p>
    <w:p>
      <w:pPr>
        <w:autoSpaceDE w:val="0"/>
        <w:snapToGrid w:val="0"/>
        <w:rPr>
          <w:rFonts w:hint="eastAsia" w:ascii="仿宋_GB2312" w:hAnsi="仿宋" w:eastAsia="仿宋_GB2312"/>
          <w:sz w:val="32"/>
          <w:szCs w:val="32"/>
        </w:rPr>
      </w:pPr>
    </w:p>
    <w:p>
      <w:pPr>
        <w:autoSpaceDE w:val="0"/>
        <w:snapToGrid w:val="0"/>
        <w:rPr>
          <w:rFonts w:hint="default" w:ascii="黑体" w:hAnsi="黑体" w:eastAsia="黑体"/>
          <w:color w:val="000000"/>
          <w:sz w:val="32"/>
          <w:szCs w:val="32"/>
          <w:lang w:val="en-US" w:eastAsia="zh-CN"/>
        </w:rPr>
      </w:pPr>
      <w:r>
        <w:rPr>
          <w:rFonts w:hint="eastAsia" w:ascii="黑体" w:hAnsi="黑体" w:eastAsia="黑体"/>
          <w:color w:val="000000"/>
          <w:sz w:val="32"/>
          <w:szCs w:val="32"/>
          <w:lang w:eastAsia="zh-CN"/>
        </w:rPr>
        <w:t>附件</w:t>
      </w:r>
      <w:r>
        <w:rPr>
          <w:rFonts w:hint="eastAsia" w:ascii="黑体" w:hAnsi="黑体" w:eastAsia="黑体"/>
          <w:color w:val="000000"/>
          <w:sz w:val="32"/>
          <w:szCs w:val="32"/>
          <w:lang w:val="en-US" w:eastAsia="zh-CN"/>
        </w:rPr>
        <w:t>2：</w:t>
      </w:r>
    </w:p>
    <w:p>
      <w:pPr>
        <w:autoSpaceDE w:val="0"/>
        <w:snapToGrid w:val="0"/>
        <w:jc w:val="center"/>
        <w:rPr>
          <w:rFonts w:hint="eastAsia" w:ascii="黑体" w:hAnsi="黑体" w:eastAsia="黑体"/>
          <w:color w:val="000000"/>
          <w:sz w:val="40"/>
          <w:szCs w:val="40"/>
        </w:rPr>
      </w:pPr>
    </w:p>
    <w:p>
      <w:pPr>
        <w:autoSpaceDE w:val="0"/>
        <w:snapToGrid w:val="0"/>
        <w:jc w:val="center"/>
        <w:rPr>
          <w:rFonts w:ascii="黑体" w:hAnsi="黑体" w:eastAsia="黑体"/>
          <w:color w:val="000000"/>
          <w:sz w:val="22"/>
        </w:rPr>
      </w:pPr>
      <w:r>
        <w:rPr>
          <w:rFonts w:hint="eastAsia" w:ascii="黑体" w:hAnsi="黑体" w:eastAsia="黑体"/>
          <w:color w:val="000000"/>
          <w:sz w:val="40"/>
          <w:szCs w:val="40"/>
        </w:rPr>
        <w:t>赣州市宁都县生态环境监督执法正面清单企业初选名单</w:t>
      </w:r>
    </w:p>
    <w:tbl>
      <w:tblPr>
        <w:tblStyle w:val="6"/>
        <w:tblW w:w="11595" w:type="dxa"/>
        <w:jc w:val="center"/>
        <w:tblLayout w:type="fixed"/>
        <w:tblCellMar>
          <w:top w:w="0" w:type="dxa"/>
          <w:left w:w="108" w:type="dxa"/>
          <w:bottom w:w="0" w:type="dxa"/>
          <w:right w:w="108" w:type="dxa"/>
        </w:tblCellMar>
      </w:tblPr>
      <w:tblGrid>
        <w:gridCol w:w="646"/>
        <w:gridCol w:w="916"/>
        <w:gridCol w:w="1775"/>
        <w:gridCol w:w="1812"/>
        <w:gridCol w:w="988"/>
        <w:gridCol w:w="962"/>
        <w:gridCol w:w="1100"/>
        <w:gridCol w:w="1238"/>
        <w:gridCol w:w="1362"/>
        <w:gridCol w:w="796"/>
      </w:tblGrid>
      <w:tr>
        <w:tblPrEx>
          <w:tblCellMar>
            <w:top w:w="0" w:type="dxa"/>
            <w:left w:w="108" w:type="dxa"/>
            <w:bottom w:w="0" w:type="dxa"/>
            <w:right w:w="108" w:type="dxa"/>
          </w:tblCellMar>
        </w:tblPrEx>
        <w:trPr>
          <w:trHeight w:val="737"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textAlignment w:val="center"/>
              <w:rPr>
                <w:rFonts w:ascii="黑体" w:hAnsi="宋体" w:eastAsia="黑体"/>
                <w:color w:val="000000"/>
                <w:szCs w:val="21"/>
              </w:rPr>
            </w:pPr>
            <w:r>
              <w:rPr>
                <w:rFonts w:hint="eastAsia" w:ascii="黑体" w:hAnsi="宋体" w:eastAsia="黑体"/>
                <w:color w:val="000000"/>
                <w:kern w:val="0"/>
              </w:rPr>
              <w:t>序号</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黑体" w:hAnsi="宋体" w:eastAsia="黑体"/>
                <w:color w:val="000000"/>
                <w:szCs w:val="21"/>
              </w:rPr>
            </w:pPr>
            <w:r>
              <w:rPr>
                <w:rFonts w:hint="eastAsia" w:ascii="黑体" w:hAnsi="宋体" w:eastAsia="黑体"/>
                <w:color w:val="000000"/>
                <w:kern w:val="0"/>
              </w:rPr>
              <w:t>县（市、区）</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黑体" w:hAnsi="宋体" w:eastAsia="黑体"/>
                <w:color w:val="000000"/>
                <w:szCs w:val="21"/>
              </w:rPr>
            </w:pPr>
            <w:r>
              <w:rPr>
                <w:rFonts w:hint="eastAsia" w:ascii="黑体" w:hAnsi="宋体" w:eastAsia="黑体"/>
                <w:color w:val="000000"/>
                <w:kern w:val="0"/>
              </w:rPr>
              <w:t>企业名称</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黑体" w:hAnsi="宋体" w:eastAsia="黑体"/>
                <w:color w:val="000000"/>
                <w:szCs w:val="21"/>
              </w:rPr>
            </w:pPr>
            <w:r>
              <w:rPr>
                <w:rFonts w:hint="eastAsia" w:ascii="黑体" w:hAnsi="宋体" w:eastAsia="黑体"/>
                <w:color w:val="000000"/>
                <w:kern w:val="0"/>
              </w:rPr>
              <w:t>企业详细地址</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黑体" w:hAnsi="宋体" w:eastAsia="黑体"/>
                <w:color w:val="000000"/>
                <w:kern w:val="0"/>
                <w:szCs w:val="21"/>
              </w:rPr>
            </w:pPr>
            <w:r>
              <w:rPr>
                <w:rFonts w:hint="eastAsia" w:ascii="黑体" w:hAnsi="宋体" w:eastAsia="黑体"/>
                <w:color w:val="000000"/>
                <w:kern w:val="0"/>
              </w:rPr>
              <w:t>纳入</w:t>
            </w:r>
          </w:p>
          <w:p>
            <w:pPr>
              <w:widowControl/>
              <w:autoSpaceDE w:val="0"/>
              <w:spacing w:line="240" w:lineRule="exact"/>
              <w:jc w:val="center"/>
              <w:textAlignment w:val="center"/>
              <w:rPr>
                <w:rFonts w:ascii="黑体" w:hAnsi="宋体" w:eastAsia="黑体"/>
                <w:color w:val="000000"/>
                <w:szCs w:val="21"/>
              </w:rPr>
            </w:pPr>
            <w:r>
              <w:rPr>
                <w:rFonts w:hint="eastAsia" w:ascii="黑体" w:hAnsi="宋体" w:eastAsia="黑体"/>
                <w:color w:val="000000"/>
                <w:kern w:val="0"/>
              </w:rPr>
              <w:t>类别</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黑体" w:hAnsi="宋体" w:eastAsia="黑体"/>
                <w:color w:val="000000"/>
                <w:kern w:val="0"/>
                <w:szCs w:val="21"/>
              </w:rPr>
            </w:pPr>
            <w:r>
              <w:rPr>
                <w:rFonts w:hint="eastAsia" w:ascii="黑体" w:hAnsi="宋体" w:eastAsia="黑体"/>
                <w:color w:val="000000"/>
                <w:kern w:val="0"/>
              </w:rPr>
              <w:t>所属</w:t>
            </w:r>
          </w:p>
          <w:p>
            <w:pPr>
              <w:widowControl/>
              <w:autoSpaceDE w:val="0"/>
              <w:spacing w:line="240" w:lineRule="exact"/>
              <w:jc w:val="center"/>
              <w:textAlignment w:val="center"/>
              <w:rPr>
                <w:rFonts w:ascii="黑体" w:hAnsi="宋体" w:eastAsia="黑体"/>
                <w:color w:val="000000"/>
                <w:szCs w:val="21"/>
              </w:rPr>
            </w:pPr>
            <w:r>
              <w:rPr>
                <w:rFonts w:hint="eastAsia" w:ascii="黑体" w:hAnsi="宋体" w:eastAsia="黑体"/>
                <w:color w:val="000000"/>
                <w:kern w:val="0"/>
              </w:rPr>
              <w:t>行业</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黑体" w:hAnsi="宋体" w:eastAsia="黑体"/>
                <w:color w:val="000000"/>
                <w:kern w:val="0"/>
                <w:szCs w:val="21"/>
              </w:rPr>
            </w:pPr>
            <w:r>
              <w:rPr>
                <w:rFonts w:hint="eastAsia" w:ascii="黑体" w:hAnsi="宋体" w:eastAsia="黑体"/>
                <w:color w:val="000000"/>
                <w:kern w:val="0"/>
              </w:rPr>
              <w:t>分类监</w:t>
            </w:r>
          </w:p>
          <w:p>
            <w:pPr>
              <w:widowControl/>
              <w:autoSpaceDE w:val="0"/>
              <w:spacing w:line="240" w:lineRule="exact"/>
              <w:jc w:val="center"/>
              <w:textAlignment w:val="center"/>
              <w:rPr>
                <w:rFonts w:ascii="黑体" w:hAnsi="宋体" w:eastAsia="黑体"/>
                <w:color w:val="000000"/>
                <w:kern w:val="0"/>
              </w:rPr>
            </w:pPr>
            <w:r>
              <w:rPr>
                <w:rFonts w:hint="eastAsia" w:ascii="黑体" w:hAnsi="宋体" w:eastAsia="黑体"/>
                <w:color w:val="000000"/>
                <w:kern w:val="0"/>
              </w:rPr>
              <w:t>管类别</w:t>
            </w:r>
          </w:p>
          <w:p>
            <w:pPr>
              <w:widowControl/>
              <w:autoSpaceDE w:val="0"/>
              <w:spacing w:line="240" w:lineRule="exact"/>
              <w:jc w:val="center"/>
              <w:textAlignment w:val="center"/>
              <w:rPr>
                <w:rFonts w:ascii="黑体" w:hAnsi="宋体" w:eastAsia="黑体"/>
                <w:color w:val="000000"/>
                <w:szCs w:val="21"/>
              </w:rPr>
            </w:pPr>
            <w:r>
              <w:rPr>
                <w:rFonts w:hint="eastAsia" w:ascii="黑体" w:hAnsi="宋体" w:eastAsia="黑体"/>
                <w:color w:val="000000"/>
                <w:kern w:val="0"/>
              </w:rPr>
              <w:t>（A/B/C）</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黑体" w:hAnsi="宋体" w:eastAsia="黑体"/>
                <w:color w:val="000000"/>
                <w:kern w:val="0"/>
                <w:szCs w:val="21"/>
              </w:rPr>
            </w:pPr>
            <w:r>
              <w:rPr>
                <w:rFonts w:hint="eastAsia" w:ascii="黑体" w:hAnsi="宋体" w:eastAsia="黑体"/>
                <w:color w:val="000000"/>
                <w:kern w:val="0"/>
              </w:rPr>
              <w:t>统一社会</w:t>
            </w:r>
          </w:p>
          <w:p>
            <w:pPr>
              <w:widowControl/>
              <w:autoSpaceDE w:val="0"/>
              <w:spacing w:line="240" w:lineRule="exact"/>
              <w:jc w:val="center"/>
              <w:textAlignment w:val="center"/>
              <w:rPr>
                <w:rFonts w:ascii="黑体" w:hAnsi="宋体" w:eastAsia="黑体"/>
                <w:color w:val="000000"/>
                <w:szCs w:val="21"/>
              </w:rPr>
            </w:pPr>
            <w:r>
              <w:rPr>
                <w:rFonts w:hint="eastAsia" w:ascii="黑体" w:hAnsi="宋体" w:eastAsia="黑体"/>
                <w:color w:val="000000"/>
                <w:kern w:val="0"/>
              </w:rPr>
              <w:t>信用代码</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黑体" w:hAnsi="宋体" w:eastAsia="黑体"/>
                <w:color w:val="000000"/>
                <w:szCs w:val="21"/>
              </w:rPr>
            </w:pPr>
            <w:r>
              <w:rPr>
                <w:rFonts w:hint="eastAsia" w:ascii="黑体" w:hAnsi="宋体" w:eastAsia="黑体"/>
                <w:color w:val="000000"/>
                <w:kern w:val="0"/>
              </w:rPr>
              <w:t>排污许可证编码（排污登记编号）</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textAlignment w:val="center"/>
              <w:rPr>
                <w:rFonts w:ascii="黑体" w:hAnsi="宋体" w:eastAsia="黑体"/>
                <w:color w:val="000000"/>
                <w:szCs w:val="21"/>
              </w:rPr>
            </w:pPr>
            <w:r>
              <w:rPr>
                <w:rFonts w:hint="eastAsia" w:ascii="黑体" w:hAnsi="宋体" w:eastAsia="黑体"/>
                <w:color w:val="000000"/>
                <w:kern w:val="0"/>
              </w:rPr>
              <w:t>备注</w:t>
            </w:r>
          </w:p>
        </w:tc>
      </w:tr>
      <w:tr>
        <w:tblPrEx>
          <w:tblCellMar>
            <w:top w:w="0" w:type="dxa"/>
            <w:left w:w="108" w:type="dxa"/>
            <w:bottom w:w="0" w:type="dxa"/>
            <w:right w:w="108" w:type="dxa"/>
          </w:tblCellMar>
        </w:tblPrEx>
        <w:trPr>
          <w:trHeight w:val="510" w:hRule="atLeast"/>
          <w:jc w:val="center"/>
        </w:trPr>
        <w:tc>
          <w:tcPr>
            <w:tcW w:w="645" w:type="dxa"/>
            <w:tcBorders>
              <w:top w:val="nil"/>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915" w:type="dxa"/>
            <w:tcBorders>
              <w:top w:val="nil"/>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nil"/>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宁都县人民医院</w:t>
            </w:r>
          </w:p>
        </w:tc>
        <w:tc>
          <w:tcPr>
            <w:tcW w:w="1812" w:type="dxa"/>
            <w:tcBorders>
              <w:top w:val="nil"/>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宁都县梅江镇高坑村王家舍</w:t>
            </w:r>
          </w:p>
        </w:tc>
        <w:tc>
          <w:tcPr>
            <w:tcW w:w="988" w:type="dxa"/>
            <w:tcBorders>
              <w:top w:val="nil"/>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962" w:type="dxa"/>
            <w:tcBorders>
              <w:top w:val="nil"/>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综合医院</w:t>
            </w:r>
          </w:p>
        </w:tc>
        <w:tc>
          <w:tcPr>
            <w:tcW w:w="1100" w:type="dxa"/>
            <w:tcBorders>
              <w:top w:val="nil"/>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nil"/>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1236073149193224X3</w:t>
            </w:r>
          </w:p>
        </w:tc>
        <w:tc>
          <w:tcPr>
            <w:tcW w:w="1362" w:type="dxa"/>
            <w:tcBorders>
              <w:top w:val="nil"/>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1236073149193224X3001R</w:t>
            </w:r>
          </w:p>
        </w:tc>
        <w:tc>
          <w:tcPr>
            <w:tcW w:w="796" w:type="dxa"/>
            <w:tcBorders>
              <w:top w:val="nil"/>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宁都县中医院</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宁都县梅江镇中山北路35号</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中医医院</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123607314932282K</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12360731491932282K001Q</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宁都县妇幼保健院</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宁都县梅江镇建国街</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保健院</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12360731MB0201435H</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12360731MB0201435H001Z</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江西洪城水业环保有限公司宁都分公司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宁都县梅江镇撑坝村</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污水处理</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9136073055600981XL</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9136073055600981XL001R</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宁都县第二污水处理厂</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宁都县竹笮乡九塘村</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污水处理</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91360730MA35FQKX7N</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91360730MA35FQKX7N001U</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6</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江西蒙天乳业有限公司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宁都县工业园长胜路</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乳制品</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91360730MA35M62X6F</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91360730MA35M62X6F001U</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7</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江西翠微三甲酒业有限公司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酒业</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913607300564354416</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913607300564354416001R</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8</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宁都县生猪定点屠宰场</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生猪屠宰</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91360730769780296X</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91360730769780296X001V</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江西家俊婴童用品有限公司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服装产业</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C</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91360730731971492R</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91360730731971492R001Z</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10</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江西易富科技有限公司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服饰产业</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91360730576121139D</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91360730576121139D001W</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11</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江西卡迪奴旅游用品有限公司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旅游产品</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C</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91360730796967283F</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91360730796967283F001Z</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12</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宁都汇仁医药有限公司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宁都县工业园长胜路南侧综合大楼</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药品公司</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C</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91360730MA35HCJ54P</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91360730MA35HCJ54P001Y</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13</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宁都县城北医院</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宁都县梅江镇</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城北医院</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52360730MJD05479K</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52360730MJD054749K001R</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14</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宁都县誉红米业食品有限公司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米业食品</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9136073057610576105841T</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91360730576105841T001W</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15</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江西丰泽米业有限公司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米业加工</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B</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91360730763373614L</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91360730763373614L001W</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16</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宁都县佳豪服装制造有限公司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服饰公司</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C</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91360730558492550P</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91360730558492550P002W</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17</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宁都县新意隆鞋业有限公司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鞋业产业</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C</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91360730563843896D</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91360730563843896D001X</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r>
        <w:tblPrEx>
          <w:tblCellMar>
            <w:top w:w="0" w:type="dxa"/>
            <w:left w:w="108" w:type="dxa"/>
            <w:bottom w:w="0" w:type="dxa"/>
            <w:right w:w="108" w:type="dxa"/>
          </w:tblCellMar>
        </w:tblPrEx>
        <w:trPr>
          <w:trHeight w:val="510" w:hRule="atLeast"/>
          <w:jc w:val="center"/>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18</w:t>
            </w:r>
          </w:p>
        </w:tc>
        <w:tc>
          <w:tcPr>
            <w:tcW w:w="915"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w:t>
            </w:r>
          </w:p>
        </w:tc>
        <w:tc>
          <w:tcPr>
            <w:tcW w:w="1774"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宁都县荣都鞋业有限公司</w:t>
            </w:r>
          </w:p>
        </w:tc>
        <w:tc>
          <w:tcPr>
            <w:tcW w:w="181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宁都县工业园</w:t>
            </w:r>
          </w:p>
        </w:tc>
        <w:tc>
          <w:tcPr>
            <w:tcW w:w="98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9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鞋业加工</w:t>
            </w:r>
          </w:p>
        </w:tc>
        <w:tc>
          <w:tcPr>
            <w:tcW w:w="1100"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C</w:t>
            </w:r>
          </w:p>
        </w:tc>
        <w:tc>
          <w:tcPr>
            <w:tcW w:w="1238"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91360730550898492G</w:t>
            </w:r>
          </w:p>
        </w:tc>
        <w:tc>
          <w:tcPr>
            <w:tcW w:w="1362"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91360730550898492G001W</w:t>
            </w:r>
          </w:p>
        </w:tc>
        <w:tc>
          <w:tcPr>
            <w:tcW w:w="796" w:type="dxa"/>
            <w:tcBorders>
              <w:top w:val="single" w:color="000000" w:sz="4" w:space="0"/>
              <w:left w:val="nil"/>
              <w:bottom w:val="single" w:color="000000" w:sz="4" w:space="0"/>
              <w:right w:val="single" w:color="000000" w:sz="4" w:space="0"/>
            </w:tcBorders>
            <w:vAlign w:val="center"/>
          </w:tcPr>
          <w:p>
            <w:pPr>
              <w:widowControl/>
              <w:autoSpaceDE w:val="0"/>
              <w:spacing w:line="240" w:lineRule="exact"/>
              <w:jc w:val="center"/>
              <w:rPr>
                <w:rFonts w:ascii="仿宋_GB2312" w:hAnsi="宋体" w:eastAsia="仿宋_GB2312"/>
                <w:color w:val="000000"/>
                <w:szCs w:val="21"/>
              </w:rPr>
            </w:pPr>
          </w:p>
        </w:tc>
      </w:tr>
    </w:tbl>
    <w:p>
      <w:pPr>
        <w:rPr>
          <w:rFonts w:ascii="Times New Roman" w:hAnsi="Times New Roman" w:eastAsia="宋体" w:cs="Times New Roman"/>
          <w:szCs w:val="21"/>
        </w:rPr>
      </w:pPr>
      <w:r>
        <w:rPr>
          <w:rFonts w:hint="eastAsia" w:ascii="仿宋_GB2312" w:eastAsia="仿宋_GB2312"/>
          <w:color w:val="000000"/>
          <w:sz w:val="32"/>
          <w:szCs w:val="32"/>
        </w:rPr>
        <w:br w:type="page"/>
      </w:r>
    </w:p>
    <w:p>
      <w:pPr>
        <w:ind w:left="1120" w:hanging="1120" w:hangingChars="350"/>
        <w:jc w:val="left"/>
        <w:rPr>
          <w:rFonts w:hint="default" w:eastAsiaTheme="minorEastAsia"/>
          <w:sz w:val="32"/>
          <w:szCs w:val="32"/>
          <w:lang w:val="en-US" w:eastAsia="zh-CN"/>
        </w:rPr>
      </w:pPr>
      <w:r>
        <w:rPr>
          <w:rFonts w:hint="eastAsia"/>
          <w:sz w:val="32"/>
          <w:szCs w:val="32"/>
        </w:rPr>
        <w:t>附件</w:t>
      </w:r>
      <w:r>
        <w:rPr>
          <w:rFonts w:hint="eastAsia"/>
          <w:sz w:val="32"/>
          <w:szCs w:val="32"/>
          <w:lang w:val="en-US" w:eastAsia="zh-CN"/>
        </w:rPr>
        <w:t>:3</w:t>
      </w:r>
      <w:bookmarkStart w:id="0" w:name="_GoBack"/>
      <w:bookmarkEnd w:id="0"/>
    </w:p>
    <w:p>
      <w:pPr>
        <w:ind w:left="1118" w:leftChars="456" w:hanging="160" w:hangingChars="50"/>
        <w:jc w:val="left"/>
        <w:rPr>
          <w:sz w:val="32"/>
          <w:szCs w:val="32"/>
        </w:rPr>
      </w:pPr>
    </w:p>
    <w:p>
      <w:pPr>
        <w:ind w:left="1118" w:leftChars="456" w:hanging="160" w:hangingChars="50"/>
        <w:jc w:val="left"/>
        <w:rPr>
          <w:sz w:val="32"/>
          <w:szCs w:val="32"/>
        </w:rPr>
      </w:pPr>
      <w:r>
        <w:rPr>
          <w:rFonts w:hint="eastAsia"/>
          <w:sz w:val="32"/>
          <w:szCs w:val="32"/>
        </w:rPr>
        <w:t>赣州市宁都县生态环境监督执法正面清单反馈表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2415"/>
        <w:gridCol w:w="220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4" w:space="0"/>
              <w:left w:val="single" w:color="auto" w:sz="4" w:space="0"/>
              <w:bottom w:val="single" w:color="auto" w:sz="4" w:space="0"/>
              <w:right w:val="single" w:color="auto" w:sz="4" w:space="0"/>
            </w:tcBorders>
          </w:tcPr>
          <w:p>
            <w:pPr>
              <w:ind w:firstLine="320" w:firstLineChars="100"/>
              <w:jc w:val="left"/>
              <w:rPr>
                <w:sz w:val="32"/>
                <w:szCs w:val="32"/>
              </w:rPr>
            </w:pPr>
            <w:r>
              <w:rPr>
                <w:rFonts w:hint="eastAsia" w:ascii="宋体" w:hAnsi="宋体" w:eastAsia="宋体" w:cs="宋体"/>
                <w:sz w:val="32"/>
                <w:szCs w:val="32"/>
              </w:rPr>
              <w:t>联系</w:t>
            </w:r>
            <w:r>
              <w:rPr>
                <w:rFonts w:hint="eastAsia"/>
                <w:sz w:val="32"/>
                <w:szCs w:val="32"/>
              </w:rPr>
              <w:t>人</w:t>
            </w:r>
          </w:p>
        </w:tc>
        <w:tc>
          <w:tcPr>
            <w:tcW w:w="2415" w:type="dxa"/>
            <w:tcBorders>
              <w:top w:val="single" w:color="auto" w:sz="4" w:space="0"/>
              <w:left w:val="single" w:color="auto" w:sz="4" w:space="0"/>
              <w:bottom w:val="single" w:color="auto" w:sz="4" w:space="0"/>
              <w:right w:val="single" w:color="auto" w:sz="4" w:space="0"/>
            </w:tcBorders>
          </w:tcPr>
          <w:p>
            <w:pPr>
              <w:jc w:val="left"/>
              <w:rPr>
                <w:sz w:val="32"/>
                <w:szCs w:val="32"/>
              </w:rPr>
            </w:pPr>
          </w:p>
        </w:tc>
        <w:tc>
          <w:tcPr>
            <w:tcW w:w="2205" w:type="dxa"/>
            <w:tcBorders>
              <w:top w:val="single" w:color="auto" w:sz="4" w:space="0"/>
              <w:left w:val="single" w:color="auto" w:sz="4" w:space="0"/>
              <w:bottom w:val="single" w:color="auto" w:sz="4" w:space="0"/>
              <w:right w:val="single" w:color="auto" w:sz="4" w:space="0"/>
            </w:tcBorders>
          </w:tcPr>
          <w:p>
            <w:pPr>
              <w:ind w:firstLine="320" w:firstLineChars="100"/>
              <w:jc w:val="left"/>
              <w:rPr>
                <w:sz w:val="32"/>
                <w:szCs w:val="32"/>
              </w:rPr>
            </w:pPr>
            <w:r>
              <w:rPr>
                <w:rFonts w:hint="eastAsia" w:ascii="宋体" w:hAnsi="宋体" w:eastAsia="宋体" w:cs="宋体"/>
                <w:sz w:val="32"/>
                <w:szCs w:val="32"/>
              </w:rPr>
              <w:t>联系电</w:t>
            </w:r>
            <w:r>
              <w:rPr>
                <w:rFonts w:hint="eastAsia"/>
                <w:sz w:val="32"/>
                <w:szCs w:val="32"/>
              </w:rPr>
              <w:t>话</w:t>
            </w:r>
          </w:p>
        </w:tc>
        <w:tc>
          <w:tcPr>
            <w:tcW w:w="2131" w:type="dxa"/>
            <w:tcBorders>
              <w:top w:val="single" w:color="auto" w:sz="4" w:space="0"/>
              <w:left w:val="single" w:color="auto" w:sz="4" w:space="0"/>
              <w:bottom w:val="single" w:color="auto" w:sz="4" w:space="0"/>
              <w:right w:val="single" w:color="auto" w:sz="4" w:space="0"/>
            </w:tcBorders>
          </w:tcPr>
          <w:p>
            <w:pPr>
              <w:jc w:val="lef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4" w:hRule="atLeast"/>
        </w:trPr>
        <w:tc>
          <w:tcPr>
            <w:tcW w:w="8522" w:type="dxa"/>
            <w:gridSpan w:val="4"/>
            <w:tcBorders>
              <w:top w:val="single" w:color="auto" w:sz="4" w:space="0"/>
              <w:left w:val="single" w:color="auto" w:sz="4" w:space="0"/>
              <w:bottom w:val="single" w:color="auto" w:sz="4" w:space="0"/>
              <w:right w:val="single" w:color="auto" w:sz="4" w:space="0"/>
            </w:tcBorders>
          </w:tcPr>
          <w:p>
            <w:pPr>
              <w:jc w:val="left"/>
              <w:rPr>
                <w:sz w:val="32"/>
                <w:szCs w:val="32"/>
              </w:rPr>
            </w:pPr>
            <w:r>
              <w:rPr>
                <w:rFonts w:hint="eastAsia" w:ascii="宋体" w:hAnsi="宋体" w:eastAsia="宋体" w:cs="宋体"/>
                <w:sz w:val="32"/>
                <w:szCs w:val="32"/>
              </w:rPr>
              <w:t>是否同意初选名单企业入正面清单</w:t>
            </w:r>
            <w:r>
              <w:rPr>
                <w:rFonts w:hint="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4" w:hRule="atLeast"/>
        </w:trPr>
        <w:tc>
          <w:tcPr>
            <w:tcW w:w="8522" w:type="dxa"/>
            <w:gridSpan w:val="4"/>
            <w:tcBorders>
              <w:top w:val="single" w:color="auto" w:sz="4" w:space="0"/>
              <w:left w:val="single" w:color="auto" w:sz="4" w:space="0"/>
              <w:bottom w:val="single" w:color="auto" w:sz="4" w:space="0"/>
              <w:right w:val="single" w:color="auto" w:sz="4" w:space="0"/>
            </w:tcBorders>
          </w:tcPr>
          <w:p>
            <w:pPr>
              <w:jc w:val="left"/>
              <w:rPr>
                <w:sz w:val="32"/>
                <w:szCs w:val="32"/>
              </w:rPr>
            </w:pPr>
            <w:r>
              <w:rPr>
                <w:rFonts w:hint="eastAsia" w:ascii="宋体" w:hAnsi="宋体" w:eastAsia="宋体" w:cs="宋体"/>
                <w:sz w:val="32"/>
                <w:szCs w:val="32"/>
              </w:rPr>
              <w:t>不同意哪些初选名单企业正面清单及理由</w:t>
            </w:r>
            <w:r>
              <w:rPr>
                <w:rFonts w:hint="eastAsia"/>
                <w:sz w:val="32"/>
                <w:szCs w:val="32"/>
              </w:rPr>
              <w:t>；</w:t>
            </w:r>
          </w:p>
        </w:tc>
      </w:tr>
    </w:tbl>
    <w:p>
      <w:pPr>
        <w:ind w:right="480" w:firstLine="640" w:firstLineChars="200"/>
        <w:jc w:val="left"/>
        <w:rPr>
          <w:rFonts w:ascii="仿宋_GB2312" w:hAnsi="仿宋"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0007159"/>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31F3"/>
    <w:rsid w:val="00281401"/>
    <w:rsid w:val="00311D5B"/>
    <w:rsid w:val="00424A5B"/>
    <w:rsid w:val="00470BBF"/>
    <w:rsid w:val="004A3B84"/>
    <w:rsid w:val="006351F9"/>
    <w:rsid w:val="006F379B"/>
    <w:rsid w:val="007A2321"/>
    <w:rsid w:val="00817788"/>
    <w:rsid w:val="00977384"/>
    <w:rsid w:val="00AB68C2"/>
    <w:rsid w:val="00B53A39"/>
    <w:rsid w:val="00BF1F24"/>
    <w:rsid w:val="00C37377"/>
    <w:rsid w:val="00CB53D6"/>
    <w:rsid w:val="00D052A9"/>
    <w:rsid w:val="00D70CE7"/>
    <w:rsid w:val="00E35451"/>
    <w:rsid w:val="00ED0090"/>
    <w:rsid w:val="00EE31F3"/>
    <w:rsid w:val="0B345928"/>
    <w:rsid w:val="5594249E"/>
    <w:rsid w:val="6CD65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 w:type="character" w:customStyle="1" w:styleId="11">
    <w:name w:val="批注框文本 Char"/>
    <w:basedOn w:val="8"/>
    <w:link w:val="3"/>
    <w:semiHidden/>
    <w:qFormat/>
    <w:uiPriority w:val="99"/>
    <w:rPr>
      <w:kern w:val="2"/>
      <w:sz w:val="18"/>
      <w:szCs w:val="18"/>
    </w:rPr>
  </w:style>
  <w:style w:type="character" w:customStyle="1" w:styleId="12">
    <w:name w:val="页眉 Char"/>
    <w:basedOn w:val="8"/>
    <w:link w:val="5"/>
    <w:uiPriority w:val="99"/>
    <w:rPr>
      <w:kern w:val="2"/>
      <w:sz w:val="18"/>
      <w:szCs w:val="18"/>
    </w:rPr>
  </w:style>
  <w:style w:type="character" w:customStyle="1" w:styleId="13">
    <w:name w:val="页脚 Char"/>
    <w:basedOn w:val="8"/>
    <w:link w:val="4"/>
    <w:qFormat/>
    <w:uiPriority w:val="99"/>
    <w:rPr>
      <w:kern w:val="2"/>
      <w:sz w:val="18"/>
      <w:szCs w:val="18"/>
    </w:rPr>
  </w:style>
  <w:style w:type="character" w:customStyle="1" w:styleId="14">
    <w:name w:val="日期 Char"/>
    <w:basedOn w:val="8"/>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9</Pages>
  <Words>681</Words>
  <Characters>3888</Characters>
  <Lines>32</Lines>
  <Paragraphs>9</Paragraphs>
  <TotalTime>119</TotalTime>
  <ScaleCrop>false</ScaleCrop>
  <LinksUpToDate>false</LinksUpToDate>
  <CharactersWithSpaces>4560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2021-09-08T03:52:00Z</dcterms:created>
  <dc:creator>Administrator</dc:creator>
  <cp:lastModifiedBy>安好如初</cp:lastModifiedBy>
  <cp:lastPrinted>2021-09-10T02:27:00Z</cp:lastPrinted>
  <dcterms:modified xsi:type="dcterms:W3CDTF">2021-09-15T01:02:48Z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F01C73D14A18432E9F70A8A4872E6324</vt:lpwstr>
  </property>
</Properties>
</file>