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  <w:lang w:eastAsia="zh-CN"/>
        </w:rPr>
        <w:t>关于《</w:t>
      </w: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 w:bidi="ar"/>
        </w:rPr>
        <w:t>企业科技创新奖励</w:t>
      </w:r>
      <w:r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  <w:lang w:eastAsia="zh-CN"/>
        </w:rPr>
        <w:t>》的政策解读</w:t>
      </w:r>
    </w:p>
    <w:p>
      <w:pPr>
        <w:pStyle w:val="3"/>
        <w:widowControl w:val="0"/>
        <w:shd w:val="clear" w:color="auto" w:fill="FFFFFF"/>
        <w:autoSpaceDE w:val="0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4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-4"/>
          <w:sz w:val="32"/>
          <w:szCs w:val="32"/>
          <w:shd w:val="clear" w:fill="FFFFFF"/>
        </w:rPr>
        <w:t>一、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-4"/>
          <w:sz w:val="32"/>
          <w:szCs w:val="32"/>
          <w:shd w:val="clear" w:fill="FFFFFF"/>
        </w:rPr>
        <w:t>基本情况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i w:val="0"/>
          <w:iCs w:val="0"/>
          <w:caps w:val="0"/>
          <w:color w:val="333333"/>
          <w:spacing w:val="-4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企业科技创新奖励是一项主要服务中小型企业，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鼓励企业科技创新，设立科技创新奖励，支持高新技术企业发展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的政策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政策依据为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2021年10月16日印发的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《宁都县促进工业投资优惠办法（试行）》（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宁发[2021]5号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文件。现就政策相关情况予以解读。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4"/>
        <w:jc w:val="both"/>
        <w:rPr>
          <w:rFonts w:hint="eastAsia" w:ascii="Calibri" w:hAnsi="Calibri" w:eastAsia="黑体" w:cs="Calibri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-4"/>
          <w:sz w:val="32"/>
          <w:szCs w:val="32"/>
          <w:shd w:val="clear" w:fill="FFFFFF"/>
        </w:rPr>
        <w:t>二、主要内容</w:t>
      </w:r>
      <w:r>
        <w:rPr>
          <w:rFonts w:hint="eastAsia" w:ascii="黑体" w:eastAsia="黑体" w:cs="黑体"/>
          <w:b w:val="0"/>
          <w:bCs w:val="0"/>
          <w:i w:val="0"/>
          <w:iCs w:val="0"/>
          <w:caps w:val="0"/>
          <w:color w:val="333333"/>
          <w:spacing w:val="-4"/>
          <w:sz w:val="32"/>
          <w:szCs w:val="32"/>
          <w:shd w:val="clear" w:fill="FFFFFF"/>
          <w:lang w:eastAsia="zh-CN"/>
        </w:rPr>
        <w:t>与申报说明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（一）政策标准：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鼓励企业建立研发平台。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被认定为国家、省、市级企业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研发平台的（含重点实验室、技术创新中心、众创空间、创新示范基地），分别给予一次性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300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万元、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20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万元、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10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万元奖励。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2.培育发展科技型企业。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对首次认定的高新技术企业，给予一次性奖励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20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（二）申请条件：1.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认定为国家、省、市级企业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研发平台（含重点实验室、技术创新中心、众创空间、创新示范基地）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首次认定的高新技术企业；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对认定的国家级、省级、市级创新型企业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（三）申请材料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：《宁都县科技创新奖励资金申请表》及相关证书原件(原件核对后返回企业)、复印件、企业营业执照复印件一式二份。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（四）申请流程：1.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申报：企业准备相关资料并提出申请；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初核：县教科体局收到申报材料后,会同相关部门进行初步审核,并提出初评意见,汇总拟定兑现扶持政策对象名单；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审核:通过初评的企业,经县政府常务会讨论,审定通过；</w:t>
      </w:r>
      <w:r>
        <w:rPr>
          <w:rFonts w:hint="eastAsia" w:ascii="仿宋_GB2312" w:eastAsia="仿宋_GB2312"/>
          <w:b/>
          <w:bCs/>
          <w:i w:val="0"/>
          <w:iCs w:val="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兑现：审定通过后,由县财政局负责兑现惠企政策。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（五）申请方式：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线下——宁都县教科体局科技股。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61CD6"/>
    <w:rsid w:val="0ACB37DF"/>
    <w:rsid w:val="0C605BA6"/>
    <w:rsid w:val="0E797ADB"/>
    <w:rsid w:val="194A5C14"/>
    <w:rsid w:val="1FF74882"/>
    <w:rsid w:val="202876B2"/>
    <w:rsid w:val="2CF0507D"/>
    <w:rsid w:val="3A4818A4"/>
    <w:rsid w:val="3CC7520F"/>
    <w:rsid w:val="48E521D3"/>
    <w:rsid w:val="58E14F46"/>
    <w:rsid w:val="694E4C91"/>
    <w:rsid w:val="6BD91AAD"/>
    <w:rsid w:val="78F97EE3"/>
    <w:rsid w:val="7F5B6A68"/>
    <w:rsid w:val="7FC0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君思</cp:lastModifiedBy>
  <cp:lastPrinted>2021-12-05T09:28:25Z</cp:lastPrinted>
  <dcterms:modified xsi:type="dcterms:W3CDTF">2021-12-05T10:19:34Z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A6D741B8BB7646A5974022F937620DCF</vt:lpwstr>
  </property>
</Properties>
</file>