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sz w:val="36"/>
          <w:szCs w:val="36"/>
        </w:rPr>
      </w:pPr>
      <w:bookmarkStart w:id="15" w:name="_GoBack"/>
      <w:bookmarkEnd w:id="15"/>
      <w:bookmarkStart w:id="0" w:name="_Toc40432275"/>
      <w:r>
        <w:rPr>
          <w:b/>
          <w:sz w:val="24"/>
        </w:rPr>
        <w:t>JXHG-</w:t>
      </w:r>
      <w:bookmarkEnd w:id="0"/>
      <w:r>
        <w:rPr>
          <w:b/>
          <w:sz w:val="24"/>
        </w:rPr>
        <w:t>（36）2022-024</w:t>
      </w:r>
    </w:p>
    <w:p>
      <w:pPr>
        <w:rPr>
          <w:color w:val="FF0000"/>
          <w:sz w:val="36"/>
          <w:szCs w:val="36"/>
        </w:rPr>
      </w:pPr>
    </w:p>
    <w:p>
      <w:pPr>
        <w:rPr>
          <w:sz w:val="36"/>
          <w:szCs w:val="36"/>
        </w:rPr>
      </w:pPr>
    </w:p>
    <w:p>
      <w:pPr>
        <w:rPr>
          <w:sz w:val="36"/>
          <w:szCs w:val="36"/>
        </w:rPr>
      </w:pPr>
    </w:p>
    <w:p>
      <w:pPr>
        <w:rPr>
          <w:sz w:val="36"/>
          <w:szCs w:val="36"/>
        </w:rPr>
      </w:pPr>
    </w:p>
    <w:p>
      <w:pPr>
        <w:adjustRightInd w:val="0"/>
        <w:snapToGrid w:val="0"/>
        <w:jc w:val="center"/>
        <w:outlineLvl w:val="0"/>
        <w:rPr>
          <w:bCs/>
          <w:sz w:val="72"/>
          <w:szCs w:val="72"/>
        </w:rPr>
      </w:pPr>
      <w:r>
        <w:rPr>
          <w:bCs/>
          <w:sz w:val="72"/>
          <w:szCs w:val="72"/>
        </w:rPr>
        <w:t>建设项目环境影响报告表</w:t>
      </w:r>
    </w:p>
    <w:p>
      <w:pPr>
        <w:adjustRightInd w:val="0"/>
        <w:snapToGrid w:val="0"/>
        <w:spacing w:before="192" w:beforeLines="80"/>
        <w:jc w:val="center"/>
        <w:rPr>
          <w:bCs/>
          <w:sz w:val="48"/>
          <w:szCs w:val="48"/>
        </w:rPr>
      </w:pPr>
      <w:r>
        <w:rPr>
          <w:bCs/>
          <w:sz w:val="48"/>
          <w:szCs w:val="48"/>
        </w:rPr>
        <w:t>（污染影响类）</w:t>
      </w:r>
    </w:p>
    <w:p>
      <w:pPr>
        <w:adjustRightInd w:val="0"/>
        <w:snapToGrid w:val="0"/>
        <w:spacing w:line="288" w:lineRule="auto"/>
        <w:jc w:val="center"/>
        <w:outlineLvl w:val="0"/>
        <w:rPr>
          <w:kern w:val="44"/>
          <w:sz w:val="36"/>
          <w:szCs w:val="44"/>
        </w:rPr>
      </w:pPr>
      <w:r>
        <w:rPr>
          <w:rFonts w:hint="eastAsia"/>
          <w:kern w:val="44"/>
          <w:sz w:val="36"/>
          <w:szCs w:val="44"/>
        </w:rPr>
        <w:t>（报批稿）</w:t>
      </w:r>
    </w:p>
    <w:p>
      <w:pPr>
        <w:jc w:val="center"/>
        <w:rPr>
          <w:sz w:val="52"/>
          <w:szCs w:val="52"/>
        </w:rPr>
      </w:pPr>
    </w:p>
    <w:p>
      <w:pPr>
        <w:ind w:firstLine="1040"/>
        <w:rPr>
          <w:sz w:val="44"/>
          <w:szCs w:val="44"/>
        </w:rPr>
      </w:pPr>
    </w:p>
    <w:p>
      <w:pPr>
        <w:ind w:firstLine="1040"/>
        <w:rPr>
          <w:sz w:val="44"/>
          <w:szCs w:val="44"/>
        </w:rPr>
      </w:pPr>
    </w:p>
    <w:p>
      <w:pPr>
        <w:ind w:firstLine="1040"/>
        <w:rPr>
          <w:color w:val="FF0000"/>
          <w:sz w:val="44"/>
          <w:szCs w:val="44"/>
        </w:rPr>
      </w:pPr>
    </w:p>
    <w:p>
      <w:pPr>
        <w:ind w:firstLine="1040"/>
        <w:rPr>
          <w:color w:val="FF0000"/>
          <w:sz w:val="44"/>
          <w:szCs w:val="44"/>
        </w:rPr>
      </w:pPr>
    </w:p>
    <w:p>
      <w:pPr>
        <w:adjustRightInd w:val="0"/>
        <w:snapToGrid w:val="0"/>
        <w:spacing w:line="360" w:lineRule="auto"/>
        <w:ind w:firstLine="720" w:firstLineChars="200"/>
        <w:rPr>
          <w:sz w:val="36"/>
          <w:szCs w:val="36"/>
          <w:u w:val="single"/>
        </w:rPr>
      </w:pPr>
      <w:r>
        <w:rPr>
          <w:sz w:val="36"/>
          <w:szCs w:val="36"/>
        </w:rPr>
        <w:t>项目名称：</w:t>
      </w:r>
      <w:r>
        <w:rPr>
          <w:sz w:val="36"/>
          <w:szCs w:val="36"/>
          <w:u w:val="single"/>
        </w:rPr>
        <w:t xml:space="preserve">中国石化江西赣州宁都翠微加油站   </w:t>
      </w:r>
    </w:p>
    <w:p>
      <w:pPr>
        <w:adjustRightInd w:val="0"/>
        <w:snapToGrid w:val="0"/>
        <w:spacing w:line="360" w:lineRule="auto"/>
        <w:ind w:firstLine="720" w:firstLineChars="200"/>
        <w:rPr>
          <w:sz w:val="36"/>
          <w:szCs w:val="36"/>
          <w:u w:val="single"/>
        </w:rPr>
      </w:pPr>
      <w:r>
        <w:rPr>
          <w:sz w:val="36"/>
          <w:szCs w:val="36"/>
        </w:rPr>
        <w:t>建设单位（盖章）：</w:t>
      </w:r>
      <w:r>
        <w:rPr>
          <w:sz w:val="36"/>
          <w:szCs w:val="36"/>
          <w:u w:val="single"/>
        </w:rPr>
        <w:t xml:space="preserve">中国石化销售股份有限公司  </w:t>
      </w:r>
    </w:p>
    <w:p>
      <w:pPr>
        <w:adjustRightInd w:val="0"/>
        <w:snapToGrid w:val="0"/>
        <w:spacing w:line="360" w:lineRule="auto"/>
        <w:ind w:firstLine="2548" w:firstLineChars="708"/>
        <w:rPr>
          <w:sz w:val="36"/>
          <w:szCs w:val="36"/>
          <w:u w:val="single"/>
        </w:rPr>
      </w:pPr>
      <w:r>
        <w:rPr>
          <w:sz w:val="36"/>
          <w:szCs w:val="36"/>
          <w:u w:val="single"/>
        </w:rPr>
        <w:t xml:space="preserve">       江西赣州石油分公司        </w:t>
      </w:r>
    </w:p>
    <w:p>
      <w:pPr>
        <w:adjustRightInd w:val="0"/>
        <w:snapToGrid w:val="0"/>
        <w:spacing w:line="360" w:lineRule="auto"/>
        <w:ind w:firstLine="720" w:firstLineChars="200"/>
        <w:rPr>
          <w:sz w:val="36"/>
          <w:szCs w:val="36"/>
          <w:u w:val="single"/>
        </w:rPr>
      </w:pPr>
      <w:r>
        <w:rPr>
          <w:sz w:val="36"/>
          <w:szCs w:val="36"/>
        </w:rPr>
        <w:t>编制日期：</w:t>
      </w:r>
      <w:r>
        <w:rPr>
          <w:sz w:val="36"/>
          <w:szCs w:val="36"/>
          <w:u w:val="single"/>
        </w:rPr>
        <w:t xml:space="preserve">             2022年5月          </w:t>
      </w:r>
    </w:p>
    <w:p>
      <w:pPr>
        <w:adjustRightInd w:val="0"/>
        <w:snapToGrid w:val="0"/>
        <w:spacing w:line="288" w:lineRule="auto"/>
        <w:ind w:firstLine="1040"/>
        <w:rPr>
          <w:sz w:val="36"/>
          <w:szCs w:val="36"/>
          <w:u w:val="single"/>
        </w:rPr>
      </w:pPr>
      <w:bookmarkStart w:id="1" w:name="_Hlk57884087"/>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bookmarkEnd w:id="1"/>
    <w:p>
      <w:pPr>
        <w:adjustRightInd w:val="0"/>
        <w:snapToGrid w:val="0"/>
        <w:spacing w:line="288" w:lineRule="auto"/>
        <w:jc w:val="center"/>
        <w:rPr>
          <w:sz w:val="36"/>
          <w:szCs w:val="36"/>
        </w:rPr>
      </w:pPr>
      <w:r>
        <w:rPr>
          <w:sz w:val="36"/>
          <w:szCs w:val="36"/>
        </w:rPr>
        <w:t>中华人民共和国生态环境部制</w:t>
      </w:r>
    </w:p>
    <w:p>
      <w:pPr>
        <w:adjustRightInd w:val="0"/>
        <w:snapToGrid w:val="0"/>
        <w:spacing w:line="288" w:lineRule="auto"/>
        <w:ind w:firstLine="1040"/>
        <w:rPr>
          <w:color w:val="FF0000"/>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17"/>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99"/>
        <w:gridCol w:w="1674"/>
        <w:gridCol w:w="2158"/>
        <w:gridCol w:w="3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建设项目名称</w:t>
            </w:r>
          </w:p>
        </w:tc>
        <w:tc>
          <w:tcPr>
            <w:tcW w:w="6488" w:type="dxa"/>
            <w:gridSpan w:val="3"/>
            <w:vAlign w:val="center"/>
          </w:tcPr>
          <w:p>
            <w:pPr>
              <w:adjustRightInd w:val="0"/>
              <w:snapToGrid w:val="0"/>
              <w:jc w:val="center"/>
              <w:rPr>
                <w:szCs w:val="21"/>
              </w:rPr>
            </w:pPr>
            <w:r>
              <w:rPr>
                <w:szCs w:val="21"/>
              </w:rPr>
              <w:t>中国石化江西赣州宁都翠微加油站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项目代码</w:t>
            </w:r>
          </w:p>
        </w:tc>
        <w:tc>
          <w:tcPr>
            <w:tcW w:w="6488" w:type="dxa"/>
            <w:gridSpan w:val="3"/>
            <w:vAlign w:val="center"/>
          </w:tcPr>
          <w:p>
            <w:pPr>
              <w:adjustRightInd w:val="0"/>
              <w:snapToGrid w:val="0"/>
              <w:jc w:val="center"/>
              <w:rPr>
                <w:szCs w:val="21"/>
              </w:rPr>
            </w:pPr>
            <w:r>
              <w:rPr>
                <w:szCs w:val="21"/>
              </w:rPr>
              <w:t>2201-360730-04-01-668416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建设单位联系人</w:t>
            </w:r>
          </w:p>
        </w:tc>
        <w:tc>
          <w:tcPr>
            <w:tcW w:w="1637" w:type="dxa"/>
            <w:vAlign w:val="center"/>
          </w:tcPr>
          <w:p>
            <w:pPr>
              <w:adjustRightInd w:val="0"/>
              <w:snapToGrid w:val="0"/>
              <w:jc w:val="center"/>
              <w:rPr>
                <w:szCs w:val="21"/>
              </w:rPr>
            </w:pPr>
            <w:r>
              <w:rPr>
                <w:szCs w:val="21"/>
              </w:rPr>
              <w:t>曾建平</w:t>
            </w:r>
          </w:p>
        </w:tc>
        <w:tc>
          <w:tcPr>
            <w:tcW w:w="2212" w:type="dxa"/>
            <w:vAlign w:val="center"/>
          </w:tcPr>
          <w:p>
            <w:pPr>
              <w:adjustRightInd w:val="0"/>
              <w:snapToGrid w:val="0"/>
              <w:jc w:val="center"/>
              <w:rPr>
                <w:szCs w:val="21"/>
              </w:rPr>
            </w:pPr>
            <w:r>
              <w:rPr>
                <w:szCs w:val="21"/>
              </w:rPr>
              <w:t>联系方式</w:t>
            </w:r>
          </w:p>
        </w:tc>
        <w:tc>
          <w:tcPr>
            <w:tcW w:w="2639" w:type="dxa"/>
            <w:vAlign w:val="center"/>
          </w:tcPr>
          <w:p>
            <w:pPr>
              <w:adjustRightInd w:val="0"/>
              <w:snapToGrid w:val="0"/>
              <w:jc w:val="center"/>
              <w:rPr>
                <w:szCs w:val="21"/>
              </w:rPr>
            </w:pPr>
            <w:r>
              <w:rPr>
                <w:szCs w:val="21"/>
              </w:rPr>
              <w:t>17770763067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建设地点</w:t>
            </w:r>
          </w:p>
        </w:tc>
        <w:tc>
          <w:tcPr>
            <w:tcW w:w="6488" w:type="dxa"/>
            <w:gridSpan w:val="3"/>
            <w:vAlign w:val="center"/>
          </w:tcPr>
          <w:p>
            <w:pPr>
              <w:adjustRightInd w:val="0"/>
              <w:snapToGrid w:val="0"/>
              <w:jc w:val="center"/>
              <w:rPr>
                <w:szCs w:val="21"/>
                <w:u w:val="single"/>
              </w:rPr>
            </w:pPr>
            <w:r>
              <w:rPr>
                <w:szCs w:val="21"/>
                <w:u w:val="single"/>
              </w:rPr>
              <w:t>江西</w:t>
            </w:r>
            <w:r>
              <w:rPr>
                <w:szCs w:val="21"/>
              </w:rPr>
              <w:t>省</w:t>
            </w:r>
            <w:r>
              <w:rPr>
                <w:szCs w:val="21"/>
                <w:u w:val="single"/>
              </w:rPr>
              <w:t xml:space="preserve"> 赣州</w:t>
            </w:r>
            <w:r>
              <w:rPr>
                <w:szCs w:val="21"/>
              </w:rPr>
              <w:t>市</w:t>
            </w:r>
            <w:r>
              <w:rPr>
                <w:szCs w:val="21"/>
                <w:u w:val="single"/>
              </w:rPr>
              <w:t xml:space="preserve"> 宁都</w:t>
            </w:r>
            <w:r>
              <w:rPr>
                <w:szCs w:val="21"/>
              </w:rPr>
              <w:t>县</w:t>
            </w:r>
            <w:r>
              <w:rPr>
                <w:szCs w:val="21"/>
                <w:u w:val="single"/>
              </w:rPr>
              <w:t xml:space="preserve"> 梅江</w:t>
            </w:r>
            <w:r>
              <w:rPr>
                <w:szCs w:val="21"/>
              </w:rPr>
              <w:t>镇</w:t>
            </w:r>
            <w:r>
              <w:rPr>
                <w:szCs w:val="21"/>
                <w:u w:val="single"/>
              </w:rPr>
              <w:t xml:space="preserve"> 外环路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地理坐标</w:t>
            </w:r>
          </w:p>
        </w:tc>
        <w:tc>
          <w:tcPr>
            <w:tcW w:w="6488" w:type="dxa"/>
            <w:gridSpan w:val="3"/>
            <w:vAlign w:val="center"/>
          </w:tcPr>
          <w:p>
            <w:pPr>
              <w:jc w:val="center"/>
              <w:rPr>
                <w:szCs w:val="21"/>
              </w:rPr>
            </w:pPr>
            <w:r>
              <w:rPr>
                <w:szCs w:val="21"/>
              </w:rPr>
              <w:t>（</w:t>
            </w:r>
            <w:r>
              <w:rPr>
                <w:szCs w:val="21"/>
                <w:u w:val="single"/>
              </w:rPr>
              <w:t xml:space="preserve"> 115 </w:t>
            </w:r>
            <w:r>
              <w:rPr>
                <w:szCs w:val="21"/>
              </w:rPr>
              <w:t>度</w:t>
            </w:r>
            <w:r>
              <w:rPr>
                <w:szCs w:val="21"/>
                <w:u w:val="single"/>
              </w:rPr>
              <w:t xml:space="preserve"> 59 </w:t>
            </w:r>
            <w:r>
              <w:rPr>
                <w:szCs w:val="21"/>
              </w:rPr>
              <w:t>分</w:t>
            </w:r>
            <w:r>
              <w:rPr>
                <w:szCs w:val="21"/>
                <w:u w:val="single"/>
              </w:rPr>
              <w:t xml:space="preserve"> 21.293 </w:t>
            </w:r>
            <w:r>
              <w:rPr>
                <w:szCs w:val="21"/>
              </w:rPr>
              <w:t>秒，</w:t>
            </w:r>
            <w:r>
              <w:rPr>
                <w:szCs w:val="21"/>
                <w:u w:val="single"/>
              </w:rPr>
              <w:t xml:space="preserve"> 26 </w:t>
            </w:r>
            <w:r>
              <w:rPr>
                <w:szCs w:val="21"/>
              </w:rPr>
              <w:t>度</w:t>
            </w:r>
            <w:r>
              <w:rPr>
                <w:szCs w:val="21"/>
                <w:u w:val="single"/>
              </w:rPr>
              <w:t xml:space="preserve"> 28 </w:t>
            </w:r>
            <w:r>
              <w:rPr>
                <w:szCs w:val="21"/>
              </w:rPr>
              <w:t>分</w:t>
            </w:r>
            <w:r>
              <w:rPr>
                <w:szCs w:val="21"/>
                <w:u w:val="single"/>
              </w:rPr>
              <w:t xml:space="preserve"> 14.585 </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637" w:type="dxa"/>
            <w:vAlign w:val="center"/>
          </w:tcPr>
          <w:p>
            <w:pPr>
              <w:adjustRightInd w:val="0"/>
              <w:snapToGrid w:val="0"/>
              <w:jc w:val="center"/>
              <w:rPr>
                <w:szCs w:val="21"/>
              </w:rPr>
            </w:pPr>
            <w:r>
              <w:rPr>
                <w:szCs w:val="21"/>
              </w:rPr>
              <w:t>F5265机动车燃油零售、F5267机动车充电销售</w:t>
            </w:r>
          </w:p>
        </w:tc>
        <w:tc>
          <w:tcPr>
            <w:tcW w:w="2212" w:type="dxa"/>
            <w:vAlign w:val="center"/>
          </w:tcPr>
          <w:p>
            <w:pPr>
              <w:adjustRightInd w:val="0"/>
              <w:snapToGrid w:val="0"/>
              <w:jc w:val="center"/>
              <w:rPr>
                <w:szCs w:val="21"/>
              </w:rPr>
            </w:pPr>
            <w:bookmarkStart w:id="2" w:name="_Hlk49843745"/>
            <w:r>
              <w:rPr>
                <w:szCs w:val="21"/>
              </w:rPr>
              <w:t>建设项目</w:t>
            </w:r>
          </w:p>
          <w:p>
            <w:pPr>
              <w:adjustRightInd w:val="0"/>
              <w:snapToGrid w:val="0"/>
              <w:jc w:val="center"/>
              <w:rPr>
                <w:szCs w:val="21"/>
              </w:rPr>
            </w:pPr>
            <w:r>
              <w:rPr>
                <w:szCs w:val="21"/>
              </w:rPr>
              <w:t>行业类别</w:t>
            </w:r>
            <w:bookmarkEnd w:id="2"/>
          </w:p>
        </w:tc>
        <w:tc>
          <w:tcPr>
            <w:tcW w:w="2639" w:type="dxa"/>
            <w:vAlign w:val="center"/>
          </w:tcPr>
          <w:p>
            <w:pPr>
              <w:adjustRightInd w:val="0"/>
              <w:snapToGrid w:val="0"/>
              <w:jc w:val="center"/>
              <w:rPr>
                <w:szCs w:val="21"/>
              </w:rPr>
            </w:pPr>
            <w:r>
              <w:rPr>
                <w:szCs w:val="21"/>
              </w:rPr>
              <w:t>50-119加油、加气站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建设性质</w:t>
            </w:r>
          </w:p>
        </w:tc>
        <w:tc>
          <w:tcPr>
            <w:tcW w:w="1637" w:type="dxa"/>
            <w:vAlign w:val="center"/>
          </w:tcPr>
          <w:p>
            <w:pPr>
              <w:jc w:val="left"/>
              <w:rPr>
                <w:szCs w:val="21"/>
              </w:rPr>
            </w:pPr>
            <w:r>
              <w:rPr>
                <w:szCs w:val="21"/>
              </w:rPr>
              <w:t>√新建（迁建）</w:t>
            </w:r>
          </w:p>
          <w:p>
            <w:pPr>
              <w:jc w:val="left"/>
              <w:rPr>
                <w:szCs w:val="21"/>
              </w:rPr>
            </w:pPr>
            <w:r>
              <w:rPr>
                <w:szCs w:val="21"/>
              </w:rPr>
              <w:t>□改建</w:t>
            </w:r>
          </w:p>
          <w:p>
            <w:pPr>
              <w:jc w:val="left"/>
              <w:rPr>
                <w:szCs w:val="21"/>
              </w:rPr>
            </w:pPr>
            <w:r>
              <w:rPr>
                <w:szCs w:val="21"/>
              </w:rPr>
              <w:t>□扩建</w:t>
            </w:r>
          </w:p>
          <w:p>
            <w:pPr>
              <w:jc w:val="left"/>
              <w:rPr>
                <w:szCs w:val="21"/>
              </w:rPr>
            </w:pPr>
            <w:r>
              <w:rPr>
                <w:szCs w:val="21"/>
              </w:rPr>
              <w:t>□技术改造</w:t>
            </w:r>
          </w:p>
        </w:tc>
        <w:tc>
          <w:tcPr>
            <w:tcW w:w="2212"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vAlign w:val="center"/>
          </w:tcPr>
          <w:p>
            <w:pPr>
              <w:jc w:val="left"/>
              <w:rPr>
                <w:szCs w:val="21"/>
              </w:rPr>
            </w:pPr>
            <w:r>
              <w:rPr>
                <w:szCs w:val="21"/>
              </w:rPr>
              <w:t xml:space="preserve">√首次申报项目             </w:t>
            </w:r>
          </w:p>
          <w:p>
            <w:pPr>
              <w:jc w:val="left"/>
              <w:rPr>
                <w:szCs w:val="21"/>
              </w:rPr>
            </w:pPr>
            <w:r>
              <w:rPr>
                <w:szCs w:val="21"/>
              </w:rPr>
              <w:t>□不予批准后再次申报项目</w:t>
            </w:r>
          </w:p>
          <w:p>
            <w:pPr>
              <w:jc w:val="left"/>
              <w:rPr>
                <w:szCs w:val="21"/>
              </w:rPr>
            </w:pPr>
            <w:r>
              <w:rPr>
                <w:szCs w:val="21"/>
              </w:rPr>
              <w:sym w:font="Wingdings 2" w:char="00A3"/>
            </w:r>
            <w:r>
              <w:rPr>
                <w:szCs w:val="21"/>
              </w:rPr>
              <w:t xml:space="preserve">超五年重新审核项目     </w:t>
            </w:r>
          </w:p>
          <w:p>
            <w:pPr>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1637" w:type="dxa"/>
            <w:vAlign w:val="center"/>
          </w:tcPr>
          <w:p>
            <w:pPr>
              <w:adjustRightInd w:val="0"/>
              <w:snapToGrid w:val="0"/>
              <w:jc w:val="center"/>
              <w:rPr>
                <w:szCs w:val="21"/>
              </w:rPr>
            </w:pPr>
            <w:r>
              <w:rPr>
                <w:szCs w:val="21"/>
              </w:rPr>
              <w:t>宁都县发展和改革委员会</w:t>
            </w:r>
          </w:p>
        </w:tc>
        <w:tc>
          <w:tcPr>
            <w:tcW w:w="2212" w:type="dxa"/>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639" w:type="dxa"/>
            <w:vAlign w:val="center"/>
          </w:tcPr>
          <w:p>
            <w:pPr>
              <w:adjustRightInd w:val="0"/>
              <w:snapToGrid w:val="0"/>
              <w:jc w:val="center"/>
              <w:rPr>
                <w:szCs w:val="21"/>
              </w:rPr>
            </w:pPr>
            <w:r>
              <w:rPr>
                <w:szCs w:val="21"/>
              </w:rPr>
              <w:t>2201-360730-04-01-668416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总投资（万元）</w:t>
            </w:r>
          </w:p>
        </w:tc>
        <w:tc>
          <w:tcPr>
            <w:tcW w:w="1637" w:type="dxa"/>
            <w:vAlign w:val="center"/>
          </w:tcPr>
          <w:p>
            <w:pPr>
              <w:adjustRightInd w:val="0"/>
              <w:snapToGrid w:val="0"/>
              <w:jc w:val="center"/>
              <w:rPr>
                <w:szCs w:val="21"/>
              </w:rPr>
            </w:pPr>
            <w:r>
              <w:rPr>
                <w:szCs w:val="21"/>
              </w:rPr>
              <w:t>9000</w:t>
            </w:r>
          </w:p>
        </w:tc>
        <w:tc>
          <w:tcPr>
            <w:tcW w:w="2212" w:type="dxa"/>
            <w:tcMar>
              <w:top w:w="16" w:type="dxa"/>
              <w:left w:w="16" w:type="dxa"/>
              <w:right w:w="16" w:type="dxa"/>
            </w:tcMar>
            <w:vAlign w:val="center"/>
          </w:tcPr>
          <w:p>
            <w:pPr>
              <w:adjustRightInd w:val="0"/>
              <w:snapToGrid w:val="0"/>
              <w:jc w:val="center"/>
              <w:rPr>
                <w:szCs w:val="21"/>
              </w:rPr>
            </w:pPr>
            <w:r>
              <w:rPr>
                <w:szCs w:val="21"/>
              </w:rPr>
              <w:t>环保投资（万元）</w:t>
            </w:r>
          </w:p>
        </w:tc>
        <w:tc>
          <w:tcPr>
            <w:tcW w:w="2639" w:type="dxa"/>
            <w:vAlign w:val="center"/>
          </w:tcPr>
          <w:p>
            <w:pPr>
              <w:adjustRightInd w:val="0"/>
              <w:snapToGrid w:val="0"/>
              <w:jc w:val="center"/>
              <w:rPr>
                <w:szCs w:val="21"/>
              </w:rPr>
            </w:pPr>
            <w:r>
              <w:rPr>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环保投资占比（%）</w:t>
            </w:r>
          </w:p>
        </w:tc>
        <w:tc>
          <w:tcPr>
            <w:tcW w:w="1637" w:type="dxa"/>
            <w:vAlign w:val="center"/>
          </w:tcPr>
          <w:p>
            <w:pPr>
              <w:adjustRightInd w:val="0"/>
              <w:snapToGrid w:val="0"/>
              <w:jc w:val="center"/>
              <w:rPr>
                <w:szCs w:val="21"/>
              </w:rPr>
            </w:pPr>
            <w:r>
              <w:rPr>
                <w:szCs w:val="21"/>
              </w:rPr>
              <w:t>0.56</w:t>
            </w:r>
          </w:p>
        </w:tc>
        <w:tc>
          <w:tcPr>
            <w:tcW w:w="2212" w:type="dxa"/>
            <w:tcMar>
              <w:top w:w="16" w:type="dxa"/>
              <w:left w:w="16" w:type="dxa"/>
              <w:right w:w="16" w:type="dxa"/>
            </w:tcMar>
            <w:vAlign w:val="center"/>
          </w:tcPr>
          <w:p>
            <w:pPr>
              <w:adjustRightInd w:val="0"/>
              <w:snapToGrid w:val="0"/>
              <w:jc w:val="center"/>
              <w:rPr>
                <w:szCs w:val="21"/>
              </w:rPr>
            </w:pPr>
            <w:r>
              <w:rPr>
                <w:szCs w:val="21"/>
              </w:rPr>
              <w:t>施工工期</w:t>
            </w:r>
          </w:p>
        </w:tc>
        <w:tc>
          <w:tcPr>
            <w:tcW w:w="2639" w:type="dxa"/>
            <w:vAlign w:val="center"/>
          </w:tcPr>
          <w:p>
            <w:pPr>
              <w:adjustRightInd w:val="0"/>
              <w:snapToGrid w:val="0"/>
              <w:jc w:val="center"/>
              <w:rPr>
                <w:szCs w:val="21"/>
              </w:rPr>
            </w:pPr>
            <w:r>
              <w:rPr>
                <w:szCs w:val="21"/>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szCs w:val="21"/>
              </w:rPr>
            </w:pPr>
            <w:r>
              <w:rPr>
                <w:szCs w:val="21"/>
              </w:rPr>
              <w:t>是否开工建设</w:t>
            </w:r>
          </w:p>
        </w:tc>
        <w:tc>
          <w:tcPr>
            <w:tcW w:w="1637" w:type="dxa"/>
            <w:vAlign w:val="center"/>
          </w:tcPr>
          <w:p>
            <w:pPr>
              <w:adjustRightInd w:val="0"/>
              <w:snapToGrid w:val="0"/>
              <w:rPr>
                <w:szCs w:val="21"/>
              </w:rPr>
            </w:pPr>
            <w:r>
              <w:rPr>
                <w:szCs w:val="21"/>
              </w:rPr>
              <w:t>√否</w:t>
            </w:r>
          </w:p>
          <w:p>
            <w:pPr>
              <w:adjustRightInd w:val="0"/>
              <w:snapToGrid w:val="0"/>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vAlign w:val="center"/>
          </w:tcPr>
          <w:p>
            <w:pPr>
              <w:adjustRightInd w:val="0"/>
              <w:snapToGrid w:val="0"/>
              <w:jc w:val="center"/>
              <w:rPr>
                <w:szCs w:val="21"/>
              </w:rPr>
            </w:pPr>
            <w:r>
              <w:rPr>
                <w:szCs w:val="21"/>
              </w:rPr>
              <w:t>4843.04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382" w:type="dxa"/>
            <w:vAlign w:val="center"/>
          </w:tcPr>
          <w:p>
            <w:pPr>
              <w:autoSpaceDE w:val="0"/>
              <w:autoSpaceDN w:val="0"/>
              <w:adjustRightInd w:val="0"/>
              <w:snapToGrid w:val="0"/>
              <w:jc w:val="center"/>
              <w:rPr>
                <w:kern w:val="0"/>
                <w:szCs w:val="21"/>
              </w:rPr>
            </w:pPr>
            <w:r>
              <w:rPr>
                <w:kern w:val="0"/>
                <w:szCs w:val="21"/>
              </w:rPr>
              <w:t>专项评价设置情况</w:t>
            </w:r>
          </w:p>
        </w:tc>
        <w:tc>
          <w:tcPr>
            <w:tcW w:w="6488" w:type="dxa"/>
            <w:gridSpan w:val="3"/>
            <w:vAlign w:val="center"/>
          </w:tcPr>
          <w:p>
            <w:pPr>
              <w:autoSpaceDE w:val="0"/>
              <w:autoSpaceDN w:val="0"/>
              <w:adjustRightInd w:val="0"/>
              <w:snapToGrid w:val="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382" w:type="dxa"/>
            <w:vAlign w:val="center"/>
          </w:tcPr>
          <w:p>
            <w:pPr>
              <w:autoSpaceDE w:val="0"/>
              <w:autoSpaceDN w:val="0"/>
              <w:adjustRightInd w:val="0"/>
              <w:snapToGrid w:val="0"/>
              <w:jc w:val="center"/>
              <w:rPr>
                <w:kern w:val="0"/>
                <w:szCs w:val="21"/>
                <w:highlight w:val="yellow"/>
              </w:rPr>
            </w:pPr>
            <w:r>
              <w:rPr>
                <w:szCs w:val="21"/>
              </w:rPr>
              <w:t>规划情况</w:t>
            </w:r>
          </w:p>
        </w:tc>
        <w:tc>
          <w:tcPr>
            <w:tcW w:w="6488" w:type="dxa"/>
            <w:gridSpan w:val="3"/>
            <w:vAlign w:val="center"/>
          </w:tcPr>
          <w:p>
            <w:pPr>
              <w:autoSpaceDE w:val="0"/>
              <w:autoSpaceDN w:val="0"/>
              <w:adjustRightInd w:val="0"/>
              <w:snapToGrid w:val="0"/>
              <w:spacing w:line="360" w:lineRule="auto"/>
              <w:jc w:val="center"/>
              <w:rPr>
                <w:kern w:val="0"/>
                <w:szCs w:val="21"/>
              </w:rPr>
            </w:pPr>
            <w:r>
              <w:rPr>
                <w:szCs w:val="21"/>
              </w:rPr>
              <w:t>宁都县人民政府办公室文件《关于印发宁都县“十四五”重大项目建设规划的通知》（宁府办字[2021]20号）</w:t>
            </w:r>
            <w:r>
              <w:rPr>
                <w:rFonts w:hint="eastAsia"/>
                <w:szCs w:val="21"/>
              </w:rPr>
              <w:t>；</w:t>
            </w:r>
            <w:r>
              <w:rPr>
                <w:kern w:val="0"/>
                <w:szCs w:val="21"/>
              </w:rPr>
              <w:t>《江西省宁都县城市总体规划（2013-2030）》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382" w:type="dxa"/>
            <w:vAlign w:val="center"/>
          </w:tcPr>
          <w:p>
            <w:pPr>
              <w:adjustRightInd w:val="0"/>
              <w:snapToGrid w:val="0"/>
              <w:jc w:val="center"/>
              <w:rPr>
                <w:szCs w:val="21"/>
              </w:rPr>
            </w:pPr>
            <w:r>
              <w:rPr>
                <w:szCs w:val="21"/>
              </w:rPr>
              <w:t>规划环境影响</w:t>
            </w:r>
          </w:p>
          <w:p>
            <w:pPr>
              <w:adjustRightInd w:val="0"/>
              <w:snapToGrid w:val="0"/>
              <w:jc w:val="center"/>
              <w:rPr>
                <w:kern w:val="0"/>
                <w:szCs w:val="21"/>
              </w:rPr>
            </w:pPr>
            <w:r>
              <w:rPr>
                <w:szCs w:val="21"/>
              </w:rPr>
              <w:t>评价情况</w:t>
            </w:r>
          </w:p>
        </w:tc>
        <w:tc>
          <w:tcPr>
            <w:tcW w:w="6488" w:type="dxa"/>
            <w:gridSpan w:val="3"/>
            <w:vAlign w:val="center"/>
          </w:tcPr>
          <w:p>
            <w:pPr>
              <w:autoSpaceDE w:val="0"/>
              <w:autoSpaceDN w:val="0"/>
              <w:adjustRightInd w:val="0"/>
              <w:snapToGrid w:val="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kern w:val="0"/>
                <w:szCs w:val="21"/>
              </w:rPr>
            </w:pPr>
            <w:r>
              <w:rPr>
                <w:kern w:val="0"/>
                <w:szCs w:val="21"/>
              </w:rPr>
              <w:t>规划及规划环境影响评价符合性分析</w:t>
            </w:r>
          </w:p>
        </w:tc>
        <w:tc>
          <w:tcPr>
            <w:tcW w:w="6488" w:type="dxa"/>
            <w:gridSpan w:val="3"/>
            <w:vAlign w:val="center"/>
          </w:tcPr>
          <w:p>
            <w:pPr>
              <w:autoSpaceDE w:val="0"/>
              <w:autoSpaceDN w:val="0"/>
              <w:adjustRightInd w:val="0"/>
              <w:spacing w:line="360" w:lineRule="auto"/>
              <w:ind w:firstLine="420" w:firstLineChars="200"/>
              <w:rPr>
                <w:kern w:val="0"/>
                <w:szCs w:val="21"/>
              </w:rPr>
            </w:pPr>
            <w:r>
              <w:rPr>
                <w:rFonts w:hint="eastAsia"/>
                <w:kern w:val="0"/>
                <w:szCs w:val="21"/>
              </w:rPr>
              <w:t>宁都翠微加油站的建设在宁都县“十四五”规划重大项目清单中的成品油零售体系“十四五”发展规划布点明细表中，符合规划。</w:t>
            </w:r>
          </w:p>
          <w:p>
            <w:pPr>
              <w:autoSpaceDE w:val="0"/>
              <w:autoSpaceDN w:val="0"/>
              <w:adjustRightInd w:val="0"/>
              <w:spacing w:line="360" w:lineRule="auto"/>
              <w:ind w:firstLine="420" w:firstLineChars="200"/>
              <w:rPr>
                <w:kern w:val="0"/>
                <w:szCs w:val="21"/>
              </w:rPr>
            </w:pPr>
            <w:r>
              <w:rPr>
                <w:kern w:val="0"/>
                <w:szCs w:val="21"/>
              </w:rPr>
              <w:t>《江西省宁都县城市总体规划（2013-2030）》</w:t>
            </w:r>
            <w:r>
              <w:rPr>
                <w:rFonts w:hint="eastAsia"/>
                <w:kern w:val="0"/>
                <w:szCs w:val="21"/>
              </w:rPr>
              <w:t>在空间结构方面，宁都县城按照沿江发展的总体思路，规划形成“一轴六区” 的带状城市格局。按照“南延北展、东拓西扩、中心改造”的发展取向，加快永宁新城、翠微新城建设，推进梅江老城改造，形成“南北呼应、中心开花”的城市发展格局，进一步扩大城区建成面积,拓宽城市发展空间，加快建设区域性中心城市，辐射带动周边县市发展。本项目推进成品油分销体系建设，优化石油服务网点布局，提升服务水平，符合规划要求。</w:t>
            </w:r>
          </w:p>
          <w:p>
            <w:pPr>
              <w:autoSpaceDE w:val="0"/>
              <w:autoSpaceDN w:val="0"/>
              <w:adjustRightInd w:val="0"/>
              <w:spacing w:line="360" w:lineRule="auto"/>
              <w:ind w:firstLine="392" w:firstLineChars="200"/>
              <w:rPr>
                <w:color w:val="FF0000"/>
                <w:spacing w:val="-7"/>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kern w:val="0"/>
                <w:szCs w:val="21"/>
              </w:rPr>
            </w:pPr>
            <w:r>
              <w:rPr>
                <w:kern w:val="0"/>
                <w:szCs w:val="21"/>
              </w:rPr>
              <w:t>其他符合性分析</w:t>
            </w:r>
          </w:p>
        </w:tc>
        <w:tc>
          <w:tcPr>
            <w:tcW w:w="6488" w:type="dxa"/>
            <w:gridSpan w:val="3"/>
            <w:vAlign w:val="center"/>
          </w:tcPr>
          <w:p>
            <w:pPr>
              <w:autoSpaceDE w:val="0"/>
              <w:autoSpaceDN w:val="0"/>
              <w:adjustRightInd w:val="0"/>
              <w:spacing w:line="360" w:lineRule="auto"/>
              <w:ind w:firstLine="420"/>
              <w:rPr>
                <w:b/>
                <w:szCs w:val="21"/>
              </w:rPr>
            </w:pPr>
            <w:r>
              <w:rPr>
                <w:b/>
                <w:szCs w:val="21"/>
              </w:rPr>
              <w:t>1、产业政策符合性分析</w:t>
            </w:r>
          </w:p>
          <w:p>
            <w:pPr>
              <w:autoSpaceDE w:val="0"/>
              <w:autoSpaceDN w:val="0"/>
              <w:adjustRightInd w:val="0"/>
              <w:spacing w:line="360" w:lineRule="auto"/>
              <w:ind w:firstLine="420"/>
              <w:rPr>
                <w:szCs w:val="21"/>
              </w:rPr>
            </w:pPr>
            <w:r>
              <w:rPr>
                <w:szCs w:val="21"/>
              </w:rPr>
              <w:t>本项目为机动车燃料零售项目，符合《产业结构调整指导目录》（2019年本）、《关于印发江西省储油库、加油站和油罐车油气回收综合治理工作方案的通知》（赣环发[2013]17号）等的相关要求。根据《产业结构调整指导目录》（2019年本），本项目不属于限制类、淘汰类产业，即本项目为允许类。</w:t>
            </w:r>
          </w:p>
          <w:p>
            <w:pPr>
              <w:autoSpaceDE w:val="0"/>
              <w:autoSpaceDN w:val="0"/>
              <w:adjustRightInd w:val="0"/>
              <w:spacing w:line="360" w:lineRule="auto"/>
              <w:ind w:firstLine="420"/>
              <w:rPr>
                <w:szCs w:val="21"/>
              </w:rPr>
            </w:pPr>
            <w:r>
              <w:rPr>
                <w:szCs w:val="21"/>
              </w:rPr>
              <w:t>宁都县发展和改革委员会于2022年1月18日对本项目予以备案（统一项目代码为2201-360730-04-01-668416，见附件2）。</w:t>
            </w:r>
          </w:p>
          <w:p>
            <w:pPr>
              <w:autoSpaceDE w:val="0"/>
              <w:autoSpaceDN w:val="0"/>
              <w:adjustRightInd w:val="0"/>
              <w:spacing w:line="360" w:lineRule="auto"/>
              <w:ind w:firstLine="420"/>
              <w:rPr>
                <w:szCs w:val="21"/>
              </w:rPr>
            </w:pPr>
            <w:r>
              <w:rPr>
                <w:szCs w:val="21"/>
              </w:rPr>
              <w:t>因此，项目建设符合国家和地方产业政策要求。</w:t>
            </w:r>
          </w:p>
          <w:p>
            <w:pPr>
              <w:pStyle w:val="43"/>
              <w:ind w:firstLine="422"/>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2、选址规划合理性分析</w:t>
            </w:r>
          </w:p>
          <w:p>
            <w:pPr>
              <w:pStyle w:val="43"/>
              <w:ind w:firstLine="420"/>
              <w:rPr>
                <w:rFonts w:ascii="Times New Roman" w:hAnsi="Times New Roman" w:cs="Times New Roman"/>
                <w:color w:val="auto"/>
                <w:kern w:val="0"/>
                <w:sz w:val="21"/>
                <w:szCs w:val="21"/>
              </w:rPr>
            </w:pPr>
            <w:r>
              <w:rPr>
                <w:rFonts w:ascii="Times New Roman" w:hAnsi="Times New Roman" w:cs="Times New Roman"/>
                <w:color w:val="auto"/>
                <w:kern w:val="0"/>
                <w:sz w:val="21"/>
                <w:szCs w:val="21"/>
              </w:rPr>
              <w:t>（1）规划符合性分析</w:t>
            </w:r>
          </w:p>
          <w:p>
            <w:pPr>
              <w:pStyle w:val="43"/>
              <w:ind w:firstLine="420"/>
              <w:rPr>
                <w:rFonts w:ascii="Times New Roman" w:hAnsi="Times New Roman" w:cs="Times New Roman"/>
                <w:color w:val="auto"/>
                <w:kern w:val="2"/>
                <w:sz w:val="21"/>
                <w:szCs w:val="21"/>
              </w:rPr>
            </w:pPr>
            <w:r>
              <w:rPr>
                <w:rFonts w:ascii="Times New Roman" w:hAnsi="Times New Roman" w:cs="Times New Roman"/>
                <w:color w:val="auto"/>
                <w:kern w:val="2"/>
                <w:sz w:val="21"/>
                <w:szCs w:val="21"/>
              </w:rPr>
              <w:t>根据宁都县人民政府办公室文件《关于印发宁都县“十四五”重大项目建设规划的通知》（宁府办字[2021]20号）</w:t>
            </w:r>
            <w:r>
              <w:rPr>
                <w:rFonts w:hint="eastAsia" w:ascii="Times New Roman" w:hAnsi="Times New Roman" w:cs="Times New Roman"/>
                <w:color w:val="auto"/>
                <w:kern w:val="2"/>
                <w:sz w:val="21"/>
                <w:szCs w:val="21"/>
              </w:rPr>
              <w:t>，“十四五”期间，通过实施一批促进作用大、保障水平高、集聚能力强的重大项目，带动全县中小项目建设，到2</w:t>
            </w:r>
            <w:r>
              <w:rPr>
                <w:rFonts w:ascii="Times New Roman" w:hAnsi="Times New Roman" w:cs="Times New Roman"/>
                <w:color w:val="auto"/>
                <w:kern w:val="2"/>
                <w:sz w:val="21"/>
                <w:szCs w:val="21"/>
              </w:rPr>
              <w:t>025</w:t>
            </w:r>
            <w:r>
              <w:rPr>
                <w:rFonts w:hint="eastAsia" w:ascii="Times New Roman" w:hAnsi="Times New Roman" w:cs="Times New Roman"/>
                <w:color w:val="auto"/>
                <w:kern w:val="2"/>
                <w:sz w:val="21"/>
                <w:szCs w:val="21"/>
              </w:rPr>
              <w:t>年，力争现代化基础设施体系更加健全，民生和社会服务设施水平显著提升。</w:t>
            </w:r>
            <w:r>
              <w:rPr>
                <w:rFonts w:ascii="Times New Roman" w:hAnsi="Times New Roman" w:cs="Times New Roman"/>
                <w:color w:val="auto"/>
                <w:kern w:val="2"/>
                <w:sz w:val="21"/>
                <w:szCs w:val="21"/>
              </w:rPr>
              <w:t>本项目</w:t>
            </w:r>
            <w:r>
              <w:rPr>
                <w:rFonts w:hint="eastAsia" w:ascii="Times New Roman" w:hAnsi="Times New Roman" w:cs="Times New Roman"/>
                <w:color w:val="auto"/>
                <w:kern w:val="2"/>
                <w:sz w:val="21"/>
                <w:szCs w:val="21"/>
              </w:rPr>
              <w:t>宁都翠微加油站的建设</w:t>
            </w:r>
            <w:r>
              <w:rPr>
                <w:rFonts w:ascii="Times New Roman" w:hAnsi="Times New Roman" w:cs="Times New Roman"/>
                <w:color w:val="auto"/>
                <w:kern w:val="2"/>
                <w:sz w:val="21"/>
                <w:szCs w:val="21"/>
              </w:rPr>
              <w:t>已列入《宁都县“十四五”重大项目建设规划》（见附件3），</w:t>
            </w:r>
            <w:r>
              <w:rPr>
                <w:rFonts w:hint="eastAsia" w:ascii="Times New Roman" w:hAnsi="Times New Roman" w:cs="Times New Roman"/>
                <w:color w:val="auto"/>
                <w:kern w:val="2"/>
                <w:sz w:val="21"/>
                <w:szCs w:val="21"/>
              </w:rPr>
              <w:t>以满足项目所在区域车辆加油需求，</w:t>
            </w:r>
            <w:r>
              <w:rPr>
                <w:rFonts w:ascii="Times New Roman" w:hAnsi="Times New Roman" w:cs="Times New Roman"/>
                <w:color w:val="auto"/>
                <w:kern w:val="2"/>
                <w:sz w:val="21"/>
                <w:szCs w:val="21"/>
              </w:rPr>
              <w:t>符合产业规划要求。</w:t>
            </w:r>
          </w:p>
          <w:p>
            <w:pPr>
              <w:pStyle w:val="43"/>
              <w:ind w:firstLine="420"/>
              <w:rPr>
                <w:rFonts w:ascii="Times New Roman" w:hAnsi="Times New Roman" w:cs="Times New Roman"/>
                <w:color w:val="auto"/>
                <w:kern w:val="2"/>
                <w:sz w:val="21"/>
                <w:szCs w:val="21"/>
              </w:rPr>
            </w:pPr>
            <w:r>
              <w:rPr>
                <w:rFonts w:ascii="Times New Roman" w:hAnsi="Times New Roman" w:cs="Times New Roman"/>
                <w:color w:val="auto"/>
                <w:kern w:val="2"/>
                <w:sz w:val="21"/>
                <w:szCs w:val="21"/>
              </w:rPr>
              <w:t>项目位于江西省赣州市宁都县梅江镇土围村西侧，外环路G236与怀德路交叉口以南，周边交通道路涉及外环路G236以及怀德路，交通便利，车流量大，能兼顾项目所在区域内和过境车辆的加油需求，经营位置良好。根据《宁都县国土空间总体规划（2020-2035）》，项目选址未占用永久基本农田和生态保护红线，具备建设可行性。根据宁都县自然资源局颁发的土地使用证（赣2022宁都县不动产权第0000569号，见附件4）和建设用地规划许可证（地字第360730202200002号，见附件5），项目用地性质为加油加气站用地。因此，项目的建设符合宁都县国土空间规划和用途管制要求。</w:t>
            </w:r>
          </w:p>
          <w:p>
            <w:pPr>
              <w:pStyle w:val="43"/>
              <w:ind w:firstLine="420"/>
              <w:rPr>
                <w:rFonts w:ascii="Times New Roman" w:hAnsi="Times New Roman" w:cs="Times New Roman"/>
                <w:color w:val="auto"/>
                <w:kern w:val="2"/>
                <w:sz w:val="21"/>
                <w:szCs w:val="21"/>
              </w:rPr>
            </w:pPr>
            <w:r>
              <w:rPr>
                <w:rFonts w:ascii="Times New Roman" w:hAnsi="Times New Roman" w:cs="Times New Roman"/>
                <w:color w:val="auto"/>
                <w:kern w:val="2"/>
                <w:sz w:val="21"/>
                <w:szCs w:val="21"/>
              </w:rPr>
              <w:t>（2）与环境功能区划相符性分析</w:t>
            </w:r>
          </w:p>
          <w:p>
            <w:pPr>
              <w:pStyle w:val="43"/>
              <w:ind w:firstLine="420"/>
              <w:rPr>
                <w:rFonts w:ascii="Times New Roman" w:hAnsi="Times New Roman" w:cs="Times New Roman"/>
                <w:color w:val="auto"/>
                <w:kern w:val="2"/>
                <w:sz w:val="21"/>
                <w:szCs w:val="21"/>
              </w:rPr>
            </w:pPr>
            <w:r>
              <w:rPr>
                <w:rFonts w:ascii="Times New Roman" w:hAnsi="Times New Roman" w:cs="Times New Roman"/>
                <w:color w:val="auto"/>
                <w:kern w:val="2"/>
                <w:sz w:val="21"/>
                <w:szCs w:val="21"/>
              </w:rPr>
              <w:t>项目区域环境空气质量执行《环境空气质量标准》(GB3095-2012)中二类区标准，地表水环境质量执行《地表水环境质量标准》（GB3838-2002）Ⅲ类水质标准，声环境质量执行《声环境质量标准》（GB3096-2008）中2类、4a类标准，地下水环境质量执行《地下水质量标准》（GB/T14848-2017）中Ⅲ类标准限值，土壤环境执行《建设用地土壤污染风险管控标准（试行）》（DB36 1282-2020）表 1 第二类用地筛选值标准。</w:t>
            </w:r>
          </w:p>
          <w:p>
            <w:pPr>
              <w:pStyle w:val="43"/>
              <w:ind w:firstLine="420"/>
              <w:rPr>
                <w:rFonts w:ascii="Times New Roman" w:hAnsi="Times New Roman" w:cs="Times New Roman"/>
                <w:color w:val="auto"/>
                <w:kern w:val="2"/>
                <w:sz w:val="21"/>
                <w:szCs w:val="21"/>
              </w:rPr>
            </w:pPr>
            <w:r>
              <w:rPr>
                <w:rFonts w:ascii="Times New Roman" w:hAnsi="Times New Roman" w:cs="Times New Roman"/>
                <w:color w:val="auto"/>
                <w:kern w:val="2"/>
                <w:sz w:val="21"/>
                <w:szCs w:val="21"/>
              </w:rPr>
              <w:t>根据项目所在区域环境质量现状监测，目前区域环境质量均能达到相应环境质量标准要求。项目建成后，建设单位通过严格落实各项环保措施，各污染物均能实现达标排放，对环境质量影响轻微。</w:t>
            </w:r>
          </w:p>
          <w:p>
            <w:pPr>
              <w:pStyle w:val="43"/>
              <w:ind w:firstLine="420"/>
              <w:rPr>
                <w:rFonts w:ascii="Times New Roman" w:hAnsi="Times New Roman" w:cs="Times New Roman"/>
                <w:b/>
                <w:bCs/>
                <w:color w:val="auto"/>
                <w:sz w:val="21"/>
                <w:szCs w:val="21"/>
              </w:rPr>
            </w:pPr>
            <w:r>
              <w:rPr>
                <w:rFonts w:ascii="Times New Roman" w:hAnsi="Times New Roman" w:cs="Times New Roman"/>
                <w:color w:val="auto"/>
                <w:kern w:val="2"/>
                <w:sz w:val="21"/>
                <w:szCs w:val="21"/>
              </w:rPr>
              <w:t>（3）</w:t>
            </w:r>
            <w:r>
              <w:rPr>
                <w:rFonts w:ascii="Times New Roman" w:hAnsi="Times New Roman" w:cs="Times New Roman"/>
                <w:color w:val="auto"/>
                <w:sz w:val="21"/>
                <w:szCs w:val="21"/>
              </w:rPr>
              <w:t>与《汽车加油加气加氢站技术标准》（GB50156-2021）</w:t>
            </w:r>
            <w:r>
              <w:rPr>
                <w:rFonts w:ascii="Times New Roman" w:hAnsi="Times New Roman" w:cs="Times New Roman"/>
                <w:bCs/>
                <w:color w:val="auto"/>
                <w:sz w:val="21"/>
                <w:szCs w:val="21"/>
              </w:rPr>
              <w:t>符合性分析</w:t>
            </w:r>
          </w:p>
          <w:p>
            <w:pPr>
              <w:pStyle w:val="44"/>
              <w:snapToGrid w:val="0"/>
              <w:spacing w:line="360" w:lineRule="auto"/>
              <w:ind w:firstLine="404" w:firstLineChars="200"/>
              <w:rPr>
                <w:szCs w:val="21"/>
              </w:rPr>
            </w:pPr>
            <w:r>
              <w:rPr>
                <w:spacing w:val="-4"/>
                <w:szCs w:val="21"/>
              </w:rPr>
              <w:t>本项</w:t>
            </w:r>
            <w:r>
              <w:rPr>
                <w:szCs w:val="21"/>
              </w:rPr>
              <w:t>目位于江西省赣州市宁都县梅江镇土围村西侧，外环路G236与怀德路交叉口以南，交通便利，来往车辆较多，且不在城市干道的交叉口位置，符合《汽车加油加气加氢站技术标准》（GB50156-2021）相关规范要求。</w:t>
            </w:r>
          </w:p>
          <w:p>
            <w:pPr>
              <w:pStyle w:val="43"/>
              <w:ind w:firstLine="408"/>
              <w:rPr>
                <w:rFonts w:ascii="Times New Roman" w:hAnsi="Times New Roman" w:cs="Times New Roman"/>
                <w:color w:val="auto"/>
                <w:sz w:val="21"/>
                <w:szCs w:val="21"/>
              </w:rPr>
            </w:pPr>
            <w:r>
              <w:rPr>
                <w:rFonts w:ascii="Times New Roman" w:hAnsi="Times New Roman" w:cs="Times New Roman"/>
                <w:color w:val="auto"/>
                <w:spacing w:val="-3"/>
                <w:sz w:val="21"/>
                <w:szCs w:val="21"/>
              </w:rPr>
              <w:t>本项目用地符合当地的规划、环境保护规划，且项目选址处距相关站外建、构筑物</w:t>
            </w:r>
            <w:r>
              <w:rPr>
                <w:rFonts w:ascii="Times New Roman" w:hAnsi="Times New Roman" w:cs="Times New Roman"/>
                <w:color w:val="auto"/>
                <w:sz w:val="21"/>
                <w:szCs w:val="21"/>
              </w:rPr>
              <w:t>的防火距离指标均满足《汽车加油加气加氢站技术标准》（GB50156-2021）</w:t>
            </w:r>
            <w:r>
              <w:rPr>
                <w:rFonts w:ascii="Times New Roman" w:hAnsi="Times New Roman" w:cs="Times New Roman"/>
                <w:color w:val="auto"/>
                <w:spacing w:val="-7"/>
                <w:sz w:val="21"/>
                <w:szCs w:val="21"/>
              </w:rPr>
              <w:t>中要求，具体见表</w:t>
            </w:r>
            <w:r>
              <w:rPr>
                <w:rFonts w:ascii="Times New Roman" w:hAnsi="Times New Roman" w:cs="Times New Roman"/>
                <w:color w:val="auto"/>
                <w:sz w:val="21"/>
                <w:szCs w:val="21"/>
              </w:rPr>
              <w:t>1-1、1-2。</w:t>
            </w:r>
          </w:p>
          <w:p>
            <w:pPr>
              <w:pStyle w:val="44"/>
              <w:snapToGrid w:val="0"/>
              <w:spacing w:line="276" w:lineRule="auto"/>
              <w:jc w:val="center"/>
              <w:rPr>
                <w:b/>
                <w:szCs w:val="21"/>
              </w:rPr>
            </w:pPr>
            <w:r>
              <w:rPr>
                <w:b/>
                <w:szCs w:val="21"/>
              </w:rPr>
              <w:t>表1-1  加油加气站选址原则</w:t>
            </w:r>
          </w:p>
          <w:tbl>
            <w:tblPr>
              <w:tblStyle w:val="21"/>
              <w:tblW w:w="7056"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555"/>
              <w:gridCol w:w="2765"/>
              <w:gridCol w:w="2552"/>
              <w:gridCol w:w="118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b/>
                      <w:szCs w:val="21"/>
                    </w:rPr>
                  </w:pPr>
                  <w:r>
                    <w:rPr>
                      <w:b/>
                      <w:szCs w:val="21"/>
                    </w:rPr>
                    <w:t>序号</w:t>
                  </w:r>
                </w:p>
              </w:tc>
              <w:tc>
                <w:tcPr>
                  <w:tcW w:w="1959" w:type="pct"/>
                  <w:vAlign w:val="center"/>
                </w:tcPr>
                <w:p>
                  <w:pPr>
                    <w:pStyle w:val="44"/>
                    <w:spacing w:line="276" w:lineRule="auto"/>
                    <w:jc w:val="center"/>
                    <w:rPr>
                      <w:b/>
                      <w:szCs w:val="21"/>
                    </w:rPr>
                  </w:pPr>
                  <w:r>
                    <w:rPr>
                      <w:b/>
                      <w:szCs w:val="21"/>
                    </w:rPr>
                    <w:t>《汽车加油加气加氢站技术标准》（GB50156-2021）</w:t>
                  </w:r>
                </w:p>
              </w:tc>
              <w:tc>
                <w:tcPr>
                  <w:tcW w:w="1808" w:type="pct"/>
                  <w:vAlign w:val="center"/>
                </w:tcPr>
                <w:p>
                  <w:pPr>
                    <w:pStyle w:val="44"/>
                    <w:spacing w:line="276" w:lineRule="auto"/>
                    <w:jc w:val="center"/>
                    <w:rPr>
                      <w:b/>
                      <w:szCs w:val="21"/>
                    </w:rPr>
                  </w:pPr>
                  <w:r>
                    <w:rPr>
                      <w:b/>
                      <w:szCs w:val="21"/>
                    </w:rPr>
                    <w:t>本项目</w:t>
                  </w:r>
                </w:p>
              </w:tc>
              <w:tc>
                <w:tcPr>
                  <w:tcW w:w="839" w:type="pct"/>
                  <w:vAlign w:val="center"/>
                </w:tcPr>
                <w:p>
                  <w:pPr>
                    <w:pStyle w:val="44"/>
                    <w:spacing w:line="276" w:lineRule="auto"/>
                    <w:jc w:val="center"/>
                    <w:rPr>
                      <w:b/>
                      <w:szCs w:val="21"/>
                    </w:rPr>
                  </w:pPr>
                  <w:r>
                    <w:rPr>
                      <w:b/>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szCs w:val="21"/>
                    </w:rPr>
                  </w:pPr>
                  <w:r>
                    <w:rPr>
                      <w:szCs w:val="21"/>
                    </w:rPr>
                    <w:t>4.0.1</w:t>
                  </w:r>
                </w:p>
              </w:tc>
              <w:tc>
                <w:tcPr>
                  <w:tcW w:w="1959" w:type="pct"/>
                  <w:vAlign w:val="center"/>
                </w:tcPr>
                <w:p>
                  <w:pPr>
                    <w:pStyle w:val="44"/>
                    <w:spacing w:line="276" w:lineRule="auto"/>
                    <w:jc w:val="center"/>
                    <w:rPr>
                      <w:szCs w:val="21"/>
                    </w:rPr>
                  </w:pPr>
                  <w:r>
                    <w:rPr>
                      <w:szCs w:val="21"/>
                    </w:rPr>
                    <w:t>汽车加油加气加氢站的站址选择，应符合有关规划、环境保护和防火安全的要求，并应选在交通便利、用户使用方便的地方。</w:t>
                  </w:r>
                </w:p>
              </w:tc>
              <w:tc>
                <w:tcPr>
                  <w:tcW w:w="1808" w:type="pct"/>
                  <w:vAlign w:val="center"/>
                </w:tcPr>
                <w:p>
                  <w:pPr>
                    <w:pStyle w:val="44"/>
                    <w:spacing w:line="276" w:lineRule="auto"/>
                    <w:jc w:val="center"/>
                    <w:rPr>
                      <w:szCs w:val="21"/>
                    </w:rPr>
                  </w:pPr>
                  <w:r>
                    <w:rPr>
                      <w:szCs w:val="21"/>
                    </w:rPr>
                    <w:t>项目位于江西省赣州市宁都县梅江镇土围村西侧，外环路G236与怀德路交叉口以南，西侧为G236国道，符合要求。</w:t>
                  </w:r>
                </w:p>
              </w:tc>
              <w:tc>
                <w:tcPr>
                  <w:tcW w:w="839"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szCs w:val="21"/>
                    </w:rPr>
                  </w:pPr>
                  <w:r>
                    <w:rPr>
                      <w:szCs w:val="21"/>
                    </w:rPr>
                    <w:t>4.0.2</w:t>
                  </w:r>
                </w:p>
              </w:tc>
              <w:tc>
                <w:tcPr>
                  <w:tcW w:w="1959" w:type="pct"/>
                  <w:vAlign w:val="center"/>
                </w:tcPr>
                <w:p>
                  <w:pPr>
                    <w:pStyle w:val="44"/>
                    <w:spacing w:line="276" w:lineRule="auto"/>
                    <w:jc w:val="center"/>
                    <w:rPr>
                      <w:szCs w:val="21"/>
                    </w:rPr>
                  </w:pPr>
                  <w:r>
                    <w:rPr>
                      <w:szCs w:val="21"/>
                    </w:rPr>
                    <w:t>在城市中心区不应建一级汽车加油加气加氢站、CNG加气母站。</w:t>
                  </w:r>
                </w:p>
              </w:tc>
              <w:tc>
                <w:tcPr>
                  <w:tcW w:w="1808" w:type="pct"/>
                  <w:vAlign w:val="center"/>
                </w:tcPr>
                <w:p>
                  <w:pPr>
                    <w:pStyle w:val="44"/>
                    <w:spacing w:line="276" w:lineRule="auto"/>
                    <w:jc w:val="center"/>
                    <w:rPr>
                      <w:szCs w:val="21"/>
                    </w:rPr>
                  </w:pPr>
                  <w:r>
                    <w:rPr>
                      <w:szCs w:val="21"/>
                    </w:rPr>
                    <w:t>项目位于城市建成区，属于二级加油站。</w:t>
                  </w:r>
                </w:p>
              </w:tc>
              <w:tc>
                <w:tcPr>
                  <w:tcW w:w="839"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szCs w:val="21"/>
                    </w:rPr>
                  </w:pPr>
                  <w:r>
                    <w:rPr>
                      <w:szCs w:val="21"/>
                    </w:rPr>
                    <w:t>4.0.3</w:t>
                  </w:r>
                </w:p>
              </w:tc>
              <w:tc>
                <w:tcPr>
                  <w:tcW w:w="1959" w:type="pct"/>
                  <w:vAlign w:val="center"/>
                </w:tcPr>
                <w:p>
                  <w:pPr>
                    <w:pStyle w:val="44"/>
                    <w:spacing w:line="276" w:lineRule="auto"/>
                    <w:jc w:val="center"/>
                    <w:rPr>
                      <w:szCs w:val="21"/>
                    </w:rPr>
                  </w:pPr>
                  <w:r>
                    <w:rPr>
                      <w:szCs w:val="21"/>
                    </w:rPr>
                    <w:t>城市建成区内的汽车加油加气加氢站，宜靠近城市道路，但不宜选在城市干道的交叉路口附近。</w:t>
                  </w:r>
                </w:p>
              </w:tc>
              <w:tc>
                <w:tcPr>
                  <w:tcW w:w="1808" w:type="pct"/>
                  <w:vAlign w:val="center"/>
                </w:tcPr>
                <w:p>
                  <w:pPr>
                    <w:pStyle w:val="44"/>
                    <w:spacing w:line="276" w:lineRule="auto"/>
                    <w:jc w:val="center"/>
                    <w:rPr>
                      <w:szCs w:val="21"/>
                    </w:rPr>
                  </w:pPr>
                  <w:r>
                    <w:rPr>
                      <w:szCs w:val="21"/>
                    </w:rPr>
                    <w:t>项目位于赣州市宁都县外环路G236东侧，怀德路南侧，不在城市干道交叉路口附近，符合要求。</w:t>
                  </w:r>
                </w:p>
              </w:tc>
              <w:tc>
                <w:tcPr>
                  <w:tcW w:w="839"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szCs w:val="21"/>
                    </w:rPr>
                  </w:pPr>
                  <w:r>
                    <w:rPr>
                      <w:szCs w:val="21"/>
                    </w:rPr>
                    <w:t>4.0.4</w:t>
                  </w:r>
                </w:p>
              </w:tc>
              <w:tc>
                <w:tcPr>
                  <w:tcW w:w="1959" w:type="pct"/>
                  <w:vAlign w:val="center"/>
                </w:tcPr>
                <w:p>
                  <w:pPr>
                    <w:pStyle w:val="44"/>
                    <w:spacing w:line="276" w:lineRule="auto"/>
                    <w:jc w:val="center"/>
                    <w:rPr>
                      <w:szCs w:val="21"/>
                    </w:rPr>
                  </w:pPr>
                  <w:r>
                    <w:rPr>
                      <w:szCs w:val="21"/>
                    </w:rPr>
                    <w:t>加油站、各类合建站中的汽油、柴油工艺设备与站外建（构）筑物的安全间距，不应小于表 4.0.4的规定。</w:t>
                  </w:r>
                </w:p>
              </w:tc>
              <w:tc>
                <w:tcPr>
                  <w:tcW w:w="1808" w:type="pct"/>
                  <w:vAlign w:val="center"/>
                </w:tcPr>
                <w:p>
                  <w:pPr>
                    <w:pStyle w:val="44"/>
                    <w:spacing w:line="276" w:lineRule="auto"/>
                    <w:jc w:val="center"/>
                    <w:rPr>
                      <w:szCs w:val="21"/>
                    </w:rPr>
                  </w:pPr>
                  <w:r>
                    <w:rPr>
                      <w:szCs w:val="21"/>
                    </w:rPr>
                    <w:t>见表1-2。</w:t>
                  </w:r>
                </w:p>
              </w:tc>
              <w:tc>
                <w:tcPr>
                  <w:tcW w:w="839"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3" w:type="pct"/>
                  <w:vAlign w:val="center"/>
                </w:tcPr>
                <w:p>
                  <w:pPr>
                    <w:pStyle w:val="44"/>
                    <w:spacing w:line="276" w:lineRule="auto"/>
                    <w:jc w:val="center"/>
                    <w:rPr>
                      <w:szCs w:val="21"/>
                    </w:rPr>
                  </w:pPr>
                  <w:r>
                    <w:rPr>
                      <w:szCs w:val="21"/>
                    </w:rPr>
                    <w:t>4.0.13</w:t>
                  </w:r>
                </w:p>
              </w:tc>
              <w:tc>
                <w:tcPr>
                  <w:tcW w:w="1959" w:type="pct"/>
                  <w:vAlign w:val="center"/>
                </w:tcPr>
                <w:p>
                  <w:pPr>
                    <w:pStyle w:val="44"/>
                    <w:spacing w:line="276" w:lineRule="auto"/>
                    <w:jc w:val="center"/>
                    <w:rPr>
                      <w:szCs w:val="21"/>
                    </w:rPr>
                  </w:pPr>
                  <w:r>
                    <w:rPr>
                      <w:szCs w:val="21"/>
                    </w:rPr>
                    <w:t>架空电力线路不应跨越加油加气加氢站的加油加气作业区，架空通信线路不应跨越加气站、加氢合建站中的加氢设施的作业区。</w:t>
                  </w:r>
                </w:p>
              </w:tc>
              <w:tc>
                <w:tcPr>
                  <w:tcW w:w="1808" w:type="pct"/>
                  <w:vAlign w:val="center"/>
                </w:tcPr>
                <w:p>
                  <w:pPr>
                    <w:pStyle w:val="44"/>
                    <w:spacing w:line="276" w:lineRule="auto"/>
                    <w:jc w:val="center"/>
                    <w:rPr>
                      <w:szCs w:val="21"/>
                    </w:rPr>
                  </w:pPr>
                  <w:r>
                    <w:rPr>
                      <w:szCs w:val="21"/>
                    </w:rPr>
                    <w:t>架空电力线路不跨越加油作业区，符合要求。</w:t>
                  </w:r>
                </w:p>
              </w:tc>
              <w:tc>
                <w:tcPr>
                  <w:tcW w:w="839" w:type="pct"/>
                  <w:vAlign w:val="center"/>
                </w:tcPr>
                <w:p>
                  <w:pPr>
                    <w:pStyle w:val="44"/>
                    <w:spacing w:line="276" w:lineRule="auto"/>
                    <w:jc w:val="center"/>
                    <w:rPr>
                      <w:szCs w:val="21"/>
                    </w:rPr>
                  </w:pPr>
                  <w:r>
                    <w:rPr>
                      <w:szCs w:val="21"/>
                    </w:rPr>
                    <w:t>符合</w:t>
                  </w:r>
                </w:p>
              </w:tc>
            </w:tr>
          </w:tbl>
          <w:p>
            <w:pPr>
              <w:adjustRightInd w:val="0"/>
              <w:snapToGrid w:val="0"/>
              <w:jc w:val="center"/>
              <w:rPr>
                <w:b/>
                <w:bCs/>
                <w:szCs w:val="21"/>
              </w:rPr>
            </w:pPr>
          </w:p>
          <w:p>
            <w:pPr>
              <w:adjustRightInd w:val="0"/>
              <w:snapToGrid w:val="0"/>
              <w:spacing w:before="120" w:beforeLines="50" w:line="276" w:lineRule="auto"/>
              <w:jc w:val="center"/>
              <w:rPr>
                <w:b/>
                <w:bCs/>
                <w:szCs w:val="21"/>
              </w:rPr>
            </w:pPr>
            <w:r>
              <w:rPr>
                <w:b/>
                <w:bCs/>
                <w:szCs w:val="21"/>
              </w:rPr>
              <w:t>表1-2  汽油（柴油）工艺设备与站外建（构）筑物的安全间距（m）</w:t>
            </w:r>
          </w:p>
          <w:tbl>
            <w:tblPr>
              <w:tblStyle w:val="21"/>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411"/>
              <w:gridCol w:w="1408"/>
              <w:gridCol w:w="1408"/>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3" w:type="pct"/>
                  <w:gridSpan w:val="3"/>
                  <w:vMerge w:val="restart"/>
                  <w:shd w:val="clear" w:color="auto" w:fill="auto"/>
                  <w:vAlign w:val="center"/>
                </w:tcPr>
                <w:p>
                  <w:pPr>
                    <w:adjustRightInd w:val="0"/>
                    <w:snapToGrid w:val="0"/>
                    <w:jc w:val="center"/>
                    <w:rPr>
                      <w:b/>
                      <w:szCs w:val="21"/>
                    </w:rPr>
                  </w:pPr>
                  <w:r>
                    <w:rPr>
                      <w:b/>
                      <w:szCs w:val="21"/>
                    </w:rPr>
                    <w:t>站外建（构筑物）</w:t>
                  </w:r>
                </w:p>
              </w:tc>
              <w:tc>
                <w:tcPr>
                  <w:tcW w:w="2087" w:type="pct"/>
                  <w:gridSpan w:val="2"/>
                  <w:shd w:val="clear" w:color="auto" w:fill="auto"/>
                  <w:vAlign w:val="center"/>
                </w:tcPr>
                <w:p>
                  <w:pPr>
                    <w:adjustRightInd w:val="0"/>
                    <w:snapToGrid w:val="0"/>
                    <w:jc w:val="center"/>
                    <w:rPr>
                      <w:b/>
                      <w:bCs/>
                      <w:szCs w:val="21"/>
                    </w:rPr>
                  </w:pPr>
                  <w:r>
                    <w:rPr>
                      <w:b/>
                      <w:szCs w:val="21"/>
                    </w:rPr>
                    <w:t>站内汽油（柴油）工艺设备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3" w:type="pct"/>
                  <w:gridSpan w:val="3"/>
                  <w:vMerge w:val="continue"/>
                  <w:shd w:val="clear" w:color="auto" w:fill="auto"/>
                  <w:vAlign w:val="center"/>
                </w:tcPr>
                <w:p>
                  <w:pPr>
                    <w:adjustRightInd w:val="0"/>
                    <w:snapToGrid w:val="0"/>
                    <w:jc w:val="center"/>
                    <w:rPr>
                      <w:b/>
                      <w:bCs/>
                      <w:szCs w:val="21"/>
                    </w:rPr>
                  </w:pPr>
                </w:p>
              </w:tc>
              <w:tc>
                <w:tcPr>
                  <w:tcW w:w="971" w:type="pct"/>
                  <w:shd w:val="clear" w:color="auto" w:fill="auto"/>
                  <w:vAlign w:val="center"/>
                </w:tcPr>
                <w:p>
                  <w:pPr>
                    <w:adjustRightInd w:val="0"/>
                    <w:snapToGrid w:val="0"/>
                    <w:jc w:val="center"/>
                    <w:rPr>
                      <w:b/>
                      <w:bCs/>
                      <w:szCs w:val="21"/>
                    </w:rPr>
                  </w:pPr>
                  <w:r>
                    <w:rPr>
                      <w:b/>
                      <w:bCs/>
                      <w:szCs w:val="21"/>
                    </w:rPr>
                    <w:t>埋地油罐</w:t>
                  </w:r>
                </w:p>
              </w:tc>
              <w:tc>
                <w:tcPr>
                  <w:tcW w:w="1116" w:type="pct"/>
                  <w:shd w:val="clear" w:color="auto" w:fill="auto"/>
                  <w:vAlign w:val="center"/>
                </w:tcPr>
                <w:p>
                  <w:pPr>
                    <w:adjustRightInd w:val="0"/>
                    <w:snapToGrid w:val="0"/>
                    <w:jc w:val="center"/>
                    <w:rPr>
                      <w:b/>
                      <w:bCs/>
                      <w:szCs w:val="21"/>
                    </w:rPr>
                  </w:pPr>
                  <w:r>
                    <w:rPr>
                      <w:b/>
                      <w:bCs/>
                      <w:szCs w:val="21"/>
                    </w:rPr>
                    <w:t>加油机、油罐通气管口、油气回收处理装置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3" w:type="pct"/>
                  <w:gridSpan w:val="3"/>
                  <w:vMerge w:val="continue"/>
                  <w:shd w:val="clear" w:color="auto" w:fill="auto"/>
                  <w:vAlign w:val="center"/>
                </w:tcPr>
                <w:p>
                  <w:pPr>
                    <w:adjustRightInd w:val="0"/>
                    <w:snapToGrid w:val="0"/>
                    <w:jc w:val="center"/>
                    <w:rPr>
                      <w:b/>
                      <w:bCs/>
                      <w:szCs w:val="21"/>
                    </w:rPr>
                  </w:pPr>
                </w:p>
              </w:tc>
              <w:tc>
                <w:tcPr>
                  <w:tcW w:w="2087" w:type="pct"/>
                  <w:gridSpan w:val="2"/>
                  <w:shd w:val="clear" w:color="auto" w:fill="auto"/>
                  <w:vAlign w:val="center"/>
                </w:tcPr>
                <w:p>
                  <w:pPr>
                    <w:adjustRightInd w:val="0"/>
                    <w:snapToGrid w:val="0"/>
                    <w:jc w:val="center"/>
                    <w:rPr>
                      <w:b/>
                      <w:bCs/>
                      <w:szCs w:val="21"/>
                    </w:rPr>
                  </w:pPr>
                  <w:r>
                    <w:rPr>
                      <w:b/>
                      <w:bCs/>
                      <w:szCs w:val="21"/>
                    </w:rPr>
                    <w:t>二级站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重要公共建筑物</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35（25）</w:t>
                  </w:r>
                </w:p>
              </w:tc>
              <w:tc>
                <w:tcPr>
                  <w:tcW w:w="1116" w:type="pct"/>
                  <w:shd w:val="clear" w:color="auto" w:fill="auto"/>
                  <w:vAlign w:val="center"/>
                </w:tcPr>
                <w:p>
                  <w:pPr>
                    <w:adjustRightInd w:val="0"/>
                    <w:snapToGrid w:val="0"/>
                    <w:jc w:val="center"/>
                    <w:rPr>
                      <w:szCs w:val="21"/>
                    </w:rPr>
                  </w:pPr>
                  <w:r>
                    <w:rPr>
                      <w:szCs w:val="21"/>
                    </w:rPr>
                    <w:t>35（25）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明火地点或散发火花地点</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17.5（12.5）</w:t>
                  </w:r>
                </w:p>
              </w:tc>
              <w:tc>
                <w:tcPr>
                  <w:tcW w:w="1116" w:type="pct"/>
                  <w:shd w:val="clear" w:color="auto" w:fill="auto"/>
                  <w:vAlign w:val="center"/>
                </w:tcPr>
                <w:p>
                  <w:pPr>
                    <w:adjustRightInd w:val="0"/>
                    <w:snapToGrid w:val="0"/>
                    <w:jc w:val="center"/>
                    <w:rPr>
                      <w:szCs w:val="21"/>
                    </w:rPr>
                  </w:pPr>
                  <w:r>
                    <w:rPr>
                      <w:szCs w:val="21"/>
                    </w:rPr>
                    <w:t>12.5（10）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9" w:type="pct"/>
                  <w:vMerge w:val="restart"/>
                  <w:shd w:val="clear" w:color="auto" w:fill="auto"/>
                  <w:vAlign w:val="center"/>
                </w:tcPr>
                <w:p>
                  <w:pPr>
                    <w:adjustRightInd w:val="0"/>
                    <w:snapToGrid w:val="0"/>
                    <w:jc w:val="center"/>
                    <w:rPr>
                      <w:szCs w:val="21"/>
                    </w:rPr>
                  </w:pPr>
                  <w:r>
                    <w:rPr>
                      <w:szCs w:val="21"/>
                    </w:rPr>
                    <w:t>民用建筑物保护类别</w:t>
                  </w:r>
                </w:p>
              </w:tc>
              <w:tc>
                <w:tcPr>
                  <w:tcW w:w="973" w:type="pct"/>
                  <w:vMerge w:val="restart"/>
                  <w:shd w:val="clear" w:color="auto" w:fill="auto"/>
                  <w:vAlign w:val="center"/>
                </w:tcPr>
                <w:p>
                  <w:pPr>
                    <w:adjustRightInd w:val="0"/>
                    <w:snapToGrid w:val="0"/>
                    <w:jc w:val="center"/>
                    <w:rPr>
                      <w:szCs w:val="21"/>
                    </w:rPr>
                  </w:pPr>
                  <w:r>
                    <w:rPr>
                      <w:szCs w:val="21"/>
                    </w:rPr>
                    <w:t>一类保护物</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14（6）</w:t>
                  </w:r>
                </w:p>
              </w:tc>
              <w:tc>
                <w:tcPr>
                  <w:tcW w:w="1116" w:type="pct"/>
                  <w:shd w:val="clear" w:color="auto" w:fill="auto"/>
                  <w:vAlign w:val="center"/>
                </w:tcPr>
                <w:p>
                  <w:pPr>
                    <w:adjustRightInd w:val="0"/>
                    <w:snapToGrid w:val="0"/>
                    <w:jc w:val="center"/>
                    <w:rPr>
                      <w:szCs w:val="21"/>
                    </w:rPr>
                  </w:pPr>
                  <w:r>
                    <w:rPr>
                      <w:szCs w:val="21"/>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restart"/>
                  <w:shd w:val="clear" w:color="auto" w:fill="auto"/>
                  <w:vAlign w:val="center"/>
                </w:tcPr>
                <w:p>
                  <w:pPr>
                    <w:adjustRightInd w:val="0"/>
                    <w:snapToGrid w:val="0"/>
                    <w:jc w:val="center"/>
                    <w:rPr>
                      <w:szCs w:val="21"/>
                    </w:rPr>
                  </w:pPr>
                  <w:r>
                    <w:rPr>
                      <w:szCs w:val="21"/>
                    </w:rPr>
                    <w:t>二类保护物</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11（6）</w:t>
                  </w:r>
                </w:p>
              </w:tc>
              <w:tc>
                <w:tcPr>
                  <w:tcW w:w="1116" w:type="pct"/>
                  <w:shd w:val="clear" w:color="auto" w:fill="auto"/>
                  <w:vAlign w:val="center"/>
                </w:tcPr>
                <w:p>
                  <w:pPr>
                    <w:adjustRightInd w:val="0"/>
                    <w:snapToGrid w:val="0"/>
                    <w:jc w:val="center"/>
                    <w:rPr>
                      <w:szCs w:val="21"/>
                    </w:rPr>
                  </w:pPr>
                  <w:r>
                    <w:rPr>
                      <w:szCs w:val="21"/>
                    </w:rPr>
                    <w:t>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restart"/>
                  <w:shd w:val="clear" w:color="auto" w:fill="auto"/>
                  <w:vAlign w:val="center"/>
                </w:tcPr>
                <w:p>
                  <w:pPr>
                    <w:adjustRightInd w:val="0"/>
                    <w:snapToGrid w:val="0"/>
                    <w:jc w:val="center"/>
                    <w:rPr>
                      <w:szCs w:val="21"/>
                    </w:rPr>
                  </w:pPr>
                  <w:r>
                    <w:rPr>
                      <w:szCs w:val="21"/>
                    </w:rPr>
                    <w:t>三类保护物</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8.5（6）</w:t>
                  </w:r>
                </w:p>
              </w:tc>
              <w:tc>
                <w:tcPr>
                  <w:tcW w:w="1116" w:type="pct"/>
                  <w:shd w:val="clear" w:color="auto" w:fill="auto"/>
                  <w:vAlign w:val="center"/>
                </w:tcPr>
                <w:p>
                  <w:pPr>
                    <w:adjustRightInd w:val="0"/>
                    <w:snapToGrid w:val="0"/>
                    <w:jc w:val="center"/>
                    <w:rPr>
                      <w:szCs w:val="21"/>
                    </w:rPr>
                  </w:pPr>
                  <w:r>
                    <w:rPr>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甲、乙类物品生产厂房、库房和甲、乙类液体储罐</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15.5（11）</w:t>
                  </w:r>
                </w:p>
              </w:tc>
              <w:tc>
                <w:tcPr>
                  <w:tcW w:w="1116" w:type="pct"/>
                  <w:shd w:val="clear" w:color="auto" w:fill="auto"/>
                  <w:vAlign w:val="center"/>
                </w:tcPr>
                <w:p>
                  <w:pPr>
                    <w:adjustRightInd w:val="0"/>
                    <w:snapToGrid w:val="0"/>
                    <w:jc w:val="center"/>
                    <w:rPr>
                      <w:szCs w:val="21"/>
                    </w:rPr>
                  </w:pPr>
                  <w:r>
                    <w:rPr>
                      <w:szCs w:val="21"/>
                    </w:rPr>
                    <w:t>12.5（9）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942" w:type="pct"/>
                  <w:gridSpan w:val="2"/>
                  <w:vMerge w:val="restart"/>
                  <w:shd w:val="clear" w:color="auto" w:fill="auto"/>
                  <w:vAlign w:val="center"/>
                </w:tcPr>
                <w:p>
                  <w:pPr>
                    <w:adjustRightInd w:val="0"/>
                    <w:snapToGrid w:val="0"/>
                    <w:jc w:val="center"/>
                    <w:rPr>
                      <w:szCs w:val="21"/>
                    </w:rPr>
                  </w:pPr>
                  <w:r>
                    <w:rPr>
                      <w:szCs w:val="21"/>
                    </w:rPr>
                    <w:t>丙、丁、戊类物品生产厂房、库房和丙类液体储罐以及单罐容积不大于50m³的埋地甲、乙类液体储罐</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11（9）</w:t>
                  </w:r>
                </w:p>
              </w:tc>
              <w:tc>
                <w:tcPr>
                  <w:tcW w:w="1116" w:type="pct"/>
                  <w:shd w:val="clear" w:color="auto" w:fill="auto"/>
                  <w:vAlign w:val="center"/>
                </w:tcPr>
                <w:p>
                  <w:pPr>
                    <w:adjustRightInd w:val="0"/>
                    <w:snapToGrid w:val="0"/>
                    <w:jc w:val="center"/>
                    <w:rPr>
                      <w:szCs w:val="21"/>
                    </w:rPr>
                  </w:pPr>
                  <w:r>
                    <w:rPr>
                      <w:szCs w:val="21"/>
                    </w:rPr>
                    <w:t>10.5（9）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本项目设计（南侧箱式变压器）</w:t>
                  </w:r>
                </w:p>
              </w:tc>
              <w:tc>
                <w:tcPr>
                  <w:tcW w:w="971" w:type="pct"/>
                  <w:shd w:val="clear" w:color="auto" w:fill="auto"/>
                  <w:vAlign w:val="center"/>
                </w:tcPr>
                <w:p>
                  <w:pPr>
                    <w:adjustRightInd w:val="0"/>
                    <w:snapToGrid w:val="0"/>
                    <w:jc w:val="center"/>
                    <w:rPr>
                      <w:szCs w:val="21"/>
                    </w:rPr>
                  </w:pPr>
                  <w:r>
                    <w:rPr>
                      <w:szCs w:val="21"/>
                    </w:rPr>
                    <w:t>约37（约37）</w:t>
                  </w:r>
                </w:p>
              </w:tc>
              <w:tc>
                <w:tcPr>
                  <w:tcW w:w="1116" w:type="pct"/>
                  <w:shd w:val="clear" w:color="auto" w:fill="auto"/>
                  <w:vAlign w:val="center"/>
                </w:tcPr>
                <w:p>
                  <w:pPr>
                    <w:adjustRightInd w:val="0"/>
                    <w:snapToGrid w:val="0"/>
                    <w:jc w:val="center"/>
                    <w:rPr>
                      <w:szCs w:val="21"/>
                    </w:rPr>
                  </w:pPr>
                  <w:r>
                    <w:rPr>
                      <w:szCs w:val="21"/>
                    </w:rPr>
                    <w:t>约30（约37）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室外变配电站</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15.5（12.5）</w:t>
                  </w:r>
                </w:p>
              </w:tc>
              <w:tc>
                <w:tcPr>
                  <w:tcW w:w="1116" w:type="pct"/>
                  <w:shd w:val="clear" w:color="auto" w:fill="auto"/>
                  <w:vAlign w:val="center"/>
                </w:tcPr>
                <w:p>
                  <w:pPr>
                    <w:adjustRightInd w:val="0"/>
                    <w:snapToGrid w:val="0"/>
                    <w:jc w:val="center"/>
                    <w:rPr>
                      <w:szCs w:val="21"/>
                    </w:rPr>
                  </w:pPr>
                  <w:r>
                    <w:rPr>
                      <w:szCs w:val="21"/>
                    </w:rPr>
                    <w:t>12.5（12.5）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铁路、地上城市轨道线路</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15.5（15）</w:t>
                  </w:r>
                </w:p>
              </w:tc>
              <w:tc>
                <w:tcPr>
                  <w:tcW w:w="1116" w:type="pct"/>
                  <w:shd w:val="clear" w:color="auto" w:fill="auto"/>
                  <w:vAlign w:val="center"/>
                </w:tcPr>
                <w:p>
                  <w:pPr>
                    <w:adjustRightInd w:val="0"/>
                    <w:snapToGrid w:val="0"/>
                    <w:jc w:val="center"/>
                    <w:rPr>
                      <w:szCs w:val="21"/>
                    </w:rPr>
                  </w:pPr>
                  <w:r>
                    <w:rPr>
                      <w:szCs w:val="21"/>
                    </w:rPr>
                    <w:t>15.5（15）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城市快速路、主干路和高速公路、一级公路、二级公路</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5.5（3）</w:t>
                  </w:r>
                </w:p>
              </w:tc>
              <w:tc>
                <w:tcPr>
                  <w:tcW w:w="1116" w:type="pct"/>
                  <w:shd w:val="clear" w:color="auto" w:fill="auto"/>
                  <w:vAlign w:val="center"/>
                </w:tcPr>
                <w:p>
                  <w:pPr>
                    <w:adjustRightInd w:val="0"/>
                    <w:snapToGrid w:val="0"/>
                    <w:jc w:val="center"/>
                    <w:rPr>
                      <w:szCs w:val="21"/>
                    </w:rPr>
                  </w:pPr>
                  <w:r>
                    <w:rPr>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本项目设计（G236）</w:t>
                  </w:r>
                </w:p>
              </w:tc>
              <w:tc>
                <w:tcPr>
                  <w:tcW w:w="971" w:type="pct"/>
                  <w:shd w:val="clear" w:color="auto" w:fill="auto"/>
                  <w:vAlign w:val="center"/>
                </w:tcPr>
                <w:p>
                  <w:pPr>
                    <w:adjustRightInd w:val="0"/>
                    <w:snapToGrid w:val="0"/>
                    <w:jc w:val="center"/>
                    <w:rPr>
                      <w:szCs w:val="21"/>
                    </w:rPr>
                  </w:pPr>
                  <w:r>
                    <w:rPr>
                      <w:szCs w:val="21"/>
                    </w:rPr>
                    <w:t>约98（约91）</w:t>
                  </w:r>
                </w:p>
              </w:tc>
              <w:tc>
                <w:tcPr>
                  <w:tcW w:w="1116" w:type="pct"/>
                  <w:shd w:val="clear" w:color="auto" w:fill="auto"/>
                  <w:vAlign w:val="center"/>
                </w:tcPr>
                <w:p>
                  <w:pPr>
                    <w:adjustRightInd w:val="0"/>
                    <w:snapToGrid w:val="0"/>
                    <w:jc w:val="center"/>
                    <w:rPr>
                      <w:szCs w:val="21"/>
                    </w:rPr>
                  </w:pPr>
                  <w:r>
                    <w:rPr>
                      <w:szCs w:val="21"/>
                    </w:rPr>
                    <w:t>约98（约91）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城市次干路、支路和三级公路、四级公路</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5（3）</w:t>
                  </w:r>
                </w:p>
              </w:tc>
              <w:tc>
                <w:tcPr>
                  <w:tcW w:w="1116" w:type="pct"/>
                  <w:shd w:val="clear" w:color="auto" w:fill="auto"/>
                  <w:vAlign w:val="center"/>
                </w:tcPr>
                <w:p>
                  <w:pPr>
                    <w:adjustRightInd w:val="0"/>
                    <w:snapToGrid w:val="0"/>
                    <w:jc w:val="center"/>
                    <w:rPr>
                      <w:szCs w:val="21"/>
                    </w:rPr>
                  </w:pPr>
                  <w:r>
                    <w:rPr>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p>
                  <w:pPr>
                    <w:adjustRightInd w:val="0"/>
                    <w:snapToGrid w:val="0"/>
                    <w:jc w:val="center"/>
                    <w:rPr>
                      <w:szCs w:val="21"/>
                    </w:rPr>
                  </w:pPr>
                  <w:r>
                    <w:rPr>
                      <w:szCs w:val="21"/>
                    </w:rPr>
                    <w:t>（村道）</w:t>
                  </w:r>
                </w:p>
              </w:tc>
              <w:tc>
                <w:tcPr>
                  <w:tcW w:w="971" w:type="pct"/>
                  <w:shd w:val="clear" w:color="auto" w:fill="auto"/>
                  <w:vAlign w:val="center"/>
                </w:tcPr>
                <w:p>
                  <w:pPr>
                    <w:adjustRightInd w:val="0"/>
                    <w:snapToGrid w:val="0"/>
                    <w:jc w:val="center"/>
                    <w:rPr>
                      <w:szCs w:val="21"/>
                    </w:rPr>
                  </w:pPr>
                  <w:r>
                    <w:rPr>
                      <w:szCs w:val="21"/>
                    </w:rPr>
                    <w:t>约16约（15）</w:t>
                  </w:r>
                </w:p>
              </w:tc>
              <w:tc>
                <w:tcPr>
                  <w:tcW w:w="1116" w:type="pct"/>
                  <w:shd w:val="clear" w:color="auto" w:fill="auto"/>
                  <w:vAlign w:val="center"/>
                </w:tcPr>
                <w:p>
                  <w:pPr>
                    <w:adjustRightInd w:val="0"/>
                    <w:snapToGrid w:val="0"/>
                    <w:jc w:val="center"/>
                    <w:rPr>
                      <w:szCs w:val="21"/>
                    </w:rPr>
                  </w:pPr>
                  <w:r>
                    <w:rPr>
                      <w:szCs w:val="21"/>
                    </w:rPr>
                    <w:t>约16约（15）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2" w:type="pct"/>
                  <w:gridSpan w:val="2"/>
                  <w:vMerge w:val="restart"/>
                  <w:shd w:val="clear" w:color="auto" w:fill="auto"/>
                  <w:vAlign w:val="center"/>
                </w:tcPr>
                <w:p>
                  <w:pPr>
                    <w:adjustRightInd w:val="0"/>
                    <w:snapToGrid w:val="0"/>
                    <w:jc w:val="center"/>
                    <w:rPr>
                      <w:szCs w:val="21"/>
                    </w:rPr>
                  </w:pPr>
                  <w:r>
                    <w:rPr>
                      <w:szCs w:val="21"/>
                    </w:rPr>
                    <w:t>架空通信线路</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5（5）</w:t>
                  </w:r>
                </w:p>
              </w:tc>
              <w:tc>
                <w:tcPr>
                  <w:tcW w:w="1116" w:type="pct"/>
                  <w:shd w:val="clear" w:color="auto" w:fill="auto"/>
                  <w:vAlign w:val="center"/>
                </w:tcPr>
                <w:p>
                  <w:pPr>
                    <w:adjustRightInd w:val="0"/>
                    <w:snapToGrid w:val="0"/>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2" w:type="pct"/>
                  <w:gridSpan w:val="2"/>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restart"/>
                  <w:shd w:val="clear" w:color="auto" w:fill="auto"/>
                  <w:vAlign w:val="center"/>
                </w:tcPr>
                <w:p>
                  <w:pPr>
                    <w:adjustRightInd w:val="0"/>
                    <w:snapToGrid w:val="0"/>
                    <w:jc w:val="center"/>
                    <w:rPr>
                      <w:szCs w:val="21"/>
                    </w:rPr>
                  </w:pPr>
                  <w:r>
                    <w:rPr>
                      <w:szCs w:val="21"/>
                    </w:rPr>
                    <w:t>架空电力线路</w:t>
                  </w:r>
                </w:p>
              </w:tc>
              <w:tc>
                <w:tcPr>
                  <w:tcW w:w="973" w:type="pct"/>
                  <w:vMerge w:val="restart"/>
                  <w:shd w:val="clear" w:color="auto" w:fill="auto"/>
                  <w:vAlign w:val="center"/>
                </w:tcPr>
                <w:p>
                  <w:pPr>
                    <w:adjustRightInd w:val="0"/>
                    <w:snapToGrid w:val="0"/>
                    <w:jc w:val="center"/>
                    <w:rPr>
                      <w:szCs w:val="21"/>
                    </w:rPr>
                  </w:pPr>
                  <w:r>
                    <w:rPr>
                      <w:szCs w:val="21"/>
                    </w:rPr>
                    <w:t>无绝缘层</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1.0（0.75）H，且≥5m</w:t>
                  </w:r>
                </w:p>
              </w:tc>
              <w:tc>
                <w:tcPr>
                  <w:tcW w:w="1116" w:type="pct"/>
                  <w:shd w:val="clear" w:color="auto" w:fill="auto"/>
                  <w:vAlign w:val="center"/>
                </w:tcPr>
                <w:p>
                  <w:pPr>
                    <w:adjustRightInd w:val="0"/>
                    <w:snapToGrid w:val="0"/>
                    <w:jc w:val="center"/>
                    <w:rPr>
                      <w:szCs w:val="21"/>
                    </w:rPr>
                  </w:pPr>
                  <w:r>
                    <w:rPr>
                      <w:szCs w:val="21"/>
                    </w:rPr>
                    <w:t>6.5（6.5）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continue"/>
                  <w:shd w:val="clear" w:color="auto" w:fill="auto"/>
                  <w:vAlign w:val="center"/>
                </w:tcPr>
                <w:p>
                  <w:pPr>
                    <w:adjustRightInd w:val="0"/>
                    <w:snapToGrid w:val="0"/>
                    <w:jc w:val="center"/>
                    <w:rPr>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9" w:type="pct"/>
                  <w:vMerge w:val="continue"/>
                  <w:shd w:val="clear" w:color="auto" w:fill="auto"/>
                  <w:vAlign w:val="center"/>
                </w:tcPr>
                <w:p>
                  <w:pPr>
                    <w:adjustRightInd w:val="0"/>
                    <w:snapToGrid w:val="0"/>
                    <w:jc w:val="center"/>
                    <w:rPr>
                      <w:szCs w:val="21"/>
                    </w:rPr>
                  </w:pPr>
                </w:p>
              </w:tc>
              <w:tc>
                <w:tcPr>
                  <w:tcW w:w="973" w:type="pct"/>
                  <w:vMerge w:val="restart"/>
                  <w:shd w:val="clear" w:color="auto" w:fill="auto"/>
                  <w:vAlign w:val="center"/>
                </w:tcPr>
                <w:p>
                  <w:pPr>
                    <w:adjustRightInd w:val="0"/>
                    <w:snapToGrid w:val="0"/>
                    <w:jc w:val="center"/>
                    <w:rPr>
                      <w:szCs w:val="21"/>
                    </w:rPr>
                  </w:pPr>
                  <w:r>
                    <w:rPr>
                      <w:szCs w:val="21"/>
                    </w:rPr>
                    <w:t>有绝缘层</w:t>
                  </w:r>
                </w:p>
              </w:tc>
              <w:tc>
                <w:tcPr>
                  <w:tcW w:w="971" w:type="pct"/>
                  <w:shd w:val="clear" w:color="auto" w:fill="auto"/>
                  <w:vAlign w:val="center"/>
                </w:tcPr>
                <w:p>
                  <w:pPr>
                    <w:adjustRightInd w:val="0"/>
                    <w:snapToGrid w:val="0"/>
                    <w:jc w:val="center"/>
                    <w:rPr>
                      <w:szCs w:val="21"/>
                    </w:rPr>
                  </w:pPr>
                  <w:r>
                    <w:rPr>
                      <w:szCs w:val="21"/>
                    </w:rPr>
                    <w:t>规范</w:t>
                  </w:r>
                </w:p>
              </w:tc>
              <w:tc>
                <w:tcPr>
                  <w:tcW w:w="971" w:type="pct"/>
                  <w:shd w:val="clear" w:color="auto" w:fill="auto"/>
                  <w:vAlign w:val="center"/>
                </w:tcPr>
                <w:p>
                  <w:pPr>
                    <w:adjustRightInd w:val="0"/>
                    <w:snapToGrid w:val="0"/>
                    <w:jc w:val="center"/>
                    <w:rPr>
                      <w:szCs w:val="21"/>
                    </w:rPr>
                  </w:pPr>
                  <w:r>
                    <w:rPr>
                      <w:szCs w:val="21"/>
                    </w:rPr>
                    <w:t>0.75（0.5）H，且≥5m</w:t>
                  </w:r>
                </w:p>
              </w:tc>
              <w:tc>
                <w:tcPr>
                  <w:tcW w:w="1116" w:type="pct"/>
                  <w:shd w:val="clear" w:color="auto" w:fill="auto"/>
                  <w:vAlign w:val="center"/>
                </w:tcPr>
                <w:p>
                  <w:pPr>
                    <w:adjustRightInd w:val="0"/>
                    <w:snapToGrid w:val="0"/>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9" w:type="pct"/>
                  <w:vMerge w:val="continue"/>
                  <w:shd w:val="clear" w:color="auto" w:fill="auto"/>
                  <w:vAlign w:val="center"/>
                </w:tcPr>
                <w:p>
                  <w:pPr>
                    <w:adjustRightInd w:val="0"/>
                    <w:snapToGrid w:val="0"/>
                    <w:jc w:val="center"/>
                    <w:rPr>
                      <w:b/>
                      <w:bCs/>
                      <w:szCs w:val="21"/>
                    </w:rPr>
                  </w:pPr>
                </w:p>
              </w:tc>
              <w:tc>
                <w:tcPr>
                  <w:tcW w:w="973" w:type="pct"/>
                  <w:vMerge w:val="continue"/>
                  <w:shd w:val="clear" w:color="auto" w:fill="auto"/>
                  <w:vAlign w:val="center"/>
                </w:tcPr>
                <w:p>
                  <w:pPr>
                    <w:adjustRightInd w:val="0"/>
                    <w:snapToGrid w:val="0"/>
                    <w:jc w:val="center"/>
                    <w:rPr>
                      <w:b/>
                      <w:bCs/>
                      <w:szCs w:val="21"/>
                    </w:rPr>
                  </w:pPr>
                </w:p>
              </w:tc>
              <w:tc>
                <w:tcPr>
                  <w:tcW w:w="971" w:type="pct"/>
                  <w:shd w:val="clear" w:color="auto" w:fill="auto"/>
                  <w:vAlign w:val="center"/>
                </w:tcPr>
                <w:p>
                  <w:pPr>
                    <w:adjustRightInd w:val="0"/>
                    <w:snapToGrid w:val="0"/>
                    <w:jc w:val="center"/>
                    <w:rPr>
                      <w:szCs w:val="21"/>
                    </w:rPr>
                  </w:pPr>
                  <w:r>
                    <w:rPr>
                      <w:szCs w:val="21"/>
                    </w:rPr>
                    <w:t>本项目设计</w:t>
                  </w:r>
                </w:p>
              </w:tc>
              <w:tc>
                <w:tcPr>
                  <w:tcW w:w="971" w:type="pct"/>
                  <w:shd w:val="clear" w:color="auto" w:fill="auto"/>
                  <w:vAlign w:val="center"/>
                </w:tcPr>
                <w:p>
                  <w:pPr>
                    <w:adjustRightInd w:val="0"/>
                    <w:snapToGrid w:val="0"/>
                    <w:jc w:val="center"/>
                    <w:rPr>
                      <w:szCs w:val="21"/>
                    </w:rPr>
                  </w:pPr>
                  <w:r>
                    <w:rPr>
                      <w:szCs w:val="21"/>
                    </w:rPr>
                    <w:t>/</w:t>
                  </w:r>
                </w:p>
              </w:tc>
              <w:tc>
                <w:tcPr>
                  <w:tcW w:w="1116" w:type="pct"/>
                  <w:shd w:val="clear" w:color="auto" w:fill="auto"/>
                  <w:vAlign w:val="center"/>
                </w:tcPr>
                <w:p>
                  <w:pPr>
                    <w:adjustRightInd w:val="0"/>
                    <w:snapToGrid w:val="0"/>
                    <w:jc w:val="center"/>
                    <w:rPr>
                      <w:szCs w:val="21"/>
                    </w:rPr>
                  </w:pPr>
                  <w:r>
                    <w:rPr>
                      <w:szCs w:val="21"/>
                    </w:rPr>
                    <w:t>/</w:t>
                  </w:r>
                </w:p>
              </w:tc>
            </w:tr>
          </w:tbl>
          <w:p>
            <w:pPr>
              <w:adjustRightInd w:val="0"/>
              <w:snapToGrid w:val="0"/>
              <w:ind w:firstLine="420" w:firstLineChars="200"/>
              <w:jc w:val="left"/>
              <w:rPr>
                <w:bCs/>
                <w:szCs w:val="21"/>
              </w:rPr>
            </w:pPr>
            <w:r>
              <w:rPr>
                <w:bCs/>
                <w:szCs w:val="21"/>
              </w:rPr>
              <w:t>注：1.括号内数字为柴油设备与站外建（构）筑物的安全间距；2.室外变配电站指电力系统电压为35 kV ~500 kV，且每台变压器容量在10MV·A以上的室外变配电站，以及工业企业的变压器总油量大于5t的室外降压变电站。其他规格的室外变配电站或变压器应按丙类物品生产厂房确定。</w:t>
            </w:r>
          </w:p>
          <w:p>
            <w:pPr>
              <w:adjustRightInd w:val="0"/>
              <w:snapToGrid w:val="0"/>
              <w:jc w:val="left"/>
              <w:rPr>
                <w:bCs/>
                <w:szCs w:val="21"/>
              </w:rPr>
            </w:pPr>
          </w:p>
          <w:p>
            <w:pPr>
              <w:pStyle w:val="44"/>
              <w:adjustRightInd w:val="0"/>
              <w:spacing w:line="360" w:lineRule="auto"/>
              <w:ind w:firstLine="420" w:firstLineChars="200"/>
              <w:textAlignment w:val="baseline"/>
              <w:rPr>
                <w:szCs w:val="21"/>
              </w:rPr>
            </w:pPr>
            <w:r>
              <w:rPr>
                <w:szCs w:val="21"/>
              </w:rPr>
              <w:t>本项目站内设施防火距离详见表1-3所示。</w:t>
            </w:r>
          </w:p>
          <w:p>
            <w:pPr>
              <w:pStyle w:val="44"/>
              <w:adjustRightInd w:val="0"/>
              <w:snapToGrid w:val="0"/>
              <w:spacing w:line="276" w:lineRule="auto"/>
              <w:ind w:right="39"/>
              <w:jc w:val="center"/>
              <w:textAlignment w:val="baseline"/>
              <w:rPr>
                <w:b/>
                <w:szCs w:val="21"/>
              </w:rPr>
            </w:pPr>
            <w:r>
              <w:rPr>
                <w:b/>
                <w:szCs w:val="21"/>
              </w:rPr>
              <w:t>表1-3  本项目站内设施的防火间距（m）</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796"/>
              <w:gridCol w:w="696"/>
              <w:gridCol w:w="696"/>
              <w:gridCol w:w="1235"/>
              <w:gridCol w:w="1011"/>
              <w:gridCol w:w="781"/>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gridSpan w:val="2"/>
                  <w:shd w:val="clear" w:color="auto" w:fill="auto"/>
                  <w:vAlign w:val="center"/>
                </w:tcPr>
                <w:p>
                  <w:pPr>
                    <w:autoSpaceDE w:val="0"/>
                    <w:autoSpaceDN w:val="0"/>
                    <w:adjustRightInd w:val="0"/>
                    <w:spacing w:line="360" w:lineRule="auto"/>
                    <w:jc w:val="center"/>
                    <w:rPr>
                      <w:b/>
                      <w:szCs w:val="21"/>
                    </w:rPr>
                  </w:pPr>
                  <w:r>
                    <w:rPr>
                      <w:b/>
                      <w:szCs w:val="21"/>
                    </w:rPr>
                    <w:t>设施名称</w:t>
                  </w:r>
                </w:p>
              </w:tc>
              <w:tc>
                <w:tcPr>
                  <w:tcW w:w="0" w:type="auto"/>
                  <w:shd w:val="clear" w:color="auto" w:fill="auto"/>
                  <w:vAlign w:val="center"/>
                </w:tcPr>
                <w:p>
                  <w:pPr>
                    <w:autoSpaceDE w:val="0"/>
                    <w:autoSpaceDN w:val="0"/>
                    <w:adjustRightInd w:val="0"/>
                    <w:jc w:val="center"/>
                    <w:rPr>
                      <w:b/>
                      <w:szCs w:val="21"/>
                    </w:rPr>
                  </w:pPr>
                  <w:r>
                    <w:rPr>
                      <w:b/>
                      <w:szCs w:val="21"/>
                    </w:rPr>
                    <w:t>汽油罐</w:t>
                  </w:r>
                </w:p>
              </w:tc>
              <w:tc>
                <w:tcPr>
                  <w:tcW w:w="0" w:type="auto"/>
                  <w:shd w:val="clear" w:color="auto" w:fill="auto"/>
                  <w:vAlign w:val="center"/>
                </w:tcPr>
                <w:p>
                  <w:pPr>
                    <w:autoSpaceDE w:val="0"/>
                    <w:autoSpaceDN w:val="0"/>
                    <w:adjustRightInd w:val="0"/>
                    <w:jc w:val="center"/>
                    <w:rPr>
                      <w:b/>
                      <w:szCs w:val="21"/>
                    </w:rPr>
                  </w:pPr>
                  <w:r>
                    <w:rPr>
                      <w:b/>
                      <w:szCs w:val="21"/>
                    </w:rPr>
                    <w:t>柴油罐</w:t>
                  </w:r>
                </w:p>
              </w:tc>
              <w:tc>
                <w:tcPr>
                  <w:tcW w:w="0" w:type="auto"/>
                  <w:shd w:val="clear" w:color="auto" w:fill="auto"/>
                  <w:vAlign w:val="center"/>
                </w:tcPr>
                <w:p>
                  <w:pPr>
                    <w:autoSpaceDE w:val="0"/>
                    <w:autoSpaceDN w:val="0"/>
                    <w:adjustRightInd w:val="0"/>
                    <w:jc w:val="center"/>
                    <w:rPr>
                      <w:b/>
                      <w:szCs w:val="21"/>
                    </w:rPr>
                  </w:pPr>
                  <w:r>
                    <w:rPr>
                      <w:b/>
                      <w:szCs w:val="21"/>
                    </w:rPr>
                    <w:t>汽油通气管管口</w:t>
                  </w:r>
                </w:p>
              </w:tc>
              <w:tc>
                <w:tcPr>
                  <w:tcW w:w="1010" w:type="dxa"/>
                  <w:shd w:val="clear" w:color="auto" w:fill="auto"/>
                  <w:vAlign w:val="center"/>
                </w:tcPr>
                <w:p>
                  <w:pPr>
                    <w:autoSpaceDE w:val="0"/>
                    <w:autoSpaceDN w:val="0"/>
                    <w:adjustRightInd w:val="0"/>
                    <w:jc w:val="center"/>
                    <w:rPr>
                      <w:b/>
                      <w:szCs w:val="21"/>
                    </w:rPr>
                  </w:pPr>
                  <w:r>
                    <w:rPr>
                      <w:b/>
                      <w:szCs w:val="21"/>
                    </w:rPr>
                    <w:t>柴油通气管管口</w:t>
                  </w:r>
                </w:p>
              </w:tc>
              <w:tc>
                <w:tcPr>
                  <w:tcW w:w="780" w:type="dxa"/>
                  <w:shd w:val="clear" w:color="auto" w:fill="auto"/>
                  <w:vAlign w:val="center"/>
                </w:tcPr>
                <w:p>
                  <w:pPr>
                    <w:autoSpaceDE w:val="0"/>
                    <w:autoSpaceDN w:val="0"/>
                    <w:adjustRightInd w:val="0"/>
                    <w:jc w:val="center"/>
                    <w:rPr>
                      <w:b/>
                      <w:szCs w:val="21"/>
                    </w:rPr>
                  </w:pPr>
                  <w:r>
                    <w:rPr>
                      <w:b/>
                      <w:szCs w:val="21"/>
                    </w:rPr>
                    <w:t>加油机</w:t>
                  </w:r>
                </w:p>
              </w:tc>
              <w:tc>
                <w:tcPr>
                  <w:tcW w:w="0" w:type="auto"/>
                  <w:shd w:val="clear" w:color="auto" w:fill="auto"/>
                  <w:vAlign w:val="center"/>
                </w:tcPr>
                <w:p>
                  <w:pPr>
                    <w:autoSpaceDE w:val="0"/>
                    <w:autoSpaceDN w:val="0"/>
                    <w:adjustRightInd w:val="0"/>
                    <w:jc w:val="center"/>
                    <w:rPr>
                      <w:b/>
                      <w:szCs w:val="21"/>
                    </w:rPr>
                  </w:pPr>
                  <w:r>
                    <w:rPr>
                      <w:b/>
                      <w:szCs w:val="21"/>
                    </w:rPr>
                    <w:t>油品卸车点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spacing w:line="360" w:lineRule="auto"/>
                    <w:jc w:val="center"/>
                    <w:rPr>
                      <w:szCs w:val="21"/>
                    </w:rPr>
                  </w:pPr>
                  <w:r>
                    <w:rPr>
                      <w:szCs w:val="21"/>
                    </w:rPr>
                    <w:t>汽油罐</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vAlign w:val="center"/>
                </w:tcPr>
                <w:p>
                  <w:pPr>
                    <w:autoSpaceDE w:val="0"/>
                    <w:autoSpaceDN w:val="0"/>
                    <w:adjustRightInd w:val="0"/>
                    <w:spacing w:line="360" w:lineRule="auto"/>
                    <w:jc w:val="center"/>
                    <w:rPr>
                      <w:szCs w:val="21"/>
                    </w:rPr>
                  </w:pPr>
                  <w:r>
                    <w:rPr>
                      <w:szCs w:val="21"/>
                    </w:rPr>
                    <w:t>0.5</w:t>
                  </w:r>
                </w:p>
              </w:tc>
              <w:tc>
                <w:tcPr>
                  <w:tcW w:w="0" w:type="auto"/>
                  <w:shd w:val="clear" w:color="auto" w:fill="auto"/>
                  <w:vAlign w:val="center"/>
                </w:tcPr>
                <w:p>
                  <w:pPr>
                    <w:autoSpaceDE w:val="0"/>
                    <w:autoSpaceDN w:val="0"/>
                    <w:adjustRightInd w:val="0"/>
                    <w:spacing w:line="360" w:lineRule="auto"/>
                    <w:jc w:val="center"/>
                    <w:rPr>
                      <w:szCs w:val="21"/>
                    </w:rPr>
                  </w:pPr>
                  <w:r>
                    <w:rPr>
                      <w:szCs w:val="21"/>
                    </w:rPr>
                    <w:t>0.5</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1010" w:type="dxa"/>
                  <w:shd w:val="clear" w:color="auto" w:fill="auto"/>
                </w:tcPr>
                <w:p>
                  <w:pPr>
                    <w:autoSpaceDE w:val="0"/>
                    <w:autoSpaceDN w:val="0"/>
                    <w:adjustRightInd w:val="0"/>
                    <w:spacing w:line="360" w:lineRule="auto"/>
                    <w:jc w:val="center"/>
                    <w:rPr>
                      <w:szCs w:val="21"/>
                    </w:rPr>
                  </w:pPr>
                  <w:r>
                    <w:rPr>
                      <w:szCs w:val="21"/>
                    </w:rPr>
                    <w:t>—</w:t>
                  </w:r>
                </w:p>
              </w:tc>
              <w:tc>
                <w:tcPr>
                  <w:tcW w:w="780" w:type="dxa"/>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spacing w:line="360" w:lineRule="auto"/>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1.0</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c>
                <w:tcPr>
                  <w:tcW w:w="1010" w:type="dxa"/>
                  <w:shd w:val="clear" w:color="auto" w:fill="auto"/>
                  <w:vAlign w:val="center"/>
                </w:tcPr>
                <w:p>
                  <w:pPr>
                    <w:autoSpaceDE w:val="0"/>
                    <w:autoSpaceDN w:val="0"/>
                    <w:adjustRightInd w:val="0"/>
                    <w:spacing w:line="360" w:lineRule="auto"/>
                    <w:jc w:val="center"/>
                    <w:rPr>
                      <w:szCs w:val="21"/>
                    </w:rPr>
                  </w:pPr>
                  <w:r>
                    <w:rPr>
                      <w:szCs w:val="21"/>
                    </w:rPr>
                    <w:t>—</w:t>
                  </w:r>
                </w:p>
              </w:tc>
              <w:tc>
                <w:tcPr>
                  <w:tcW w:w="780" w:type="dxa"/>
                  <w:shd w:val="clear" w:color="auto" w:fill="auto"/>
                  <w:vAlign w:val="center"/>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spacing w:line="360" w:lineRule="auto"/>
                    <w:jc w:val="center"/>
                    <w:rPr>
                      <w:szCs w:val="21"/>
                    </w:rPr>
                  </w:pPr>
                  <w:r>
                    <w:rPr>
                      <w:szCs w:val="21"/>
                    </w:rPr>
                    <w:t>柴油罐</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vAlign w:val="center"/>
                </w:tcPr>
                <w:p>
                  <w:pPr>
                    <w:autoSpaceDE w:val="0"/>
                    <w:autoSpaceDN w:val="0"/>
                    <w:adjustRightInd w:val="0"/>
                    <w:spacing w:line="360" w:lineRule="auto"/>
                    <w:jc w:val="center"/>
                    <w:rPr>
                      <w:szCs w:val="21"/>
                    </w:rPr>
                  </w:pPr>
                  <w:r>
                    <w:rPr>
                      <w:szCs w:val="21"/>
                    </w:rPr>
                    <w:t>0.5</w:t>
                  </w:r>
                </w:p>
              </w:tc>
              <w:tc>
                <w:tcPr>
                  <w:tcW w:w="0" w:type="auto"/>
                  <w:shd w:val="clear" w:color="auto" w:fill="auto"/>
                  <w:vAlign w:val="center"/>
                </w:tcPr>
                <w:p>
                  <w:pPr>
                    <w:autoSpaceDE w:val="0"/>
                    <w:autoSpaceDN w:val="0"/>
                    <w:adjustRightInd w:val="0"/>
                    <w:spacing w:line="360" w:lineRule="auto"/>
                    <w:jc w:val="center"/>
                    <w:rPr>
                      <w:szCs w:val="21"/>
                    </w:rPr>
                  </w:pPr>
                  <w:r>
                    <w:rPr>
                      <w:szCs w:val="21"/>
                    </w:rPr>
                    <w:t>0.5</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1010" w:type="dxa"/>
                  <w:shd w:val="clear" w:color="auto" w:fill="auto"/>
                </w:tcPr>
                <w:p>
                  <w:pPr>
                    <w:autoSpaceDE w:val="0"/>
                    <w:autoSpaceDN w:val="0"/>
                    <w:adjustRightInd w:val="0"/>
                    <w:spacing w:line="360" w:lineRule="auto"/>
                    <w:jc w:val="center"/>
                    <w:rPr>
                      <w:szCs w:val="21"/>
                    </w:rPr>
                  </w:pPr>
                  <w:r>
                    <w:rPr>
                      <w:szCs w:val="21"/>
                    </w:rPr>
                    <w:t>—</w:t>
                  </w:r>
                </w:p>
              </w:tc>
              <w:tc>
                <w:tcPr>
                  <w:tcW w:w="780" w:type="dxa"/>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spacing w:line="360" w:lineRule="auto"/>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spacing w:line="360" w:lineRule="auto"/>
                    <w:jc w:val="center"/>
                    <w:rPr>
                      <w:szCs w:val="21"/>
                    </w:rPr>
                  </w:pPr>
                  <w:r>
                    <w:rPr>
                      <w:szCs w:val="21"/>
                    </w:rPr>
                    <w:t>1.0</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c>
                <w:tcPr>
                  <w:tcW w:w="1010" w:type="dxa"/>
                  <w:shd w:val="clear" w:color="auto" w:fill="auto"/>
                  <w:vAlign w:val="center"/>
                </w:tcPr>
                <w:p>
                  <w:pPr>
                    <w:autoSpaceDE w:val="0"/>
                    <w:autoSpaceDN w:val="0"/>
                    <w:adjustRightInd w:val="0"/>
                    <w:spacing w:line="360" w:lineRule="auto"/>
                    <w:jc w:val="center"/>
                    <w:rPr>
                      <w:szCs w:val="21"/>
                    </w:rPr>
                  </w:pPr>
                  <w:r>
                    <w:rPr>
                      <w:szCs w:val="21"/>
                    </w:rPr>
                    <w:t>—</w:t>
                  </w:r>
                </w:p>
              </w:tc>
              <w:tc>
                <w:tcPr>
                  <w:tcW w:w="780" w:type="dxa"/>
                  <w:shd w:val="clear" w:color="auto" w:fill="auto"/>
                  <w:vAlign w:val="center"/>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汽油通气管管口</w:t>
                  </w:r>
                </w:p>
              </w:tc>
              <w:tc>
                <w:tcPr>
                  <w:tcW w:w="0" w:type="auto"/>
                  <w:shd w:val="clear" w:color="auto" w:fill="auto"/>
                  <w:vAlign w:val="center"/>
                </w:tcPr>
                <w:p>
                  <w:pPr>
                    <w:autoSpaceDE w:val="0"/>
                    <w:autoSpaceDN w:val="0"/>
                    <w:adjustRightInd w:val="0"/>
                    <w:spacing w:line="360" w:lineRule="auto"/>
                    <w:jc w:val="center"/>
                    <w:rPr>
                      <w:szCs w:val="21"/>
                    </w:rPr>
                  </w:pPr>
                  <w:r>
                    <w:rPr>
                      <w:szCs w:val="21"/>
                    </w:rPr>
                    <w:t>规范</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1010" w:type="dxa"/>
                  <w:shd w:val="clear" w:color="auto" w:fill="auto"/>
                </w:tcPr>
                <w:p>
                  <w:pPr>
                    <w:autoSpaceDE w:val="0"/>
                    <w:autoSpaceDN w:val="0"/>
                    <w:adjustRightInd w:val="0"/>
                    <w:spacing w:line="360" w:lineRule="auto"/>
                    <w:jc w:val="center"/>
                    <w:rPr>
                      <w:szCs w:val="21"/>
                    </w:rPr>
                  </w:pPr>
                  <w:r>
                    <w:rPr>
                      <w:szCs w:val="21"/>
                    </w:rPr>
                    <w:t>—</w:t>
                  </w:r>
                </w:p>
              </w:tc>
              <w:tc>
                <w:tcPr>
                  <w:tcW w:w="780" w:type="dxa"/>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spacing w:line="360" w:lineRule="auto"/>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tcPr>
                <w:p>
                  <w:pPr>
                    <w:autoSpaceDE w:val="0"/>
                    <w:autoSpaceDN w:val="0"/>
                    <w:adjustRightInd w:val="0"/>
                    <w:spacing w:line="360" w:lineRule="auto"/>
                    <w:jc w:val="center"/>
                    <w:rPr>
                      <w:szCs w:val="21"/>
                    </w:rPr>
                  </w:pPr>
                  <w:r>
                    <w:rPr>
                      <w:szCs w:val="21"/>
                    </w:rPr>
                    <w:t>—</w:t>
                  </w:r>
                </w:p>
              </w:tc>
              <w:tc>
                <w:tcPr>
                  <w:tcW w:w="1010" w:type="dxa"/>
                  <w:shd w:val="clear" w:color="auto" w:fill="auto"/>
                </w:tcPr>
                <w:p>
                  <w:pPr>
                    <w:autoSpaceDE w:val="0"/>
                    <w:autoSpaceDN w:val="0"/>
                    <w:adjustRightInd w:val="0"/>
                    <w:spacing w:line="360" w:lineRule="auto"/>
                    <w:jc w:val="center"/>
                    <w:rPr>
                      <w:szCs w:val="21"/>
                    </w:rPr>
                  </w:pPr>
                  <w:r>
                    <w:rPr>
                      <w:szCs w:val="21"/>
                    </w:rPr>
                    <w:t>—</w:t>
                  </w:r>
                </w:p>
              </w:tc>
              <w:tc>
                <w:tcPr>
                  <w:tcW w:w="780" w:type="dxa"/>
                  <w:shd w:val="clear" w:color="auto" w:fill="auto"/>
                </w:tcPr>
                <w:p>
                  <w:pPr>
                    <w:autoSpaceDE w:val="0"/>
                    <w:autoSpaceDN w:val="0"/>
                    <w:adjustRightInd w:val="0"/>
                    <w:spacing w:line="360" w:lineRule="auto"/>
                    <w:jc w:val="center"/>
                    <w:rPr>
                      <w:szCs w:val="21"/>
                    </w:rPr>
                  </w:pPr>
                  <w:r>
                    <w:rPr>
                      <w:szCs w:val="21"/>
                    </w:rPr>
                    <w:t>—</w:t>
                  </w:r>
                </w:p>
              </w:tc>
              <w:tc>
                <w:tcPr>
                  <w:tcW w:w="0" w:type="auto"/>
                  <w:shd w:val="clear" w:color="auto" w:fill="auto"/>
                  <w:vAlign w:val="center"/>
                </w:tcPr>
                <w:p>
                  <w:pPr>
                    <w:autoSpaceDE w:val="0"/>
                    <w:autoSpaceDN w:val="0"/>
                    <w:adjustRightInd w:val="0"/>
                    <w:spacing w:line="360" w:lineRule="auto"/>
                    <w:jc w:val="center"/>
                    <w:rPr>
                      <w:szCs w:val="21"/>
                    </w:rPr>
                  </w:pPr>
                  <w:r>
                    <w:rPr>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柴油通气管管口</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c>
                <w:tcPr>
                  <w:tcW w:w="1010" w:type="dxa"/>
                  <w:shd w:val="clear" w:color="auto" w:fill="auto"/>
                </w:tcPr>
                <w:p>
                  <w:pPr>
                    <w:autoSpaceDE w:val="0"/>
                    <w:autoSpaceDN w:val="0"/>
                    <w:adjustRightInd w:val="0"/>
                    <w:jc w:val="center"/>
                    <w:rPr>
                      <w:szCs w:val="21"/>
                    </w:rPr>
                  </w:pPr>
                  <w:r>
                    <w:rPr>
                      <w:szCs w:val="21"/>
                    </w:rPr>
                    <w:t>—</w:t>
                  </w:r>
                </w:p>
              </w:tc>
              <w:tc>
                <w:tcPr>
                  <w:tcW w:w="780" w:type="dxa"/>
                  <w:shd w:val="clear" w:color="auto" w:fill="auto"/>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c>
                <w:tcPr>
                  <w:tcW w:w="1010" w:type="dxa"/>
                  <w:shd w:val="clear" w:color="auto" w:fill="auto"/>
                  <w:vAlign w:val="center"/>
                </w:tcPr>
                <w:p>
                  <w:pPr>
                    <w:autoSpaceDE w:val="0"/>
                    <w:autoSpaceDN w:val="0"/>
                    <w:adjustRightInd w:val="0"/>
                    <w:jc w:val="center"/>
                    <w:rPr>
                      <w:szCs w:val="21"/>
                    </w:rPr>
                  </w:pPr>
                  <w:r>
                    <w:rPr>
                      <w:szCs w:val="21"/>
                    </w:rPr>
                    <w:t>—</w:t>
                  </w:r>
                </w:p>
              </w:tc>
              <w:tc>
                <w:tcPr>
                  <w:tcW w:w="780" w:type="dxa"/>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加油机</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c>
                <w:tcPr>
                  <w:tcW w:w="1010" w:type="dxa"/>
                  <w:shd w:val="clear" w:color="auto" w:fill="auto"/>
                </w:tcPr>
                <w:p>
                  <w:pPr>
                    <w:autoSpaceDE w:val="0"/>
                    <w:autoSpaceDN w:val="0"/>
                    <w:adjustRightInd w:val="0"/>
                    <w:jc w:val="center"/>
                    <w:rPr>
                      <w:szCs w:val="21"/>
                    </w:rPr>
                  </w:pPr>
                  <w:r>
                    <w:rPr>
                      <w:szCs w:val="21"/>
                    </w:rPr>
                    <w:t>—</w:t>
                  </w:r>
                </w:p>
              </w:tc>
              <w:tc>
                <w:tcPr>
                  <w:tcW w:w="780" w:type="dxa"/>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c>
                <w:tcPr>
                  <w:tcW w:w="1010" w:type="dxa"/>
                  <w:shd w:val="clear" w:color="auto" w:fill="auto"/>
                  <w:vAlign w:val="center"/>
                </w:tcPr>
                <w:p>
                  <w:pPr>
                    <w:autoSpaceDE w:val="0"/>
                    <w:autoSpaceDN w:val="0"/>
                    <w:adjustRightInd w:val="0"/>
                    <w:jc w:val="center"/>
                    <w:rPr>
                      <w:szCs w:val="21"/>
                    </w:rPr>
                  </w:pPr>
                  <w:r>
                    <w:rPr>
                      <w:szCs w:val="21"/>
                    </w:rPr>
                    <w:t>—</w:t>
                  </w:r>
                </w:p>
              </w:tc>
              <w:tc>
                <w:tcPr>
                  <w:tcW w:w="780" w:type="dxa"/>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油品卸车点</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3</w:t>
                  </w:r>
                </w:p>
              </w:tc>
              <w:tc>
                <w:tcPr>
                  <w:tcW w:w="1010" w:type="dxa"/>
                  <w:shd w:val="clear" w:color="auto" w:fill="auto"/>
                  <w:vAlign w:val="center"/>
                </w:tcPr>
                <w:p>
                  <w:pPr>
                    <w:autoSpaceDE w:val="0"/>
                    <w:autoSpaceDN w:val="0"/>
                    <w:adjustRightInd w:val="0"/>
                    <w:jc w:val="center"/>
                    <w:rPr>
                      <w:szCs w:val="21"/>
                    </w:rPr>
                  </w:pPr>
                  <w:r>
                    <w:rPr>
                      <w:szCs w:val="21"/>
                    </w:rPr>
                    <w:t>2</w:t>
                  </w:r>
                </w:p>
              </w:tc>
              <w:tc>
                <w:tcPr>
                  <w:tcW w:w="780" w:type="dxa"/>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14</w:t>
                  </w:r>
                </w:p>
              </w:tc>
              <w:tc>
                <w:tcPr>
                  <w:tcW w:w="1010" w:type="dxa"/>
                  <w:shd w:val="clear" w:color="auto" w:fill="auto"/>
                  <w:vAlign w:val="center"/>
                </w:tcPr>
                <w:p>
                  <w:pPr>
                    <w:autoSpaceDE w:val="0"/>
                    <w:autoSpaceDN w:val="0"/>
                    <w:adjustRightInd w:val="0"/>
                    <w:jc w:val="center"/>
                    <w:rPr>
                      <w:szCs w:val="21"/>
                    </w:rPr>
                  </w:pPr>
                  <w:r>
                    <w:rPr>
                      <w:szCs w:val="21"/>
                    </w:rPr>
                    <w:t>14</w:t>
                  </w:r>
                </w:p>
              </w:tc>
              <w:tc>
                <w:tcPr>
                  <w:tcW w:w="780" w:type="dxa"/>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站房</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vAlign w:val="center"/>
                </w:tcPr>
                <w:p>
                  <w:pPr>
                    <w:autoSpaceDE w:val="0"/>
                    <w:autoSpaceDN w:val="0"/>
                    <w:adjustRightInd w:val="0"/>
                    <w:jc w:val="center"/>
                    <w:rPr>
                      <w:szCs w:val="21"/>
                    </w:rPr>
                  </w:pPr>
                  <w:r>
                    <w:rPr>
                      <w:szCs w:val="21"/>
                    </w:rPr>
                    <w:t>4</w:t>
                  </w:r>
                </w:p>
              </w:tc>
              <w:tc>
                <w:tcPr>
                  <w:tcW w:w="0" w:type="auto"/>
                  <w:shd w:val="clear" w:color="auto" w:fill="auto"/>
                  <w:vAlign w:val="center"/>
                </w:tcPr>
                <w:p>
                  <w:pPr>
                    <w:autoSpaceDE w:val="0"/>
                    <w:autoSpaceDN w:val="0"/>
                    <w:adjustRightInd w:val="0"/>
                    <w:jc w:val="center"/>
                    <w:rPr>
                      <w:szCs w:val="21"/>
                    </w:rPr>
                  </w:pPr>
                  <w:r>
                    <w:rPr>
                      <w:szCs w:val="21"/>
                    </w:rPr>
                    <w:t>3</w:t>
                  </w:r>
                </w:p>
              </w:tc>
              <w:tc>
                <w:tcPr>
                  <w:tcW w:w="0" w:type="auto"/>
                  <w:shd w:val="clear" w:color="auto" w:fill="auto"/>
                  <w:vAlign w:val="center"/>
                </w:tcPr>
                <w:p>
                  <w:pPr>
                    <w:autoSpaceDE w:val="0"/>
                    <w:autoSpaceDN w:val="0"/>
                    <w:adjustRightInd w:val="0"/>
                    <w:jc w:val="center"/>
                    <w:rPr>
                      <w:szCs w:val="21"/>
                    </w:rPr>
                  </w:pPr>
                  <w:r>
                    <w:rPr>
                      <w:szCs w:val="21"/>
                    </w:rPr>
                    <w:t>4</w:t>
                  </w:r>
                </w:p>
              </w:tc>
              <w:tc>
                <w:tcPr>
                  <w:tcW w:w="1010" w:type="dxa"/>
                  <w:shd w:val="clear" w:color="auto" w:fill="auto"/>
                  <w:vAlign w:val="center"/>
                </w:tcPr>
                <w:p>
                  <w:pPr>
                    <w:autoSpaceDE w:val="0"/>
                    <w:autoSpaceDN w:val="0"/>
                    <w:adjustRightInd w:val="0"/>
                    <w:jc w:val="center"/>
                    <w:rPr>
                      <w:szCs w:val="21"/>
                    </w:rPr>
                  </w:pPr>
                  <w:r>
                    <w:rPr>
                      <w:szCs w:val="21"/>
                    </w:rPr>
                    <w:t>3.5</w:t>
                  </w:r>
                </w:p>
              </w:tc>
              <w:tc>
                <w:tcPr>
                  <w:tcW w:w="780" w:type="dxa"/>
                  <w:shd w:val="clear" w:color="auto" w:fill="auto"/>
                  <w:vAlign w:val="center"/>
                </w:tcPr>
                <w:p>
                  <w:pPr>
                    <w:autoSpaceDE w:val="0"/>
                    <w:autoSpaceDN w:val="0"/>
                    <w:adjustRightInd w:val="0"/>
                    <w:jc w:val="center"/>
                    <w:rPr>
                      <w:szCs w:val="21"/>
                    </w:rPr>
                  </w:pPr>
                  <w:r>
                    <w:rPr>
                      <w:szCs w:val="21"/>
                    </w:rPr>
                    <w:t>5（4）</w:t>
                  </w:r>
                </w:p>
              </w:tc>
              <w:tc>
                <w:tcPr>
                  <w:tcW w:w="0" w:type="auto"/>
                  <w:shd w:val="clear" w:color="auto" w:fill="auto"/>
                  <w:vAlign w:val="center"/>
                </w:tcPr>
                <w:p>
                  <w:pPr>
                    <w:autoSpaceDE w:val="0"/>
                    <w:autoSpaceDN w:val="0"/>
                    <w:adjustRightInd w:val="0"/>
                    <w:jc w:val="center"/>
                    <w:rPr>
                      <w:szCs w:val="21"/>
                    </w:rPr>
                  </w:pPr>
                  <w:r>
                    <w:rPr>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jc w:val="center"/>
                    <w:rPr>
                      <w:szCs w:val="21"/>
                    </w:rPr>
                  </w:pPr>
                  <w:r>
                    <w:rPr>
                      <w:szCs w:val="21"/>
                    </w:rPr>
                    <w:t>7.5</w:t>
                  </w:r>
                </w:p>
              </w:tc>
              <w:tc>
                <w:tcPr>
                  <w:tcW w:w="0" w:type="auto"/>
                  <w:shd w:val="clear" w:color="auto" w:fill="auto"/>
                  <w:vAlign w:val="center"/>
                </w:tcPr>
                <w:p>
                  <w:pPr>
                    <w:autoSpaceDE w:val="0"/>
                    <w:autoSpaceDN w:val="0"/>
                    <w:adjustRightInd w:val="0"/>
                    <w:jc w:val="center"/>
                    <w:rPr>
                      <w:szCs w:val="21"/>
                    </w:rPr>
                  </w:pPr>
                  <w:r>
                    <w:rPr>
                      <w:szCs w:val="21"/>
                    </w:rPr>
                    <w:t>9</w:t>
                  </w:r>
                </w:p>
              </w:tc>
              <w:tc>
                <w:tcPr>
                  <w:tcW w:w="0" w:type="auto"/>
                  <w:shd w:val="clear" w:color="auto" w:fill="auto"/>
                  <w:vAlign w:val="center"/>
                </w:tcPr>
                <w:p>
                  <w:pPr>
                    <w:autoSpaceDE w:val="0"/>
                    <w:autoSpaceDN w:val="0"/>
                    <w:adjustRightInd w:val="0"/>
                    <w:jc w:val="center"/>
                    <w:rPr>
                      <w:szCs w:val="21"/>
                    </w:rPr>
                  </w:pPr>
                  <w:r>
                    <w:rPr>
                      <w:szCs w:val="21"/>
                    </w:rPr>
                    <w:t>16.5</w:t>
                  </w:r>
                </w:p>
              </w:tc>
              <w:tc>
                <w:tcPr>
                  <w:tcW w:w="1010" w:type="dxa"/>
                  <w:shd w:val="clear" w:color="auto" w:fill="auto"/>
                  <w:vAlign w:val="center"/>
                </w:tcPr>
                <w:p>
                  <w:pPr>
                    <w:autoSpaceDE w:val="0"/>
                    <w:autoSpaceDN w:val="0"/>
                    <w:adjustRightInd w:val="0"/>
                    <w:jc w:val="center"/>
                    <w:rPr>
                      <w:szCs w:val="21"/>
                    </w:rPr>
                  </w:pPr>
                  <w:r>
                    <w:rPr>
                      <w:szCs w:val="21"/>
                    </w:rPr>
                    <w:t>16.5</w:t>
                  </w:r>
                </w:p>
              </w:tc>
              <w:tc>
                <w:tcPr>
                  <w:tcW w:w="780" w:type="dxa"/>
                  <w:shd w:val="clear" w:color="auto" w:fill="auto"/>
                  <w:vAlign w:val="center"/>
                </w:tcPr>
                <w:p>
                  <w:pPr>
                    <w:autoSpaceDE w:val="0"/>
                    <w:autoSpaceDN w:val="0"/>
                    <w:adjustRightInd w:val="0"/>
                    <w:jc w:val="center"/>
                    <w:rPr>
                      <w:szCs w:val="21"/>
                    </w:rPr>
                  </w:pPr>
                  <w:r>
                    <w:rPr>
                      <w:szCs w:val="21"/>
                    </w:rPr>
                    <w:t>11</w:t>
                  </w:r>
                </w:p>
              </w:tc>
              <w:tc>
                <w:tcPr>
                  <w:tcW w:w="0" w:type="auto"/>
                  <w:shd w:val="clear" w:color="auto" w:fill="auto"/>
                  <w:vAlign w:val="center"/>
                </w:tcPr>
                <w:p>
                  <w:pPr>
                    <w:autoSpaceDE w:val="0"/>
                    <w:autoSpaceDN w:val="0"/>
                    <w:adjustRightInd w:val="0"/>
                    <w:jc w:val="center"/>
                    <w:rPr>
                      <w:szCs w:val="21"/>
                    </w:rPr>
                  </w:pPr>
                  <w:r>
                    <w:rPr>
                      <w:szCs w:val="21"/>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restart"/>
                  <w:shd w:val="clear" w:color="auto" w:fill="auto"/>
                  <w:vAlign w:val="center"/>
                </w:tcPr>
                <w:p>
                  <w:pPr>
                    <w:autoSpaceDE w:val="0"/>
                    <w:autoSpaceDN w:val="0"/>
                    <w:adjustRightInd w:val="0"/>
                    <w:jc w:val="center"/>
                    <w:rPr>
                      <w:szCs w:val="21"/>
                    </w:rPr>
                  </w:pPr>
                  <w:r>
                    <w:rPr>
                      <w:szCs w:val="21"/>
                    </w:rPr>
                    <w:t>站区围墙</w:t>
                  </w:r>
                </w:p>
              </w:tc>
              <w:tc>
                <w:tcPr>
                  <w:tcW w:w="0" w:type="auto"/>
                  <w:shd w:val="clear" w:color="auto" w:fill="auto"/>
                  <w:vAlign w:val="center"/>
                </w:tcPr>
                <w:p>
                  <w:pPr>
                    <w:autoSpaceDE w:val="0"/>
                    <w:autoSpaceDN w:val="0"/>
                    <w:adjustRightInd w:val="0"/>
                    <w:jc w:val="center"/>
                    <w:rPr>
                      <w:szCs w:val="21"/>
                    </w:rPr>
                  </w:pPr>
                  <w:r>
                    <w:rPr>
                      <w:szCs w:val="21"/>
                    </w:rPr>
                    <w:t>规范</w:t>
                  </w:r>
                </w:p>
              </w:tc>
              <w:tc>
                <w:tcPr>
                  <w:tcW w:w="0" w:type="auto"/>
                  <w:shd w:val="clear" w:color="auto" w:fill="auto"/>
                  <w:vAlign w:val="center"/>
                </w:tcPr>
                <w:p>
                  <w:pPr>
                    <w:autoSpaceDE w:val="0"/>
                    <w:autoSpaceDN w:val="0"/>
                    <w:adjustRightInd w:val="0"/>
                    <w:jc w:val="center"/>
                    <w:rPr>
                      <w:szCs w:val="21"/>
                    </w:rPr>
                  </w:pPr>
                  <w:r>
                    <w:rPr>
                      <w:szCs w:val="21"/>
                    </w:rPr>
                    <w:t>2</w:t>
                  </w:r>
                </w:p>
              </w:tc>
              <w:tc>
                <w:tcPr>
                  <w:tcW w:w="0" w:type="auto"/>
                  <w:shd w:val="clear" w:color="auto" w:fill="auto"/>
                  <w:vAlign w:val="center"/>
                </w:tcPr>
                <w:p>
                  <w:pPr>
                    <w:autoSpaceDE w:val="0"/>
                    <w:autoSpaceDN w:val="0"/>
                    <w:adjustRightInd w:val="0"/>
                    <w:jc w:val="center"/>
                    <w:rPr>
                      <w:szCs w:val="21"/>
                    </w:rPr>
                  </w:pPr>
                  <w:r>
                    <w:rPr>
                      <w:szCs w:val="21"/>
                    </w:rPr>
                    <w:t>2</w:t>
                  </w:r>
                </w:p>
              </w:tc>
              <w:tc>
                <w:tcPr>
                  <w:tcW w:w="0" w:type="auto"/>
                  <w:shd w:val="clear" w:color="auto" w:fill="auto"/>
                  <w:vAlign w:val="center"/>
                </w:tcPr>
                <w:p>
                  <w:pPr>
                    <w:autoSpaceDE w:val="0"/>
                    <w:autoSpaceDN w:val="0"/>
                    <w:adjustRightInd w:val="0"/>
                    <w:jc w:val="center"/>
                    <w:rPr>
                      <w:szCs w:val="21"/>
                    </w:rPr>
                  </w:pPr>
                  <w:r>
                    <w:rPr>
                      <w:szCs w:val="21"/>
                    </w:rPr>
                    <w:t>2</w:t>
                  </w:r>
                </w:p>
              </w:tc>
              <w:tc>
                <w:tcPr>
                  <w:tcW w:w="1010" w:type="dxa"/>
                  <w:shd w:val="clear" w:color="auto" w:fill="auto"/>
                  <w:vAlign w:val="center"/>
                </w:tcPr>
                <w:p>
                  <w:pPr>
                    <w:autoSpaceDE w:val="0"/>
                    <w:autoSpaceDN w:val="0"/>
                    <w:adjustRightInd w:val="0"/>
                    <w:jc w:val="center"/>
                    <w:rPr>
                      <w:szCs w:val="21"/>
                    </w:rPr>
                  </w:pPr>
                  <w:r>
                    <w:rPr>
                      <w:szCs w:val="21"/>
                    </w:rPr>
                    <w:t>2</w:t>
                  </w:r>
                </w:p>
              </w:tc>
              <w:tc>
                <w:tcPr>
                  <w:tcW w:w="780" w:type="dxa"/>
                  <w:shd w:val="clear" w:color="auto" w:fill="auto"/>
                </w:tcPr>
                <w:p>
                  <w:pPr>
                    <w:autoSpaceDE w:val="0"/>
                    <w:autoSpaceDN w:val="0"/>
                    <w:adjustRightInd w:val="0"/>
                    <w:jc w:val="center"/>
                    <w:rPr>
                      <w:szCs w:val="21"/>
                    </w:rPr>
                  </w:pPr>
                  <w:r>
                    <w:rPr>
                      <w:szCs w:val="21"/>
                    </w:rPr>
                    <w:t>—</w:t>
                  </w:r>
                </w:p>
              </w:tc>
              <w:tc>
                <w:tcPr>
                  <w:tcW w:w="0" w:type="auto"/>
                  <w:shd w:val="clear" w:color="auto" w:fill="auto"/>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0" w:type="auto"/>
                  <w:vMerge w:val="continue"/>
                  <w:shd w:val="clear" w:color="auto" w:fill="auto"/>
                  <w:vAlign w:val="center"/>
                </w:tcPr>
                <w:p>
                  <w:pPr>
                    <w:autoSpaceDE w:val="0"/>
                    <w:autoSpaceDN w:val="0"/>
                    <w:adjustRightInd w:val="0"/>
                    <w:jc w:val="center"/>
                    <w:rPr>
                      <w:szCs w:val="21"/>
                    </w:rPr>
                  </w:pPr>
                </w:p>
              </w:tc>
              <w:tc>
                <w:tcPr>
                  <w:tcW w:w="0" w:type="auto"/>
                  <w:shd w:val="clear" w:color="auto" w:fill="auto"/>
                  <w:vAlign w:val="center"/>
                </w:tcPr>
                <w:p>
                  <w:pPr>
                    <w:autoSpaceDE w:val="0"/>
                    <w:autoSpaceDN w:val="0"/>
                    <w:adjustRightInd w:val="0"/>
                    <w:jc w:val="center"/>
                    <w:rPr>
                      <w:szCs w:val="21"/>
                    </w:rPr>
                  </w:pPr>
                  <w:r>
                    <w:rPr>
                      <w:szCs w:val="21"/>
                    </w:rPr>
                    <w:t>项目设计</w:t>
                  </w:r>
                </w:p>
              </w:tc>
              <w:tc>
                <w:tcPr>
                  <w:tcW w:w="0" w:type="auto"/>
                  <w:shd w:val="clear" w:color="auto" w:fill="auto"/>
                  <w:vAlign w:val="center"/>
                </w:tcPr>
                <w:p>
                  <w:pPr>
                    <w:autoSpaceDE w:val="0"/>
                    <w:autoSpaceDN w:val="0"/>
                    <w:adjustRightInd w:val="0"/>
                    <w:jc w:val="center"/>
                    <w:rPr>
                      <w:szCs w:val="21"/>
                    </w:rPr>
                  </w:pPr>
                  <w:r>
                    <w:rPr>
                      <w:szCs w:val="21"/>
                    </w:rPr>
                    <w:t>5.5</w:t>
                  </w:r>
                </w:p>
              </w:tc>
              <w:tc>
                <w:tcPr>
                  <w:tcW w:w="0" w:type="auto"/>
                  <w:shd w:val="clear" w:color="auto" w:fill="auto"/>
                  <w:vAlign w:val="center"/>
                </w:tcPr>
                <w:p>
                  <w:pPr>
                    <w:autoSpaceDE w:val="0"/>
                    <w:autoSpaceDN w:val="0"/>
                    <w:adjustRightInd w:val="0"/>
                    <w:jc w:val="center"/>
                    <w:rPr>
                      <w:szCs w:val="21"/>
                    </w:rPr>
                  </w:pPr>
                  <w:r>
                    <w:rPr>
                      <w:szCs w:val="21"/>
                    </w:rPr>
                    <w:t>5.5</w:t>
                  </w:r>
                </w:p>
              </w:tc>
              <w:tc>
                <w:tcPr>
                  <w:tcW w:w="0" w:type="auto"/>
                  <w:shd w:val="clear" w:color="auto" w:fill="auto"/>
                  <w:vAlign w:val="center"/>
                </w:tcPr>
                <w:p>
                  <w:pPr>
                    <w:autoSpaceDE w:val="0"/>
                    <w:autoSpaceDN w:val="0"/>
                    <w:adjustRightInd w:val="0"/>
                    <w:jc w:val="center"/>
                    <w:rPr>
                      <w:szCs w:val="21"/>
                    </w:rPr>
                  </w:pPr>
                  <w:r>
                    <w:rPr>
                      <w:szCs w:val="21"/>
                    </w:rPr>
                    <w:t>5.5</w:t>
                  </w:r>
                </w:p>
              </w:tc>
              <w:tc>
                <w:tcPr>
                  <w:tcW w:w="1010" w:type="dxa"/>
                  <w:shd w:val="clear" w:color="auto" w:fill="auto"/>
                  <w:vAlign w:val="center"/>
                </w:tcPr>
                <w:p>
                  <w:pPr>
                    <w:autoSpaceDE w:val="0"/>
                    <w:autoSpaceDN w:val="0"/>
                    <w:adjustRightInd w:val="0"/>
                    <w:jc w:val="center"/>
                    <w:rPr>
                      <w:szCs w:val="21"/>
                    </w:rPr>
                  </w:pPr>
                  <w:r>
                    <w:rPr>
                      <w:szCs w:val="21"/>
                    </w:rPr>
                    <w:t>5.5</w:t>
                  </w:r>
                </w:p>
              </w:tc>
              <w:tc>
                <w:tcPr>
                  <w:tcW w:w="780" w:type="dxa"/>
                  <w:shd w:val="clear" w:color="auto" w:fill="auto"/>
                  <w:vAlign w:val="center"/>
                </w:tcPr>
                <w:p>
                  <w:pPr>
                    <w:autoSpaceDE w:val="0"/>
                    <w:autoSpaceDN w:val="0"/>
                    <w:adjustRightInd w:val="0"/>
                    <w:jc w:val="center"/>
                    <w:rPr>
                      <w:szCs w:val="21"/>
                    </w:rPr>
                  </w:pPr>
                  <w:r>
                    <w:rPr>
                      <w:szCs w:val="21"/>
                    </w:rPr>
                    <w:t>—</w:t>
                  </w:r>
                </w:p>
              </w:tc>
              <w:tc>
                <w:tcPr>
                  <w:tcW w:w="0" w:type="auto"/>
                  <w:shd w:val="clear" w:color="auto" w:fill="auto"/>
                  <w:vAlign w:val="center"/>
                </w:tcPr>
                <w:p>
                  <w:pPr>
                    <w:autoSpaceDE w:val="0"/>
                    <w:autoSpaceDN w:val="0"/>
                    <w:adjustRightInd w:val="0"/>
                    <w:jc w:val="center"/>
                    <w:rPr>
                      <w:szCs w:val="21"/>
                    </w:rPr>
                  </w:pPr>
                  <w:r>
                    <w:rPr>
                      <w:szCs w:val="21"/>
                    </w:rPr>
                    <w:t>—</w:t>
                  </w:r>
                </w:p>
              </w:tc>
            </w:tr>
          </w:tbl>
          <w:p>
            <w:pPr>
              <w:autoSpaceDE w:val="0"/>
              <w:autoSpaceDN w:val="0"/>
              <w:adjustRightInd w:val="0"/>
              <w:ind w:firstLine="420" w:firstLineChars="200"/>
              <w:jc w:val="left"/>
              <w:rPr>
                <w:szCs w:val="21"/>
              </w:rPr>
            </w:pPr>
            <w:r>
              <w:rPr>
                <w:szCs w:val="21"/>
              </w:rPr>
              <w:t>注：1.括号内数值为对应于柴油加油机的相关间距；2.表中“—”表示无防火间距要求。</w:t>
            </w:r>
          </w:p>
          <w:p>
            <w:pPr>
              <w:autoSpaceDE w:val="0"/>
              <w:autoSpaceDN w:val="0"/>
              <w:adjustRightInd w:val="0"/>
              <w:ind w:firstLine="420" w:firstLineChars="200"/>
              <w:jc w:val="left"/>
              <w:rPr>
                <w:szCs w:val="21"/>
              </w:rPr>
            </w:pPr>
          </w:p>
          <w:p>
            <w:pPr>
              <w:autoSpaceDE w:val="0"/>
              <w:autoSpaceDN w:val="0"/>
              <w:adjustRightInd w:val="0"/>
              <w:spacing w:line="360" w:lineRule="auto"/>
              <w:ind w:firstLine="420" w:firstLineChars="200"/>
              <w:rPr>
                <w:spacing w:val="-7"/>
                <w:szCs w:val="21"/>
              </w:rPr>
            </w:pPr>
            <w:r>
              <w:rPr>
                <w:szCs w:val="21"/>
              </w:rPr>
              <w:t>由上表可以看出，项目选址处距相关站外建、构筑物的安全间距及加油站内设施防火间距能够满足《汽车加油加气加氢站技术标准》（GB50156-2021）</w:t>
            </w:r>
            <w:r>
              <w:rPr>
                <w:spacing w:val="-7"/>
                <w:szCs w:val="21"/>
              </w:rPr>
              <w:t>中的相关要求。</w:t>
            </w:r>
          </w:p>
          <w:p>
            <w:pPr>
              <w:autoSpaceDE w:val="0"/>
              <w:autoSpaceDN w:val="0"/>
              <w:adjustRightInd w:val="0"/>
              <w:spacing w:line="360" w:lineRule="auto"/>
              <w:ind w:firstLine="420" w:firstLineChars="200"/>
              <w:rPr>
                <w:szCs w:val="21"/>
              </w:rPr>
            </w:pPr>
            <w:r>
              <w:rPr>
                <w:szCs w:val="21"/>
              </w:rPr>
              <w:t>（4）环境相容性分析</w:t>
            </w:r>
          </w:p>
          <w:p>
            <w:pPr>
              <w:autoSpaceDE w:val="0"/>
              <w:autoSpaceDN w:val="0"/>
              <w:adjustRightInd w:val="0"/>
              <w:spacing w:line="360" w:lineRule="auto"/>
              <w:ind w:firstLine="420" w:firstLineChars="200"/>
              <w:rPr>
                <w:szCs w:val="21"/>
              </w:rPr>
            </w:pPr>
            <w:r>
              <w:rPr>
                <w:szCs w:val="21"/>
              </w:rPr>
              <w:t>项目所在区域不处在国家法律、法规、行政规章及规划确定或县级以上人民政府批准的饮用水水源保护区、自然保护区、风景名胜区、生态功能保护区等需要特殊保护的地区范围内，其评价范围内无珍稀动植物资源，主要环境敏感目标为周边居民区，根据项目现场实地调查可知，项目选址北侧150m为怀德路，西侧为外环路G236，其余两侧为施工地，距离本项目厂界最近的敏感目标为南侧距离项目厂界400m的土围村，项目废气经处理后均达标排放，对本项目周边环境影响较小。生活污水、地面冲洗废水经处理后进入宁都县污水处理厂内进一步处理达标后排入梅江河，对梅江河影响较小。因此项目周边环境状况良好，与本项目具有一定的环境相容性。</w:t>
            </w:r>
          </w:p>
          <w:p>
            <w:pPr>
              <w:autoSpaceDE w:val="0"/>
              <w:autoSpaceDN w:val="0"/>
              <w:adjustRightInd w:val="0"/>
              <w:spacing w:line="360" w:lineRule="auto"/>
              <w:ind w:firstLine="420" w:firstLineChars="200"/>
              <w:rPr>
                <w:szCs w:val="21"/>
              </w:rPr>
            </w:pPr>
            <w:r>
              <w:rPr>
                <w:szCs w:val="21"/>
              </w:rPr>
              <w:t>综上所述，本项目用地符合地区土地规划及城乡建设规划要求，</w:t>
            </w:r>
            <w:r>
              <w:rPr>
                <w:spacing w:val="-3"/>
                <w:szCs w:val="21"/>
              </w:rPr>
              <w:t>项目选址处距相关站外建、构筑物</w:t>
            </w:r>
            <w:r>
              <w:rPr>
                <w:szCs w:val="21"/>
              </w:rPr>
              <w:t>的防火距离指标及加油站内设施防火间距均满足《汽车加油加气加氢站技术标准》（GB50156-2021）</w:t>
            </w:r>
            <w:r>
              <w:rPr>
                <w:spacing w:val="-7"/>
                <w:szCs w:val="21"/>
              </w:rPr>
              <w:t>中要求，项目与外环境相容性较好，无明显环境制约因素，</w:t>
            </w:r>
            <w:r>
              <w:rPr>
                <w:szCs w:val="21"/>
              </w:rPr>
              <w:t>项目选址合理。</w:t>
            </w:r>
          </w:p>
          <w:p>
            <w:pPr>
              <w:autoSpaceDE w:val="0"/>
              <w:autoSpaceDN w:val="0"/>
              <w:adjustRightInd w:val="0"/>
              <w:spacing w:line="360" w:lineRule="auto"/>
              <w:ind w:firstLine="422" w:firstLineChars="200"/>
              <w:rPr>
                <w:b/>
                <w:szCs w:val="21"/>
              </w:rPr>
            </w:pPr>
            <w:r>
              <w:rPr>
                <w:b/>
                <w:szCs w:val="21"/>
              </w:rPr>
              <w:t>3、“三线一单”相符性分析</w:t>
            </w:r>
          </w:p>
          <w:p>
            <w:pPr>
              <w:autoSpaceDE w:val="0"/>
              <w:autoSpaceDN w:val="0"/>
              <w:adjustRightInd w:val="0"/>
              <w:spacing w:line="360" w:lineRule="auto"/>
              <w:ind w:firstLine="420" w:firstLineChars="200"/>
              <w:rPr>
                <w:szCs w:val="21"/>
              </w:rPr>
            </w:pPr>
            <w:r>
              <w:rPr>
                <w:szCs w:val="21"/>
              </w:rPr>
              <w:t>（1）与生态保护红线相符性分析</w:t>
            </w:r>
          </w:p>
          <w:p>
            <w:pPr>
              <w:autoSpaceDE w:val="0"/>
              <w:autoSpaceDN w:val="0"/>
              <w:adjustRightInd w:val="0"/>
              <w:spacing w:line="360" w:lineRule="auto"/>
              <w:ind w:firstLine="420" w:firstLineChars="200"/>
              <w:rPr>
                <w:szCs w:val="21"/>
              </w:rPr>
            </w:pPr>
            <w:r>
              <w:rPr>
                <w:szCs w:val="21"/>
              </w:rPr>
              <w:t>根据《宁都县生态保护红线划定范围图》，本项目不在生态保护红线范围内（详见附图五）因此，本项目的建设与宁都县生态保护红线划定方案相符。</w:t>
            </w:r>
          </w:p>
          <w:p>
            <w:pPr>
              <w:autoSpaceDE w:val="0"/>
              <w:autoSpaceDN w:val="0"/>
              <w:adjustRightInd w:val="0"/>
              <w:spacing w:line="360" w:lineRule="auto"/>
              <w:ind w:firstLine="420" w:firstLineChars="200"/>
              <w:rPr>
                <w:szCs w:val="21"/>
              </w:rPr>
            </w:pPr>
            <w:r>
              <w:rPr>
                <w:szCs w:val="21"/>
              </w:rPr>
              <w:t>（2）与环境质量底线相符性分析</w:t>
            </w:r>
          </w:p>
          <w:p>
            <w:pPr>
              <w:adjustRightInd w:val="0"/>
              <w:snapToGrid w:val="0"/>
              <w:spacing w:line="360" w:lineRule="auto"/>
              <w:ind w:firstLine="420" w:firstLineChars="200"/>
              <w:rPr>
                <w:color w:val="FF0000"/>
                <w:szCs w:val="21"/>
              </w:rPr>
            </w:pPr>
            <w:r>
              <w:rPr>
                <w:szCs w:val="21"/>
              </w:rPr>
              <w:t>根据项目环境功能区区划，项目区域环境空气质量执行《环境空气质量标准》(GB3095-2012)二类标准，地表水环境质量执行《地表水环境质量标准》(GB3838-2002)Ⅲ类标准，地下水环境质量执行《地下水质量标准》（GB/T14848-2017）Ⅲ类标准，声环境执行《声环境质量标准》(GB3096-2008)2类</w:t>
            </w:r>
            <w:r>
              <w:rPr>
                <w:kern w:val="21"/>
                <w:szCs w:val="21"/>
              </w:rPr>
              <w:t>标准，临外环路一侧执行4a类标准</w:t>
            </w:r>
            <w:r>
              <w:rPr>
                <w:szCs w:val="21"/>
              </w:rPr>
              <w:t>。目前，项目所在区域环境质量均能达到相应环境质量标准要求。项目建成后，通过建设单位严格落实各项环保措施后，对产生的废水、废气治理之后能做到达标排放，固废可做到无害化处置；采取噪声防治措施后，项目厂界噪声值满足《声环境质量标准》(GB3096-2008)2类、4a类标准，本项目对周边声环境影响不明显。</w:t>
            </w:r>
          </w:p>
          <w:p>
            <w:pPr>
              <w:adjustRightInd w:val="0"/>
              <w:snapToGrid w:val="0"/>
              <w:spacing w:line="360" w:lineRule="auto"/>
              <w:ind w:firstLine="420" w:firstLineChars="200"/>
              <w:rPr>
                <w:szCs w:val="21"/>
              </w:rPr>
            </w:pPr>
            <w:r>
              <w:rPr>
                <w:szCs w:val="21"/>
              </w:rPr>
              <w:t>（3）与资源利用上线相符性分析</w:t>
            </w:r>
          </w:p>
          <w:p>
            <w:pPr>
              <w:adjustRightInd w:val="0"/>
              <w:snapToGrid w:val="0"/>
              <w:spacing w:line="360" w:lineRule="auto"/>
              <w:ind w:firstLine="420" w:firstLineChars="200"/>
              <w:rPr>
                <w:szCs w:val="21"/>
              </w:rPr>
            </w:pPr>
            <w:r>
              <w:rPr>
                <w:szCs w:val="21"/>
              </w:rPr>
              <w:t>本项目用水来自市政供水，用电来自市政供电。本项目建成运行后通过内部管理、设备选择、原辅材料的选用和管理、废物回收利用、污染治理等多方面采取合理可行的防治措施，以“节能、降耗、减污”为目标，有效的控制污染。项目的水、气等资源利用不会突破区域的资源利用上线。</w:t>
            </w:r>
          </w:p>
          <w:p>
            <w:pPr>
              <w:adjustRightInd w:val="0"/>
              <w:snapToGrid w:val="0"/>
              <w:spacing w:line="360" w:lineRule="auto"/>
              <w:ind w:firstLine="420" w:firstLineChars="200"/>
              <w:rPr>
                <w:szCs w:val="21"/>
              </w:rPr>
            </w:pPr>
            <w:r>
              <w:rPr>
                <w:szCs w:val="21"/>
              </w:rPr>
              <w:t>（4）生态环境准入清单</w:t>
            </w:r>
          </w:p>
          <w:p>
            <w:pPr>
              <w:autoSpaceDE w:val="0"/>
              <w:autoSpaceDN w:val="0"/>
              <w:adjustRightInd w:val="0"/>
              <w:snapToGrid w:val="0"/>
              <w:spacing w:line="360" w:lineRule="auto"/>
              <w:ind w:firstLine="420"/>
              <w:rPr>
                <w:szCs w:val="21"/>
              </w:rPr>
            </w:pPr>
            <w:r>
              <w:rPr>
                <w:szCs w:val="21"/>
              </w:rPr>
              <w:t>项目属于《产业结构调整指导目录（2019 年本）》中的允许类项目，且其所使用的设备不属于淘汰和限制类之列，同时根据国土资源部国家发展和改革委员会关于发布实施《限制用地项目目录（2012年本）》和《禁止用地项目目录（2012年本）》的通知，对该项目没有明确做出禁止和限制用地的规定。项目无相关负面清单。</w:t>
            </w:r>
          </w:p>
          <w:p>
            <w:pPr>
              <w:autoSpaceDE w:val="0"/>
              <w:autoSpaceDN w:val="0"/>
              <w:adjustRightInd w:val="0"/>
              <w:snapToGrid w:val="0"/>
              <w:spacing w:line="360" w:lineRule="auto"/>
              <w:ind w:firstLine="420"/>
              <w:rPr>
                <w:szCs w:val="21"/>
              </w:rPr>
            </w:pPr>
            <w:r>
              <w:rPr>
                <w:szCs w:val="21"/>
              </w:rPr>
              <w:t>根据《江西省人民政府关于加快实施“三线一单”生态环境分区管控的意见》（赣府发[2020]17号），全省共划定环境管控单元1030个，分为优先保护单元、重点管控单元、一般管控单元三类。其中，优先保护单元191个，约占全省国土面积的34%，主要分布在我省鄱阳湖临水区，赣江、抚河、信江、饶河、修河等“五河”及东江源头区，赣东—赣东北、赣西—赣西北、赣南等三大山地森林生态屏障区，涉及生态保护红线、自然保护区、饮用水水源保护区、环境空气一类功能区等生态环境敏感区面积占比较高、以生态环境保护为主的区域。重点管控单元581个，约占全省国土面积的26%，主要分布在长江干流江西段沿岸、大南昌都市圈、“五河”中下游腹地的城镇化和工业化区域，涉及各类开发区、城镇规划区以及环境质量改善压力较大，需对水、大气、土壤、自然资源等资源环境要素进行重点管控的区域。一般管控单元258个，为优先保护单元和重点管控单元之外的其他区域约占全省国土面积的40%。</w:t>
            </w:r>
          </w:p>
          <w:p>
            <w:pPr>
              <w:autoSpaceDE w:val="0"/>
              <w:autoSpaceDN w:val="0"/>
              <w:adjustRightInd w:val="0"/>
              <w:snapToGrid w:val="0"/>
              <w:spacing w:line="360" w:lineRule="auto"/>
              <w:ind w:firstLine="420"/>
            </w:pPr>
            <w:r>
              <w:t>i优先保护单元：包括生态保护红线、水环境优先保护区、大气环境优先保护区、农用地优先保护区等，以生态环境保护为主，禁止或限制大规模的工业发展、矿产等自然资源开发和城镇建设。ii重点管控单元：包括生态保护红线外的其他生态空间、城镇和工业园区(集聚区)人口密集、资源开发强度大、污染物排放强度高的区域，根据单元内水、大气、土壤、生态等环境要素的质量目标和管控要求，以及自然资源管控要求，综合确定准入、治理清单。iii一般管控单元：包括除优先保护类和重点管控类之外的其他区域，执行区域生态环境保护的基本要求。</w:t>
            </w:r>
          </w:p>
          <w:p>
            <w:pPr>
              <w:autoSpaceDE w:val="0"/>
              <w:autoSpaceDN w:val="0"/>
              <w:adjustRightInd w:val="0"/>
              <w:snapToGrid w:val="0"/>
              <w:spacing w:line="360" w:lineRule="auto"/>
              <w:ind w:firstLine="420"/>
            </w:pPr>
            <w:r>
              <w:rPr>
                <w:rFonts w:hint="eastAsia"/>
              </w:rPr>
              <w:t>项目位于江西省赣州市宁都县梅江镇，属于重点管控单元。生态环境质量为达标区，经济发展水平较好，符合生态环境准入要求。</w:t>
            </w:r>
          </w:p>
          <w:p>
            <w:pPr>
              <w:overflowPunct w:val="0"/>
              <w:autoSpaceDE w:val="0"/>
              <w:spacing w:line="360" w:lineRule="auto"/>
              <w:ind w:firstLine="420" w:firstLineChars="200"/>
              <w:rPr>
                <w:szCs w:val="21"/>
              </w:rPr>
            </w:pPr>
            <w:r>
              <w:rPr>
                <w:rFonts w:hint="eastAsia"/>
                <w:kern w:val="0"/>
                <w:szCs w:val="21"/>
              </w:rPr>
              <w:t>依据</w:t>
            </w:r>
            <w:r>
              <w:rPr>
                <w:szCs w:val="21"/>
              </w:rPr>
              <w:t>《江西省人民政府关于加快实施“三线一单”生态环境分区管控的意见》（赣府发[2020]17号）</w:t>
            </w:r>
            <w:r>
              <w:rPr>
                <w:rFonts w:hint="eastAsia"/>
                <w:szCs w:val="21"/>
              </w:rPr>
              <w:t>文件，</w:t>
            </w:r>
            <w:r>
              <w:rPr>
                <w:rFonts w:hint="eastAsia"/>
                <w:kern w:val="0"/>
                <w:szCs w:val="21"/>
              </w:rPr>
              <w:t>赣州市优先保护单元3</w:t>
            </w:r>
            <w:r>
              <w:rPr>
                <w:kern w:val="0"/>
                <w:szCs w:val="21"/>
              </w:rPr>
              <w:t>7</w:t>
            </w:r>
            <w:r>
              <w:rPr>
                <w:rFonts w:hint="eastAsia"/>
                <w:kern w:val="0"/>
                <w:szCs w:val="21"/>
              </w:rPr>
              <w:t>个，重点管控单元1</w:t>
            </w:r>
            <w:r>
              <w:rPr>
                <w:kern w:val="0"/>
                <w:szCs w:val="21"/>
              </w:rPr>
              <w:t>50</w:t>
            </w:r>
            <w:r>
              <w:rPr>
                <w:rFonts w:hint="eastAsia"/>
                <w:kern w:val="0"/>
                <w:szCs w:val="21"/>
              </w:rPr>
              <w:t>个，一般管控单元4</w:t>
            </w:r>
            <w:r>
              <w:rPr>
                <w:kern w:val="0"/>
                <w:szCs w:val="21"/>
              </w:rPr>
              <w:t>5</w:t>
            </w:r>
            <w:r>
              <w:rPr>
                <w:rFonts w:hint="eastAsia"/>
                <w:kern w:val="0"/>
                <w:szCs w:val="21"/>
              </w:rPr>
              <w:t>个。赣州市响应政策，</w:t>
            </w:r>
            <w:r>
              <w:rPr>
                <w:rFonts w:hint="eastAsia"/>
                <w:szCs w:val="21"/>
              </w:rPr>
              <w:t>2020年12月31日。赣州市人民政府《关于印发&lt;赣州市“三线一单”生态环境分区管控方案&gt;的通知》（赣市府发〔2020〕95号）方案指出，坚持生态优先，绿色发展，以改善环境质量为核心，以生态保护红线、环境质量底线、资源利用上线为基础，通过划分了环境管控单元，制定了生态环境准入清单，把生态环境管控要求落实到具体管控单元，建立覆盖全市的生态环境分区管控体系。</w:t>
            </w:r>
          </w:p>
          <w:p>
            <w:pPr>
              <w:adjustRightInd w:val="0"/>
              <w:snapToGrid w:val="0"/>
              <w:spacing w:line="360" w:lineRule="auto"/>
              <w:ind w:firstLine="420" w:firstLineChars="200"/>
              <w:jc w:val="left"/>
              <w:rPr>
                <w:szCs w:val="21"/>
              </w:rPr>
            </w:pPr>
            <w:r>
              <w:rPr>
                <w:kern w:val="0"/>
                <w:szCs w:val="21"/>
              </w:rPr>
              <w:t>根据《赣州市生态环境局关于印发赣州市生态环境总体准入要求及环境管控单元生态环境准入清单的通知》（赣市环委办字[2021]5号），本项目位于江西省赣州市宁都县重点管控单元1，</w:t>
            </w:r>
            <w:r>
              <w:rPr>
                <w:szCs w:val="21"/>
              </w:rPr>
              <w:t>属于重点管控单元。本项目与赣州市环境管控单元分区图关系见附图八。</w:t>
            </w:r>
            <w:r>
              <w:rPr>
                <w:rFonts w:hint="eastAsia"/>
                <w:szCs w:val="21"/>
              </w:rPr>
              <w:t>本项目与赣州市生态环境总体准入清单及</w:t>
            </w:r>
            <w:bookmarkStart w:id="3" w:name="_Hlk61517192"/>
            <w:r>
              <w:rPr>
                <w:szCs w:val="21"/>
              </w:rPr>
              <w:t>单元环境管控准入清单</w:t>
            </w:r>
            <w:bookmarkEnd w:id="3"/>
            <w:r>
              <w:rPr>
                <w:rFonts w:hint="eastAsia"/>
                <w:szCs w:val="21"/>
              </w:rPr>
              <w:t>相符性分析见表1</w:t>
            </w:r>
            <w:r>
              <w:rPr>
                <w:szCs w:val="21"/>
              </w:rPr>
              <w:t>-4</w:t>
            </w:r>
            <w:r>
              <w:rPr>
                <w:rFonts w:hint="eastAsia"/>
                <w:szCs w:val="21"/>
              </w:rPr>
              <w:t>、1</w:t>
            </w:r>
            <w:r>
              <w:rPr>
                <w:szCs w:val="21"/>
              </w:rPr>
              <w:t>-5</w:t>
            </w:r>
            <w:r>
              <w:rPr>
                <w:rFonts w:hint="eastAsia"/>
                <w:szCs w:val="21"/>
              </w:rPr>
              <w:t>。</w:t>
            </w:r>
          </w:p>
          <w:p>
            <w:pPr>
              <w:adjustRightInd w:val="0"/>
              <w:snapToGrid w:val="0"/>
              <w:spacing w:line="276" w:lineRule="auto"/>
              <w:jc w:val="center"/>
              <w:rPr>
                <w:b/>
                <w:kern w:val="0"/>
              </w:rPr>
            </w:pPr>
            <w:r>
              <w:rPr>
                <w:b/>
                <w:kern w:val="0"/>
              </w:rPr>
              <w:t xml:space="preserve">表1-4 </w:t>
            </w:r>
            <w:r>
              <w:rPr>
                <w:rFonts w:hint="eastAsia"/>
                <w:b/>
                <w:kern w:val="0"/>
              </w:rPr>
              <w:t>赣州市生态环境总体准入清单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837"/>
              <w:gridCol w:w="427"/>
              <w:gridCol w:w="4213"/>
              <w:gridCol w:w="10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shd w:val="clear" w:color="auto" w:fill="auto"/>
                  <w:vAlign w:val="center"/>
                </w:tcPr>
                <w:p>
                  <w:pPr>
                    <w:adjustRightInd w:val="0"/>
                    <w:snapToGrid w:val="0"/>
                    <w:jc w:val="center"/>
                    <w:rPr>
                      <w:b/>
                      <w:bCs/>
                      <w:kern w:val="0"/>
                      <w:szCs w:val="21"/>
                    </w:rPr>
                  </w:pPr>
                  <w:r>
                    <w:rPr>
                      <w:b/>
                      <w:bCs/>
                      <w:kern w:val="0"/>
                      <w:szCs w:val="21"/>
                    </w:rPr>
                    <w:t>维度</w:t>
                  </w:r>
                </w:p>
              </w:tc>
              <w:tc>
                <w:tcPr>
                  <w:tcW w:w="842" w:type="dxa"/>
                  <w:shd w:val="clear" w:color="auto" w:fill="auto"/>
                  <w:vAlign w:val="center"/>
                </w:tcPr>
                <w:p>
                  <w:pPr>
                    <w:adjustRightInd w:val="0"/>
                    <w:snapToGrid w:val="0"/>
                    <w:jc w:val="center"/>
                    <w:rPr>
                      <w:b/>
                      <w:bCs/>
                      <w:kern w:val="0"/>
                      <w:szCs w:val="21"/>
                    </w:rPr>
                  </w:pPr>
                  <w:r>
                    <w:rPr>
                      <w:b/>
                      <w:bCs/>
                      <w:kern w:val="0"/>
                      <w:szCs w:val="21"/>
                    </w:rPr>
                    <w:t>清单编制要求</w:t>
                  </w:r>
                </w:p>
              </w:tc>
              <w:tc>
                <w:tcPr>
                  <w:tcW w:w="426" w:type="dxa"/>
                  <w:shd w:val="clear" w:color="auto" w:fill="auto"/>
                  <w:vAlign w:val="center"/>
                </w:tcPr>
                <w:p>
                  <w:pPr>
                    <w:adjustRightInd w:val="0"/>
                    <w:snapToGrid w:val="0"/>
                    <w:jc w:val="center"/>
                    <w:rPr>
                      <w:b/>
                      <w:bCs/>
                      <w:kern w:val="0"/>
                      <w:szCs w:val="21"/>
                    </w:rPr>
                  </w:pPr>
                  <w:r>
                    <w:rPr>
                      <w:b/>
                      <w:bCs/>
                      <w:kern w:val="0"/>
                      <w:szCs w:val="21"/>
                    </w:rPr>
                    <w:t>序号</w:t>
                  </w:r>
                </w:p>
              </w:tc>
              <w:tc>
                <w:tcPr>
                  <w:tcW w:w="4252" w:type="dxa"/>
                  <w:shd w:val="clear" w:color="auto" w:fill="auto"/>
                  <w:vAlign w:val="center"/>
                </w:tcPr>
                <w:p>
                  <w:pPr>
                    <w:adjustRightInd w:val="0"/>
                    <w:snapToGrid w:val="0"/>
                    <w:jc w:val="center"/>
                    <w:rPr>
                      <w:b/>
                      <w:bCs/>
                      <w:kern w:val="0"/>
                      <w:szCs w:val="21"/>
                    </w:rPr>
                  </w:pPr>
                  <w:r>
                    <w:rPr>
                      <w:b/>
                      <w:bCs/>
                      <w:kern w:val="0"/>
                      <w:szCs w:val="21"/>
                    </w:rPr>
                    <w:t>准入要求</w:t>
                  </w:r>
                </w:p>
              </w:tc>
              <w:tc>
                <w:tcPr>
                  <w:tcW w:w="1067" w:type="dxa"/>
                  <w:shd w:val="clear" w:color="auto" w:fill="auto"/>
                  <w:vAlign w:val="center"/>
                </w:tcPr>
                <w:p>
                  <w:pPr>
                    <w:adjustRightInd w:val="0"/>
                    <w:snapToGrid w:val="0"/>
                    <w:jc w:val="center"/>
                    <w:rPr>
                      <w:b/>
                      <w:bCs/>
                      <w:kern w:val="0"/>
                      <w:szCs w:val="21"/>
                    </w:rPr>
                  </w:pPr>
                  <w:r>
                    <w:rPr>
                      <w:b/>
                      <w:bCs/>
                      <w:kern w:val="0"/>
                      <w:szCs w:val="21"/>
                    </w:rPr>
                    <w:t>项目相符性分析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restart"/>
                  <w:shd w:val="clear" w:color="auto" w:fill="auto"/>
                  <w:vAlign w:val="center"/>
                </w:tcPr>
                <w:p>
                  <w:pPr>
                    <w:adjustRightInd w:val="0"/>
                    <w:snapToGrid w:val="0"/>
                    <w:jc w:val="center"/>
                    <w:rPr>
                      <w:kern w:val="0"/>
                      <w:szCs w:val="21"/>
                    </w:rPr>
                  </w:pPr>
                  <w:r>
                    <w:rPr>
                      <w:kern w:val="0"/>
                      <w:szCs w:val="21"/>
                    </w:rPr>
                    <w:t>空间布局约束</w:t>
                  </w:r>
                </w:p>
              </w:tc>
              <w:tc>
                <w:tcPr>
                  <w:tcW w:w="842" w:type="dxa"/>
                  <w:vMerge w:val="restart"/>
                  <w:shd w:val="clear" w:color="auto" w:fill="auto"/>
                  <w:vAlign w:val="center"/>
                </w:tcPr>
                <w:p>
                  <w:pPr>
                    <w:adjustRightInd w:val="0"/>
                    <w:snapToGrid w:val="0"/>
                    <w:jc w:val="center"/>
                    <w:rPr>
                      <w:kern w:val="0"/>
                      <w:szCs w:val="21"/>
                    </w:rPr>
                  </w:pPr>
                  <w:r>
                    <w:rPr>
                      <w:kern w:val="0"/>
                      <w:szCs w:val="21"/>
                    </w:rPr>
                    <w:t>禁止开发建设活动的要求</w:t>
                  </w:r>
                </w:p>
              </w:tc>
              <w:tc>
                <w:tcPr>
                  <w:tcW w:w="426" w:type="dxa"/>
                  <w:vMerge w:val="restart"/>
                  <w:shd w:val="clear" w:color="auto" w:fill="auto"/>
                  <w:vAlign w:val="center"/>
                </w:tcPr>
                <w:p>
                  <w:pPr>
                    <w:adjustRightInd w:val="0"/>
                    <w:snapToGrid w:val="0"/>
                    <w:jc w:val="center"/>
                    <w:rPr>
                      <w:kern w:val="0"/>
                      <w:szCs w:val="21"/>
                    </w:rPr>
                  </w:pPr>
                  <w:r>
                    <w:rPr>
                      <w:kern w:val="0"/>
                      <w:szCs w:val="21"/>
                    </w:rPr>
                    <w:t>1</w:t>
                  </w:r>
                </w:p>
              </w:tc>
              <w:tc>
                <w:tcPr>
                  <w:tcW w:w="4252" w:type="dxa"/>
                  <w:shd w:val="clear" w:color="auto" w:fill="auto"/>
                  <w:vAlign w:val="center"/>
                </w:tcPr>
                <w:p>
                  <w:pPr>
                    <w:adjustRightInd w:val="0"/>
                    <w:snapToGrid w:val="0"/>
                    <w:jc w:val="center"/>
                    <w:rPr>
                      <w:kern w:val="0"/>
                      <w:szCs w:val="21"/>
                    </w:rPr>
                  </w:pPr>
                  <w:r>
                    <w:rPr>
                      <w:szCs w:val="21"/>
                    </w:rPr>
                    <w:t>1、禁止新建、改扩建《产业结构调整指导目录》规定的淘汰类产业。</w:t>
                  </w:r>
                </w:p>
              </w:tc>
              <w:tc>
                <w:tcPr>
                  <w:tcW w:w="1067" w:type="dxa"/>
                  <w:vMerge w:val="restart"/>
                  <w:shd w:val="clear" w:color="auto" w:fill="auto"/>
                  <w:vAlign w:val="center"/>
                </w:tcPr>
                <w:p>
                  <w:pPr>
                    <w:adjustRightInd w:val="0"/>
                    <w:snapToGrid w:val="0"/>
                    <w:jc w:val="center"/>
                    <w:rPr>
                      <w:kern w:val="0"/>
                      <w:szCs w:val="21"/>
                    </w:rPr>
                  </w:pPr>
                  <w:r>
                    <w:rPr>
                      <w:szCs w:val="21"/>
                    </w:rPr>
                    <w:t>本项目不属于禁止、限制开发建设活动要求，符合空间布局要求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rPr>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center"/>
                    <w:rPr>
                      <w:kern w:val="0"/>
                      <w:sz w:val="24"/>
                    </w:rPr>
                  </w:pPr>
                  <w:r>
                    <w:rPr>
                      <w:kern w:val="0"/>
                      <w:szCs w:val="21"/>
                    </w:rPr>
                    <w:t>2、大余县、上犹县、崇义县、龙南市、全南县、定南县、安远县和寻乌县禁止新建、改扩建江西省国家重点生态功能区产业准入负面清单（第一批）中禁止类项目；石城县禁止新建、改扩建江西省国家重点生态功能区产业准入负面清单（第二批）中禁止类项目。</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center"/>
                    <w:rPr>
                      <w:kern w:val="0"/>
                      <w:sz w:val="24"/>
                    </w:rPr>
                  </w:pPr>
                  <w:r>
                    <w:rPr>
                      <w:kern w:val="0"/>
                      <w:szCs w:val="21"/>
                    </w:rPr>
                    <w:t>3、东江（定南水）源、东江（寻乌水）源、赣江（章江）源、赣江（贡江）源源头区内禁止新建污染企业等不符合源头保护区生态功能定位的活动。</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4、不得引进产业规划禁止类项目进入园区。</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5、禁养区内禁止建设规模化养殖场或养殖小区。</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6、自然保护区核心区原则上禁止人为活动。</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restart"/>
                  <w:shd w:val="clear" w:color="auto" w:fill="auto"/>
                  <w:vAlign w:val="center"/>
                </w:tcPr>
                <w:p>
                  <w:pPr>
                    <w:widowControl/>
                    <w:jc w:val="center"/>
                    <w:rPr>
                      <w:kern w:val="0"/>
                      <w:szCs w:val="21"/>
                    </w:rPr>
                  </w:pPr>
                  <w:r>
                    <w:rPr>
                      <w:kern w:val="0"/>
                      <w:szCs w:val="21"/>
                    </w:rPr>
                    <w:t>限制开发建设活动</w:t>
                  </w:r>
                </w:p>
                <w:p>
                  <w:pPr>
                    <w:adjustRightInd w:val="0"/>
                    <w:snapToGrid w:val="0"/>
                    <w:jc w:val="center"/>
                    <w:rPr>
                      <w:kern w:val="0"/>
                      <w:szCs w:val="21"/>
                    </w:rPr>
                  </w:pPr>
                  <w:r>
                    <w:rPr>
                      <w:kern w:val="0"/>
                      <w:szCs w:val="21"/>
                    </w:rPr>
                    <w:t>的要求</w:t>
                  </w:r>
                </w:p>
              </w:tc>
              <w:tc>
                <w:tcPr>
                  <w:tcW w:w="426" w:type="dxa"/>
                  <w:shd w:val="clear" w:color="auto" w:fill="auto"/>
                  <w:vAlign w:val="center"/>
                </w:tcPr>
                <w:p>
                  <w:pPr>
                    <w:adjustRightInd w:val="0"/>
                    <w:snapToGrid w:val="0"/>
                    <w:jc w:val="center"/>
                    <w:rPr>
                      <w:kern w:val="0"/>
                      <w:szCs w:val="21"/>
                    </w:rPr>
                  </w:pPr>
                  <w:r>
                    <w:rPr>
                      <w:kern w:val="0"/>
                      <w:szCs w:val="21"/>
                    </w:rPr>
                    <w:t>2</w:t>
                  </w:r>
                </w:p>
              </w:tc>
              <w:tc>
                <w:tcPr>
                  <w:tcW w:w="4252" w:type="dxa"/>
                  <w:shd w:val="clear" w:color="auto" w:fill="auto"/>
                  <w:vAlign w:val="center"/>
                </w:tcPr>
                <w:p>
                  <w:pPr>
                    <w:adjustRightInd w:val="0"/>
                    <w:snapToGrid w:val="0"/>
                    <w:jc w:val="center"/>
                    <w:rPr>
                      <w:kern w:val="0"/>
                      <w:szCs w:val="21"/>
                    </w:rPr>
                  </w:pPr>
                  <w:r>
                    <w:rPr>
                      <w:szCs w:val="21"/>
                    </w:rPr>
                    <w:t>不得新建规模不符合各行业准入条件的项目。</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shd w:val="clear" w:color="auto" w:fill="auto"/>
                  <w:vAlign w:val="center"/>
                </w:tcPr>
                <w:p>
                  <w:pPr>
                    <w:adjustRightInd w:val="0"/>
                    <w:snapToGrid w:val="0"/>
                    <w:jc w:val="center"/>
                    <w:rPr>
                      <w:kern w:val="0"/>
                      <w:szCs w:val="21"/>
                    </w:rPr>
                  </w:pPr>
                  <w:r>
                    <w:rPr>
                      <w:kern w:val="0"/>
                      <w:szCs w:val="21"/>
                    </w:rPr>
                    <w:t>3</w:t>
                  </w:r>
                </w:p>
              </w:tc>
              <w:tc>
                <w:tcPr>
                  <w:tcW w:w="4252" w:type="dxa"/>
                  <w:shd w:val="clear" w:color="auto" w:fill="auto"/>
                  <w:vAlign w:val="center"/>
                </w:tcPr>
                <w:p>
                  <w:pPr>
                    <w:adjustRightInd w:val="0"/>
                    <w:snapToGrid w:val="0"/>
                    <w:jc w:val="center"/>
                    <w:rPr>
                      <w:kern w:val="0"/>
                      <w:szCs w:val="21"/>
                    </w:rPr>
                  </w:pPr>
                  <w:r>
                    <w:rPr>
                      <w:szCs w:val="21"/>
                    </w:rPr>
                    <w:t>不得新建《国家淘汰落后生产能力、工艺和产品的目录》等名录中淘汰工艺和装备。</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restart"/>
                  <w:shd w:val="clear" w:color="auto" w:fill="auto"/>
                  <w:vAlign w:val="center"/>
                </w:tcPr>
                <w:p>
                  <w:pPr>
                    <w:adjustRightInd w:val="0"/>
                    <w:snapToGrid w:val="0"/>
                    <w:jc w:val="center"/>
                    <w:rPr>
                      <w:kern w:val="0"/>
                      <w:szCs w:val="21"/>
                    </w:rPr>
                  </w:pPr>
                  <w:r>
                    <w:rPr>
                      <w:kern w:val="0"/>
                      <w:szCs w:val="21"/>
                    </w:rPr>
                    <w:t>4</w:t>
                  </w:r>
                </w:p>
              </w:tc>
              <w:tc>
                <w:tcPr>
                  <w:tcW w:w="4252" w:type="dxa"/>
                  <w:shd w:val="clear" w:color="auto" w:fill="auto"/>
                  <w:vAlign w:val="center"/>
                </w:tcPr>
                <w:p>
                  <w:pPr>
                    <w:widowControl/>
                    <w:jc w:val="center"/>
                    <w:rPr>
                      <w:kern w:val="0"/>
                      <w:sz w:val="24"/>
                    </w:rPr>
                  </w:pPr>
                  <w:r>
                    <w:rPr>
                      <w:kern w:val="0"/>
                      <w:szCs w:val="21"/>
                    </w:rPr>
                    <w:t>1、江西省国家重点生态功能区产业准入负面清单（第一批）中限制类项目，大余县、上犹县、崇义县、龙南市、全南县、定南县、安远县和寻乌县按准入条件建设；江西省国家重点生态功能区产业准入负面清单（第二批）中限制类项目，石城县按准入条件建设。</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left"/>
                    <w:rPr>
                      <w:kern w:val="0"/>
                      <w:sz w:val="24"/>
                    </w:rPr>
                  </w:pPr>
                  <w:r>
                    <w:rPr>
                      <w:kern w:val="0"/>
                      <w:szCs w:val="21"/>
                    </w:rPr>
                    <w:t>2、矿产资源禁止开采区：区内实行生态环境保护优先，原则上不得新设固体矿产的矿业权。对生态环境无影响或影响较小的地热、矿泉水等液体矿产，在征得相关部门同意后可设置矿业权。建立动态巡查和监管制度，有效防止违法违规采矿活动。</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shd w:val="clear" w:color="auto" w:fill="auto"/>
                  <w:vAlign w:val="center"/>
                </w:tcPr>
                <w:p>
                  <w:pPr>
                    <w:adjustRightInd w:val="0"/>
                    <w:snapToGrid w:val="0"/>
                    <w:jc w:val="center"/>
                    <w:rPr>
                      <w:kern w:val="0"/>
                      <w:szCs w:val="21"/>
                    </w:rPr>
                  </w:pPr>
                  <w:r>
                    <w:rPr>
                      <w:kern w:val="0"/>
                      <w:szCs w:val="21"/>
                    </w:rPr>
                    <w:t>5</w:t>
                  </w:r>
                </w:p>
              </w:tc>
              <w:tc>
                <w:tcPr>
                  <w:tcW w:w="4252" w:type="dxa"/>
                  <w:shd w:val="clear" w:color="auto" w:fill="auto"/>
                  <w:vAlign w:val="center"/>
                </w:tcPr>
                <w:p>
                  <w:pPr>
                    <w:adjustRightInd w:val="0"/>
                    <w:snapToGrid w:val="0"/>
                    <w:jc w:val="center"/>
                    <w:rPr>
                      <w:kern w:val="0"/>
                      <w:szCs w:val="21"/>
                    </w:rPr>
                  </w:pPr>
                  <w:r>
                    <w:rPr>
                      <w:szCs w:val="21"/>
                    </w:rPr>
                    <w:t>禁止在饮用水水源一级保护区内新建、改建、扩建与供水设施和保护水源无关的建设项目。</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restart"/>
                  <w:shd w:val="clear" w:color="auto" w:fill="auto"/>
                  <w:vAlign w:val="center"/>
                </w:tcPr>
                <w:p>
                  <w:pPr>
                    <w:widowControl/>
                    <w:jc w:val="center"/>
                    <w:rPr>
                      <w:kern w:val="0"/>
                      <w:szCs w:val="21"/>
                    </w:rPr>
                  </w:pPr>
                  <w:r>
                    <w:rPr>
                      <w:kern w:val="0"/>
                      <w:szCs w:val="21"/>
                    </w:rPr>
                    <w:t>不符合空间布局要求活动的退出要求</w:t>
                  </w:r>
                </w:p>
              </w:tc>
              <w:tc>
                <w:tcPr>
                  <w:tcW w:w="426" w:type="dxa"/>
                  <w:vMerge w:val="restart"/>
                  <w:shd w:val="clear" w:color="auto" w:fill="auto"/>
                  <w:vAlign w:val="center"/>
                </w:tcPr>
                <w:p>
                  <w:pPr>
                    <w:adjustRightInd w:val="0"/>
                    <w:snapToGrid w:val="0"/>
                    <w:jc w:val="center"/>
                    <w:rPr>
                      <w:kern w:val="0"/>
                      <w:szCs w:val="21"/>
                    </w:rPr>
                  </w:pPr>
                  <w:r>
                    <w:rPr>
                      <w:kern w:val="0"/>
                      <w:szCs w:val="21"/>
                    </w:rPr>
                    <w:t>6</w:t>
                  </w:r>
                </w:p>
              </w:tc>
              <w:tc>
                <w:tcPr>
                  <w:tcW w:w="4252" w:type="dxa"/>
                  <w:shd w:val="clear" w:color="auto" w:fill="auto"/>
                  <w:vAlign w:val="center"/>
                </w:tcPr>
                <w:p>
                  <w:pPr>
                    <w:adjustRightInd w:val="0"/>
                    <w:snapToGrid w:val="0"/>
                    <w:jc w:val="center"/>
                    <w:rPr>
                      <w:kern w:val="0"/>
                      <w:szCs w:val="21"/>
                    </w:rPr>
                  </w:pPr>
                  <w:r>
                    <w:rPr>
                      <w:szCs w:val="21"/>
                    </w:rPr>
                    <w:t>1、现有生态红线内不符合生态功能活动限期退出或关停。</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2、现有饮用水水源一级保护区内与供水设施和保护水源无关的建设项目拆除或关闭。</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3、现有禁养区内的畜禽养殖场（小区）和养殖业户应限期退出或关停。</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restart"/>
                  <w:shd w:val="clear" w:color="auto" w:fill="auto"/>
                  <w:vAlign w:val="center"/>
                </w:tcPr>
                <w:p>
                  <w:pPr>
                    <w:adjustRightInd w:val="0"/>
                    <w:snapToGrid w:val="0"/>
                    <w:jc w:val="center"/>
                    <w:rPr>
                      <w:kern w:val="0"/>
                      <w:szCs w:val="21"/>
                    </w:rPr>
                  </w:pPr>
                  <w:r>
                    <w:rPr>
                      <w:szCs w:val="21"/>
                    </w:rPr>
                    <w:t>污染物排放管控</w:t>
                  </w:r>
                </w:p>
              </w:tc>
              <w:tc>
                <w:tcPr>
                  <w:tcW w:w="842" w:type="dxa"/>
                  <w:shd w:val="clear" w:color="auto" w:fill="auto"/>
                  <w:vAlign w:val="center"/>
                </w:tcPr>
                <w:p>
                  <w:pPr>
                    <w:widowControl/>
                    <w:jc w:val="center"/>
                    <w:rPr>
                      <w:kern w:val="0"/>
                      <w:sz w:val="24"/>
                    </w:rPr>
                  </w:pPr>
                  <w:r>
                    <w:rPr>
                      <w:kern w:val="0"/>
                      <w:szCs w:val="21"/>
                    </w:rPr>
                    <w:t>允许排放量要求</w:t>
                  </w:r>
                </w:p>
              </w:tc>
              <w:tc>
                <w:tcPr>
                  <w:tcW w:w="426" w:type="dxa"/>
                  <w:shd w:val="clear" w:color="auto" w:fill="auto"/>
                  <w:vAlign w:val="center"/>
                </w:tcPr>
                <w:p>
                  <w:pPr>
                    <w:adjustRightInd w:val="0"/>
                    <w:snapToGrid w:val="0"/>
                    <w:jc w:val="center"/>
                    <w:rPr>
                      <w:kern w:val="0"/>
                      <w:szCs w:val="21"/>
                    </w:rPr>
                  </w:pPr>
                  <w:r>
                    <w:rPr>
                      <w:kern w:val="0"/>
                      <w:szCs w:val="21"/>
                    </w:rPr>
                    <w:t>7</w:t>
                  </w:r>
                </w:p>
              </w:tc>
              <w:tc>
                <w:tcPr>
                  <w:tcW w:w="4252" w:type="dxa"/>
                  <w:shd w:val="clear" w:color="auto" w:fill="auto"/>
                  <w:vAlign w:val="center"/>
                </w:tcPr>
                <w:p>
                  <w:pPr>
                    <w:widowControl/>
                    <w:jc w:val="center"/>
                    <w:rPr>
                      <w:kern w:val="0"/>
                      <w:sz w:val="24"/>
                    </w:rPr>
                  </w:pPr>
                  <w:r>
                    <w:rPr>
                      <w:kern w:val="0"/>
                      <w:szCs w:val="21"/>
                    </w:rPr>
                    <w:t>到2020年，赣州市全市化学需氧量、氨氮、二氧化硫、氮氧化物排放总量分别控制在13.07万吨、1.79万吨、5.62万吨、3.86万吨以内，比2015年分别下降4.3%、3.8%、4.42%和7.28%。“十四五”及以后执行省级下达的管控指标要求。</w:t>
                  </w:r>
                </w:p>
              </w:tc>
              <w:tc>
                <w:tcPr>
                  <w:tcW w:w="1067" w:type="dxa"/>
                  <w:vMerge w:val="restart"/>
                  <w:shd w:val="clear" w:color="auto" w:fill="auto"/>
                  <w:vAlign w:val="center"/>
                </w:tcPr>
                <w:p>
                  <w:pPr>
                    <w:adjustRightInd w:val="0"/>
                    <w:snapToGrid w:val="0"/>
                    <w:jc w:val="center"/>
                    <w:rPr>
                      <w:kern w:val="0"/>
                      <w:szCs w:val="21"/>
                    </w:rPr>
                  </w:pPr>
                  <w:r>
                    <w:rPr>
                      <w:szCs w:val="21"/>
                    </w:rPr>
                    <w:t>本项目符合污染物排放管控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restart"/>
                  <w:shd w:val="clear" w:color="auto" w:fill="auto"/>
                  <w:vAlign w:val="center"/>
                </w:tcPr>
                <w:p>
                  <w:pPr>
                    <w:widowControl/>
                    <w:jc w:val="center"/>
                    <w:rPr>
                      <w:kern w:val="0"/>
                      <w:sz w:val="24"/>
                    </w:rPr>
                  </w:pPr>
                  <w:r>
                    <w:rPr>
                      <w:kern w:val="0"/>
                      <w:szCs w:val="21"/>
                    </w:rPr>
                    <w:t>现有源提标升级改造</w:t>
                  </w:r>
                </w:p>
              </w:tc>
              <w:tc>
                <w:tcPr>
                  <w:tcW w:w="426" w:type="dxa"/>
                  <w:vMerge w:val="restart"/>
                  <w:shd w:val="clear" w:color="auto" w:fill="auto"/>
                  <w:vAlign w:val="center"/>
                </w:tcPr>
                <w:p>
                  <w:pPr>
                    <w:adjustRightInd w:val="0"/>
                    <w:snapToGrid w:val="0"/>
                    <w:jc w:val="center"/>
                    <w:rPr>
                      <w:kern w:val="0"/>
                      <w:szCs w:val="21"/>
                    </w:rPr>
                  </w:pPr>
                  <w:r>
                    <w:rPr>
                      <w:kern w:val="0"/>
                      <w:szCs w:val="21"/>
                    </w:rPr>
                    <w:t>8</w:t>
                  </w:r>
                </w:p>
              </w:tc>
              <w:tc>
                <w:tcPr>
                  <w:tcW w:w="4252" w:type="dxa"/>
                  <w:shd w:val="clear" w:color="auto" w:fill="auto"/>
                  <w:vAlign w:val="center"/>
                </w:tcPr>
                <w:p>
                  <w:pPr>
                    <w:adjustRightInd w:val="0"/>
                    <w:snapToGrid w:val="0"/>
                    <w:jc w:val="center"/>
                    <w:rPr>
                      <w:kern w:val="0"/>
                      <w:szCs w:val="21"/>
                    </w:rPr>
                  </w:pPr>
                  <w:r>
                    <w:rPr>
                      <w:szCs w:val="21"/>
                    </w:rPr>
                    <w:t>1、2020年底前，完成中心城区城镇污水处理厂一级A排放标准改造。</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center"/>
                    <w:rPr>
                      <w:kern w:val="0"/>
                      <w:sz w:val="24"/>
                    </w:rPr>
                  </w:pPr>
                  <w:r>
                    <w:rPr>
                      <w:kern w:val="0"/>
                      <w:szCs w:val="21"/>
                    </w:rPr>
                    <w:t>2、到2020年，基本淘汰10蒸吨/小时及以下燃煤锅炉(含茶炉大灶、经营性小煤炉)，赣州市建成区35蒸吨/小时及以下燃煤锅炉基本完成清洁能源替代。依法严把准入关，县级及以上城市建成区不再审批35蒸吨/小时及以下燃煤锅炉。</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restart"/>
                  <w:shd w:val="clear" w:color="auto" w:fill="auto"/>
                  <w:vAlign w:val="center"/>
                </w:tcPr>
                <w:p>
                  <w:pPr>
                    <w:adjustRightInd w:val="0"/>
                    <w:snapToGrid w:val="0"/>
                    <w:jc w:val="center"/>
                    <w:rPr>
                      <w:kern w:val="0"/>
                      <w:szCs w:val="21"/>
                    </w:rPr>
                  </w:pPr>
                  <w:r>
                    <w:rPr>
                      <w:szCs w:val="21"/>
                    </w:rPr>
                    <w:t>环境风险防控</w:t>
                  </w:r>
                </w:p>
              </w:tc>
              <w:tc>
                <w:tcPr>
                  <w:tcW w:w="842" w:type="dxa"/>
                  <w:vMerge w:val="restart"/>
                  <w:shd w:val="clear" w:color="auto" w:fill="auto"/>
                  <w:vAlign w:val="center"/>
                </w:tcPr>
                <w:p>
                  <w:pPr>
                    <w:adjustRightInd w:val="0"/>
                    <w:snapToGrid w:val="0"/>
                    <w:jc w:val="center"/>
                    <w:rPr>
                      <w:kern w:val="0"/>
                      <w:szCs w:val="21"/>
                    </w:rPr>
                  </w:pPr>
                  <w:r>
                    <w:rPr>
                      <w:szCs w:val="21"/>
                    </w:rPr>
                    <w:t>联防联控要求</w:t>
                  </w:r>
                </w:p>
              </w:tc>
              <w:tc>
                <w:tcPr>
                  <w:tcW w:w="426" w:type="dxa"/>
                  <w:vMerge w:val="restart"/>
                  <w:shd w:val="clear" w:color="auto" w:fill="auto"/>
                  <w:vAlign w:val="center"/>
                </w:tcPr>
                <w:p>
                  <w:pPr>
                    <w:adjustRightInd w:val="0"/>
                    <w:snapToGrid w:val="0"/>
                    <w:jc w:val="center"/>
                    <w:rPr>
                      <w:kern w:val="0"/>
                      <w:szCs w:val="21"/>
                    </w:rPr>
                  </w:pPr>
                  <w:r>
                    <w:rPr>
                      <w:kern w:val="0"/>
                      <w:szCs w:val="21"/>
                    </w:rPr>
                    <w:t>9</w:t>
                  </w:r>
                </w:p>
              </w:tc>
              <w:tc>
                <w:tcPr>
                  <w:tcW w:w="4252" w:type="dxa"/>
                  <w:shd w:val="clear" w:color="auto" w:fill="auto"/>
                  <w:vAlign w:val="center"/>
                </w:tcPr>
                <w:p>
                  <w:pPr>
                    <w:widowControl/>
                    <w:jc w:val="center"/>
                    <w:rPr>
                      <w:kern w:val="0"/>
                      <w:sz w:val="24"/>
                    </w:rPr>
                  </w:pPr>
                  <w:r>
                    <w:rPr>
                      <w:kern w:val="0"/>
                      <w:szCs w:val="21"/>
                    </w:rPr>
                    <w:t>1、积极参与和龙岩市区域大气污染防治联防联控合作及和广东省跨界河流水污染联防联控协作工作，推动省界生态环境特征相似区域环境管控要求协调统一。</w:t>
                  </w:r>
                </w:p>
              </w:tc>
              <w:tc>
                <w:tcPr>
                  <w:tcW w:w="1067" w:type="dxa"/>
                  <w:vMerge w:val="restart"/>
                  <w:shd w:val="clear" w:color="auto" w:fill="auto"/>
                  <w:vAlign w:val="center"/>
                </w:tcPr>
                <w:p>
                  <w:pPr>
                    <w:adjustRightInd w:val="0"/>
                    <w:snapToGrid w:val="0"/>
                    <w:jc w:val="center"/>
                    <w:rPr>
                      <w:kern w:val="0"/>
                      <w:szCs w:val="21"/>
                    </w:rPr>
                  </w:pPr>
                  <w:r>
                    <w:rPr>
                      <w:szCs w:val="21"/>
                    </w:rPr>
                    <w:t>本项目符合环境风险防控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kern w:val="0"/>
                      <w:szCs w:val="21"/>
                    </w:rPr>
                  </w:pPr>
                  <w:r>
                    <w:rPr>
                      <w:szCs w:val="21"/>
                    </w:rPr>
                    <w:t>2、严格管控农用地，不得在污染地块种植水稻等特地农产品。</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center"/>
                    <w:rPr>
                      <w:kern w:val="0"/>
                      <w:sz w:val="24"/>
                    </w:rPr>
                  </w:pPr>
                  <w:r>
                    <w:rPr>
                      <w:kern w:val="0"/>
                      <w:szCs w:val="21"/>
                    </w:rPr>
                    <w:t>3、纳入疑似污染地块的，应当依法开展土壤污染环境质量状况调查，确定为污染地块后，经治理与修复，并符合相应规划用地土壤环境质量标准要求后，方可进入用地程序。</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rPr>
                      <w:szCs w:val="21"/>
                    </w:rPr>
                  </w:pPr>
                  <w:r>
                    <w:rPr>
                      <w:szCs w:val="21"/>
                    </w:rPr>
                    <w:t>4、工业园区应建立三级环境风险防控体系。</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szCs w:val="21"/>
                    </w:rPr>
                  </w:pPr>
                  <w:r>
                    <w:rPr>
                      <w:szCs w:val="21"/>
                    </w:rPr>
                    <w:t>5、紧邻居住、科教、医院等环境敏感点的工业用地，禁止规划环境风险等级高的建设项目。</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widowControl/>
                    <w:jc w:val="center"/>
                    <w:rPr>
                      <w:kern w:val="0"/>
                      <w:sz w:val="24"/>
                    </w:rPr>
                  </w:pPr>
                  <w:r>
                    <w:rPr>
                      <w:kern w:val="0"/>
                      <w:szCs w:val="21"/>
                    </w:rPr>
                    <w:t>6、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restart"/>
                  <w:shd w:val="clear" w:color="auto" w:fill="auto"/>
                  <w:vAlign w:val="center"/>
                </w:tcPr>
                <w:p>
                  <w:pPr>
                    <w:adjustRightInd w:val="0"/>
                    <w:snapToGrid w:val="0"/>
                    <w:jc w:val="center"/>
                    <w:rPr>
                      <w:kern w:val="0"/>
                      <w:szCs w:val="21"/>
                    </w:rPr>
                  </w:pPr>
                  <w:r>
                    <w:rPr>
                      <w:szCs w:val="21"/>
                    </w:rPr>
                    <w:t>资源利用效率要求</w:t>
                  </w:r>
                </w:p>
              </w:tc>
              <w:tc>
                <w:tcPr>
                  <w:tcW w:w="842" w:type="dxa"/>
                  <w:vMerge w:val="restart"/>
                  <w:shd w:val="clear" w:color="auto" w:fill="auto"/>
                  <w:vAlign w:val="center"/>
                </w:tcPr>
                <w:p>
                  <w:pPr>
                    <w:adjustRightInd w:val="0"/>
                    <w:snapToGrid w:val="0"/>
                    <w:jc w:val="center"/>
                    <w:rPr>
                      <w:kern w:val="0"/>
                      <w:szCs w:val="21"/>
                    </w:rPr>
                  </w:pPr>
                  <w:r>
                    <w:rPr>
                      <w:szCs w:val="21"/>
                    </w:rPr>
                    <w:t>水资源利用总量要求</w:t>
                  </w:r>
                </w:p>
              </w:tc>
              <w:tc>
                <w:tcPr>
                  <w:tcW w:w="426" w:type="dxa"/>
                  <w:vMerge w:val="restart"/>
                  <w:shd w:val="clear" w:color="auto" w:fill="auto"/>
                  <w:vAlign w:val="center"/>
                </w:tcPr>
                <w:p>
                  <w:pPr>
                    <w:adjustRightInd w:val="0"/>
                    <w:snapToGrid w:val="0"/>
                    <w:jc w:val="center"/>
                    <w:rPr>
                      <w:kern w:val="0"/>
                      <w:szCs w:val="21"/>
                    </w:rPr>
                  </w:pPr>
                  <w:r>
                    <w:rPr>
                      <w:szCs w:val="21"/>
                    </w:rPr>
                    <w:t>10</w:t>
                  </w:r>
                </w:p>
              </w:tc>
              <w:tc>
                <w:tcPr>
                  <w:tcW w:w="4252" w:type="dxa"/>
                  <w:shd w:val="clear" w:color="auto" w:fill="auto"/>
                  <w:vAlign w:val="center"/>
                </w:tcPr>
                <w:p>
                  <w:pPr>
                    <w:adjustRightInd w:val="0"/>
                    <w:snapToGrid w:val="0"/>
                    <w:jc w:val="center"/>
                    <w:rPr>
                      <w:szCs w:val="21"/>
                    </w:rPr>
                  </w:pPr>
                  <w:r>
                    <w:rPr>
                      <w:szCs w:val="21"/>
                    </w:rPr>
                    <w:t>1、到2020年赣州市区域用水总量不得超过35.83亿立方米。</w:t>
                  </w:r>
                </w:p>
              </w:tc>
              <w:tc>
                <w:tcPr>
                  <w:tcW w:w="1067" w:type="dxa"/>
                  <w:vMerge w:val="restart"/>
                  <w:shd w:val="clear" w:color="auto" w:fill="auto"/>
                  <w:vAlign w:val="center"/>
                </w:tcPr>
                <w:p>
                  <w:pPr>
                    <w:adjustRightInd w:val="0"/>
                    <w:snapToGrid w:val="0"/>
                    <w:jc w:val="center"/>
                    <w:rPr>
                      <w:kern w:val="0"/>
                      <w:szCs w:val="21"/>
                    </w:rPr>
                  </w:pPr>
                  <w:r>
                    <w:rPr>
                      <w:szCs w:val="21"/>
                    </w:rPr>
                    <w:t>本项目符合资源利用效率要求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vMerge w:val="continue"/>
                  <w:shd w:val="clear" w:color="auto" w:fill="auto"/>
                  <w:vAlign w:val="center"/>
                </w:tcPr>
                <w:p>
                  <w:pPr>
                    <w:adjustRightInd w:val="0"/>
                    <w:snapToGrid w:val="0"/>
                    <w:jc w:val="center"/>
                    <w:rPr>
                      <w:kern w:val="0"/>
                      <w:szCs w:val="21"/>
                    </w:rPr>
                  </w:pPr>
                </w:p>
              </w:tc>
              <w:tc>
                <w:tcPr>
                  <w:tcW w:w="426" w:type="dxa"/>
                  <w:vMerge w:val="continue"/>
                  <w:shd w:val="clear" w:color="auto" w:fill="auto"/>
                  <w:vAlign w:val="center"/>
                </w:tcPr>
                <w:p>
                  <w:pPr>
                    <w:adjustRightInd w:val="0"/>
                    <w:snapToGrid w:val="0"/>
                    <w:jc w:val="center"/>
                    <w:rPr>
                      <w:kern w:val="0"/>
                      <w:szCs w:val="21"/>
                    </w:rPr>
                  </w:pPr>
                </w:p>
              </w:tc>
              <w:tc>
                <w:tcPr>
                  <w:tcW w:w="4252" w:type="dxa"/>
                  <w:shd w:val="clear" w:color="auto" w:fill="auto"/>
                  <w:vAlign w:val="center"/>
                </w:tcPr>
                <w:p>
                  <w:pPr>
                    <w:adjustRightInd w:val="0"/>
                    <w:snapToGrid w:val="0"/>
                    <w:jc w:val="center"/>
                    <w:rPr>
                      <w:szCs w:val="21"/>
                    </w:rPr>
                  </w:pPr>
                  <w:r>
                    <w:rPr>
                      <w:szCs w:val="21"/>
                    </w:rPr>
                    <w:t>2、农业灌溉水有效利用效率不低于0.509。</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shd w:val="clear" w:color="auto" w:fill="auto"/>
                  <w:vAlign w:val="center"/>
                </w:tcPr>
                <w:p>
                  <w:pPr>
                    <w:adjustRightInd w:val="0"/>
                    <w:snapToGrid w:val="0"/>
                    <w:jc w:val="center"/>
                    <w:rPr>
                      <w:kern w:val="0"/>
                      <w:szCs w:val="21"/>
                    </w:rPr>
                  </w:pPr>
                  <w:r>
                    <w:rPr>
                      <w:szCs w:val="21"/>
                    </w:rPr>
                    <w:t>地下水开采要求</w:t>
                  </w:r>
                </w:p>
              </w:tc>
              <w:tc>
                <w:tcPr>
                  <w:tcW w:w="426" w:type="dxa"/>
                  <w:shd w:val="clear" w:color="auto" w:fill="auto"/>
                  <w:vAlign w:val="center"/>
                </w:tcPr>
                <w:p>
                  <w:pPr>
                    <w:adjustRightInd w:val="0"/>
                    <w:snapToGrid w:val="0"/>
                    <w:jc w:val="center"/>
                    <w:rPr>
                      <w:kern w:val="0"/>
                      <w:szCs w:val="21"/>
                    </w:rPr>
                  </w:pPr>
                  <w:r>
                    <w:rPr>
                      <w:szCs w:val="21"/>
                    </w:rPr>
                    <w:t>11</w:t>
                  </w:r>
                </w:p>
              </w:tc>
              <w:tc>
                <w:tcPr>
                  <w:tcW w:w="4252" w:type="dxa"/>
                  <w:shd w:val="clear" w:color="auto" w:fill="auto"/>
                  <w:vAlign w:val="center"/>
                </w:tcPr>
                <w:p>
                  <w:pPr>
                    <w:adjustRightInd w:val="0"/>
                    <w:snapToGrid w:val="0"/>
                    <w:jc w:val="center"/>
                    <w:rPr>
                      <w:szCs w:val="21"/>
                    </w:rPr>
                  </w:pPr>
                  <w:r>
                    <w:rPr>
                      <w:szCs w:val="21"/>
                    </w:rPr>
                    <w:t>禁止在赣州市中心城区新增取用地下水。</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shd w:val="clear" w:color="auto" w:fill="auto"/>
                  <w:vAlign w:val="center"/>
                </w:tcPr>
                <w:p>
                  <w:pPr>
                    <w:adjustRightInd w:val="0"/>
                    <w:snapToGrid w:val="0"/>
                    <w:jc w:val="center"/>
                    <w:rPr>
                      <w:kern w:val="0"/>
                      <w:szCs w:val="21"/>
                    </w:rPr>
                  </w:pPr>
                  <w:r>
                    <w:rPr>
                      <w:szCs w:val="21"/>
                    </w:rPr>
                    <w:t>能源利用总量及效率要求</w:t>
                  </w:r>
                </w:p>
              </w:tc>
              <w:tc>
                <w:tcPr>
                  <w:tcW w:w="426" w:type="dxa"/>
                  <w:shd w:val="clear" w:color="auto" w:fill="auto"/>
                  <w:vAlign w:val="center"/>
                </w:tcPr>
                <w:p>
                  <w:pPr>
                    <w:adjustRightInd w:val="0"/>
                    <w:snapToGrid w:val="0"/>
                    <w:jc w:val="center"/>
                    <w:rPr>
                      <w:kern w:val="0"/>
                      <w:szCs w:val="21"/>
                    </w:rPr>
                  </w:pPr>
                  <w:r>
                    <w:rPr>
                      <w:szCs w:val="21"/>
                    </w:rPr>
                    <w:t>12</w:t>
                  </w:r>
                </w:p>
              </w:tc>
              <w:tc>
                <w:tcPr>
                  <w:tcW w:w="4252" w:type="dxa"/>
                  <w:shd w:val="clear" w:color="auto" w:fill="auto"/>
                  <w:vAlign w:val="center"/>
                </w:tcPr>
                <w:p>
                  <w:pPr>
                    <w:adjustRightInd w:val="0"/>
                    <w:snapToGrid w:val="0"/>
                    <w:jc w:val="center"/>
                    <w:rPr>
                      <w:szCs w:val="21"/>
                    </w:rPr>
                  </w:pPr>
                  <w:r>
                    <w:rPr>
                      <w:szCs w:val="21"/>
                    </w:rPr>
                    <w:t>到2020年，全市万元地区生产总值能耗比 2015 年下降15%，能源消费总量控制在1019万吨标准煤以内。</w:t>
                  </w:r>
                </w:p>
              </w:tc>
              <w:tc>
                <w:tcPr>
                  <w:tcW w:w="1067" w:type="dxa"/>
                  <w:vMerge w:val="continue"/>
                  <w:shd w:val="clear" w:color="auto" w:fill="auto"/>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Merge w:val="continue"/>
                  <w:shd w:val="clear" w:color="auto" w:fill="auto"/>
                  <w:vAlign w:val="center"/>
                </w:tcPr>
                <w:p>
                  <w:pPr>
                    <w:adjustRightInd w:val="0"/>
                    <w:snapToGrid w:val="0"/>
                    <w:jc w:val="center"/>
                    <w:rPr>
                      <w:kern w:val="0"/>
                      <w:szCs w:val="21"/>
                    </w:rPr>
                  </w:pPr>
                </w:p>
              </w:tc>
              <w:tc>
                <w:tcPr>
                  <w:tcW w:w="842" w:type="dxa"/>
                  <w:shd w:val="clear" w:color="auto" w:fill="auto"/>
                  <w:vAlign w:val="center"/>
                </w:tcPr>
                <w:p>
                  <w:pPr>
                    <w:adjustRightInd w:val="0"/>
                    <w:snapToGrid w:val="0"/>
                    <w:jc w:val="center"/>
                    <w:rPr>
                      <w:kern w:val="0"/>
                      <w:szCs w:val="21"/>
                    </w:rPr>
                  </w:pPr>
                  <w:r>
                    <w:rPr>
                      <w:szCs w:val="21"/>
                    </w:rPr>
                    <w:t>禁燃区要求</w:t>
                  </w:r>
                </w:p>
              </w:tc>
              <w:tc>
                <w:tcPr>
                  <w:tcW w:w="426" w:type="dxa"/>
                  <w:shd w:val="clear" w:color="auto" w:fill="auto"/>
                  <w:vAlign w:val="center"/>
                </w:tcPr>
                <w:p>
                  <w:pPr>
                    <w:adjustRightInd w:val="0"/>
                    <w:snapToGrid w:val="0"/>
                    <w:jc w:val="center"/>
                    <w:rPr>
                      <w:kern w:val="0"/>
                      <w:szCs w:val="21"/>
                    </w:rPr>
                  </w:pPr>
                  <w:r>
                    <w:rPr>
                      <w:szCs w:val="21"/>
                    </w:rPr>
                    <w:t>13</w:t>
                  </w:r>
                </w:p>
              </w:tc>
              <w:tc>
                <w:tcPr>
                  <w:tcW w:w="4252" w:type="dxa"/>
                  <w:shd w:val="clear" w:color="auto" w:fill="auto"/>
                  <w:vAlign w:val="center"/>
                </w:tcPr>
                <w:p>
                  <w:pPr>
                    <w:widowControl/>
                    <w:jc w:val="center"/>
                    <w:rPr>
                      <w:kern w:val="0"/>
                      <w:sz w:val="24"/>
                    </w:rPr>
                  </w:pPr>
                  <w:r>
                    <w:rPr>
                      <w:kern w:val="0"/>
                      <w:szCs w:val="21"/>
                    </w:rPr>
                    <w:t>1、禁止在赣州市划定的高污染燃料禁燃区燃用高污染燃料，及新建、扩建燃用高污染燃料的项目和设施。</w:t>
                  </w:r>
                </w:p>
                <w:p>
                  <w:pPr>
                    <w:adjustRightInd w:val="0"/>
                    <w:snapToGrid w:val="0"/>
                    <w:jc w:val="center"/>
                    <w:rPr>
                      <w:szCs w:val="21"/>
                    </w:rPr>
                  </w:pPr>
                  <w:r>
                    <w:rPr>
                      <w:kern w:val="0"/>
                      <w:szCs w:val="21"/>
                    </w:rPr>
                    <w:t>2、禁燃区内现有使用高污染燃料的区域应分期分批次淘汰或实施清洁能源改造。</w:t>
                  </w:r>
                </w:p>
              </w:tc>
              <w:tc>
                <w:tcPr>
                  <w:tcW w:w="1067" w:type="dxa"/>
                  <w:vMerge w:val="continue"/>
                  <w:shd w:val="clear" w:color="auto" w:fill="auto"/>
                  <w:vAlign w:val="center"/>
                </w:tcPr>
                <w:p>
                  <w:pPr>
                    <w:adjustRightInd w:val="0"/>
                    <w:snapToGrid w:val="0"/>
                    <w:jc w:val="center"/>
                    <w:rPr>
                      <w:kern w:val="0"/>
                      <w:szCs w:val="21"/>
                    </w:rPr>
                  </w:pPr>
                </w:p>
              </w:tc>
            </w:tr>
          </w:tbl>
          <w:p>
            <w:pPr>
              <w:adjustRightInd w:val="0"/>
              <w:snapToGrid w:val="0"/>
              <w:spacing w:line="360" w:lineRule="auto"/>
              <w:jc w:val="left"/>
              <w:rPr>
                <w:kern w:val="0"/>
                <w:szCs w:val="21"/>
              </w:rPr>
            </w:pPr>
          </w:p>
          <w:p>
            <w:pPr>
              <w:adjustRightInd w:val="0"/>
              <w:snapToGrid w:val="0"/>
              <w:spacing w:line="276" w:lineRule="auto"/>
              <w:jc w:val="center"/>
              <w:rPr>
                <w:b/>
                <w:kern w:val="0"/>
              </w:rPr>
            </w:pPr>
            <w:r>
              <w:rPr>
                <w:b/>
                <w:kern w:val="0"/>
              </w:rPr>
              <w:t>表1-5 单元环境管控准入清单</w:t>
            </w:r>
          </w:p>
          <w:tbl>
            <w:tblPr>
              <w:tblStyle w:val="21"/>
              <w:tblW w:w="7291"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28" w:type="dxa"/>
                <w:bottom w:w="0" w:type="dxa"/>
                <w:right w:w="28" w:type="dxa"/>
              </w:tblCellMar>
            </w:tblPr>
            <w:tblGrid>
              <w:gridCol w:w="653"/>
              <w:gridCol w:w="1491"/>
              <w:gridCol w:w="683"/>
              <w:gridCol w:w="2268"/>
              <w:gridCol w:w="219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275" w:hRule="atLeast"/>
                <w:jc w:val="center"/>
              </w:trPr>
              <w:tc>
                <w:tcPr>
                  <w:tcW w:w="653" w:type="dxa"/>
                  <w:shd w:val="clear" w:color="auto" w:fill="auto"/>
                  <w:vAlign w:val="center"/>
                </w:tcPr>
                <w:p>
                  <w:pPr>
                    <w:widowControl/>
                    <w:jc w:val="center"/>
                    <w:rPr>
                      <w:b/>
                      <w:kern w:val="0"/>
                      <w:szCs w:val="21"/>
                    </w:rPr>
                  </w:pPr>
                  <w:r>
                    <w:rPr>
                      <w:b/>
                      <w:kern w:val="0"/>
                      <w:szCs w:val="21"/>
                    </w:rPr>
                    <w:t>单元编码</w:t>
                  </w:r>
                </w:p>
              </w:tc>
              <w:tc>
                <w:tcPr>
                  <w:tcW w:w="1491" w:type="dxa"/>
                  <w:shd w:val="clear" w:color="auto" w:fill="auto"/>
                  <w:vAlign w:val="center"/>
                </w:tcPr>
                <w:p>
                  <w:pPr>
                    <w:widowControl/>
                    <w:jc w:val="center"/>
                    <w:rPr>
                      <w:kern w:val="0"/>
                      <w:szCs w:val="21"/>
                    </w:rPr>
                  </w:pPr>
                  <w:r>
                    <w:rPr>
                      <w:kern w:val="0"/>
                      <w:szCs w:val="21"/>
                    </w:rPr>
                    <w:t>ZH36073020001</w:t>
                  </w:r>
                </w:p>
              </w:tc>
              <w:tc>
                <w:tcPr>
                  <w:tcW w:w="683" w:type="dxa"/>
                  <w:shd w:val="clear" w:color="auto" w:fill="auto"/>
                  <w:vAlign w:val="center"/>
                </w:tcPr>
                <w:p>
                  <w:pPr>
                    <w:widowControl/>
                    <w:jc w:val="center"/>
                    <w:rPr>
                      <w:b/>
                      <w:kern w:val="0"/>
                      <w:szCs w:val="21"/>
                    </w:rPr>
                  </w:pPr>
                  <w:r>
                    <w:rPr>
                      <w:b/>
                      <w:kern w:val="0"/>
                      <w:szCs w:val="21"/>
                    </w:rPr>
                    <w:t>单元名称</w:t>
                  </w:r>
                </w:p>
              </w:tc>
              <w:tc>
                <w:tcPr>
                  <w:tcW w:w="4464" w:type="dxa"/>
                  <w:gridSpan w:val="2"/>
                  <w:shd w:val="clear" w:color="auto" w:fill="auto"/>
                  <w:vAlign w:val="center"/>
                </w:tcPr>
                <w:p>
                  <w:pPr>
                    <w:widowControl/>
                    <w:jc w:val="center"/>
                    <w:rPr>
                      <w:kern w:val="0"/>
                      <w:szCs w:val="21"/>
                    </w:rPr>
                  </w:pPr>
                  <w:r>
                    <w:rPr>
                      <w:kern w:val="0"/>
                      <w:szCs w:val="21"/>
                    </w:rPr>
                    <w:t>江西省赣州市宁都县重点管控单元1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275" w:hRule="atLeast"/>
                <w:jc w:val="center"/>
              </w:trPr>
              <w:tc>
                <w:tcPr>
                  <w:tcW w:w="653" w:type="dxa"/>
                  <w:shd w:val="clear" w:color="auto" w:fill="auto"/>
                  <w:vAlign w:val="center"/>
                </w:tcPr>
                <w:p>
                  <w:pPr>
                    <w:widowControl/>
                    <w:rPr>
                      <w:b/>
                      <w:kern w:val="0"/>
                      <w:szCs w:val="21"/>
                    </w:rPr>
                  </w:pPr>
                  <w:r>
                    <w:rPr>
                      <w:b/>
                      <w:kern w:val="0"/>
                      <w:szCs w:val="21"/>
                    </w:rPr>
                    <w:t>单元类型</w:t>
                  </w:r>
                </w:p>
              </w:tc>
              <w:tc>
                <w:tcPr>
                  <w:tcW w:w="1491" w:type="dxa"/>
                  <w:shd w:val="clear" w:color="auto" w:fill="auto"/>
                  <w:vAlign w:val="center"/>
                </w:tcPr>
                <w:p>
                  <w:pPr>
                    <w:widowControl/>
                    <w:jc w:val="center"/>
                    <w:rPr>
                      <w:kern w:val="0"/>
                      <w:szCs w:val="21"/>
                    </w:rPr>
                  </w:pPr>
                  <w:r>
                    <w:rPr>
                      <w:kern w:val="0"/>
                      <w:szCs w:val="21"/>
                    </w:rPr>
                    <w:t>重点管控单元</w:t>
                  </w:r>
                </w:p>
              </w:tc>
              <w:tc>
                <w:tcPr>
                  <w:tcW w:w="683" w:type="dxa"/>
                  <w:shd w:val="clear" w:color="auto" w:fill="auto"/>
                  <w:vAlign w:val="center"/>
                </w:tcPr>
                <w:p>
                  <w:pPr>
                    <w:widowControl/>
                    <w:jc w:val="center"/>
                    <w:rPr>
                      <w:b/>
                      <w:kern w:val="0"/>
                      <w:szCs w:val="21"/>
                    </w:rPr>
                  </w:pPr>
                  <w:r>
                    <w:rPr>
                      <w:b/>
                      <w:kern w:val="0"/>
                      <w:szCs w:val="21"/>
                    </w:rPr>
                    <w:t>单元范围</w:t>
                  </w:r>
                </w:p>
              </w:tc>
              <w:tc>
                <w:tcPr>
                  <w:tcW w:w="4464" w:type="dxa"/>
                  <w:gridSpan w:val="2"/>
                  <w:shd w:val="clear" w:color="auto" w:fill="auto"/>
                  <w:vAlign w:val="center"/>
                </w:tcPr>
                <w:p>
                  <w:pPr>
                    <w:widowControl/>
                    <w:jc w:val="center"/>
                    <w:rPr>
                      <w:kern w:val="0"/>
                      <w:szCs w:val="21"/>
                    </w:rPr>
                  </w:pPr>
                  <w:r>
                    <w:rPr>
                      <w:kern w:val="0"/>
                      <w:szCs w:val="21"/>
                    </w:rPr>
                    <w:t>梅江镇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275" w:hRule="atLeast"/>
                <w:jc w:val="center"/>
              </w:trPr>
              <w:tc>
                <w:tcPr>
                  <w:tcW w:w="5095" w:type="dxa"/>
                  <w:gridSpan w:val="4"/>
                  <w:shd w:val="clear" w:color="auto" w:fill="auto"/>
                  <w:vAlign w:val="center"/>
                </w:tcPr>
                <w:p>
                  <w:pPr>
                    <w:widowControl/>
                    <w:jc w:val="center"/>
                    <w:rPr>
                      <w:b/>
                      <w:kern w:val="0"/>
                      <w:szCs w:val="21"/>
                    </w:rPr>
                  </w:pPr>
                  <w:r>
                    <w:rPr>
                      <w:b/>
                      <w:kern w:val="0"/>
                      <w:szCs w:val="21"/>
                    </w:rPr>
                    <w:t>环境管控单元准入清单</w:t>
                  </w:r>
                </w:p>
              </w:tc>
              <w:tc>
                <w:tcPr>
                  <w:tcW w:w="2196" w:type="dxa"/>
                  <w:vMerge w:val="restart"/>
                  <w:vAlign w:val="center"/>
                </w:tcPr>
                <w:p>
                  <w:pPr>
                    <w:widowControl/>
                    <w:jc w:val="center"/>
                    <w:rPr>
                      <w:b/>
                      <w:kern w:val="0"/>
                      <w:szCs w:val="21"/>
                    </w:rPr>
                  </w:pPr>
                  <w:r>
                    <w:rPr>
                      <w:rFonts w:hint="eastAsia"/>
                      <w:b/>
                      <w:kern w:val="0"/>
                      <w:szCs w:val="21"/>
                    </w:rPr>
                    <w:t>项目符合性分析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275" w:hRule="atLeast"/>
                <w:jc w:val="center"/>
              </w:trPr>
              <w:tc>
                <w:tcPr>
                  <w:tcW w:w="653" w:type="dxa"/>
                  <w:shd w:val="clear" w:color="auto" w:fill="auto"/>
                  <w:vAlign w:val="center"/>
                </w:tcPr>
                <w:p>
                  <w:pPr>
                    <w:widowControl/>
                    <w:jc w:val="center"/>
                    <w:rPr>
                      <w:b/>
                      <w:kern w:val="0"/>
                      <w:szCs w:val="21"/>
                    </w:rPr>
                  </w:pPr>
                  <w:r>
                    <w:rPr>
                      <w:b/>
                      <w:kern w:val="0"/>
                      <w:szCs w:val="21"/>
                    </w:rPr>
                    <w:t>序号</w:t>
                  </w:r>
                </w:p>
              </w:tc>
              <w:tc>
                <w:tcPr>
                  <w:tcW w:w="1491" w:type="dxa"/>
                  <w:shd w:val="clear" w:color="auto" w:fill="auto"/>
                  <w:vAlign w:val="center"/>
                </w:tcPr>
                <w:p>
                  <w:pPr>
                    <w:widowControl/>
                    <w:jc w:val="center"/>
                    <w:rPr>
                      <w:b/>
                      <w:kern w:val="0"/>
                      <w:szCs w:val="21"/>
                    </w:rPr>
                  </w:pPr>
                  <w:r>
                    <w:rPr>
                      <w:b/>
                      <w:kern w:val="0"/>
                      <w:szCs w:val="21"/>
                    </w:rPr>
                    <w:t>维度</w:t>
                  </w:r>
                </w:p>
              </w:tc>
              <w:tc>
                <w:tcPr>
                  <w:tcW w:w="683" w:type="dxa"/>
                  <w:shd w:val="clear" w:color="auto" w:fill="auto"/>
                  <w:vAlign w:val="center"/>
                </w:tcPr>
                <w:p>
                  <w:pPr>
                    <w:widowControl/>
                    <w:jc w:val="center"/>
                    <w:rPr>
                      <w:b/>
                      <w:kern w:val="0"/>
                      <w:szCs w:val="21"/>
                    </w:rPr>
                  </w:pPr>
                  <w:r>
                    <w:rPr>
                      <w:b/>
                      <w:kern w:val="0"/>
                      <w:szCs w:val="21"/>
                    </w:rPr>
                    <w:t>清单编制要求</w:t>
                  </w:r>
                </w:p>
              </w:tc>
              <w:tc>
                <w:tcPr>
                  <w:tcW w:w="2268" w:type="dxa"/>
                  <w:shd w:val="clear" w:color="auto" w:fill="auto"/>
                  <w:vAlign w:val="center"/>
                </w:tcPr>
                <w:p>
                  <w:pPr>
                    <w:widowControl/>
                    <w:jc w:val="center"/>
                    <w:rPr>
                      <w:b/>
                      <w:kern w:val="0"/>
                      <w:szCs w:val="21"/>
                    </w:rPr>
                  </w:pPr>
                  <w:r>
                    <w:rPr>
                      <w:b/>
                      <w:kern w:val="0"/>
                      <w:szCs w:val="21"/>
                    </w:rPr>
                    <w:t>准入清单</w:t>
                  </w:r>
                </w:p>
              </w:tc>
              <w:tc>
                <w:tcPr>
                  <w:tcW w:w="2196" w:type="dxa"/>
                  <w:vMerge w:val="continue"/>
                  <w:vAlign w:val="center"/>
                </w:tcPr>
                <w:p>
                  <w:pPr>
                    <w:widowControl/>
                    <w:jc w:val="center"/>
                    <w:rPr>
                      <w:b/>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275" w:hRule="atLeast"/>
                <w:jc w:val="center"/>
              </w:trPr>
              <w:tc>
                <w:tcPr>
                  <w:tcW w:w="653" w:type="dxa"/>
                  <w:shd w:val="clear" w:color="auto" w:fill="auto"/>
                  <w:vAlign w:val="center"/>
                </w:tcPr>
                <w:p>
                  <w:pPr>
                    <w:widowControl/>
                    <w:jc w:val="center"/>
                    <w:rPr>
                      <w:kern w:val="0"/>
                      <w:szCs w:val="21"/>
                    </w:rPr>
                  </w:pPr>
                  <w:r>
                    <w:rPr>
                      <w:kern w:val="0"/>
                      <w:szCs w:val="21"/>
                    </w:rPr>
                    <w:t>1</w:t>
                  </w:r>
                </w:p>
              </w:tc>
              <w:tc>
                <w:tcPr>
                  <w:tcW w:w="1491" w:type="dxa"/>
                  <w:vMerge w:val="restart"/>
                  <w:shd w:val="clear" w:color="auto" w:fill="auto"/>
                  <w:vAlign w:val="center"/>
                </w:tcPr>
                <w:p>
                  <w:pPr>
                    <w:widowControl/>
                    <w:jc w:val="center"/>
                    <w:rPr>
                      <w:kern w:val="0"/>
                      <w:szCs w:val="21"/>
                    </w:rPr>
                  </w:pPr>
                  <w:r>
                    <w:rPr>
                      <w:kern w:val="0"/>
                      <w:szCs w:val="21"/>
                    </w:rPr>
                    <w:t>空间布局约束</w:t>
                  </w:r>
                </w:p>
              </w:tc>
              <w:tc>
                <w:tcPr>
                  <w:tcW w:w="683" w:type="dxa"/>
                  <w:shd w:val="clear" w:color="auto" w:fill="auto"/>
                  <w:vAlign w:val="center"/>
                </w:tcPr>
                <w:p>
                  <w:pPr>
                    <w:widowControl/>
                    <w:jc w:val="center"/>
                    <w:rPr>
                      <w:kern w:val="0"/>
                      <w:szCs w:val="21"/>
                    </w:rPr>
                  </w:pPr>
                  <w:r>
                    <w:rPr>
                      <w:kern w:val="0"/>
                      <w:szCs w:val="21"/>
                    </w:rPr>
                    <w:t>禁止开发建设活动的要求</w:t>
                  </w:r>
                </w:p>
              </w:tc>
              <w:tc>
                <w:tcPr>
                  <w:tcW w:w="2268" w:type="dxa"/>
                  <w:shd w:val="clear" w:color="auto" w:fill="auto"/>
                  <w:vAlign w:val="center"/>
                </w:tcPr>
                <w:p>
                  <w:pPr>
                    <w:widowControl/>
                    <w:adjustRightInd w:val="0"/>
                    <w:snapToGrid w:val="0"/>
                    <w:jc w:val="left"/>
                    <w:rPr>
                      <w:kern w:val="0"/>
                      <w:szCs w:val="21"/>
                    </w:rPr>
                  </w:pPr>
                  <w:r>
                    <w:rPr>
                      <w:kern w:val="0"/>
                      <w:szCs w:val="21"/>
                    </w:rPr>
                    <w:t>1、宁都起义指挥部旧址国家级文化保护单元（CJD001）禁止开采区和翠微峰省级禁止开采区（CJD018）区内实行生态环境保护优先，严格执行禁止开采区相关管理规定。</w:t>
                  </w:r>
                </w:p>
                <w:p>
                  <w:pPr>
                    <w:widowControl/>
                    <w:jc w:val="left"/>
                    <w:rPr>
                      <w:kern w:val="0"/>
                      <w:szCs w:val="21"/>
                    </w:rPr>
                  </w:pPr>
                  <w:r>
                    <w:rPr>
                      <w:kern w:val="0"/>
                      <w:szCs w:val="21"/>
                    </w:rPr>
                    <w:t>2、生态保护红线范围执行生态保护红线的有关管理规定。</w:t>
                  </w:r>
                </w:p>
                <w:p>
                  <w:pPr>
                    <w:widowControl/>
                    <w:jc w:val="left"/>
                    <w:rPr>
                      <w:kern w:val="0"/>
                      <w:szCs w:val="21"/>
                    </w:rPr>
                  </w:pPr>
                  <w:r>
                    <w:rPr>
                      <w:kern w:val="0"/>
                      <w:szCs w:val="21"/>
                    </w:rPr>
                    <w:t>3、禁养区禁止建设养殖场或禁止建设有污染物排放的养殖场。</w:t>
                  </w:r>
                </w:p>
              </w:tc>
              <w:tc>
                <w:tcPr>
                  <w:tcW w:w="2196" w:type="dxa"/>
                  <w:vAlign w:val="center"/>
                </w:tcPr>
                <w:p>
                  <w:pPr>
                    <w:widowControl/>
                    <w:adjustRightInd w:val="0"/>
                    <w:snapToGrid w:val="0"/>
                    <w:jc w:val="center"/>
                    <w:rPr>
                      <w:kern w:val="0"/>
                      <w:szCs w:val="21"/>
                    </w:rPr>
                  </w:pPr>
                  <w:r>
                    <w:rPr>
                      <w:rFonts w:hint="eastAsia"/>
                      <w:kern w:val="0"/>
                      <w:szCs w:val="21"/>
                    </w:rPr>
                    <w:t>本项目不属于禁止开发建设的活动，符合准入清单要求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275" w:hRule="atLeast"/>
                <w:jc w:val="center"/>
              </w:trPr>
              <w:tc>
                <w:tcPr>
                  <w:tcW w:w="653" w:type="dxa"/>
                  <w:shd w:val="clear" w:color="auto" w:fill="auto"/>
                  <w:vAlign w:val="center"/>
                </w:tcPr>
                <w:p>
                  <w:pPr>
                    <w:widowControl/>
                    <w:jc w:val="center"/>
                    <w:rPr>
                      <w:kern w:val="0"/>
                      <w:szCs w:val="21"/>
                    </w:rPr>
                  </w:pPr>
                  <w:r>
                    <w:rPr>
                      <w:kern w:val="0"/>
                      <w:szCs w:val="21"/>
                    </w:rPr>
                    <w:t>2</w:t>
                  </w:r>
                </w:p>
              </w:tc>
              <w:tc>
                <w:tcPr>
                  <w:tcW w:w="1491" w:type="dxa"/>
                  <w:vMerge w:val="continue"/>
                  <w:shd w:val="clear" w:color="auto" w:fill="auto"/>
                  <w:vAlign w:val="center"/>
                </w:tcPr>
                <w:p>
                  <w:pPr>
                    <w:widowControl/>
                    <w:rPr>
                      <w:kern w:val="0"/>
                      <w:szCs w:val="21"/>
                    </w:rPr>
                  </w:pPr>
                </w:p>
              </w:tc>
              <w:tc>
                <w:tcPr>
                  <w:tcW w:w="683" w:type="dxa"/>
                  <w:shd w:val="clear" w:color="auto" w:fill="auto"/>
                  <w:vAlign w:val="center"/>
                </w:tcPr>
                <w:p>
                  <w:pPr>
                    <w:widowControl/>
                    <w:jc w:val="center"/>
                    <w:rPr>
                      <w:kern w:val="0"/>
                      <w:szCs w:val="21"/>
                    </w:rPr>
                  </w:pPr>
                  <w:r>
                    <w:rPr>
                      <w:kern w:val="0"/>
                      <w:szCs w:val="21"/>
                    </w:rPr>
                    <w:t>限制开发建设活动的要求</w:t>
                  </w:r>
                </w:p>
              </w:tc>
              <w:tc>
                <w:tcPr>
                  <w:tcW w:w="2268" w:type="dxa"/>
                  <w:shd w:val="clear" w:color="auto" w:fill="auto"/>
                  <w:vAlign w:val="center"/>
                </w:tcPr>
                <w:p>
                  <w:pPr>
                    <w:widowControl/>
                    <w:rPr>
                      <w:kern w:val="0"/>
                      <w:szCs w:val="21"/>
                    </w:rPr>
                  </w:pPr>
                  <w:r>
                    <w:rPr>
                      <w:kern w:val="0"/>
                      <w:szCs w:val="21"/>
                    </w:rPr>
                    <w:t>不得在集中供水工程和饮用水水源一级保护区内建设与供水设施和水源保护无关的建设项目。</w:t>
                  </w:r>
                </w:p>
              </w:tc>
              <w:tc>
                <w:tcPr>
                  <w:tcW w:w="2196" w:type="dxa"/>
                  <w:vAlign w:val="center"/>
                </w:tcPr>
                <w:p>
                  <w:pPr>
                    <w:widowControl/>
                    <w:jc w:val="center"/>
                    <w:rPr>
                      <w:kern w:val="0"/>
                      <w:szCs w:val="21"/>
                    </w:rPr>
                  </w:pPr>
                  <w:r>
                    <w:rPr>
                      <w:rFonts w:hint="eastAsia"/>
                      <w:kern w:val="0"/>
                      <w:szCs w:val="21"/>
                    </w:rPr>
                    <w:t>本项目不在集中供水工程和饮用水水源一级保护区内建设，符合限制开发建设活动的要求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275" w:hRule="atLeast"/>
                <w:jc w:val="center"/>
              </w:trPr>
              <w:tc>
                <w:tcPr>
                  <w:tcW w:w="653" w:type="dxa"/>
                  <w:shd w:val="clear" w:color="auto" w:fill="auto"/>
                  <w:vAlign w:val="center"/>
                </w:tcPr>
                <w:p>
                  <w:pPr>
                    <w:widowControl/>
                    <w:jc w:val="center"/>
                    <w:rPr>
                      <w:kern w:val="0"/>
                      <w:szCs w:val="21"/>
                    </w:rPr>
                  </w:pPr>
                  <w:r>
                    <w:rPr>
                      <w:kern w:val="0"/>
                      <w:szCs w:val="21"/>
                    </w:rPr>
                    <w:t>3</w:t>
                  </w:r>
                </w:p>
              </w:tc>
              <w:tc>
                <w:tcPr>
                  <w:tcW w:w="1491" w:type="dxa"/>
                  <w:vMerge w:val="continue"/>
                  <w:vAlign w:val="center"/>
                </w:tcPr>
                <w:p>
                  <w:pPr>
                    <w:widowControl/>
                    <w:jc w:val="left"/>
                    <w:rPr>
                      <w:kern w:val="0"/>
                      <w:szCs w:val="21"/>
                    </w:rPr>
                  </w:pPr>
                </w:p>
              </w:tc>
              <w:tc>
                <w:tcPr>
                  <w:tcW w:w="683" w:type="dxa"/>
                  <w:shd w:val="clear" w:color="auto" w:fill="auto"/>
                  <w:vAlign w:val="center"/>
                </w:tcPr>
                <w:p>
                  <w:pPr>
                    <w:widowControl/>
                    <w:jc w:val="center"/>
                    <w:rPr>
                      <w:kern w:val="0"/>
                      <w:szCs w:val="21"/>
                    </w:rPr>
                  </w:pPr>
                  <w:r>
                    <w:rPr>
                      <w:kern w:val="0"/>
                      <w:szCs w:val="21"/>
                    </w:rPr>
                    <w:t>不符合空间布局要求活动的退出要求</w:t>
                  </w:r>
                </w:p>
              </w:tc>
              <w:tc>
                <w:tcPr>
                  <w:tcW w:w="2268" w:type="dxa"/>
                  <w:shd w:val="clear" w:color="auto" w:fill="auto"/>
                  <w:vAlign w:val="center"/>
                </w:tcPr>
                <w:p>
                  <w:pPr>
                    <w:widowControl/>
                    <w:jc w:val="left"/>
                    <w:rPr>
                      <w:kern w:val="0"/>
                      <w:szCs w:val="21"/>
                    </w:rPr>
                  </w:pPr>
                  <w:r>
                    <w:rPr>
                      <w:kern w:val="0"/>
                      <w:szCs w:val="21"/>
                    </w:rPr>
                    <w:t>1、经生态保护红线优化后不符合生态功能区活动的，限期退出依法关停。</w:t>
                  </w:r>
                </w:p>
                <w:p>
                  <w:pPr>
                    <w:widowControl/>
                    <w:jc w:val="left"/>
                    <w:rPr>
                      <w:kern w:val="0"/>
                      <w:szCs w:val="21"/>
                    </w:rPr>
                  </w:pPr>
                  <w:r>
                    <w:rPr>
                      <w:kern w:val="0"/>
                      <w:szCs w:val="21"/>
                    </w:rPr>
                    <w:t>2、不合法的矿产资源开发应限制退出或关停。</w:t>
                  </w:r>
                </w:p>
              </w:tc>
              <w:tc>
                <w:tcPr>
                  <w:tcW w:w="2196" w:type="dxa"/>
                  <w:vAlign w:val="center"/>
                </w:tcPr>
                <w:p>
                  <w:pPr>
                    <w:widowControl/>
                    <w:jc w:val="center"/>
                    <w:rPr>
                      <w:kern w:val="0"/>
                      <w:szCs w:val="21"/>
                    </w:rPr>
                  </w:pPr>
                  <w:r>
                    <w:rPr>
                      <w:rFonts w:hint="eastAsia"/>
                      <w:kern w:val="0"/>
                      <w:szCs w:val="21"/>
                    </w:rPr>
                    <w:t>本项目符合空间布局活动要求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275" w:hRule="atLeast"/>
                <w:jc w:val="center"/>
              </w:trPr>
              <w:tc>
                <w:tcPr>
                  <w:tcW w:w="653" w:type="dxa"/>
                  <w:shd w:val="clear" w:color="auto" w:fill="auto"/>
                  <w:vAlign w:val="center"/>
                </w:tcPr>
                <w:p>
                  <w:pPr>
                    <w:widowControl/>
                    <w:jc w:val="center"/>
                    <w:rPr>
                      <w:kern w:val="0"/>
                      <w:szCs w:val="21"/>
                    </w:rPr>
                  </w:pPr>
                  <w:r>
                    <w:rPr>
                      <w:kern w:val="0"/>
                      <w:szCs w:val="21"/>
                    </w:rPr>
                    <w:t>4</w:t>
                  </w:r>
                </w:p>
              </w:tc>
              <w:tc>
                <w:tcPr>
                  <w:tcW w:w="1491" w:type="dxa"/>
                  <w:vAlign w:val="center"/>
                </w:tcPr>
                <w:p>
                  <w:pPr>
                    <w:widowControl/>
                    <w:jc w:val="center"/>
                    <w:rPr>
                      <w:kern w:val="0"/>
                      <w:szCs w:val="21"/>
                    </w:rPr>
                  </w:pPr>
                  <w:r>
                    <w:rPr>
                      <w:kern w:val="0"/>
                      <w:szCs w:val="21"/>
                    </w:rPr>
                    <w:t>污染物排放管控</w:t>
                  </w:r>
                </w:p>
              </w:tc>
              <w:tc>
                <w:tcPr>
                  <w:tcW w:w="683" w:type="dxa"/>
                  <w:shd w:val="clear" w:color="auto" w:fill="auto"/>
                  <w:vAlign w:val="center"/>
                </w:tcPr>
                <w:p>
                  <w:pPr>
                    <w:widowControl/>
                    <w:jc w:val="center"/>
                    <w:rPr>
                      <w:kern w:val="0"/>
                      <w:szCs w:val="21"/>
                    </w:rPr>
                  </w:pPr>
                  <w:r>
                    <w:rPr>
                      <w:kern w:val="0"/>
                      <w:szCs w:val="21"/>
                    </w:rPr>
                    <w:t>现有源提标升级改造</w:t>
                  </w:r>
                </w:p>
              </w:tc>
              <w:tc>
                <w:tcPr>
                  <w:tcW w:w="2268" w:type="dxa"/>
                  <w:shd w:val="clear" w:color="auto" w:fill="auto"/>
                  <w:vAlign w:val="center"/>
                </w:tcPr>
                <w:p>
                  <w:pPr>
                    <w:widowControl/>
                    <w:jc w:val="left"/>
                    <w:rPr>
                      <w:kern w:val="0"/>
                      <w:szCs w:val="21"/>
                    </w:rPr>
                  </w:pPr>
                  <w:r>
                    <w:rPr>
                      <w:kern w:val="0"/>
                      <w:szCs w:val="21"/>
                    </w:rPr>
                    <w:t>1、大力推进城市建成区汽车维修行业VOCs专项整治，从源头上减少VOCs污染排放。</w:t>
                  </w:r>
                </w:p>
                <w:p>
                  <w:pPr>
                    <w:widowControl/>
                    <w:jc w:val="left"/>
                    <w:rPr>
                      <w:kern w:val="0"/>
                      <w:szCs w:val="21"/>
                    </w:rPr>
                  </w:pPr>
                  <w:r>
                    <w:rPr>
                      <w:kern w:val="0"/>
                      <w:szCs w:val="21"/>
                    </w:rPr>
                    <w:t>2、城镇污水集中处理设施外排不低于一级B类。。</w:t>
                  </w:r>
                </w:p>
              </w:tc>
              <w:tc>
                <w:tcPr>
                  <w:tcW w:w="2196" w:type="dxa"/>
                  <w:vAlign w:val="center"/>
                </w:tcPr>
                <w:p>
                  <w:pPr>
                    <w:widowControl/>
                    <w:jc w:val="center"/>
                    <w:rPr>
                      <w:kern w:val="0"/>
                      <w:szCs w:val="21"/>
                    </w:rPr>
                  </w:pPr>
                  <w:r>
                    <w:rPr>
                      <w:rFonts w:hint="eastAsia"/>
                      <w:kern w:val="0"/>
                      <w:szCs w:val="21"/>
                    </w:rPr>
                    <w:t>本项目为新建项目，符合污染物排放管控要求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743" w:hRule="atLeast"/>
                <w:jc w:val="center"/>
              </w:trPr>
              <w:tc>
                <w:tcPr>
                  <w:tcW w:w="653" w:type="dxa"/>
                  <w:shd w:val="clear" w:color="auto" w:fill="auto"/>
                  <w:vAlign w:val="center"/>
                </w:tcPr>
                <w:p>
                  <w:pPr>
                    <w:widowControl/>
                    <w:jc w:val="center"/>
                    <w:rPr>
                      <w:kern w:val="0"/>
                      <w:szCs w:val="21"/>
                    </w:rPr>
                  </w:pPr>
                  <w:r>
                    <w:rPr>
                      <w:kern w:val="0"/>
                      <w:szCs w:val="21"/>
                    </w:rPr>
                    <w:t>5</w:t>
                  </w:r>
                </w:p>
              </w:tc>
              <w:tc>
                <w:tcPr>
                  <w:tcW w:w="1491" w:type="dxa"/>
                  <w:vAlign w:val="center"/>
                </w:tcPr>
                <w:p>
                  <w:pPr>
                    <w:widowControl/>
                    <w:jc w:val="left"/>
                    <w:rPr>
                      <w:kern w:val="0"/>
                      <w:szCs w:val="21"/>
                    </w:rPr>
                  </w:pPr>
                  <w:r>
                    <w:rPr>
                      <w:kern w:val="0"/>
                      <w:szCs w:val="21"/>
                    </w:rPr>
                    <w:t>环境风险防控</w:t>
                  </w:r>
                </w:p>
              </w:tc>
              <w:tc>
                <w:tcPr>
                  <w:tcW w:w="683" w:type="dxa"/>
                  <w:shd w:val="clear" w:color="auto" w:fill="auto"/>
                  <w:vAlign w:val="center"/>
                </w:tcPr>
                <w:p>
                  <w:pPr>
                    <w:widowControl/>
                    <w:jc w:val="center"/>
                    <w:rPr>
                      <w:kern w:val="0"/>
                      <w:szCs w:val="21"/>
                    </w:rPr>
                  </w:pPr>
                  <w:r>
                    <w:rPr>
                      <w:kern w:val="0"/>
                      <w:szCs w:val="21"/>
                    </w:rPr>
                    <w:t>用地环境风险防控</w:t>
                  </w:r>
                </w:p>
              </w:tc>
              <w:tc>
                <w:tcPr>
                  <w:tcW w:w="2268" w:type="dxa"/>
                  <w:shd w:val="clear" w:color="auto" w:fill="auto"/>
                  <w:vAlign w:val="center"/>
                </w:tcPr>
                <w:p>
                  <w:pPr>
                    <w:widowControl/>
                    <w:jc w:val="left"/>
                    <w:rPr>
                      <w:kern w:val="0"/>
                      <w:szCs w:val="21"/>
                    </w:rPr>
                  </w:pPr>
                  <w:r>
                    <w:rPr>
                      <w:kern w:val="0"/>
                      <w:szCs w:val="21"/>
                    </w:rPr>
                    <w:t>严格管控农用地，不得在污染地块种植水稻等特地农场品。</w:t>
                  </w:r>
                </w:p>
              </w:tc>
              <w:tc>
                <w:tcPr>
                  <w:tcW w:w="2196" w:type="dxa"/>
                  <w:vAlign w:val="center"/>
                </w:tcPr>
                <w:p>
                  <w:pPr>
                    <w:widowControl/>
                    <w:jc w:val="center"/>
                    <w:rPr>
                      <w:kern w:val="0"/>
                      <w:szCs w:val="21"/>
                    </w:rPr>
                  </w:pPr>
                  <w:r>
                    <w:rPr>
                      <w:rFonts w:hint="eastAsia"/>
                      <w:kern w:val="0"/>
                      <w:szCs w:val="21"/>
                    </w:rPr>
                    <w:t>本项目属于商用地，符合准入清单</w:t>
                  </w:r>
                </w:p>
              </w:tc>
            </w:tr>
          </w:tbl>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r>
              <w:rPr>
                <w:rFonts w:hint="eastAsia"/>
                <w:szCs w:val="21"/>
              </w:rPr>
              <w:t>从附图九宁都县环境综合管控单元分布图，</w:t>
            </w:r>
            <w:r>
              <w:rPr>
                <w:szCs w:val="21"/>
              </w:rPr>
              <w:t>本项目符合城镇总体规划、土地利用规划、产业发展规划，环保设施配套完善，项目不涉及饮用水源保护区、不占用农用地，不在生态保护红线范围内。</w:t>
            </w:r>
            <w:r>
              <w:rPr>
                <w:kern w:val="0"/>
                <w:szCs w:val="21"/>
              </w:rPr>
              <w:t>项目不属于表1-4中禁止、限制、不符合空间布局要求的项目，符合其中空间布局约束、污染物排放管控、环境风险防控要求。</w:t>
            </w:r>
            <w:r>
              <w:rPr>
                <w:szCs w:val="21"/>
              </w:rPr>
              <w:t>综上，本项目符合“三线一单”的相关要求。</w:t>
            </w:r>
          </w:p>
          <w:p>
            <w:pPr>
              <w:autoSpaceDE w:val="0"/>
              <w:autoSpaceDN w:val="0"/>
              <w:adjustRightInd w:val="0"/>
              <w:snapToGrid w:val="0"/>
              <w:spacing w:line="360" w:lineRule="auto"/>
              <w:ind w:firstLine="420"/>
              <w:jc w:val="left"/>
              <w:rPr>
                <w:b/>
                <w:szCs w:val="21"/>
              </w:rPr>
            </w:pPr>
            <w:r>
              <w:rPr>
                <w:b/>
                <w:szCs w:val="21"/>
              </w:rPr>
              <w:t>4、与《重点行业挥发性有机物综合治理方案》相符性分析</w:t>
            </w:r>
          </w:p>
          <w:p>
            <w:pPr>
              <w:pStyle w:val="57"/>
              <w:spacing w:line="360" w:lineRule="auto"/>
              <w:ind w:firstLine="420" w:firstLineChars="200"/>
              <w:jc w:val="both"/>
              <w:rPr>
                <w:rFonts w:ascii="Times New Roman" w:cs="Times New Roman"/>
                <w:color w:val="auto"/>
                <w:sz w:val="21"/>
                <w:szCs w:val="21"/>
              </w:rPr>
            </w:pPr>
            <w:r>
              <w:rPr>
                <w:rFonts w:ascii="Times New Roman" w:cs="Times New Roman"/>
                <w:color w:val="auto"/>
                <w:sz w:val="21"/>
                <w:szCs w:val="21"/>
              </w:rPr>
              <w:t>生态环境部于2019年6月26日发布了《关于印发&lt;重点行业挥发性有机物综合治理方案&gt; 的通知》（环大气[2019]53号），重点行业治理任务第五条对油品储运销VOCs综合治理提出了具体要求。本项目与《重点行业挥发性有机物综合治理方案》相符性分析见表1-6。</w:t>
            </w:r>
          </w:p>
          <w:p>
            <w:pPr>
              <w:pStyle w:val="44"/>
              <w:snapToGrid w:val="0"/>
              <w:spacing w:line="276" w:lineRule="auto"/>
              <w:jc w:val="center"/>
              <w:rPr>
                <w:b/>
                <w:szCs w:val="21"/>
              </w:rPr>
            </w:pPr>
            <w:r>
              <w:rPr>
                <w:b/>
                <w:szCs w:val="21"/>
              </w:rPr>
              <w:t>表1-6 项目与《重点行业挥发性有机物综合治理方案》相符性分析</w:t>
            </w:r>
          </w:p>
          <w:tbl>
            <w:tblPr>
              <w:tblStyle w:val="21"/>
              <w:tblW w:w="7155"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3462"/>
              <w:gridCol w:w="2114"/>
              <w:gridCol w:w="157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b/>
                      <w:szCs w:val="21"/>
                    </w:rPr>
                  </w:pPr>
                  <w:r>
                    <w:rPr>
                      <w:b/>
                      <w:szCs w:val="21"/>
                    </w:rPr>
                    <w:t>加油站相关综合治理方案要求</w:t>
                  </w:r>
                </w:p>
              </w:tc>
              <w:tc>
                <w:tcPr>
                  <w:tcW w:w="1477" w:type="pct"/>
                  <w:vAlign w:val="center"/>
                </w:tcPr>
                <w:p>
                  <w:pPr>
                    <w:pStyle w:val="44"/>
                    <w:spacing w:line="276" w:lineRule="auto"/>
                    <w:jc w:val="center"/>
                    <w:rPr>
                      <w:b/>
                      <w:szCs w:val="21"/>
                    </w:rPr>
                  </w:pPr>
                  <w:r>
                    <w:rPr>
                      <w:b/>
                      <w:szCs w:val="21"/>
                    </w:rPr>
                    <w:t>本项目</w:t>
                  </w:r>
                </w:p>
              </w:tc>
              <w:tc>
                <w:tcPr>
                  <w:tcW w:w="1103" w:type="pct"/>
                  <w:vAlign w:val="center"/>
                </w:tcPr>
                <w:p>
                  <w:pPr>
                    <w:pStyle w:val="44"/>
                    <w:spacing w:line="276" w:lineRule="auto"/>
                    <w:jc w:val="center"/>
                    <w:rPr>
                      <w:b/>
                      <w:szCs w:val="21"/>
                    </w:rPr>
                  </w:pPr>
                  <w:r>
                    <w:rPr>
                      <w:b/>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szCs w:val="21"/>
                    </w:rPr>
                  </w:pPr>
                  <w:r>
                    <w:rPr>
                      <w:shd w:val="clear" w:color="auto" w:fill="FFFFFF"/>
                    </w:rPr>
                    <w:t>加大汽油（含乙醇汽油）、石脑油、煤油（含航空煤油）以及原油等VOCs排放控制，重点推进加油站、油罐车、储油库油气回收治理。</w:t>
                  </w:r>
                </w:p>
              </w:tc>
              <w:tc>
                <w:tcPr>
                  <w:tcW w:w="1477" w:type="pct"/>
                  <w:vAlign w:val="center"/>
                </w:tcPr>
                <w:p>
                  <w:pPr>
                    <w:pStyle w:val="44"/>
                    <w:spacing w:line="276" w:lineRule="auto"/>
                    <w:jc w:val="center"/>
                    <w:rPr>
                      <w:szCs w:val="21"/>
                    </w:rPr>
                  </w:pPr>
                  <w:r>
                    <w:rPr>
                      <w:szCs w:val="21"/>
                    </w:rPr>
                    <w:t>本项目加油站汽油卸油、加油拟采取油气回收系统。</w:t>
                  </w:r>
                </w:p>
              </w:tc>
              <w:tc>
                <w:tcPr>
                  <w:tcW w:w="1103"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shd w:val="clear" w:color="auto" w:fill="FFFFFF"/>
                    </w:rPr>
                  </w:pPr>
                  <w:r>
                    <w:rPr>
                      <w:shd w:val="clear" w:color="auto" w:fill="FFFFFF"/>
                    </w:rPr>
                    <w:t>深化加油站油气回收工作。O</w:t>
                  </w:r>
                  <w:r>
                    <w:rPr>
                      <w:shd w:val="clear" w:color="auto" w:fill="FFFFFF"/>
                      <w:vertAlign w:val="subscript"/>
                    </w:rPr>
                    <w:t>3</w:t>
                  </w:r>
                  <w:r>
                    <w:rPr>
                      <w:shd w:val="clear" w:color="auto" w:fill="FFFFFF"/>
                    </w:rPr>
                    <w:t>污染较重的地区，行政区域内大力推进加油站储油、加油油气回收治理工作，重点区域2019年年底前基本完成。</w:t>
                  </w:r>
                </w:p>
              </w:tc>
              <w:tc>
                <w:tcPr>
                  <w:tcW w:w="1477" w:type="pct"/>
                  <w:vAlign w:val="center"/>
                </w:tcPr>
                <w:p>
                  <w:pPr>
                    <w:pStyle w:val="44"/>
                    <w:spacing w:line="276" w:lineRule="auto"/>
                    <w:jc w:val="center"/>
                    <w:rPr>
                      <w:szCs w:val="21"/>
                    </w:rPr>
                  </w:pPr>
                  <w:r>
                    <w:rPr>
                      <w:szCs w:val="21"/>
                    </w:rPr>
                    <w:t>本项目位于江西省赣州市宁都县，不属于重点区域。项目加油站汽油卸油、加油拟采取油气回收系统。</w:t>
                  </w:r>
                </w:p>
              </w:tc>
              <w:tc>
                <w:tcPr>
                  <w:tcW w:w="1103"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shd w:val="clear" w:color="auto" w:fill="FFFFFF"/>
                    </w:rPr>
                  </w:pPr>
                  <w:r>
                    <w:rPr>
                      <w:shd w:val="clear" w:color="auto" w:fill="FFFFFF"/>
                    </w:rPr>
                    <w:t>埋地油罐全面采用电子液位仪进行汽油密闭测量。</w:t>
                  </w:r>
                </w:p>
              </w:tc>
              <w:tc>
                <w:tcPr>
                  <w:tcW w:w="1477" w:type="pct"/>
                  <w:vAlign w:val="center"/>
                </w:tcPr>
                <w:p>
                  <w:pPr>
                    <w:pStyle w:val="44"/>
                    <w:spacing w:line="276" w:lineRule="auto"/>
                    <w:jc w:val="center"/>
                    <w:rPr>
                      <w:szCs w:val="21"/>
                    </w:rPr>
                  </w:pPr>
                  <w:r>
                    <w:rPr>
                      <w:szCs w:val="21"/>
                    </w:rPr>
                    <w:t>本项目加油站埋地油罐拟采用</w:t>
                  </w:r>
                  <w:r>
                    <w:rPr>
                      <w:shd w:val="clear" w:color="auto" w:fill="FFFFFF"/>
                    </w:rPr>
                    <w:t>电子液位仪进行汽油密闭测量。</w:t>
                  </w:r>
                </w:p>
              </w:tc>
              <w:tc>
                <w:tcPr>
                  <w:tcW w:w="1103"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shd w:val="clear" w:color="auto" w:fill="FFFFFF"/>
                    </w:rPr>
                  </w:pPr>
                  <w:r>
                    <w:rPr>
                      <w:shd w:val="clear" w:color="auto" w:fill="FFFFFF"/>
                    </w:rPr>
                    <w:t>规范油气回收设施运行，自行或聘请第三方加强加油枪气液比、系统密闭性及管线液阻等检查，提高检测频次，重点区域原则上每半年开展一次，确保油气回收系统正常运行。</w:t>
                  </w:r>
                </w:p>
              </w:tc>
              <w:tc>
                <w:tcPr>
                  <w:tcW w:w="1477" w:type="pct"/>
                  <w:vAlign w:val="center"/>
                </w:tcPr>
                <w:p>
                  <w:pPr>
                    <w:pStyle w:val="44"/>
                    <w:spacing w:line="276" w:lineRule="auto"/>
                    <w:jc w:val="center"/>
                    <w:rPr>
                      <w:szCs w:val="21"/>
                    </w:rPr>
                  </w:pPr>
                  <w:r>
                    <w:rPr>
                      <w:szCs w:val="21"/>
                    </w:rPr>
                    <w:t>项目建设单位拟聘请第三方检测机构，半年进行检测一次</w:t>
                  </w:r>
                  <w:r>
                    <w:rPr>
                      <w:shd w:val="clear" w:color="auto" w:fill="FFFFFF"/>
                    </w:rPr>
                    <w:t>加油枪气液比、系统密闭性及管线液阻等检查。</w:t>
                  </w:r>
                </w:p>
              </w:tc>
              <w:tc>
                <w:tcPr>
                  <w:tcW w:w="1103" w:type="pct"/>
                  <w:vAlign w:val="center"/>
                </w:tcPr>
                <w:p>
                  <w:pPr>
                    <w:pStyle w:val="44"/>
                    <w:spacing w:line="276" w:lineRule="auto"/>
                    <w:jc w:val="center"/>
                    <w:rPr>
                      <w:szCs w:val="21"/>
                    </w:rPr>
                  </w:pPr>
                  <w:r>
                    <w:rPr>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19" w:type="pct"/>
                  <w:vAlign w:val="center"/>
                </w:tcPr>
                <w:p>
                  <w:pPr>
                    <w:pStyle w:val="44"/>
                    <w:spacing w:line="276" w:lineRule="auto"/>
                    <w:jc w:val="center"/>
                    <w:rPr>
                      <w:shd w:val="clear" w:color="auto" w:fill="FFFFFF"/>
                    </w:rPr>
                  </w:pPr>
                  <w:r>
                    <w:rPr>
                      <w:shd w:val="clear" w:color="auto" w:fill="FFFFFF"/>
                    </w:rPr>
                    <w:t>重点区域加快推进年销售汽油量大于5000吨的加油站安装油气回收自动监控设备，并与生态环境部门联网，2020年年底前基本完成。</w:t>
                  </w:r>
                </w:p>
              </w:tc>
              <w:tc>
                <w:tcPr>
                  <w:tcW w:w="1477" w:type="pct"/>
                  <w:vAlign w:val="center"/>
                </w:tcPr>
                <w:p>
                  <w:pPr>
                    <w:pStyle w:val="44"/>
                    <w:spacing w:line="276" w:lineRule="auto"/>
                    <w:jc w:val="center"/>
                    <w:rPr>
                      <w:szCs w:val="21"/>
                    </w:rPr>
                  </w:pPr>
                  <w:r>
                    <w:rPr>
                      <w:szCs w:val="21"/>
                    </w:rPr>
                    <w:t>本项目位于江西省赣州市宁都县，不属于重点区域。</w:t>
                  </w:r>
                </w:p>
              </w:tc>
              <w:tc>
                <w:tcPr>
                  <w:tcW w:w="1103" w:type="pct"/>
                  <w:vAlign w:val="center"/>
                </w:tcPr>
                <w:p>
                  <w:pPr>
                    <w:pStyle w:val="44"/>
                    <w:spacing w:line="276" w:lineRule="auto"/>
                    <w:jc w:val="center"/>
                    <w:rPr>
                      <w:szCs w:val="21"/>
                    </w:rPr>
                  </w:pPr>
                  <w:r>
                    <w:rPr>
                      <w:szCs w:val="21"/>
                    </w:rPr>
                    <w:t>符合</w:t>
                  </w:r>
                </w:p>
              </w:tc>
            </w:tr>
          </w:tbl>
          <w:p>
            <w:pPr>
              <w:pStyle w:val="57"/>
              <w:ind w:firstLine="480" w:firstLineChars="200"/>
              <w:rPr>
                <w:rFonts w:ascii="Times New Roman" w:cs="Times New Roman"/>
                <w:color w:val="auto"/>
                <w:szCs w:val="21"/>
              </w:rPr>
            </w:pPr>
          </w:p>
          <w:p>
            <w:pPr>
              <w:autoSpaceDE w:val="0"/>
              <w:autoSpaceDN w:val="0"/>
              <w:adjustRightInd w:val="0"/>
              <w:snapToGrid w:val="0"/>
              <w:spacing w:line="360" w:lineRule="auto"/>
              <w:ind w:firstLine="420"/>
              <w:rPr>
                <w:szCs w:val="21"/>
              </w:rPr>
            </w:pPr>
            <w:r>
              <w:rPr>
                <w:szCs w:val="21"/>
              </w:rPr>
              <w:t>根据表1-6可知，本项目与《重点行业挥发性有机物综合治理方案》的要求是相符的。</w:t>
            </w:r>
          </w:p>
          <w:p>
            <w:pPr>
              <w:autoSpaceDE w:val="0"/>
              <w:autoSpaceDN w:val="0"/>
              <w:adjustRightInd w:val="0"/>
              <w:snapToGrid w:val="0"/>
              <w:spacing w:line="360" w:lineRule="auto"/>
              <w:ind w:firstLine="420"/>
              <w:jc w:val="left"/>
              <w:rPr>
                <w:b/>
                <w:szCs w:val="21"/>
              </w:rPr>
            </w:pPr>
            <w:r>
              <w:rPr>
                <w:b/>
                <w:szCs w:val="21"/>
              </w:rPr>
              <w:t>5、与《江西省环境环保厅关于印发江西省有机化工等行业挥发性有机物综合整治等方案的通知》相符性分析</w:t>
            </w:r>
          </w:p>
          <w:p>
            <w:pPr>
              <w:autoSpaceDE w:val="0"/>
              <w:autoSpaceDN w:val="0"/>
              <w:adjustRightInd w:val="0"/>
              <w:snapToGrid w:val="0"/>
              <w:spacing w:line="360" w:lineRule="auto"/>
              <w:ind w:firstLine="420"/>
              <w:jc w:val="left"/>
              <w:rPr>
                <w:szCs w:val="21"/>
              </w:rPr>
            </w:pPr>
            <w:r>
              <w:rPr>
                <w:szCs w:val="21"/>
              </w:rPr>
              <w:t>根据《江西省环境环保厅关于印发江西省有机化工等行业挥发性有机物综合整治方案的通知》（赣环大气字[2017]54号）附件1：江西省有机化工行业挥发性有机物综合治理方案，对于储罐呼吸泄漏产生的VOCs排放，应采取油气回收处理等有效措施进行治理；在装卸过程中因有机物挥发和排放产生的VOCs废气，通过采取回收技术等方案治理。</w:t>
            </w:r>
          </w:p>
          <w:p>
            <w:pPr>
              <w:autoSpaceDE w:val="0"/>
              <w:autoSpaceDN w:val="0"/>
              <w:adjustRightInd w:val="0"/>
              <w:snapToGrid w:val="0"/>
              <w:spacing w:line="360" w:lineRule="auto"/>
              <w:ind w:firstLine="420"/>
              <w:jc w:val="left"/>
              <w:rPr>
                <w:szCs w:val="21"/>
              </w:rPr>
            </w:pPr>
            <w:r>
              <w:rPr>
                <w:szCs w:val="21"/>
              </w:rPr>
              <w:t>本项目储罐为固定罐，项目设置卸油油气回收系统和加油油气回收系统。同时，企业建立了较为健全的环境保护责任制度，加强废气定期监测，每年定期开展油气回收系统检测和厂界挥发性有机物无组织监控浓度监测，监测需委托有资质的第三方进行，监测指标须包含原辅料所含主要特征污染物和非甲烷总烃等指标等。 本项目有机废气处理方式符合《江西省环境环保厅关于印发江西省有机化工等行业挥发性有机物综合整治方案的通知》（赣环大气字[2017]54号）。</w:t>
            </w:r>
          </w:p>
          <w:p>
            <w:pPr>
              <w:autoSpaceDE w:val="0"/>
              <w:autoSpaceDN w:val="0"/>
              <w:adjustRightInd w:val="0"/>
              <w:snapToGrid w:val="0"/>
              <w:spacing w:line="360" w:lineRule="auto"/>
              <w:ind w:firstLine="420"/>
              <w:jc w:val="left"/>
              <w:rPr>
                <w:szCs w:val="21"/>
              </w:rPr>
            </w:pPr>
            <w:r>
              <w:rPr>
                <w:b/>
                <w:szCs w:val="21"/>
              </w:rPr>
              <w:t>6、与《江西省储油库、加油站和油罐车油气回收综合治理工作方案》相符性分析</w:t>
            </w:r>
            <w:r>
              <w:rPr>
                <w:szCs w:val="21"/>
              </w:rPr>
              <w:t xml:space="preserve"> </w:t>
            </w:r>
          </w:p>
          <w:p>
            <w:pPr>
              <w:autoSpaceDE w:val="0"/>
              <w:autoSpaceDN w:val="0"/>
              <w:adjustRightInd w:val="0"/>
              <w:snapToGrid w:val="0"/>
              <w:spacing w:line="360" w:lineRule="auto"/>
              <w:ind w:firstLine="420"/>
              <w:jc w:val="left"/>
              <w:rPr>
                <w:szCs w:val="21"/>
              </w:rPr>
            </w:pPr>
            <w:r>
              <w:rPr>
                <w:szCs w:val="21"/>
              </w:rPr>
              <w:t>项目设置卸油油气回收系统和加油油气回收系统。油气回收系统采用管道方案，即指通过密闭加注油料设备，将加注过程中所排出的油气用管道送回到油罐，并且把油罐的气相空间用管道连通，形成“油出去、气回来”的一种动态平衡系统，满足《江西省储油库、加油站和油罐车油气回收综合治理工作方案》（赣环发[2013]17号）的要求。</w:t>
            </w:r>
          </w:p>
          <w:p>
            <w:pPr>
              <w:autoSpaceDE w:val="0"/>
              <w:autoSpaceDN w:val="0"/>
              <w:adjustRightInd w:val="0"/>
              <w:snapToGrid w:val="0"/>
              <w:spacing w:line="360" w:lineRule="auto"/>
              <w:ind w:firstLine="420"/>
              <w:jc w:val="left"/>
              <w:rPr>
                <w:b/>
                <w:szCs w:val="21"/>
              </w:rPr>
            </w:pPr>
            <w:r>
              <w:rPr>
                <w:b/>
                <w:szCs w:val="21"/>
              </w:rPr>
              <w:t>7、与《挥发性有机物（VOC</w:t>
            </w:r>
            <w:r>
              <w:rPr>
                <w:b/>
                <w:szCs w:val="21"/>
                <w:vertAlign w:val="subscript"/>
              </w:rPr>
              <w:t>S</w:t>
            </w:r>
            <w:r>
              <w:rPr>
                <w:b/>
                <w:szCs w:val="21"/>
              </w:rPr>
              <w:t>）污染防治技术政策》相符性分析</w:t>
            </w:r>
          </w:p>
          <w:p>
            <w:pPr>
              <w:autoSpaceDE w:val="0"/>
              <w:autoSpaceDN w:val="0"/>
              <w:adjustRightInd w:val="0"/>
              <w:snapToGrid w:val="0"/>
              <w:spacing w:line="360" w:lineRule="auto"/>
              <w:ind w:firstLine="420"/>
              <w:rPr>
                <w:szCs w:val="21"/>
              </w:rPr>
            </w:pPr>
            <w:r>
              <w:rPr>
                <w:szCs w:val="21"/>
              </w:rPr>
              <w:t>根据《挥发性有机物（VOC</w:t>
            </w:r>
            <w:r>
              <w:rPr>
                <w:szCs w:val="21"/>
                <w:vertAlign w:val="subscript"/>
              </w:rPr>
              <w:t>S</w:t>
            </w:r>
            <w:r>
              <w:rPr>
                <w:szCs w:val="21"/>
              </w:rPr>
              <w:t>）污染防治技术政策》第（八）条：在油类（燃油、溶剂）的储存、运输和销售过程中的VOCs污染防治技术措施包括：</w:t>
            </w:r>
          </w:p>
          <w:p>
            <w:pPr>
              <w:autoSpaceDE w:val="0"/>
              <w:autoSpaceDN w:val="0"/>
              <w:adjustRightInd w:val="0"/>
              <w:snapToGrid w:val="0"/>
              <w:spacing w:line="360" w:lineRule="auto"/>
              <w:ind w:firstLine="420"/>
              <w:rPr>
                <w:szCs w:val="21"/>
              </w:rPr>
            </w:pPr>
            <w:r>
              <w:rPr>
                <w:szCs w:val="21"/>
              </w:rPr>
              <w:t>1.储油库、加油站和油罐车宜配备相应的油气收集系统，储油库、加油站宜配备相应的油气回收系统；</w:t>
            </w:r>
          </w:p>
          <w:p>
            <w:pPr>
              <w:autoSpaceDE w:val="0"/>
              <w:autoSpaceDN w:val="0"/>
              <w:adjustRightInd w:val="0"/>
              <w:snapToGrid w:val="0"/>
              <w:spacing w:line="360" w:lineRule="auto"/>
              <w:ind w:firstLine="420"/>
              <w:rPr>
                <w:szCs w:val="21"/>
              </w:rPr>
            </w:pPr>
            <w:r>
              <w:rPr>
                <w:szCs w:val="21"/>
              </w:rPr>
              <w:t>2.油类（燃油、溶剂等）储罐宜采用高效密封的内（外）浮顶罐，当采用固定顶罐时，通过密闭排气系统将含VOCs气体输送至回收设备；</w:t>
            </w:r>
          </w:p>
          <w:p>
            <w:pPr>
              <w:autoSpaceDE w:val="0"/>
              <w:autoSpaceDN w:val="0"/>
              <w:adjustRightInd w:val="0"/>
              <w:snapToGrid w:val="0"/>
              <w:spacing w:line="360" w:lineRule="auto"/>
              <w:ind w:firstLine="420"/>
              <w:rPr>
                <w:szCs w:val="21"/>
              </w:rPr>
            </w:pPr>
            <w:r>
              <w:rPr>
                <w:szCs w:val="21"/>
              </w:rPr>
              <w:t>3.油类（燃油、溶剂等）运载工具（汽车油罐车、铁路油槽车、油轮等）在装载过程中排放的VOCs密闭收集输送至回收设备，也可返回储罐或送入气体管网。</w:t>
            </w:r>
          </w:p>
          <w:p>
            <w:pPr>
              <w:autoSpaceDE w:val="0"/>
              <w:autoSpaceDN w:val="0"/>
              <w:adjustRightInd w:val="0"/>
              <w:snapToGrid w:val="0"/>
              <w:spacing w:line="360" w:lineRule="auto"/>
              <w:ind w:firstLine="420"/>
              <w:rPr>
                <w:szCs w:val="21"/>
              </w:rPr>
            </w:pPr>
            <w:r>
              <w:rPr>
                <w:szCs w:val="21"/>
              </w:rPr>
              <w:t>本项目加油站储罐为卧式固定罐，项目设置卸油油气回收系统和加油油气回收系统。同时，企业建立了较为健全的环境保护责任制度，加强废气定期监测，每年定期开展油气回收系统检测和厂界挥发性有机物无组织监控浓度监测，监测需委托有资质的第三方进行，监测指标须包含原辅料所含主要特征污染物和非甲烷总烃等指标等。因此，本项目与《挥发性有机物（VOC</w:t>
            </w:r>
            <w:r>
              <w:rPr>
                <w:szCs w:val="21"/>
                <w:vertAlign w:val="subscript"/>
              </w:rPr>
              <w:t>S</w:t>
            </w:r>
            <w:r>
              <w:rPr>
                <w:szCs w:val="21"/>
              </w:rPr>
              <w:t>）污染防治技术政策》的防治措施要求是相符的。</w:t>
            </w: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ind w:firstLine="420"/>
              <w:rPr>
                <w:szCs w:val="21"/>
              </w:rPr>
            </w:pPr>
          </w:p>
          <w:p>
            <w:pPr>
              <w:autoSpaceDE w:val="0"/>
              <w:autoSpaceDN w:val="0"/>
              <w:adjustRightInd w:val="0"/>
              <w:snapToGrid w:val="0"/>
              <w:spacing w:line="360" w:lineRule="auto"/>
              <w:rPr>
                <w:rFonts w:hint="eastAsia"/>
                <w:szCs w:val="21"/>
              </w:rPr>
            </w:pPr>
          </w:p>
        </w:tc>
      </w:tr>
    </w:tbl>
    <w:p>
      <w:pPr>
        <w:spacing w:line="360" w:lineRule="auto"/>
        <w:outlineLvl w:val="0"/>
        <w:rPr>
          <w:color w:val="FF0000"/>
          <w:sz w:val="30"/>
        </w:rPr>
        <w:sectPr>
          <w:footerReference r:id="rId5" w:type="default"/>
          <w:pgSz w:w="11906" w:h="16838"/>
          <w:pgMar w:top="1701" w:right="1531" w:bottom="1701" w:left="1531" w:header="851" w:footer="1077" w:gutter="0"/>
          <w:pgNumType w:start="1"/>
          <w:cols w:space="720" w:num="1"/>
          <w:docGrid w:linePitch="312" w:charSpace="0"/>
        </w:sectPr>
      </w:pPr>
    </w:p>
    <w:p>
      <w:pPr>
        <w:pStyle w:val="17"/>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pPr>
              <w:snapToGrid w:val="0"/>
              <w:spacing w:line="360" w:lineRule="auto"/>
              <w:ind w:firstLine="422" w:firstLineChars="200"/>
              <w:rPr>
                <w:b/>
                <w:kern w:val="0"/>
                <w:szCs w:val="21"/>
              </w:rPr>
            </w:pPr>
            <w:r>
              <w:rPr>
                <w:b/>
                <w:kern w:val="0"/>
                <w:szCs w:val="21"/>
              </w:rPr>
              <w:t>1、项目组成</w:t>
            </w:r>
          </w:p>
          <w:p>
            <w:pPr>
              <w:tabs>
                <w:tab w:val="left" w:pos="0"/>
              </w:tabs>
              <w:spacing w:line="360" w:lineRule="auto"/>
              <w:ind w:firstLine="420" w:firstLineChars="200"/>
              <w:rPr>
                <w:color w:val="FF0000"/>
                <w:szCs w:val="21"/>
              </w:rPr>
            </w:pPr>
            <w:r>
              <w:rPr>
                <w:szCs w:val="21"/>
              </w:rPr>
              <w:t>本项目为中国石化江西赣州宁都翠微加油站项目，为新建二级加油站。本项目占地面积4843.04m</w:t>
            </w:r>
            <w:r>
              <w:rPr>
                <w:szCs w:val="21"/>
                <w:vertAlign w:val="superscript"/>
              </w:rPr>
              <w:t>2</w:t>
            </w:r>
            <w:r>
              <w:rPr>
                <w:szCs w:val="21"/>
              </w:rPr>
              <w:t>，建筑总面积610.08m</w:t>
            </w:r>
            <w:r>
              <w:rPr>
                <w:szCs w:val="21"/>
                <w:vertAlign w:val="superscript"/>
              </w:rPr>
              <w:t>2</w:t>
            </w:r>
            <w:r>
              <w:rPr>
                <w:szCs w:val="21"/>
              </w:rPr>
              <w:t>，罩棚面积430m</w:t>
            </w:r>
            <w:r>
              <w:rPr>
                <w:szCs w:val="21"/>
                <w:vertAlign w:val="superscript"/>
              </w:rPr>
              <w:t>2</w:t>
            </w:r>
            <w:r>
              <w:rPr>
                <w:szCs w:val="21"/>
              </w:rPr>
              <w:t>（一半计入建筑面积），容积率0.126，建筑密度8.5%，绿地面积1497.4m</w:t>
            </w:r>
            <w:r>
              <w:rPr>
                <w:szCs w:val="21"/>
                <w:vertAlign w:val="superscript"/>
              </w:rPr>
              <w:t>2</w:t>
            </w:r>
            <w:r>
              <w:rPr>
                <w:szCs w:val="21"/>
              </w:rPr>
              <w:t>，绿地率30.9%。本项目包括主体工程、辅助工程、公用工程和环保工程。</w:t>
            </w:r>
          </w:p>
          <w:p>
            <w:pPr>
              <w:tabs>
                <w:tab w:val="left" w:pos="0"/>
              </w:tabs>
              <w:spacing w:line="360" w:lineRule="auto"/>
              <w:ind w:firstLine="420" w:firstLineChars="200"/>
              <w:rPr>
                <w:szCs w:val="21"/>
              </w:rPr>
            </w:pPr>
            <w:r>
              <w:rPr>
                <w:szCs w:val="21"/>
              </w:rPr>
              <w:t>主体工程包括加油区、油罐区和</w:t>
            </w:r>
            <w:r>
              <w:rPr>
                <w:rFonts w:hint="eastAsia"/>
                <w:szCs w:val="21"/>
              </w:rPr>
              <w:t>预留</w:t>
            </w:r>
            <w:r>
              <w:rPr>
                <w:szCs w:val="21"/>
              </w:rPr>
              <w:t>充电区，加油区建筑面积为215m</w:t>
            </w:r>
            <w:r>
              <w:rPr>
                <w:szCs w:val="21"/>
                <w:vertAlign w:val="superscript"/>
              </w:rPr>
              <w:t>2</w:t>
            </w:r>
            <w:r>
              <w:rPr>
                <w:szCs w:val="21"/>
              </w:rPr>
              <w:t>，设3个加油岛，油罐区地下设置有卧式SF双层储油罐5个，</w:t>
            </w:r>
            <w:r>
              <w:rPr>
                <w:rFonts w:hint="eastAsia"/>
                <w:szCs w:val="21"/>
              </w:rPr>
              <w:t>预留</w:t>
            </w:r>
            <w:r>
              <w:rPr>
                <w:szCs w:val="21"/>
              </w:rPr>
              <w:t>充电区设置2个充电桩，充电车位4个；辅助工程为站房：二层框架结构，建筑面积为395.08m</w:t>
            </w:r>
            <w:r>
              <w:rPr>
                <w:szCs w:val="21"/>
                <w:vertAlign w:val="superscript"/>
              </w:rPr>
              <w:t>2</w:t>
            </w:r>
            <w:r>
              <w:rPr>
                <w:szCs w:val="21"/>
              </w:rPr>
              <w:t>，设有配电室、储藏室、便利店、站财室、配餐间、卫生间、淋浴间、楼梯间等；环保工程包括化粪池、隔油沉淀池、油气回收装置。本加油站不涉及洗车、车辆修理等服务内容。</w:t>
            </w:r>
          </w:p>
          <w:p>
            <w:pPr>
              <w:tabs>
                <w:tab w:val="left" w:pos="0"/>
              </w:tabs>
              <w:spacing w:line="360" w:lineRule="auto"/>
              <w:ind w:firstLine="420" w:firstLineChars="200"/>
              <w:rPr>
                <w:szCs w:val="21"/>
              </w:rPr>
            </w:pPr>
            <w:r>
              <w:rPr>
                <w:szCs w:val="21"/>
              </w:rPr>
              <w:t>本项目主要组成见表2-1。</w:t>
            </w:r>
          </w:p>
          <w:p>
            <w:pPr>
              <w:widowControl/>
              <w:snapToGrid w:val="0"/>
              <w:spacing w:line="276" w:lineRule="auto"/>
              <w:ind w:firstLine="482"/>
              <w:jc w:val="center"/>
              <w:rPr>
                <w:b/>
                <w:bCs/>
                <w:szCs w:val="21"/>
              </w:rPr>
            </w:pPr>
            <w:r>
              <w:rPr>
                <w:b/>
                <w:bCs/>
                <w:szCs w:val="21"/>
              </w:rPr>
              <w:t>表2-1  本项目主要组成情况一览表</w:t>
            </w:r>
          </w:p>
          <w:tbl>
            <w:tblPr>
              <w:tblStyle w:val="21"/>
              <w:tblW w:w="794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4"/>
              <w:gridCol w:w="1134"/>
              <w:gridCol w:w="612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84" w:hRule="atLeast"/>
              </w:trPr>
              <w:tc>
                <w:tcPr>
                  <w:tcW w:w="684" w:type="dxa"/>
                  <w:vAlign w:val="center"/>
                </w:tcPr>
                <w:p>
                  <w:pPr>
                    <w:pStyle w:val="46"/>
                    <w:adjustRightInd w:val="0"/>
                    <w:snapToGrid w:val="0"/>
                    <w:rPr>
                      <w:rFonts w:eastAsia="宋体"/>
                      <w:b/>
                      <w:bCs/>
                    </w:rPr>
                  </w:pPr>
                  <w:r>
                    <w:rPr>
                      <w:rFonts w:eastAsia="宋体"/>
                      <w:b/>
                      <w:bCs/>
                    </w:rPr>
                    <w:t>工程分类</w:t>
                  </w:r>
                </w:p>
              </w:tc>
              <w:tc>
                <w:tcPr>
                  <w:tcW w:w="1134" w:type="dxa"/>
                  <w:vAlign w:val="center"/>
                </w:tcPr>
                <w:p>
                  <w:pPr>
                    <w:pStyle w:val="46"/>
                    <w:adjustRightInd w:val="0"/>
                    <w:snapToGrid w:val="0"/>
                    <w:rPr>
                      <w:rFonts w:eastAsia="宋体"/>
                      <w:b/>
                      <w:bCs/>
                    </w:rPr>
                  </w:pPr>
                  <w:r>
                    <w:rPr>
                      <w:rFonts w:eastAsia="宋体"/>
                      <w:b/>
                      <w:bCs/>
                    </w:rPr>
                    <w:t>项目名称</w:t>
                  </w:r>
                </w:p>
              </w:tc>
              <w:tc>
                <w:tcPr>
                  <w:tcW w:w="6125" w:type="dxa"/>
                  <w:vAlign w:val="center"/>
                </w:tcPr>
                <w:p>
                  <w:pPr>
                    <w:pStyle w:val="46"/>
                    <w:adjustRightInd w:val="0"/>
                    <w:snapToGrid w:val="0"/>
                    <w:rPr>
                      <w:rFonts w:eastAsia="宋体"/>
                      <w:b/>
                      <w:bCs/>
                    </w:rPr>
                  </w:pPr>
                  <w:r>
                    <w:rPr>
                      <w:rFonts w:eastAsia="宋体"/>
                      <w:b/>
                      <w:bCs/>
                    </w:rPr>
                    <w:t>建设内容及规模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 w:hRule="atLeast"/>
              </w:trPr>
              <w:tc>
                <w:tcPr>
                  <w:tcW w:w="684" w:type="dxa"/>
                  <w:vMerge w:val="restart"/>
                  <w:vAlign w:val="center"/>
                </w:tcPr>
                <w:p>
                  <w:pPr>
                    <w:pStyle w:val="46"/>
                    <w:adjustRightInd w:val="0"/>
                    <w:snapToGrid w:val="0"/>
                    <w:rPr>
                      <w:rFonts w:eastAsia="宋体"/>
                    </w:rPr>
                  </w:pPr>
                  <w:r>
                    <w:rPr>
                      <w:rFonts w:eastAsia="宋体"/>
                    </w:rPr>
                    <w:t>主体工程</w:t>
                  </w:r>
                </w:p>
              </w:tc>
              <w:tc>
                <w:tcPr>
                  <w:tcW w:w="1134" w:type="dxa"/>
                  <w:vAlign w:val="center"/>
                </w:tcPr>
                <w:p>
                  <w:pPr>
                    <w:pStyle w:val="46"/>
                    <w:adjustRightInd w:val="0"/>
                    <w:snapToGrid w:val="0"/>
                    <w:rPr>
                      <w:rFonts w:eastAsia="宋体"/>
                    </w:rPr>
                  </w:pPr>
                  <w:r>
                    <w:rPr>
                      <w:rFonts w:eastAsia="宋体"/>
                    </w:rPr>
                    <w:t>加油区</w:t>
                  </w:r>
                </w:p>
              </w:tc>
              <w:tc>
                <w:tcPr>
                  <w:tcW w:w="6125" w:type="dxa"/>
                  <w:vAlign w:val="center"/>
                </w:tcPr>
                <w:p>
                  <w:pPr>
                    <w:pStyle w:val="48"/>
                    <w:adjustRightInd w:val="0"/>
                    <w:snapToGrid w:val="0"/>
                    <w:jc w:val="both"/>
                    <w:rPr>
                      <w:rFonts w:eastAsia="宋体"/>
                    </w:rPr>
                  </w:pPr>
                  <w:r>
                    <w:rPr>
                      <w:rFonts w:eastAsia="宋体"/>
                    </w:rPr>
                    <w:t>顶上设置罩棚（网架结构，净高H=7m），建筑面积215m</w:t>
                  </w:r>
                  <w:r>
                    <w:rPr>
                      <w:rFonts w:eastAsia="宋体"/>
                      <w:vertAlign w:val="superscript"/>
                    </w:rPr>
                    <w:t>2</w:t>
                  </w:r>
                  <w:r>
                    <w:rPr>
                      <w:rFonts w:eastAsia="宋体"/>
                    </w:rPr>
                    <w:t>（罩棚折半计入），加油岛3个，拟设1台四枪加油机、1台六枪加油机、1台八枪加油机及配套的工艺管线。罩棚外西侧设置一台尿素机</w:t>
                  </w:r>
                  <w:r>
                    <w:rPr>
                      <w:rFonts w:hint="eastAsia" w:eastAsia="宋体"/>
                    </w:rPr>
                    <w:t>（一体式，尿素容量3立方米）</w:t>
                  </w:r>
                  <w:r>
                    <w:rPr>
                      <w:rFonts w:eastAsia="宋体"/>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72"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eastAsia="宋体"/>
                    </w:rPr>
                    <w:t>油罐区</w:t>
                  </w:r>
                </w:p>
              </w:tc>
              <w:tc>
                <w:tcPr>
                  <w:tcW w:w="6125" w:type="dxa"/>
                  <w:vAlign w:val="center"/>
                </w:tcPr>
                <w:p>
                  <w:pPr>
                    <w:pStyle w:val="48"/>
                    <w:adjustRightInd w:val="0"/>
                    <w:snapToGrid w:val="0"/>
                    <w:jc w:val="left"/>
                    <w:rPr>
                      <w:rFonts w:eastAsia="宋体"/>
                    </w:rPr>
                  </w:pPr>
                  <w:r>
                    <w:rPr>
                      <w:rFonts w:eastAsia="宋体"/>
                    </w:rPr>
                    <w:t>拟建埋地非承重罐池，内设5个埋地卧式SF双层油罐，拟设置1台50m</w:t>
                  </w:r>
                  <w:r>
                    <w:rPr>
                      <w:rFonts w:eastAsia="宋体"/>
                      <w:vertAlign w:val="superscript"/>
                    </w:rPr>
                    <w:t>3</w:t>
                  </w:r>
                  <w:r>
                    <w:rPr>
                      <w:rFonts w:eastAsia="宋体"/>
                    </w:rPr>
                    <w:t>92#汽油罐、1台50m</w:t>
                  </w:r>
                  <w:r>
                    <w:rPr>
                      <w:rFonts w:eastAsia="宋体"/>
                      <w:vertAlign w:val="superscript"/>
                    </w:rPr>
                    <w:t>3</w:t>
                  </w:r>
                  <w:r>
                    <w:rPr>
                      <w:rFonts w:eastAsia="宋体"/>
                    </w:rPr>
                    <w:t>0#柴油罐、1台30m</w:t>
                  </w:r>
                  <w:r>
                    <w:rPr>
                      <w:rFonts w:eastAsia="宋体"/>
                      <w:vertAlign w:val="superscript"/>
                    </w:rPr>
                    <w:t>3</w:t>
                  </w:r>
                  <w:r>
                    <w:rPr>
                      <w:rFonts w:eastAsia="宋体"/>
                    </w:rPr>
                    <w:t>95#汽油罐和1台30m</w:t>
                  </w:r>
                  <w:r>
                    <w:rPr>
                      <w:rFonts w:eastAsia="宋体"/>
                      <w:vertAlign w:val="superscript"/>
                    </w:rPr>
                    <w:t>3</w:t>
                  </w:r>
                  <w:r>
                    <w:rPr>
                      <w:rFonts w:eastAsia="宋体"/>
                    </w:rPr>
                    <w:t>98#汽油罐、1台30m</w:t>
                  </w:r>
                  <w:r>
                    <w:rPr>
                      <w:rFonts w:eastAsia="宋体"/>
                      <w:vertAlign w:val="superscript"/>
                    </w:rPr>
                    <w:t>3</w:t>
                  </w:r>
                  <w:r>
                    <w:rPr>
                      <w:rFonts w:eastAsia="宋体"/>
                    </w:rPr>
                    <w:t>0#柴油罐。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72"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hint="eastAsia" w:eastAsia="宋体"/>
                    </w:rPr>
                    <w:t>预留</w:t>
                  </w:r>
                  <w:r>
                    <w:rPr>
                      <w:rFonts w:eastAsia="宋体"/>
                    </w:rPr>
                    <w:t>充电区</w:t>
                  </w:r>
                </w:p>
              </w:tc>
              <w:tc>
                <w:tcPr>
                  <w:tcW w:w="6125" w:type="dxa"/>
                  <w:vAlign w:val="center"/>
                </w:tcPr>
                <w:p>
                  <w:pPr>
                    <w:pStyle w:val="48"/>
                    <w:adjustRightInd w:val="0"/>
                    <w:snapToGrid w:val="0"/>
                    <w:jc w:val="left"/>
                    <w:rPr>
                      <w:rFonts w:eastAsia="宋体"/>
                    </w:rPr>
                  </w:pPr>
                  <w:r>
                    <w:rPr>
                      <w:rFonts w:eastAsia="宋体"/>
                    </w:rPr>
                    <w:t>位于站区南侧，拟设置2个充电桩，4个充电位。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59" w:hRule="atLeast"/>
              </w:trPr>
              <w:tc>
                <w:tcPr>
                  <w:tcW w:w="684" w:type="dxa"/>
                  <w:vAlign w:val="center"/>
                </w:tcPr>
                <w:p>
                  <w:pPr>
                    <w:pStyle w:val="48"/>
                    <w:adjustRightInd w:val="0"/>
                    <w:snapToGrid w:val="0"/>
                    <w:rPr>
                      <w:rFonts w:eastAsia="宋体"/>
                    </w:rPr>
                  </w:pPr>
                  <w:r>
                    <w:rPr>
                      <w:rFonts w:eastAsia="宋体"/>
                    </w:rPr>
                    <w:t>辅助工程</w:t>
                  </w:r>
                </w:p>
              </w:tc>
              <w:tc>
                <w:tcPr>
                  <w:tcW w:w="1134" w:type="dxa"/>
                  <w:vAlign w:val="center"/>
                </w:tcPr>
                <w:p>
                  <w:pPr>
                    <w:pStyle w:val="48"/>
                    <w:adjustRightInd w:val="0"/>
                    <w:snapToGrid w:val="0"/>
                    <w:rPr>
                      <w:rFonts w:eastAsia="宋体"/>
                    </w:rPr>
                  </w:pPr>
                  <w:r>
                    <w:rPr>
                      <w:rFonts w:eastAsia="宋体"/>
                    </w:rPr>
                    <w:t>站房</w:t>
                  </w:r>
                </w:p>
              </w:tc>
              <w:tc>
                <w:tcPr>
                  <w:tcW w:w="6125" w:type="dxa"/>
                  <w:vAlign w:val="center"/>
                </w:tcPr>
                <w:p>
                  <w:pPr>
                    <w:pStyle w:val="48"/>
                    <w:adjustRightInd w:val="0"/>
                    <w:snapToGrid w:val="0"/>
                    <w:jc w:val="both"/>
                    <w:rPr>
                      <w:rFonts w:eastAsia="宋体"/>
                    </w:rPr>
                  </w:pPr>
                  <w:r>
                    <w:rPr>
                      <w:rFonts w:eastAsia="宋体"/>
                    </w:rPr>
                    <w:t>二层框架结构，总建筑面积395.08m</w:t>
                  </w:r>
                  <w:r>
                    <w:rPr>
                      <w:rFonts w:eastAsia="宋体"/>
                      <w:vertAlign w:val="superscript"/>
                    </w:rPr>
                    <w:t>2</w:t>
                  </w:r>
                  <w:r>
                    <w:rPr>
                      <w:rFonts w:eastAsia="宋体"/>
                    </w:rPr>
                    <w:t>，设有配电室、储藏室（主要储存</w:t>
                  </w:r>
                  <w:r>
                    <w:rPr>
                      <w:rFonts w:hint="eastAsia" w:eastAsia="宋体"/>
                    </w:rPr>
                    <w:t>汽车养护耗材</w:t>
                  </w:r>
                  <w:r>
                    <w:rPr>
                      <w:rFonts w:eastAsia="宋体"/>
                    </w:rPr>
                    <w:t>及食品、饮料类商品，最大储存量约为1吨）、便利店（主要出售汽车配件、</w:t>
                  </w:r>
                  <w:r>
                    <w:rPr>
                      <w:rFonts w:hint="eastAsia" w:eastAsia="宋体"/>
                    </w:rPr>
                    <w:t>汽车养护耗材</w:t>
                  </w:r>
                  <w:r>
                    <w:rPr>
                      <w:rFonts w:eastAsia="宋体"/>
                    </w:rPr>
                    <w:t>及食品、饮料类商品）、站财室、配餐间</w:t>
                  </w:r>
                  <w:r>
                    <w:rPr>
                      <w:rFonts w:hint="eastAsia" w:eastAsia="宋体"/>
                    </w:rPr>
                    <w:t>（仅用作食物的简单电加热，用餐场所，不产油烟、污水）</w:t>
                  </w:r>
                  <w:r>
                    <w:rPr>
                      <w:rFonts w:eastAsia="宋体"/>
                    </w:rPr>
                    <w:t>、卫生间、淋浴间、楼梯间等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 w:hRule="atLeast"/>
              </w:trPr>
              <w:tc>
                <w:tcPr>
                  <w:tcW w:w="684" w:type="dxa"/>
                  <w:vMerge w:val="restart"/>
                  <w:vAlign w:val="center"/>
                </w:tcPr>
                <w:p>
                  <w:pPr>
                    <w:pStyle w:val="48"/>
                    <w:adjustRightInd w:val="0"/>
                    <w:snapToGrid w:val="0"/>
                    <w:rPr>
                      <w:rFonts w:eastAsia="宋体"/>
                    </w:rPr>
                  </w:pPr>
                  <w:r>
                    <w:rPr>
                      <w:rFonts w:eastAsia="宋体"/>
                    </w:rPr>
                    <w:t>公用工程</w:t>
                  </w:r>
                </w:p>
              </w:tc>
              <w:tc>
                <w:tcPr>
                  <w:tcW w:w="1134" w:type="dxa"/>
                  <w:vAlign w:val="center"/>
                </w:tcPr>
                <w:p>
                  <w:pPr>
                    <w:pStyle w:val="48"/>
                    <w:adjustRightInd w:val="0"/>
                    <w:snapToGrid w:val="0"/>
                    <w:rPr>
                      <w:rFonts w:eastAsia="宋体"/>
                    </w:rPr>
                  </w:pPr>
                  <w:r>
                    <w:rPr>
                      <w:rFonts w:eastAsia="宋体"/>
                    </w:rPr>
                    <w:t>给水</w:t>
                  </w:r>
                </w:p>
              </w:tc>
              <w:tc>
                <w:tcPr>
                  <w:tcW w:w="6125" w:type="dxa"/>
                  <w:vAlign w:val="center"/>
                </w:tcPr>
                <w:p>
                  <w:pPr>
                    <w:pStyle w:val="48"/>
                    <w:adjustRightInd w:val="0"/>
                    <w:snapToGrid w:val="0"/>
                    <w:jc w:val="left"/>
                    <w:rPr>
                      <w:rFonts w:eastAsia="宋体"/>
                    </w:rPr>
                  </w:pPr>
                  <w:r>
                    <w:rPr>
                      <w:rFonts w:eastAsia="宋体"/>
                    </w:rPr>
                    <w:t>市政给水管网供水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32"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eastAsia="宋体"/>
                    </w:rPr>
                    <w:t>排水</w:t>
                  </w:r>
                </w:p>
              </w:tc>
              <w:tc>
                <w:tcPr>
                  <w:tcW w:w="6125" w:type="dxa"/>
                  <w:vAlign w:val="center"/>
                </w:tcPr>
                <w:p>
                  <w:pPr>
                    <w:pStyle w:val="48"/>
                    <w:adjustRightInd w:val="0"/>
                    <w:snapToGrid w:val="0"/>
                    <w:jc w:val="left"/>
                    <w:rPr>
                      <w:rFonts w:eastAsia="宋体"/>
                    </w:rPr>
                  </w:pPr>
                  <w:r>
                    <w:rPr>
                      <w:rFonts w:eastAsia="宋体"/>
                    </w:rPr>
                    <w:t>项目生活污水拟采用化粪池处理后与冲洗废水经隔油沉淀池处理后单独汇入总排口后排入市政污水管网，然后进入宁都县污水处理厂处理。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eastAsia="宋体"/>
                    </w:rPr>
                    <w:t>供电</w:t>
                  </w:r>
                </w:p>
              </w:tc>
              <w:tc>
                <w:tcPr>
                  <w:tcW w:w="6125" w:type="dxa"/>
                  <w:vAlign w:val="center"/>
                </w:tcPr>
                <w:p>
                  <w:pPr>
                    <w:pStyle w:val="48"/>
                    <w:adjustRightInd w:val="0"/>
                    <w:snapToGrid w:val="0"/>
                    <w:rPr>
                      <w:rFonts w:eastAsia="宋体"/>
                    </w:rPr>
                  </w:pPr>
                  <w:r>
                    <w:rPr>
                      <w:rFonts w:eastAsia="宋体"/>
                    </w:rPr>
                    <w:t>城镇电网供电，从站区南侧预留箱式变压器接线进入站区配电室。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69" w:hRule="atLeast"/>
              </w:trPr>
              <w:tc>
                <w:tcPr>
                  <w:tcW w:w="684" w:type="dxa"/>
                  <w:vMerge w:val="restart"/>
                  <w:vAlign w:val="center"/>
                </w:tcPr>
                <w:p>
                  <w:pPr>
                    <w:pStyle w:val="48"/>
                    <w:adjustRightInd w:val="0"/>
                    <w:snapToGrid w:val="0"/>
                    <w:rPr>
                      <w:rFonts w:eastAsia="宋体"/>
                    </w:rPr>
                  </w:pPr>
                  <w:r>
                    <w:rPr>
                      <w:rFonts w:eastAsia="宋体"/>
                    </w:rPr>
                    <w:t>环保工程</w:t>
                  </w:r>
                </w:p>
              </w:tc>
              <w:tc>
                <w:tcPr>
                  <w:tcW w:w="1134" w:type="dxa"/>
                  <w:vAlign w:val="center"/>
                </w:tcPr>
                <w:p>
                  <w:pPr>
                    <w:pStyle w:val="48"/>
                    <w:adjustRightInd w:val="0"/>
                    <w:snapToGrid w:val="0"/>
                    <w:rPr>
                      <w:rFonts w:eastAsia="宋体"/>
                    </w:rPr>
                  </w:pPr>
                  <w:r>
                    <w:rPr>
                      <w:rFonts w:eastAsia="宋体"/>
                    </w:rPr>
                    <w:t>废气处理</w:t>
                  </w:r>
                </w:p>
              </w:tc>
              <w:tc>
                <w:tcPr>
                  <w:tcW w:w="6125" w:type="dxa"/>
                  <w:vAlign w:val="center"/>
                </w:tcPr>
                <w:p>
                  <w:pPr>
                    <w:pStyle w:val="48"/>
                    <w:adjustRightInd w:val="0"/>
                    <w:snapToGrid w:val="0"/>
                    <w:jc w:val="left"/>
                    <w:rPr>
                      <w:rFonts w:eastAsia="宋体"/>
                    </w:rPr>
                  </w:pPr>
                  <w:r>
                    <w:rPr>
                      <w:rFonts w:eastAsia="宋体"/>
                    </w:rPr>
                    <w:t>油气采用分散式卸油油气回收及加油油气回收装置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69"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eastAsia="宋体"/>
                    </w:rPr>
                    <w:t>废水处理</w:t>
                  </w:r>
                </w:p>
              </w:tc>
              <w:tc>
                <w:tcPr>
                  <w:tcW w:w="6125" w:type="dxa"/>
                  <w:vAlign w:val="center"/>
                </w:tcPr>
                <w:p>
                  <w:pPr>
                    <w:pStyle w:val="48"/>
                    <w:adjustRightInd w:val="0"/>
                    <w:snapToGrid w:val="0"/>
                    <w:jc w:val="left"/>
                    <w:rPr>
                      <w:rFonts w:eastAsia="宋体"/>
                    </w:rPr>
                  </w:pPr>
                  <w:r>
                    <w:rPr>
                      <w:rFonts w:eastAsia="宋体"/>
                    </w:rPr>
                    <w:t xml:space="preserve">采用废污水分流，废水经新建化粪池处理后排入污水管网，加油区西侧拟设地面排水明沟，污水由地面明沟收集经地下隔油沉淀池处理后排入污水管网。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69" w:hRule="atLeast"/>
              </w:trPr>
              <w:tc>
                <w:tcPr>
                  <w:tcW w:w="684" w:type="dxa"/>
                  <w:vMerge w:val="continue"/>
                  <w:vAlign w:val="center"/>
                </w:tcPr>
                <w:p>
                  <w:pPr>
                    <w:pStyle w:val="48"/>
                    <w:adjustRightInd w:val="0"/>
                    <w:snapToGrid w:val="0"/>
                    <w:rPr>
                      <w:rFonts w:eastAsia="宋体"/>
                    </w:rPr>
                  </w:pPr>
                </w:p>
              </w:tc>
              <w:tc>
                <w:tcPr>
                  <w:tcW w:w="1134" w:type="dxa"/>
                  <w:vAlign w:val="center"/>
                </w:tcPr>
                <w:p>
                  <w:pPr>
                    <w:pStyle w:val="48"/>
                    <w:adjustRightInd w:val="0"/>
                    <w:snapToGrid w:val="0"/>
                    <w:rPr>
                      <w:rFonts w:eastAsia="宋体"/>
                    </w:rPr>
                  </w:pPr>
                  <w:r>
                    <w:rPr>
                      <w:rFonts w:eastAsia="宋体"/>
                    </w:rPr>
                    <w:t>固体废物</w:t>
                  </w:r>
                </w:p>
              </w:tc>
              <w:tc>
                <w:tcPr>
                  <w:tcW w:w="6125" w:type="dxa"/>
                  <w:vAlign w:val="center"/>
                </w:tcPr>
                <w:p>
                  <w:pPr>
                    <w:pStyle w:val="48"/>
                    <w:adjustRightInd w:val="0"/>
                    <w:snapToGrid w:val="0"/>
                    <w:jc w:val="left"/>
                    <w:rPr>
                      <w:rFonts w:eastAsia="宋体"/>
                    </w:rPr>
                  </w:pPr>
                  <w:r>
                    <w:rPr>
                      <w:rFonts w:eastAsia="宋体"/>
                    </w:rPr>
                    <w:t>生活垃圾收集后交由环卫部门集中清运处理；废油渣、隔油沉淀池废油泥等危险废物收集后定期委托有资质的危险废物处理单位处理。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69" w:hRule="atLeast"/>
              </w:trPr>
              <w:tc>
                <w:tcPr>
                  <w:tcW w:w="684" w:type="dxa"/>
                  <w:vMerge w:val="continue"/>
                  <w:vAlign w:val="center"/>
                </w:tcPr>
                <w:p>
                  <w:pPr>
                    <w:pStyle w:val="48"/>
                    <w:adjustRightInd w:val="0"/>
                    <w:snapToGrid w:val="0"/>
                    <w:rPr>
                      <w:rFonts w:eastAsia="宋体"/>
                      <w:color w:val="FF0000"/>
                    </w:rPr>
                  </w:pPr>
                </w:p>
              </w:tc>
              <w:tc>
                <w:tcPr>
                  <w:tcW w:w="1134" w:type="dxa"/>
                  <w:vAlign w:val="center"/>
                </w:tcPr>
                <w:p>
                  <w:pPr>
                    <w:pStyle w:val="48"/>
                    <w:adjustRightInd w:val="0"/>
                    <w:snapToGrid w:val="0"/>
                    <w:rPr>
                      <w:rFonts w:eastAsia="宋体"/>
                    </w:rPr>
                  </w:pPr>
                  <w:r>
                    <w:rPr>
                      <w:rFonts w:eastAsia="宋体"/>
                    </w:rPr>
                    <w:t>噪声</w:t>
                  </w:r>
                </w:p>
              </w:tc>
              <w:tc>
                <w:tcPr>
                  <w:tcW w:w="6125" w:type="dxa"/>
                  <w:vAlign w:val="center"/>
                </w:tcPr>
                <w:p>
                  <w:pPr>
                    <w:pStyle w:val="46"/>
                    <w:adjustRightInd w:val="0"/>
                    <w:snapToGrid w:val="0"/>
                    <w:jc w:val="left"/>
                    <w:rPr>
                      <w:rFonts w:eastAsia="宋体"/>
                    </w:rPr>
                  </w:pPr>
                  <w:r>
                    <w:rPr>
                      <w:rFonts w:eastAsia="宋体"/>
                    </w:rPr>
                    <w:t>交通管理、绿化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69" w:hRule="atLeast"/>
              </w:trPr>
              <w:tc>
                <w:tcPr>
                  <w:tcW w:w="684" w:type="dxa"/>
                  <w:vMerge w:val="continue"/>
                  <w:vAlign w:val="center"/>
                </w:tcPr>
                <w:p>
                  <w:pPr>
                    <w:pStyle w:val="48"/>
                    <w:adjustRightInd w:val="0"/>
                    <w:snapToGrid w:val="0"/>
                    <w:rPr>
                      <w:rFonts w:eastAsia="宋体"/>
                      <w:color w:val="FF0000"/>
                    </w:rPr>
                  </w:pPr>
                </w:p>
              </w:tc>
              <w:tc>
                <w:tcPr>
                  <w:tcW w:w="1134" w:type="dxa"/>
                  <w:vAlign w:val="center"/>
                </w:tcPr>
                <w:p>
                  <w:pPr>
                    <w:pStyle w:val="48"/>
                    <w:adjustRightInd w:val="0"/>
                    <w:snapToGrid w:val="0"/>
                    <w:rPr>
                      <w:rFonts w:eastAsia="宋体"/>
                    </w:rPr>
                  </w:pPr>
                  <w:r>
                    <w:rPr>
                      <w:rFonts w:eastAsia="宋体"/>
                    </w:rPr>
                    <w:t>地下水</w:t>
                  </w:r>
                </w:p>
              </w:tc>
              <w:tc>
                <w:tcPr>
                  <w:tcW w:w="6125" w:type="dxa"/>
                  <w:vAlign w:val="center"/>
                </w:tcPr>
                <w:p>
                  <w:pPr>
                    <w:pStyle w:val="46"/>
                    <w:adjustRightInd w:val="0"/>
                    <w:snapToGrid w:val="0"/>
                    <w:jc w:val="left"/>
                    <w:rPr>
                      <w:rFonts w:eastAsia="宋体"/>
                    </w:rPr>
                  </w:pPr>
                  <w:r>
                    <w:rPr>
                      <w:rFonts w:eastAsia="宋体"/>
                    </w:rPr>
                    <w:t>使用双层油罐、场地防渗分区管理、重点防渗区域采取防渗防漏措施，设置地下水监控井等。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17" w:hRule="atLeast"/>
              </w:trPr>
              <w:tc>
                <w:tcPr>
                  <w:tcW w:w="684" w:type="dxa"/>
                  <w:vMerge w:val="continue"/>
                  <w:vAlign w:val="center"/>
                </w:tcPr>
                <w:p>
                  <w:pPr>
                    <w:pStyle w:val="48"/>
                    <w:adjustRightInd w:val="0"/>
                    <w:snapToGrid w:val="0"/>
                    <w:rPr>
                      <w:rFonts w:eastAsia="宋体"/>
                      <w:color w:val="FF0000"/>
                    </w:rPr>
                  </w:pPr>
                </w:p>
              </w:tc>
              <w:tc>
                <w:tcPr>
                  <w:tcW w:w="1134" w:type="dxa"/>
                  <w:vAlign w:val="center"/>
                </w:tcPr>
                <w:p>
                  <w:pPr>
                    <w:pStyle w:val="48"/>
                    <w:adjustRightInd w:val="0"/>
                    <w:snapToGrid w:val="0"/>
                    <w:rPr>
                      <w:rFonts w:eastAsia="宋体"/>
                    </w:rPr>
                  </w:pPr>
                  <w:r>
                    <w:rPr>
                      <w:rFonts w:eastAsia="宋体"/>
                    </w:rPr>
                    <w:t>环境风险</w:t>
                  </w:r>
                </w:p>
              </w:tc>
              <w:tc>
                <w:tcPr>
                  <w:tcW w:w="6125" w:type="dxa"/>
                  <w:vAlign w:val="center"/>
                </w:tcPr>
                <w:p>
                  <w:pPr>
                    <w:pStyle w:val="46"/>
                    <w:adjustRightInd w:val="0"/>
                    <w:snapToGrid w:val="0"/>
                    <w:jc w:val="left"/>
                    <w:rPr>
                      <w:rFonts w:eastAsia="宋体"/>
                    </w:rPr>
                  </w:pPr>
                  <w:r>
                    <w:rPr>
                      <w:rFonts w:hint="eastAsia" w:eastAsia="宋体"/>
                    </w:rPr>
                    <w:t>设置油罐区围堰；</w:t>
                  </w:r>
                  <w:r>
                    <w:rPr>
                      <w:rFonts w:eastAsia="宋体"/>
                    </w:rPr>
                    <w:t>设置消防器材及消防砂池、设置可燃气体监控、火灾报警系统、制定应急预案、消防设施验收等，制定安全评价并根据安评结论完善风险防范措施。</w:t>
                  </w:r>
                </w:p>
              </w:tc>
            </w:tr>
          </w:tbl>
          <w:p>
            <w:pPr>
              <w:adjustRightInd w:val="0"/>
              <w:snapToGrid w:val="0"/>
              <w:jc w:val="center"/>
              <w:rPr>
                <w:bCs/>
                <w:color w:val="FF0000"/>
                <w:szCs w:val="21"/>
              </w:rPr>
            </w:pPr>
          </w:p>
          <w:p>
            <w:pPr>
              <w:pStyle w:val="7"/>
              <w:widowControl w:val="0"/>
              <w:adjustRightInd w:val="0"/>
              <w:snapToGrid/>
              <w:spacing w:after="0" w:line="360" w:lineRule="auto"/>
              <w:ind w:right="0" w:firstLine="420" w:firstLineChars="200"/>
              <w:textAlignment w:val="baseline"/>
              <w:rPr>
                <w:sz w:val="21"/>
                <w:szCs w:val="24"/>
              </w:rPr>
            </w:pPr>
            <w:r>
              <w:rPr>
                <w:sz w:val="21"/>
                <w:szCs w:val="24"/>
              </w:rPr>
              <w:t>根据</w:t>
            </w:r>
            <w:r>
              <w:rPr>
                <w:sz w:val="21"/>
                <w:szCs w:val="21"/>
              </w:rPr>
              <w:t>《汽车加油加气加氢站技术标准》（GB50156-2021）</w:t>
            </w:r>
            <w:r>
              <w:rPr>
                <w:sz w:val="21"/>
                <w:szCs w:val="24"/>
              </w:rPr>
              <w:t>，加油加气站等级划分表见表2-2。</w:t>
            </w:r>
          </w:p>
          <w:p>
            <w:pPr>
              <w:tabs>
                <w:tab w:val="left" w:pos="4279"/>
              </w:tabs>
              <w:spacing w:line="276" w:lineRule="auto"/>
              <w:jc w:val="center"/>
              <w:rPr>
                <w:b/>
              </w:rPr>
            </w:pPr>
            <w:r>
              <w:rPr>
                <w:b/>
              </w:rPr>
              <w:t>表2-2 加油加气站等级划分表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02"/>
              <w:gridCol w:w="2713"/>
              <w:gridCol w:w="2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07" w:type="pct"/>
                  <w:vMerge w:val="restart"/>
                  <w:vAlign w:val="center"/>
                </w:tcPr>
                <w:p>
                  <w:pPr>
                    <w:pStyle w:val="44"/>
                    <w:adjustRightInd w:val="0"/>
                    <w:jc w:val="center"/>
                    <w:textAlignment w:val="baseline"/>
                    <w:rPr>
                      <w:b/>
                      <w:szCs w:val="21"/>
                    </w:rPr>
                  </w:pPr>
                  <w:r>
                    <w:rPr>
                      <w:b/>
                      <w:szCs w:val="21"/>
                    </w:rPr>
                    <w:t>级别</w:t>
                  </w:r>
                </w:p>
              </w:tc>
              <w:tc>
                <w:tcPr>
                  <w:tcW w:w="3493" w:type="pct"/>
                  <w:gridSpan w:val="2"/>
                  <w:vAlign w:val="center"/>
                </w:tcPr>
                <w:p>
                  <w:pPr>
                    <w:pStyle w:val="44"/>
                    <w:adjustRightInd w:val="0"/>
                    <w:jc w:val="center"/>
                    <w:textAlignment w:val="baseline"/>
                    <w:rPr>
                      <w:b/>
                      <w:szCs w:val="21"/>
                    </w:rPr>
                  </w:pPr>
                  <w:r>
                    <w:rPr>
                      <w:b/>
                      <w:szCs w:val="21"/>
                    </w:rPr>
                    <w:t>油罐容积（m</w:t>
                  </w:r>
                  <w:r>
                    <w:rPr>
                      <w:b/>
                      <w:szCs w:val="21"/>
                      <w:vertAlign w:val="superscript"/>
                    </w:rPr>
                    <w:t>3</w:t>
                  </w:r>
                  <w:r>
                    <w:rPr>
                      <w:b/>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07" w:type="pct"/>
                  <w:vMerge w:val="continue"/>
                  <w:vAlign w:val="center"/>
                </w:tcPr>
                <w:p>
                  <w:pPr>
                    <w:adjustRightInd w:val="0"/>
                    <w:jc w:val="center"/>
                    <w:textAlignment w:val="baseline"/>
                    <w:rPr>
                      <w:b/>
                      <w:szCs w:val="21"/>
                    </w:rPr>
                  </w:pPr>
                </w:p>
              </w:tc>
              <w:tc>
                <w:tcPr>
                  <w:tcW w:w="1702" w:type="pct"/>
                  <w:vAlign w:val="center"/>
                </w:tcPr>
                <w:p>
                  <w:pPr>
                    <w:pStyle w:val="44"/>
                    <w:adjustRightInd w:val="0"/>
                    <w:jc w:val="center"/>
                    <w:textAlignment w:val="baseline"/>
                    <w:rPr>
                      <w:b/>
                      <w:szCs w:val="21"/>
                    </w:rPr>
                  </w:pPr>
                  <w:r>
                    <w:rPr>
                      <w:b/>
                      <w:szCs w:val="21"/>
                    </w:rPr>
                    <w:t>总容积</w:t>
                  </w:r>
                </w:p>
              </w:tc>
              <w:tc>
                <w:tcPr>
                  <w:tcW w:w="1791" w:type="pct"/>
                  <w:vAlign w:val="center"/>
                </w:tcPr>
                <w:p>
                  <w:pPr>
                    <w:pStyle w:val="44"/>
                    <w:adjustRightInd w:val="0"/>
                    <w:jc w:val="center"/>
                    <w:textAlignment w:val="baseline"/>
                    <w:rPr>
                      <w:b/>
                      <w:szCs w:val="21"/>
                    </w:rPr>
                  </w:pPr>
                  <w:r>
                    <w:rPr>
                      <w:b/>
                      <w:szCs w:val="21"/>
                    </w:rPr>
                    <w:t>单罐容积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07" w:type="pct"/>
                  <w:vAlign w:val="center"/>
                </w:tcPr>
                <w:p>
                  <w:pPr>
                    <w:pStyle w:val="44"/>
                    <w:adjustRightInd w:val="0"/>
                    <w:jc w:val="center"/>
                    <w:textAlignment w:val="baseline"/>
                    <w:rPr>
                      <w:szCs w:val="21"/>
                    </w:rPr>
                  </w:pPr>
                  <w:r>
                    <w:rPr>
                      <w:szCs w:val="21"/>
                    </w:rPr>
                    <w:t>一级</w:t>
                  </w:r>
                </w:p>
              </w:tc>
              <w:tc>
                <w:tcPr>
                  <w:tcW w:w="1702" w:type="pct"/>
                  <w:vAlign w:val="center"/>
                </w:tcPr>
                <w:p>
                  <w:pPr>
                    <w:pStyle w:val="44"/>
                    <w:adjustRightInd w:val="0"/>
                    <w:jc w:val="center"/>
                    <w:textAlignment w:val="baseline"/>
                    <w:rPr>
                      <w:szCs w:val="21"/>
                    </w:rPr>
                  </w:pPr>
                  <w:r>
                    <w:rPr>
                      <w:w w:val="95"/>
                      <w:szCs w:val="21"/>
                    </w:rPr>
                    <w:t>150＜V≤210</w:t>
                  </w:r>
                </w:p>
              </w:tc>
              <w:tc>
                <w:tcPr>
                  <w:tcW w:w="1791" w:type="pct"/>
                  <w:vAlign w:val="center"/>
                </w:tcPr>
                <w:p>
                  <w:pPr>
                    <w:pStyle w:val="44"/>
                    <w:adjustRightInd w:val="0"/>
                    <w:jc w:val="center"/>
                    <w:textAlignment w:val="baseline"/>
                    <w:rPr>
                      <w:szCs w:val="21"/>
                    </w:rPr>
                  </w:pPr>
                  <w:r>
                    <w:rPr>
                      <w:szCs w:val="21"/>
                    </w:rPr>
                    <w:t>V≤50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07" w:type="pct"/>
                  <w:vAlign w:val="center"/>
                </w:tcPr>
                <w:p>
                  <w:pPr>
                    <w:pStyle w:val="44"/>
                    <w:adjustRightInd w:val="0"/>
                    <w:jc w:val="center"/>
                    <w:textAlignment w:val="baseline"/>
                    <w:rPr>
                      <w:szCs w:val="21"/>
                    </w:rPr>
                  </w:pPr>
                  <w:r>
                    <w:rPr>
                      <w:szCs w:val="21"/>
                    </w:rPr>
                    <w:t>二级</w:t>
                  </w:r>
                </w:p>
              </w:tc>
              <w:tc>
                <w:tcPr>
                  <w:tcW w:w="1702" w:type="pct"/>
                  <w:vAlign w:val="center"/>
                </w:tcPr>
                <w:p>
                  <w:pPr>
                    <w:pStyle w:val="44"/>
                    <w:adjustRightInd w:val="0"/>
                    <w:jc w:val="center"/>
                    <w:textAlignment w:val="baseline"/>
                    <w:rPr>
                      <w:szCs w:val="21"/>
                    </w:rPr>
                  </w:pPr>
                  <w:r>
                    <w:rPr>
                      <w:w w:val="95"/>
                      <w:szCs w:val="21"/>
                    </w:rPr>
                    <w:t>90＜V≤150</w:t>
                  </w:r>
                </w:p>
              </w:tc>
              <w:tc>
                <w:tcPr>
                  <w:tcW w:w="1791" w:type="pct"/>
                  <w:vAlign w:val="center"/>
                </w:tcPr>
                <w:p>
                  <w:pPr>
                    <w:pStyle w:val="44"/>
                    <w:adjustRightInd w:val="0"/>
                    <w:jc w:val="center"/>
                    <w:textAlignment w:val="baseline"/>
                    <w:rPr>
                      <w:szCs w:val="21"/>
                    </w:rPr>
                  </w:pPr>
                  <w:r>
                    <w:rPr>
                      <w:szCs w:val="21"/>
                    </w:rPr>
                    <w:t>V≤50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07" w:type="pct"/>
                  <w:vAlign w:val="center"/>
                </w:tcPr>
                <w:p>
                  <w:pPr>
                    <w:pStyle w:val="44"/>
                    <w:adjustRightInd w:val="0"/>
                    <w:jc w:val="center"/>
                    <w:textAlignment w:val="baseline"/>
                    <w:rPr>
                      <w:szCs w:val="21"/>
                    </w:rPr>
                  </w:pPr>
                  <w:r>
                    <w:rPr>
                      <w:szCs w:val="21"/>
                    </w:rPr>
                    <w:t>三级</w:t>
                  </w:r>
                </w:p>
              </w:tc>
              <w:tc>
                <w:tcPr>
                  <w:tcW w:w="1702" w:type="pct"/>
                  <w:vAlign w:val="center"/>
                </w:tcPr>
                <w:p>
                  <w:pPr>
                    <w:pStyle w:val="44"/>
                    <w:adjustRightInd w:val="0"/>
                    <w:jc w:val="center"/>
                    <w:textAlignment w:val="baseline"/>
                    <w:rPr>
                      <w:szCs w:val="21"/>
                    </w:rPr>
                  </w:pPr>
                  <w:r>
                    <w:rPr>
                      <w:szCs w:val="21"/>
                    </w:rPr>
                    <w:t>V≤90</w:t>
                  </w:r>
                </w:p>
              </w:tc>
              <w:tc>
                <w:tcPr>
                  <w:tcW w:w="1791" w:type="pct"/>
                  <w:vAlign w:val="center"/>
                </w:tcPr>
                <w:p>
                  <w:pPr>
                    <w:pStyle w:val="44"/>
                    <w:adjustRightInd w:val="0"/>
                    <w:jc w:val="center"/>
                    <w:textAlignment w:val="baseline"/>
                    <w:rPr>
                      <w:szCs w:val="21"/>
                    </w:rPr>
                  </w:pPr>
                  <w:r>
                    <w:rPr>
                      <w:szCs w:val="21"/>
                    </w:rPr>
                    <w:t>汽油罐 V≤30，柴油罐 V≤50</w:t>
                  </w:r>
                </w:p>
              </w:tc>
            </w:tr>
          </w:tbl>
          <w:p>
            <w:pPr>
              <w:spacing w:before="1"/>
              <w:ind w:left="160"/>
              <w:jc w:val="left"/>
            </w:pPr>
            <w:r>
              <w:t>注：柴油罐容积可折半计入油罐总容积。</w:t>
            </w:r>
          </w:p>
          <w:p>
            <w:pPr>
              <w:adjustRightInd w:val="0"/>
              <w:snapToGrid w:val="0"/>
              <w:spacing w:before="120" w:beforeLines="50" w:line="360" w:lineRule="auto"/>
              <w:ind w:firstLine="420" w:firstLineChars="200"/>
              <w:rPr>
                <w:bCs/>
                <w:szCs w:val="21"/>
              </w:rPr>
            </w:pPr>
            <w:r>
              <w:rPr>
                <w:szCs w:val="21"/>
              </w:rPr>
              <w:t>本项目设置5台油罐（1台</w:t>
            </w:r>
            <w:r>
              <w:t>50m</w:t>
            </w:r>
            <w:r>
              <w:rPr>
                <w:vertAlign w:val="superscript"/>
              </w:rPr>
              <w:t xml:space="preserve">3 </w:t>
            </w:r>
            <w:r>
              <w:t>92#汽油罐、2台0#柴油罐（一台50m</w:t>
            </w:r>
            <w:r>
              <w:rPr>
                <w:vertAlign w:val="superscript"/>
              </w:rPr>
              <w:t>3</w:t>
            </w:r>
            <w:r>
              <w:t>、一台30m</w:t>
            </w:r>
            <w:r>
              <w:rPr>
                <w:vertAlign w:val="superscript"/>
              </w:rPr>
              <w:t>3</w:t>
            </w:r>
            <w:r>
              <w:t>）、1台30m</w:t>
            </w:r>
            <w:r>
              <w:rPr>
                <w:vertAlign w:val="superscript"/>
              </w:rPr>
              <w:t xml:space="preserve">3 </w:t>
            </w:r>
            <w:r>
              <w:t>95#汽油罐和1台30m</w:t>
            </w:r>
            <w:r>
              <w:rPr>
                <w:vertAlign w:val="superscript"/>
              </w:rPr>
              <w:t xml:space="preserve">3 </w:t>
            </w:r>
            <w:r>
              <w:t>98#汽油罐</w:t>
            </w:r>
            <w:r>
              <w:rPr>
                <w:szCs w:val="21"/>
              </w:rPr>
              <w:t>），油罐总容积合计为190m</w:t>
            </w:r>
            <w:r>
              <w:rPr>
                <w:szCs w:val="21"/>
                <w:vertAlign w:val="superscript"/>
              </w:rPr>
              <w:t>3</w:t>
            </w:r>
            <w:r>
              <w:rPr>
                <w:szCs w:val="21"/>
              </w:rPr>
              <w:t>，柴油罐容积折半计入油罐总容积，总容积为150m</w:t>
            </w:r>
            <w:r>
              <w:rPr>
                <w:szCs w:val="21"/>
                <w:vertAlign w:val="superscript"/>
              </w:rPr>
              <w:t>3</w:t>
            </w:r>
            <w:r>
              <w:rPr>
                <w:szCs w:val="21"/>
              </w:rPr>
              <w:t>，根据表2-2可知项目加油站属二级加油站。</w:t>
            </w:r>
          </w:p>
          <w:p>
            <w:pPr>
              <w:adjustRightInd w:val="0"/>
              <w:snapToGrid w:val="0"/>
              <w:spacing w:line="360" w:lineRule="auto"/>
              <w:ind w:firstLine="422" w:firstLineChars="200"/>
              <w:jc w:val="left"/>
              <w:rPr>
                <w:b/>
                <w:szCs w:val="21"/>
              </w:rPr>
            </w:pPr>
            <w:r>
              <w:rPr>
                <w:b/>
                <w:kern w:val="21"/>
              </w:rPr>
              <w:t>2、</w:t>
            </w:r>
            <w:r>
              <w:rPr>
                <w:b/>
                <w:szCs w:val="21"/>
              </w:rPr>
              <w:t>主要生产单元、主要工艺、主要生产设施及设施参数</w:t>
            </w:r>
          </w:p>
          <w:p>
            <w:pPr>
              <w:adjustRightInd w:val="0"/>
              <w:snapToGrid w:val="0"/>
              <w:spacing w:line="360" w:lineRule="auto"/>
              <w:ind w:firstLine="420" w:firstLineChars="200"/>
            </w:pPr>
            <w:r>
              <w:rPr>
                <w:bCs/>
                <w:szCs w:val="21"/>
              </w:rPr>
              <w:t>本项目主要生产单元、主要工艺、主要生产设施及设施参数详见</w:t>
            </w:r>
            <w:r>
              <w:t>表2-3。</w:t>
            </w:r>
          </w:p>
          <w:p>
            <w:pPr>
              <w:adjustRightInd w:val="0"/>
              <w:snapToGrid w:val="0"/>
              <w:spacing w:line="276" w:lineRule="auto"/>
              <w:jc w:val="center"/>
              <w:rPr>
                <w:b/>
                <w:szCs w:val="21"/>
              </w:rPr>
            </w:pPr>
            <w:r>
              <w:rPr>
                <w:b/>
                <w:szCs w:val="21"/>
              </w:rPr>
              <w:t>表2-3  项目主要生产单元、主要工艺、主要生产设施及设施参数一览表</w:t>
            </w:r>
          </w:p>
          <w:tbl>
            <w:tblPr>
              <w:tblStyle w:val="21"/>
              <w:tblW w:w="791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4"/>
              <w:gridCol w:w="993"/>
              <w:gridCol w:w="1506"/>
              <w:gridCol w:w="1469"/>
              <w:gridCol w:w="603"/>
              <w:gridCol w:w="1414"/>
              <w:gridCol w:w="11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tcMar>
                    <w:top w:w="15" w:type="dxa"/>
                    <w:left w:w="15" w:type="dxa"/>
                    <w:right w:w="15" w:type="dxa"/>
                  </w:tcMar>
                  <w:vAlign w:val="center"/>
                </w:tcPr>
                <w:p>
                  <w:pPr>
                    <w:jc w:val="center"/>
                    <w:rPr>
                      <w:b/>
                      <w:szCs w:val="21"/>
                    </w:rPr>
                  </w:pPr>
                  <w:r>
                    <w:rPr>
                      <w:b/>
                      <w:szCs w:val="21"/>
                    </w:rPr>
                    <w:t>主要生产单元</w:t>
                  </w:r>
                </w:p>
              </w:tc>
              <w:tc>
                <w:tcPr>
                  <w:tcW w:w="627" w:type="pct"/>
                  <w:tcMar>
                    <w:top w:w="15" w:type="dxa"/>
                    <w:left w:w="15" w:type="dxa"/>
                    <w:right w:w="15" w:type="dxa"/>
                  </w:tcMar>
                  <w:vAlign w:val="center"/>
                </w:tcPr>
                <w:p>
                  <w:pPr>
                    <w:jc w:val="center"/>
                    <w:rPr>
                      <w:b/>
                      <w:szCs w:val="21"/>
                    </w:rPr>
                  </w:pPr>
                  <w:r>
                    <w:rPr>
                      <w:b/>
                      <w:szCs w:val="21"/>
                    </w:rPr>
                    <w:t>主要工艺</w:t>
                  </w:r>
                </w:p>
              </w:tc>
              <w:tc>
                <w:tcPr>
                  <w:tcW w:w="951" w:type="pct"/>
                  <w:tcMar>
                    <w:top w:w="15" w:type="dxa"/>
                    <w:left w:w="15" w:type="dxa"/>
                    <w:right w:w="15" w:type="dxa"/>
                  </w:tcMar>
                  <w:vAlign w:val="center"/>
                </w:tcPr>
                <w:p>
                  <w:pPr>
                    <w:jc w:val="center"/>
                    <w:rPr>
                      <w:b/>
                      <w:szCs w:val="21"/>
                    </w:rPr>
                  </w:pPr>
                  <w:r>
                    <w:rPr>
                      <w:b/>
                      <w:szCs w:val="21"/>
                    </w:rPr>
                    <w:t>生产设施</w:t>
                  </w:r>
                </w:p>
              </w:tc>
              <w:tc>
                <w:tcPr>
                  <w:tcW w:w="928" w:type="pct"/>
                  <w:tcMar>
                    <w:top w:w="15" w:type="dxa"/>
                    <w:left w:w="15" w:type="dxa"/>
                    <w:right w:w="15" w:type="dxa"/>
                  </w:tcMar>
                  <w:vAlign w:val="center"/>
                </w:tcPr>
                <w:p>
                  <w:pPr>
                    <w:jc w:val="center"/>
                    <w:rPr>
                      <w:b/>
                      <w:szCs w:val="21"/>
                    </w:rPr>
                  </w:pPr>
                  <w:r>
                    <w:rPr>
                      <w:b/>
                      <w:szCs w:val="21"/>
                    </w:rPr>
                    <w:t>设施型号</w:t>
                  </w:r>
                </w:p>
              </w:tc>
              <w:tc>
                <w:tcPr>
                  <w:tcW w:w="381" w:type="pct"/>
                  <w:tcMar>
                    <w:top w:w="15" w:type="dxa"/>
                    <w:left w:w="15" w:type="dxa"/>
                    <w:right w:w="15" w:type="dxa"/>
                  </w:tcMar>
                  <w:vAlign w:val="center"/>
                </w:tcPr>
                <w:p>
                  <w:pPr>
                    <w:jc w:val="center"/>
                    <w:rPr>
                      <w:b/>
                      <w:szCs w:val="21"/>
                    </w:rPr>
                  </w:pPr>
                  <w:r>
                    <w:rPr>
                      <w:b/>
                      <w:szCs w:val="21"/>
                    </w:rPr>
                    <w:t>数量</w:t>
                  </w:r>
                </w:p>
              </w:tc>
              <w:tc>
                <w:tcPr>
                  <w:tcW w:w="893" w:type="pct"/>
                  <w:tcMar>
                    <w:top w:w="15" w:type="dxa"/>
                    <w:left w:w="15" w:type="dxa"/>
                    <w:right w:w="15" w:type="dxa"/>
                  </w:tcMar>
                  <w:vAlign w:val="center"/>
                </w:tcPr>
                <w:p>
                  <w:pPr>
                    <w:jc w:val="center"/>
                    <w:rPr>
                      <w:b/>
                      <w:szCs w:val="21"/>
                    </w:rPr>
                  </w:pPr>
                  <w:r>
                    <w:rPr>
                      <w:b/>
                      <w:szCs w:val="21"/>
                    </w:rPr>
                    <w:t>设施参数</w:t>
                  </w:r>
                </w:p>
              </w:tc>
              <w:tc>
                <w:tcPr>
                  <w:tcW w:w="756" w:type="pct"/>
                  <w:tcMar>
                    <w:top w:w="15" w:type="dxa"/>
                    <w:left w:w="15" w:type="dxa"/>
                    <w:right w:w="15" w:type="dxa"/>
                  </w:tcMar>
                  <w:vAlign w:val="center"/>
                </w:tcPr>
                <w:p>
                  <w:pPr>
                    <w:jc w:val="center"/>
                    <w:rPr>
                      <w:b/>
                      <w:szCs w:val="21"/>
                    </w:rPr>
                  </w:pPr>
                  <w:r>
                    <w:rPr>
                      <w:b/>
                      <w:szCs w:val="21"/>
                    </w:rPr>
                    <w:t>安装位置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restart"/>
                  <w:tcMar>
                    <w:top w:w="15" w:type="dxa"/>
                    <w:left w:w="15" w:type="dxa"/>
                    <w:right w:w="15" w:type="dxa"/>
                  </w:tcMar>
                  <w:vAlign w:val="center"/>
                </w:tcPr>
                <w:p>
                  <w:pPr>
                    <w:jc w:val="center"/>
                    <w:rPr>
                      <w:szCs w:val="21"/>
                    </w:rPr>
                  </w:pPr>
                  <w:r>
                    <w:rPr>
                      <w:szCs w:val="21"/>
                    </w:rPr>
                    <w:t>油罐区</w:t>
                  </w:r>
                </w:p>
              </w:tc>
              <w:tc>
                <w:tcPr>
                  <w:tcW w:w="627" w:type="pct"/>
                  <w:vMerge w:val="restart"/>
                  <w:tcMar>
                    <w:top w:w="15" w:type="dxa"/>
                    <w:left w:w="15" w:type="dxa"/>
                    <w:right w:w="15" w:type="dxa"/>
                  </w:tcMar>
                  <w:vAlign w:val="center"/>
                </w:tcPr>
                <w:p>
                  <w:pPr>
                    <w:jc w:val="center"/>
                    <w:rPr>
                      <w:szCs w:val="21"/>
                    </w:rPr>
                  </w:pPr>
                  <w:r>
                    <w:rPr>
                      <w:szCs w:val="21"/>
                    </w:rPr>
                    <w:t>储油</w:t>
                  </w:r>
                </w:p>
              </w:tc>
              <w:tc>
                <w:tcPr>
                  <w:tcW w:w="951" w:type="pct"/>
                  <w:vMerge w:val="restart"/>
                  <w:tcMar>
                    <w:top w:w="15" w:type="dxa"/>
                    <w:left w:w="15" w:type="dxa"/>
                    <w:right w:w="15" w:type="dxa"/>
                  </w:tcMar>
                  <w:vAlign w:val="center"/>
                </w:tcPr>
                <w:p>
                  <w:pPr>
                    <w:jc w:val="center"/>
                    <w:rPr>
                      <w:szCs w:val="21"/>
                    </w:rPr>
                  </w:pPr>
                  <w:r>
                    <w:rPr>
                      <w:szCs w:val="21"/>
                    </w:rPr>
                    <w:t>地埋式卧式SF双层储罐</w:t>
                  </w:r>
                </w:p>
              </w:tc>
              <w:tc>
                <w:tcPr>
                  <w:tcW w:w="928" w:type="pct"/>
                  <w:tcMar>
                    <w:top w:w="15" w:type="dxa"/>
                    <w:left w:w="15" w:type="dxa"/>
                    <w:right w:w="15" w:type="dxa"/>
                  </w:tcMar>
                  <w:vAlign w:val="center"/>
                </w:tcPr>
                <w:p>
                  <w:pPr>
                    <w:jc w:val="center"/>
                    <w:rPr>
                      <w:szCs w:val="21"/>
                    </w:rPr>
                  </w:pPr>
                  <w:r>
                    <w:rPr>
                      <w:szCs w:val="21"/>
                    </w:rPr>
                    <w:t>50m</w:t>
                  </w:r>
                  <w:r>
                    <w:rPr>
                      <w:szCs w:val="21"/>
                      <w:vertAlign w:val="superscript"/>
                    </w:rPr>
                    <w:t>3</w:t>
                  </w:r>
                  <w:r>
                    <w:rPr>
                      <w:szCs w:val="21"/>
                    </w:rPr>
                    <w:t>92#汽油罐</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50m</w:t>
                  </w:r>
                  <w:r>
                    <w:rPr>
                      <w:szCs w:val="21"/>
                      <w:vertAlign w:val="superscript"/>
                    </w:rPr>
                    <w:t>3</w:t>
                  </w:r>
                </w:p>
              </w:tc>
              <w:tc>
                <w:tcPr>
                  <w:tcW w:w="756" w:type="pct"/>
                  <w:vMerge w:val="restart"/>
                  <w:tcMar>
                    <w:top w:w="15" w:type="dxa"/>
                    <w:left w:w="15" w:type="dxa"/>
                    <w:right w:w="15" w:type="dxa"/>
                  </w:tcMar>
                  <w:vAlign w:val="center"/>
                </w:tcPr>
                <w:p>
                  <w:pPr>
                    <w:jc w:val="center"/>
                    <w:rPr>
                      <w:szCs w:val="21"/>
                    </w:rPr>
                  </w:pPr>
                  <w:r>
                    <w:rPr>
                      <w:szCs w:val="21"/>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vMerge w:val="continue"/>
                  <w:tcMar>
                    <w:top w:w="15" w:type="dxa"/>
                    <w:left w:w="15" w:type="dxa"/>
                    <w:right w:w="15" w:type="dxa"/>
                  </w:tcMar>
                  <w:vAlign w:val="center"/>
                </w:tcPr>
                <w:p>
                  <w:pPr>
                    <w:jc w:val="center"/>
                    <w:rPr>
                      <w:szCs w:val="21"/>
                    </w:rPr>
                  </w:pPr>
                </w:p>
              </w:tc>
              <w:tc>
                <w:tcPr>
                  <w:tcW w:w="928" w:type="pct"/>
                  <w:tcMar>
                    <w:top w:w="15" w:type="dxa"/>
                    <w:left w:w="15" w:type="dxa"/>
                    <w:right w:w="15" w:type="dxa"/>
                  </w:tcMar>
                  <w:vAlign w:val="center"/>
                </w:tcPr>
                <w:p>
                  <w:pPr>
                    <w:jc w:val="center"/>
                    <w:rPr>
                      <w:szCs w:val="21"/>
                    </w:rPr>
                  </w:pPr>
                  <w:r>
                    <w:rPr>
                      <w:szCs w:val="21"/>
                    </w:rPr>
                    <w:t>50m</w:t>
                  </w:r>
                  <w:r>
                    <w:rPr>
                      <w:szCs w:val="21"/>
                      <w:vertAlign w:val="superscript"/>
                    </w:rPr>
                    <w:t>3</w:t>
                  </w:r>
                  <w:r>
                    <w:rPr>
                      <w:szCs w:val="21"/>
                    </w:rPr>
                    <w:t>0#柴油罐</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50m</w:t>
                  </w:r>
                  <w:r>
                    <w:rPr>
                      <w:szCs w:val="21"/>
                      <w:vertAlign w:val="superscript"/>
                    </w:rPr>
                    <w:t>3</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vMerge w:val="continue"/>
                  <w:tcMar>
                    <w:top w:w="15" w:type="dxa"/>
                    <w:left w:w="15" w:type="dxa"/>
                    <w:right w:w="15" w:type="dxa"/>
                  </w:tcMar>
                  <w:vAlign w:val="center"/>
                </w:tcPr>
                <w:p>
                  <w:pPr>
                    <w:jc w:val="center"/>
                    <w:rPr>
                      <w:szCs w:val="21"/>
                    </w:rPr>
                  </w:pPr>
                </w:p>
              </w:tc>
              <w:tc>
                <w:tcPr>
                  <w:tcW w:w="928" w:type="pct"/>
                  <w:tcMar>
                    <w:top w:w="15" w:type="dxa"/>
                    <w:left w:w="15" w:type="dxa"/>
                    <w:right w:w="15" w:type="dxa"/>
                  </w:tcMar>
                  <w:vAlign w:val="center"/>
                </w:tcPr>
                <w:p>
                  <w:pPr>
                    <w:jc w:val="center"/>
                    <w:rPr>
                      <w:szCs w:val="21"/>
                    </w:rPr>
                  </w:pPr>
                  <w:r>
                    <w:rPr>
                      <w:szCs w:val="21"/>
                    </w:rPr>
                    <w:t>30m</w:t>
                  </w:r>
                  <w:r>
                    <w:rPr>
                      <w:szCs w:val="21"/>
                      <w:vertAlign w:val="superscript"/>
                    </w:rPr>
                    <w:t>3</w:t>
                  </w:r>
                  <w:r>
                    <w:rPr>
                      <w:szCs w:val="21"/>
                    </w:rPr>
                    <w:t>0#柴油罐</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30m</w:t>
                  </w:r>
                  <w:r>
                    <w:rPr>
                      <w:szCs w:val="21"/>
                      <w:vertAlign w:val="superscript"/>
                    </w:rPr>
                    <w:t>3</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vMerge w:val="continue"/>
                  <w:tcMar>
                    <w:top w:w="15" w:type="dxa"/>
                    <w:left w:w="15" w:type="dxa"/>
                    <w:right w:w="15" w:type="dxa"/>
                  </w:tcMar>
                  <w:vAlign w:val="center"/>
                </w:tcPr>
                <w:p>
                  <w:pPr>
                    <w:jc w:val="center"/>
                    <w:rPr>
                      <w:szCs w:val="21"/>
                    </w:rPr>
                  </w:pPr>
                </w:p>
              </w:tc>
              <w:tc>
                <w:tcPr>
                  <w:tcW w:w="928" w:type="pct"/>
                  <w:tcMar>
                    <w:top w:w="15" w:type="dxa"/>
                    <w:left w:w="15" w:type="dxa"/>
                    <w:right w:w="15" w:type="dxa"/>
                  </w:tcMar>
                  <w:vAlign w:val="center"/>
                </w:tcPr>
                <w:p>
                  <w:pPr>
                    <w:jc w:val="center"/>
                    <w:rPr>
                      <w:szCs w:val="21"/>
                    </w:rPr>
                  </w:pPr>
                  <w:r>
                    <w:rPr>
                      <w:szCs w:val="21"/>
                    </w:rPr>
                    <w:t>30m</w:t>
                  </w:r>
                  <w:r>
                    <w:rPr>
                      <w:szCs w:val="21"/>
                      <w:vertAlign w:val="superscript"/>
                    </w:rPr>
                    <w:t>3</w:t>
                  </w:r>
                  <w:r>
                    <w:rPr>
                      <w:szCs w:val="21"/>
                    </w:rPr>
                    <w:t>95#汽油罐</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30m</w:t>
                  </w:r>
                  <w:r>
                    <w:rPr>
                      <w:szCs w:val="21"/>
                      <w:vertAlign w:val="superscript"/>
                    </w:rPr>
                    <w:t>3</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vMerge w:val="continue"/>
                  <w:tcMar>
                    <w:top w:w="15" w:type="dxa"/>
                    <w:left w:w="15" w:type="dxa"/>
                    <w:right w:w="15" w:type="dxa"/>
                  </w:tcMar>
                  <w:vAlign w:val="center"/>
                </w:tcPr>
                <w:p>
                  <w:pPr>
                    <w:jc w:val="center"/>
                    <w:rPr>
                      <w:szCs w:val="21"/>
                    </w:rPr>
                  </w:pPr>
                </w:p>
              </w:tc>
              <w:tc>
                <w:tcPr>
                  <w:tcW w:w="928" w:type="pct"/>
                  <w:tcMar>
                    <w:top w:w="15" w:type="dxa"/>
                    <w:left w:w="15" w:type="dxa"/>
                    <w:right w:w="15" w:type="dxa"/>
                  </w:tcMar>
                  <w:vAlign w:val="center"/>
                </w:tcPr>
                <w:p>
                  <w:pPr>
                    <w:jc w:val="center"/>
                    <w:rPr>
                      <w:szCs w:val="21"/>
                    </w:rPr>
                  </w:pPr>
                  <w:r>
                    <w:rPr>
                      <w:szCs w:val="21"/>
                    </w:rPr>
                    <w:t>30m</w:t>
                  </w:r>
                  <w:r>
                    <w:rPr>
                      <w:szCs w:val="21"/>
                      <w:vertAlign w:val="superscript"/>
                    </w:rPr>
                    <w:t>3</w:t>
                  </w:r>
                  <w:r>
                    <w:rPr>
                      <w:szCs w:val="21"/>
                    </w:rPr>
                    <w:t>98#汽油罐</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30m</w:t>
                  </w:r>
                  <w:r>
                    <w:rPr>
                      <w:szCs w:val="21"/>
                      <w:vertAlign w:val="superscript"/>
                    </w:rPr>
                    <w:t>3</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restart"/>
                  <w:tcMar>
                    <w:top w:w="15" w:type="dxa"/>
                    <w:left w:w="15" w:type="dxa"/>
                    <w:right w:w="15" w:type="dxa"/>
                  </w:tcMar>
                  <w:vAlign w:val="center"/>
                </w:tcPr>
                <w:p>
                  <w:pPr>
                    <w:jc w:val="center"/>
                    <w:rPr>
                      <w:szCs w:val="21"/>
                    </w:rPr>
                  </w:pPr>
                  <w:r>
                    <w:rPr>
                      <w:szCs w:val="21"/>
                    </w:rPr>
                    <w:t>加油区</w:t>
                  </w:r>
                </w:p>
              </w:tc>
              <w:tc>
                <w:tcPr>
                  <w:tcW w:w="627" w:type="pct"/>
                  <w:vMerge w:val="restart"/>
                  <w:tcMar>
                    <w:top w:w="15" w:type="dxa"/>
                    <w:left w:w="15" w:type="dxa"/>
                    <w:right w:w="15" w:type="dxa"/>
                  </w:tcMar>
                  <w:vAlign w:val="center"/>
                </w:tcPr>
                <w:p>
                  <w:pPr>
                    <w:jc w:val="center"/>
                    <w:rPr>
                      <w:szCs w:val="21"/>
                    </w:rPr>
                  </w:pPr>
                  <w:r>
                    <w:rPr>
                      <w:szCs w:val="21"/>
                    </w:rPr>
                    <w:t>加油</w:t>
                  </w:r>
                </w:p>
              </w:tc>
              <w:tc>
                <w:tcPr>
                  <w:tcW w:w="951" w:type="pct"/>
                  <w:tcMar>
                    <w:top w:w="15" w:type="dxa"/>
                    <w:left w:w="15" w:type="dxa"/>
                    <w:right w:w="15" w:type="dxa"/>
                  </w:tcMar>
                  <w:vAlign w:val="center"/>
                </w:tcPr>
                <w:p>
                  <w:pPr>
                    <w:jc w:val="center"/>
                    <w:rPr>
                      <w:szCs w:val="21"/>
                    </w:rPr>
                  </w:pPr>
                  <w:r>
                    <w:rPr>
                      <w:szCs w:val="21"/>
                    </w:rPr>
                    <w:t>四枪加油机</w:t>
                  </w:r>
                </w:p>
              </w:tc>
              <w:tc>
                <w:tcPr>
                  <w:tcW w:w="928" w:type="pct"/>
                  <w:vMerge w:val="restart"/>
                  <w:tcMar>
                    <w:top w:w="15" w:type="dxa"/>
                    <w:left w:w="15" w:type="dxa"/>
                    <w:right w:w="15" w:type="dxa"/>
                  </w:tcMar>
                  <w:vAlign w:val="center"/>
                </w:tcPr>
                <w:p>
                  <w:pPr>
                    <w:jc w:val="center"/>
                    <w:rPr>
                      <w:szCs w:val="21"/>
                    </w:rPr>
                  </w:pPr>
                  <w:r>
                    <w:rPr>
                      <w:szCs w:val="21"/>
                    </w:rPr>
                    <w:t>潜油泵自封式，带油气回收功能</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5~50L/min</w:t>
                  </w:r>
                </w:p>
              </w:tc>
              <w:tc>
                <w:tcPr>
                  <w:tcW w:w="756" w:type="pct"/>
                  <w:vMerge w:val="restart"/>
                  <w:tcMar>
                    <w:top w:w="15" w:type="dxa"/>
                    <w:left w:w="15" w:type="dxa"/>
                    <w:right w:w="15" w:type="dxa"/>
                  </w:tcMar>
                  <w:vAlign w:val="center"/>
                </w:tcPr>
                <w:p>
                  <w:pPr>
                    <w:jc w:val="center"/>
                    <w:rPr>
                      <w:szCs w:val="21"/>
                    </w:rPr>
                  </w:pPr>
                  <w:r>
                    <w:rPr>
                      <w:szCs w:val="21"/>
                    </w:rPr>
                    <w:t>加油区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szCs w:val="21"/>
                    </w:rPr>
                    <w:t>六枪加油机</w:t>
                  </w:r>
                </w:p>
              </w:tc>
              <w:tc>
                <w:tcPr>
                  <w:tcW w:w="928" w:type="pct"/>
                  <w:vMerge w:val="continue"/>
                  <w:tcMar>
                    <w:top w:w="15" w:type="dxa"/>
                    <w:left w:w="15" w:type="dxa"/>
                    <w:right w:w="15" w:type="dxa"/>
                  </w:tcMar>
                  <w:vAlign w:val="center"/>
                </w:tcPr>
                <w:p>
                  <w:pPr>
                    <w:jc w:val="center"/>
                    <w:rPr>
                      <w:szCs w:val="21"/>
                    </w:rPr>
                  </w:pP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tcPr>
                <w:p>
                  <w:pPr>
                    <w:jc w:val="center"/>
                    <w:rPr>
                      <w:szCs w:val="21"/>
                    </w:rPr>
                  </w:pPr>
                  <w:r>
                    <w:rPr>
                      <w:szCs w:val="21"/>
                    </w:rPr>
                    <w:t>5~50L/min</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szCs w:val="21"/>
                    </w:rPr>
                    <w:t>八枪加油机</w:t>
                  </w:r>
                </w:p>
              </w:tc>
              <w:tc>
                <w:tcPr>
                  <w:tcW w:w="928" w:type="pct"/>
                  <w:vMerge w:val="continue"/>
                  <w:tcMar>
                    <w:top w:w="15" w:type="dxa"/>
                    <w:left w:w="15" w:type="dxa"/>
                    <w:right w:w="15" w:type="dxa"/>
                  </w:tcMar>
                  <w:vAlign w:val="center"/>
                </w:tcPr>
                <w:p>
                  <w:pPr>
                    <w:jc w:val="center"/>
                    <w:rPr>
                      <w:szCs w:val="21"/>
                    </w:rPr>
                  </w:pP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tcPr>
                <w:p>
                  <w:pPr>
                    <w:jc w:val="center"/>
                    <w:rPr>
                      <w:szCs w:val="21"/>
                    </w:rPr>
                  </w:pPr>
                  <w:r>
                    <w:rPr>
                      <w:szCs w:val="21"/>
                    </w:rPr>
                    <w:t>5~50L/min</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rFonts w:hint="eastAsia"/>
                      <w:szCs w:val="21"/>
                    </w:rPr>
                    <w:t>一体式</w:t>
                  </w:r>
                  <w:r>
                    <w:rPr>
                      <w:szCs w:val="21"/>
                    </w:rPr>
                    <w:t>尿素机</w:t>
                  </w:r>
                </w:p>
              </w:tc>
              <w:tc>
                <w:tcPr>
                  <w:tcW w:w="928" w:type="pct"/>
                  <w:tcMar>
                    <w:top w:w="15" w:type="dxa"/>
                    <w:left w:w="15" w:type="dxa"/>
                    <w:right w:w="15" w:type="dxa"/>
                  </w:tcMar>
                  <w:vAlign w:val="center"/>
                </w:tcPr>
                <w:p>
                  <w:pPr>
                    <w:jc w:val="center"/>
                    <w:rPr>
                      <w:szCs w:val="21"/>
                    </w:rPr>
                  </w:pPr>
                  <w:r>
                    <w:t>SKADZ11K</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tcPr>
                <w:p>
                  <w:pPr>
                    <w:jc w:val="center"/>
                    <w:rPr>
                      <w:szCs w:val="21"/>
                    </w:rPr>
                  </w:pPr>
                  <w:r>
                    <w:rPr>
                      <w:szCs w:val="21"/>
                    </w:rPr>
                    <w:t>1000L</w:t>
                  </w:r>
                  <w:r>
                    <w:rPr>
                      <w:rFonts w:hint="eastAsia"/>
                      <w:szCs w:val="21"/>
                    </w:rPr>
                    <w:t>容量</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shd w:val="clear" w:color="auto" w:fill="auto"/>
                  <w:tcMar>
                    <w:top w:w="15" w:type="dxa"/>
                    <w:left w:w="15" w:type="dxa"/>
                    <w:right w:w="15" w:type="dxa"/>
                  </w:tcMar>
                  <w:vAlign w:val="center"/>
                </w:tcPr>
                <w:p>
                  <w:pPr>
                    <w:jc w:val="center"/>
                    <w:rPr>
                      <w:szCs w:val="21"/>
                    </w:rPr>
                  </w:pPr>
                  <w:r>
                    <w:rPr>
                      <w:szCs w:val="21"/>
                    </w:rPr>
                    <w:t>潜油泵</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5台</w:t>
                  </w:r>
                </w:p>
              </w:tc>
              <w:tc>
                <w:tcPr>
                  <w:tcW w:w="893" w:type="pct"/>
                  <w:tcMar>
                    <w:top w:w="15" w:type="dxa"/>
                    <w:left w:w="15" w:type="dxa"/>
                    <w:right w:w="15" w:type="dxa"/>
                  </w:tcMar>
                  <w:vAlign w:val="center"/>
                </w:tcPr>
                <w:p>
                  <w:pPr>
                    <w:jc w:val="center"/>
                    <w:rPr>
                      <w:szCs w:val="21"/>
                    </w:rPr>
                  </w:pPr>
                  <w:r>
                    <w:rPr>
                      <w:szCs w:val="21"/>
                    </w:rPr>
                    <w:t>/</w:t>
                  </w:r>
                </w:p>
              </w:tc>
              <w:tc>
                <w:tcPr>
                  <w:tcW w:w="756" w:type="pct"/>
                  <w:vMerge w:val="continue"/>
                  <w:tcMar>
                    <w:top w:w="15" w:type="dxa"/>
                    <w:left w:w="15" w:type="dxa"/>
                    <w:right w:w="15" w:type="dxa"/>
                  </w:tcMar>
                  <w:vAlign w:val="center"/>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tcMar>
                    <w:top w:w="15" w:type="dxa"/>
                    <w:left w:w="15" w:type="dxa"/>
                    <w:right w:w="15" w:type="dxa"/>
                  </w:tcMar>
                  <w:vAlign w:val="center"/>
                </w:tcPr>
                <w:p>
                  <w:pPr>
                    <w:jc w:val="center"/>
                    <w:rPr>
                      <w:szCs w:val="21"/>
                    </w:rPr>
                  </w:pPr>
                  <w:r>
                    <w:rPr>
                      <w:szCs w:val="21"/>
                    </w:rPr>
                    <w:t>充电区</w:t>
                  </w:r>
                </w:p>
              </w:tc>
              <w:tc>
                <w:tcPr>
                  <w:tcW w:w="627" w:type="pct"/>
                  <w:tcMar>
                    <w:top w:w="15" w:type="dxa"/>
                    <w:left w:w="15" w:type="dxa"/>
                    <w:right w:w="15" w:type="dxa"/>
                  </w:tcMar>
                  <w:vAlign w:val="center"/>
                </w:tcPr>
                <w:p>
                  <w:pPr>
                    <w:jc w:val="center"/>
                    <w:rPr>
                      <w:szCs w:val="21"/>
                    </w:rPr>
                  </w:pPr>
                  <w:r>
                    <w:rPr>
                      <w:szCs w:val="21"/>
                    </w:rPr>
                    <w:t>充电</w:t>
                  </w:r>
                </w:p>
              </w:tc>
              <w:tc>
                <w:tcPr>
                  <w:tcW w:w="951" w:type="pct"/>
                  <w:tcMar>
                    <w:top w:w="15" w:type="dxa"/>
                    <w:left w:w="15" w:type="dxa"/>
                    <w:right w:w="15" w:type="dxa"/>
                  </w:tcMar>
                  <w:vAlign w:val="center"/>
                </w:tcPr>
                <w:p>
                  <w:pPr>
                    <w:jc w:val="center"/>
                    <w:rPr>
                      <w:szCs w:val="21"/>
                    </w:rPr>
                  </w:pPr>
                  <w:r>
                    <w:rPr>
                      <w:szCs w:val="21"/>
                    </w:rPr>
                    <w:t>充电桩</w:t>
                  </w:r>
                </w:p>
              </w:tc>
              <w:tc>
                <w:tcPr>
                  <w:tcW w:w="928" w:type="pct"/>
                  <w:tcMar>
                    <w:top w:w="15" w:type="dxa"/>
                    <w:left w:w="15" w:type="dxa"/>
                    <w:right w:w="15" w:type="dxa"/>
                  </w:tcMar>
                  <w:vAlign w:val="center"/>
                </w:tcPr>
                <w:p>
                  <w:pPr>
                    <w:jc w:val="center"/>
                    <w:rPr>
                      <w:szCs w:val="21"/>
                    </w:rPr>
                  </w:pPr>
                  <w:r>
                    <w:rPr>
                      <w:szCs w:val="21"/>
                    </w:rPr>
                    <w:t>落地式</w:t>
                  </w:r>
                </w:p>
              </w:tc>
              <w:tc>
                <w:tcPr>
                  <w:tcW w:w="381" w:type="pct"/>
                  <w:tcMar>
                    <w:top w:w="15" w:type="dxa"/>
                    <w:left w:w="15" w:type="dxa"/>
                    <w:right w:w="15" w:type="dxa"/>
                  </w:tcMar>
                  <w:vAlign w:val="center"/>
                </w:tcPr>
                <w:p>
                  <w:pPr>
                    <w:jc w:val="center"/>
                    <w:rPr>
                      <w:szCs w:val="21"/>
                    </w:rPr>
                  </w:pPr>
                  <w:r>
                    <w:rPr>
                      <w:szCs w:val="21"/>
                    </w:rPr>
                    <w:t>2个</w:t>
                  </w:r>
                </w:p>
              </w:tc>
              <w:tc>
                <w:tcPr>
                  <w:tcW w:w="893" w:type="pct"/>
                  <w:tcMar>
                    <w:top w:w="15" w:type="dxa"/>
                    <w:left w:w="15" w:type="dxa"/>
                    <w:right w:w="15" w:type="dxa"/>
                  </w:tcMar>
                  <w:vAlign w:val="center"/>
                </w:tcPr>
                <w:p>
                  <w:pPr>
                    <w:jc w:val="center"/>
                    <w:rPr>
                      <w:szCs w:val="21"/>
                    </w:rPr>
                  </w:pPr>
                  <w:r>
                    <w:rPr>
                      <w:szCs w:val="21"/>
                    </w:rPr>
                    <w:t>防护等级不应低于IP54</w:t>
                  </w:r>
                </w:p>
              </w:tc>
              <w:tc>
                <w:tcPr>
                  <w:tcW w:w="756" w:type="pct"/>
                  <w:tcMar>
                    <w:top w:w="15" w:type="dxa"/>
                    <w:left w:w="15" w:type="dxa"/>
                    <w:right w:w="15" w:type="dxa"/>
                  </w:tcMar>
                  <w:vAlign w:val="center"/>
                </w:tcPr>
                <w:p>
                  <w:pPr>
                    <w:jc w:val="center"/>
                    <w:rPr>
                      <w:szCs w:val="21"/>
                    </w:rPr>
                  </w:pPr>
                  <w:r>
                    <w:rPr>
                      <w:szCs w:val="21"/>
                    </w:rPr>
                    <w:t>充电区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restart"/>
                  <w:tcMar>
                    <w:top w:w="15" w:type="dxa"/>
                    <w:left w:w="15" w:type="dxa"/>
                    <w:right w:w="15" w:type="dxa"/>
                  </w:tcMar>
                  <w:vAlign w:val="center"/>
                </w:tcPr>
                <w:p>
                  <w:pPr>
                    <w:jc w:val="center"/>
                    <w:rPr>
                      <w:szCs w:val="21"/>
                    </w:rPr>
                  </w:pPr>
                  <w:r>
                    <w:rPr>
                      <w:szCs w:val="21"/>
                    </w:rPr>
                    <w:t>公共</w:t>
                  </w:r>
                </w:p>
              </w:tc>
              <w:tc>
                <w:tcPr>
                  <w:tcW w:w="627" w:type="pct"/>
                  <w:tcMar>
                    <w:top w:w="15" w:type="dxa"/>
                    <w:left w:w="15" w:type="dxa"/>
                    <w:right w:w="15" w:type="dxa"/>
                  </w:tcMar>
                  <w:vAlign w:val="center"/>
                </w:tcPr>
                <w:p>
                  <w:pPr>
                    <w:jc w:val="center"/>
                    <w:rPr>
                      <w:szCs w:val="21"/>
                    </w:rPr>
                  </w:pPr>
                  <w:r>
                    <w:rPr>
                      <w:szCs w:val="21"/>
                    </w:rPr>
                    <w:t>废气处理系统</w:t>
                  </w:r>
                </w:p>
              </w:tc>
              <w:tc>
                <w:tcPr>
                  <w:tcW w:w="951" w:type="pct"/>
                  <w:tcMar>
                    <w:top w:w="15" w:type="dxa"/>
                    <w:left w:w="15" w:type="dxa"/>
                    <w:right w:w="15" w:type="dxa"/>
                  </w:tcMar>
                  <w:vAlign w:val="center"/>
                </w:tcPr>
                <w:p>
                  <w:pPr>
                    <w:jc w:val="center"/>
                    <w:rPr>
                      <w:szCs w:val="21"/>
                    </w:rPr>
                  </w:pPr>
                  <w:r>
                    <w:rPr>
                      <w:szCs w:val="21"/>
                    </w:rPr>
                    <w:t>油气回收系统</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1套</w:t>
                  </w:r>
                </w:p>
              </w:tc>
              <w:tc>
                <w:tcPr>
                  <w:tcW w:w="893" w:type="pct"/>
                  <w:tcMar>
                    <w:top w:w="15" w:type="dxa"/>
                    <w:left w:w="15" w:type="dxa"/>
                    <w:right w:w="15" w:type="dxa"/>
                  </w:tcMar>
                  <w:vAlign w:val="center"/>
                </w:tcPr>
                <w:p>
                  <w:pPr>
                    <w:jc w:val="center"/>
                    <w:rPr>
                      <w:szCs w:val="21"/>
                    </w:rPr>
                  </w:pPr>
                  <w:r>
                    <w:rPr>
                      <w:szCs w:val="21"/>
                    </w:rPr>
                    <w:t>回收率95%</w:t>
                  </w:r>
                </w:p>
              </w:tc>
              <w:tc>
                <w:tcPr>
                  <w:tcW w:w="756" w:type="pct"/>
                  <w:tcMar>
                    <w:top w:w="15" w:type="dxa"/>
                    <w:left w:w="15" w:type="dxa"/>
                    <w:right w:w="15" w:type="dxa"/>
                  </w:tcMar>
                  <w:vAlign w:val="center"/>
                </w:tcPr>
                <w:p>
                  <w:pPr>
                    <w:jc w:val="center"/>
                    <w:rPr>
                      <w:szCs w:val="21"/>
                    </w:rPr>
                  </w:pPr>
                  <w:r>
                    <w:rPr>
                      <w:szCs w:val="21"/>
                    </w:rPr>
                    <w:t>加、卸油区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restart"/>
                  <w:tcMar>
                    <w:top w:w="15" w:type="dxa"/>
                    <w:left w:w="15" w:type="dxa"/>
                    <w:right w:w="15" w:type="dxa"/>
                  </w:tcMar>
                  <w:vAlign w:val="center"/>
                </w:tcPr>
                <w:p>
                  <w:pPr>
                    <w:jc w:val="center"/>
                    <w:rPr>
                      <w:szCs w:val="21"/>
                    </w:rPr>
                  </w:pPr>
                  <w:r>
                    <w:rPr>
                      <w:szCs w:val="21"/>
                    </w:rPr>
                    <w:t>环境风险设施</w:t>
                  </w:r>
                </w:p>
              </w:tc>
              <w:tc>
                <w:tcPr>
                  <w:tcW w:w="951" w:type="pct"/>
                  <w:tcMar>
                    <w:top w:w="15" w:type="dxa"/>
                    <w:left w:w="15" w:type="dxa"/>
                    <w:right w:w="15" w:type="dxa"/>
                  </w:tcMar>
                  <w:vAlign w:val="center"/>
                </w:tcPr>
                <w:p>
                  <w:pPr>
                    <w:jc w:val="center"/>
                    <w:rPr>
                      <w:szCs w:val="21"/>
                    </w:rPr>
                  </w:pPr>
                  <w:r>
                    <w:rPr>
                      <w:szCs w:val="21"/>
                    </w:rPr>
                    <w:t>防静电报警仪</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w:t>
                  </w:r>
                </w:p>
              </w:tc>
              <w:tc>
                <w:tcPr>
                  <w:tcW w:w="756" w:type="pct"/>
                  <w:tcMar>
                    <w:top w:w="15" w:type="dxa"/>
                    <w:left w:w="15" w:type="dxa"/>
                    <w:right w:w="15" w:type="dxa"/>
                  </w:tcMar>
                  <w:vAlign w:val="center"/>
                </w:tcPr>
                <w:p>
                  <w:pPr>
                    <w:jc w:val="center"/>
                    <w:rPr>
                      <w:szCs w:val="21"/>
                    </w:rPr>
                  </w:pPr>
                  <w:r>
                    <w:rPr>
                      <w:szCs w:val="21"/>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szCs w:val="21"/>
                    </w:rPr>
                    <w:t>油管泄漏检测仪报警仪</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1台</w:t>
                  </w:r>
                </w:p>
              </w:tc>
              <w:tc>
                <w:tcPr>
                  <w:tcW w:w="893" w:type="pct"/>
                  <w:tcMar>
                    <w:top w:w="15" w:type="dxa"/>
                    <w:left w:w="15" w:type="dxa"/>
                    <w:right w:w="15" w:type="dxa"/>
                  </w:tcMar>
                  <w:vAlign w:val="center"/>
                </w:tcPr>
                <w:p>
                  <w:pPr>
                    <w:jc w:val="center"/>
                    <w:rPr>
                      <w:szCs w:val="21"/>
                    </w:rPr>
                  </w:pPr>
                  <w:r>
                    <w:rPr>
                      <w:szCs w:val="21"/>
                    </w:rPr>
                    <w:t>/</w:t>
                  </w:r>
                </w:p>
              </w:tc>
              <w:tc>
                <w:tcPr>
                  <w:tcW w:w="756" w:type="pct"/>
                  <w:tcMar>
                    <w:top w:w="15" w:type="dxa"/>
                    <w:left w:w="15" w:type="dxa"/>
                    <w:right w:w="15" w:type="dxa"/>
                  </w:tcMar>
                  <w:vAlign w:val="center"/>
                </w:tcPr>
                <w:p>
                  <w:pPr>
                    <w:jc w:val="center"/>
                    <w:rPr>
                      <w:szCs w:val="21"/>
                    </w:rPr>
                  </w:pPr>
                  <w:r>
                    <w:rPr>
                      <w:szCs w:val="21"/>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szCs w:val="21"/>
                    </w:rPr>
                    <w:t>液位监控系统</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1套</w:t>
                  </w:r>
                </w:p>
              </w:tc>
              <w:tc>
                <w:tcPr>
                  <w:tcW w:w="893" w:type="pct"/>
                  <w:tcMar>
                    <w:top w:w="15" w:type="dxa"/>
                    <w:left w:w="15" w:type="dxa"/>
                    <w:right w:w="15" w:type="dxa"/>
                  </w:tcMar>
                  <w:vAlign w:val="center"/>
                </w:tcPr>
                <w:p>
                  <w:pPr>
                    <w:jc w:val="center"/>
                    <w:rPr>
                      <w:szCs w:val="21"/>
                    </w:rPr>
                  </w:pPr>
                  <w:r>
                    <w:rPr>
                      <w:szCs w:val="21"/>
                    </w:rPr>
                    <w:t>/</w:t>
                  </w:r>
                </w:p>
              </w:tc>
              <w:tc>
                <w:tcPr>
                  <w:tcW w:w="756" w:type="pct"/>
                  <w:tcMar>
                    <w:top w:w="15" w:type="dxa"/>
                    <w:left w:w="15" w:type="dxa"/>
                    <w:right w:w="15" w:type="dxa"/>
                  </w:tcMar>
                  <w:vAlign w:val="center"/>
                </w:tcPr>
                <w:p>
                  <w:pPr>
                    <w:jc w:val="center"/>
                    <w:rPr>
                      <w:szCs w:val="21"/>
                    </w:rPr>
                  </w:pPr>
                  <w:r>
                    <w:rPr>
                      <w:szCs w:val="21"/>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4" w:type="pct"/>
                  <w:vMerge w:val="continue"/>
                  <w:tcMar>
                    <w:top w:w="15" w:type="dxa"/>
                    <w:left w:w="15" w:type="dxa"/>
                    <w:right w:w="15" w:type="dxa"/>
                  </w:tcMar>
                  <w:vAlign w:val="center"/>
                </w:tcPr>
                <w:p>
                  <w:pPr>
                    <w:jc w:val="center"/>
                    <w:rPr>
                      <w:szCs w:val="21"/>
                    </w:rPr>
                  </w:pPr>
                </w:p>
              </w:tc>
              <w:tc>
                <w:tcPr>
                  <w:tcW w:w="627" w:type="pct"/>
                  <w:vMerge w:val="continue"/>
                  <w:tcMar>
                    <w:top w:w="15" w:type="dxa"/>
                    <w:left w:w="15" w:type="dxa"/>
                    <w:right w:w="15" w:type="dxa"/>
                  </w:tcMar>
                  <w:vAlign w:val="center"/>
                </w:tcPr>
                <w:p>
                  <w:pPr>
                    <w:jc w:val="center"/>
                    <w:rPr>
                      <w:szCs w:val="21"/>
                    </w:rPr>
                  </w:pPr>
                </w:p>
              </w:tc>
              <w:tc>
                <w:tcPr>
                  <w:tcW w:w="951" w:type="pct"/>
                  <w:tcMar>
                    <w:top w:w="15" w:type="dxa"/>
                    <w:left w:w="15" w:type="dxa"/>
                    <w:right w:w="15" w:type="dxa"/>
                  </w:tcMar>
                  <w:vAlign w:val="center"/>
                </w:tcPr>
                <w:p>
                  <w:pPr>
                    <w:jc w:val="center"/>
                    <w:rPr>
                      <w:szCs w:val="21"/>
                    </w:rPr>
                  </w:pPr>
                  <w:r>
                    <w:rPr>
                      <w:szCs w:val="21"/>
                    </w:rPr>
                    <w:t>视频监控系统</w:t>
                  </w:r>
                </w:p>
              </w:tc>
              <w:tc>
                <w:tcPr>
                  <w:tcW w:w="928" w:type="pct"/>
                  <w:tcMar>
                    <w:top w:w="15" w:type="dxa"/>
                    <w:left w:w="15" w:type="dxa"/>
                    <w:right w:w="15" w:type="dxa"/>
                  </w:tcMar>
                  <w:vAlign w:val="center"/>
                </w:tcPr>
                <w:p>
                  <w:pPr>
                    <w:jc w:val="center"/>
                    <w:rPr>
                      <w:szCs w:val="21"/>
                    </w:rPr>
                  </w:pPr>
                  <w:r>
                    <w:rPr>
                      <w:szCs w:val="21"/>
                    </w:rPr>
                    <w:t>/</w:t>
                  </w:r>
                </w:p>
              </w:tc>
              <w:tc>
                <w:tcPr>
                  <w:tcW w:w="381" w:type="pct"/>
                  <w:tcMar>
                    <w:top w:w="15" w:type="dxa"/>
                    <w:left w:w="15" w:type="dxa"/>
                    <w:right w:w="15" w:type="dxa"/>
                  </w:tcMar>
                  <w:vAlign w:val="center"/>
                </w:tcPr>
                <w:p>
                  <w:pPr>
                    <w:jc w:val="center"/>
                    <w:rPr>
                      <w:szCs w:val="21"/>
                    </w:rPr>
                  </w:pPr>
                  <w:r>
                    <w:rPr>
                      <w:szCs w:val="21"/>
                    </w:rPr>
                    <w:t>1套</w:t>
                  </w:r>
                </w:p>
              </w:tc>
              <w:tc>
                <w:tcPr>
                  <w:tcW w:w="893" w:type="pct"/>
                  <w:tcMar>
                    <w:top w:w="15" w:type="dxa"/>
                    <w:left w:w="15" w:type="dxa"/>
                    <w:right w:w="15" w:type="dxa"/>
                  </w:tcMar>
                  <w:vAlign w:val="center"/>
                </w:tcPr>
                <w:p>
                  <w:pPr>
                    <w:jc w:val="center"/>
                    <w:rPr>
                      <w:szCs w:val="21"/>
                    </w:rPr>
                  </w:pPr>
                  <w:r>
                    <w:rPr>
                      <w:szCs w:val="21"/>
                    </w:rPr>
                    <w:t>/</w:t>
                  </w:r>
                </w:p>
              </w:tc>
              <w:tc>
                <w:tcPr>
                  <w:tcW w:w="756" w:type="pct"/>
                  <w:tcMar>
                    <w:top w:w="15" w:type="dxa"/>
                    <w:left w:w="15" w:type="dxa"/>
                    <w:right w:w="15" w:type="dxa"/>
                  </w:tcMar>
                  <w:vAlign w:val="center"/>
                </w:tcPr>
                <w:p>
                  <w:pPr>
                    <w:jc w:val="center"/>
                    <w:rPr>
                      <w:szCs w:val="21"/>
                    </w:rPr>
                  </w:pPr>
                  <w:r>
                    <w:rPr>
                      <w:szCs w:val="21"/>
                    </w:rPr>
                    <w:t>站区</w:t>
                  </w:r>
                </w:p>
              </w:tc>
            </w:tr>
          </w:tbl>
          <w:p>
            <w:pPr>
              <w:pStyle w:val="86"/>
              <w:ind w:firstLine="420"/>
              <w:rPr>
                <w:rFonts w:cs="Times New Roman"/>
              </w:rPr>
            </w:pPr>
          </w:p>
          <w:p>
            <w:pPr>
              <w:snapToGrid w:val="0"/>
              <w:spacing w:line="360" w:lineRule="auto"/>
              <w:ind w:firstLine="422" w:firstLineChars="200"/>
              <w:rPr>
                <w:b/>
                <w:kern w:val="21"/>
                <w:szCs w:val="21"/>
              </w:rPr>
            </w:pPr>
            <w:r>
              <w:rPr>
                <w:b/>
                <w:kern w:val="0"/>
                <w:szCs w:val="21"/>
              </w:rPr>
              <w:t>3、</w:t>
            </w:r>
            <w:r>
              <w:rPr>
                <w:b/>
                <w:kern w:val="21"/>
                <w:szCs w:val="21"/>
              </w:rPr>
              <w:t>主要原辅材料</w:t>
            </w:r>
          </w:p>
          <w:p>
            <w:pPr>
              <w:tabs>
                <w:tab w:val="left" w:pos="0"/>
              </w:tabs>
              <w:spacing w:line="360" w:lineRule="auto"/>
              <w:ind w:firstLine="465"/>
              <w:rPr>
                <w:szCs w:val="21"/>
              </w:rPr>
            </w:pPr>
            <w:r>
              <w:rPr>
                <w:szCs w:val="21"/>
              </w:rPr>
              <w:t>（1）原辅材料消耗量</w:t>
            </w:r>
          </w:p>
          <w:p>
            <w:pPr>
              <w:tabs>
                <w:tab w:val="left" w:pos="0"/>
              </w:tabs>
              <w:spacing w:line="360" w:lineRule="auto"/>
              <w:ind w:firstLine="465"/>
              <w:rPr>
                <w:szCs w:val="21"/>
              </w:rPr>
            </w:pPr>
            <w:r>
              <w:rPr>
                <w:szCs w:val="21"/>
              </w:rPr>
              <w:t>本项目主营柴油、汽油零售和汽车充电。其原辅材料消耗情况见表2-4。</w:t>
            </w:r>
          </w:p>
          <w:p>
            <w:pPr>
              <w:widowControl/>
              <w:snapToGrid w:val="0"/>
              <w:spacing w:line="276" w:lineRule="auto"/>
              <w:ind w:firstLine="482"/>
              <w:jc w:val="center"/>
              <w:rPr>
                <w:b/>
                <w:bCs/>
                <w:szCs w:val="21"/>
              </w:rPr>
            </w:pPr>
            <w:r>
              <w:rPr>
                <w:b/>
                <w:bCs/>
                <w:szCs w:val="21"/>
              </w:rPr>
              <w:t>表2-4  项目原辅材料消耗情况一览表</w:t>
            </w:r>
          </w:p>
          <w:tbl>
            <w:tblPr>
              <w:tblStyle w:val="21"/>
              <w:tblW w:w="7968"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Layout w:type="autofit"/>
              <w:tblCellMar>
                <w:top w:w="0" w:type="dxa"/>
                <w:left w:w="56" w:type="dxa"/>
                <w:bottom w:w="0" w:type="dxa"/>
                <w:right w:w="56" w:type="dxa"/>
              </w:tblCellMar>
            </w:tblPr>
            <w:tblGrid>
              <w:gridCol w:w="1672"/>
              <w:gridCol w:w="1314"/>
              <w:gridCol w:w="1950"/>
              <w:gridCol w:w="2004"/>
              <w:gridCol w:w="102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PrEx>
              <w:trPr>
                <w:cantSplit/>
                <w:trHeight w:val="294" w:hRule="atLeast"/>
              </w:trPr>
              <w:tc>
                <w:tcPr>
                  <w:tcW w:w="1672" w:type="dxa"/>
                  <w:vAlign w:val="center"/>
                </w:tcPr>
                <w:p>
                  <w:pPr>
                    <w:pStyle w:val="46"/>
                    <w:adjustRightInd w:val="0"/>
                    <w:snapToGrid w:val="0"/>
                    <w:rPr>
                      <w:rFonts w:eastAsia="宋体"/>
                    </w:rPr>
                  </w:pPr>
                  <w:r>
                    <w:rPr>
                      <w:rFonts w:eastAsia="宋体"/>
                    </w:rPr>
                    <w:t>项目</w:t>
                  </w:r>
                </w:p>
              </w:tc>
              <w:tc>
                <w:tcPr>
                  <w:tcW w:w="1314" w:type="dxa"/>
                  <w:vAlign w:val="center"/>
                </w:tcPr>
                <w:p>
                  <w:pPr>
                    <w:pStyle w:val="46"/>
                    <w:adjustRightInd w:val="0"/>
                    <w:snapToGrid w:val="0"/>
                    <w:rPr>
                      <w:rFonts w:eastAsia="宋体"/>
                    </w:rPr>
                  </w:pPr>
                  <w:r>
                    <w:rPr>
                      <w:rFonts w:eastAsia="宋体"/>
                    </w:rPr>
                    <w:t>序号</w:t>
                  </w:r>
                </w:p>
              </w:tc>
              <w:tc>
                <w:tcPr>
                  <w:tcW w:w="1950" w:type="dxa"/>
                  <w:vAlign w:val="center"/>
                </w:tcPr>
                <w:p>
                  <w:pPr>
                    <w:pStyle w:val="46"/>
                    <w:adjustRightInd w:val="0"/>
                    <w:snapToGrid w:val="0"/>
                    <w:rPr>
                      <w:rFonts w:eastAsia="宋体"/>
                    </w:rPr>
                  </w:pPr>
                  <w:r>
                    <w:rPr>
                      <w:rFonts w:eastAsia="宋体"/>
                    </w:rPr>
                    <w:t>主要物料名称</w:t>
                  </w:r>
                </w:p>
              </w:tc>
              <w:tc>
                <w:tcPr>
                  <w:tcW w:w="3032" w:type="dxa"/>
                  <w:gridSpan w:val="2"/>
                  <w:vAlign w:val="center"/>
                </w:tcPr>
                <w:p>
                  <w:pPr>
                    <w:pStyle w:val="46"/>
                    <w:adjustRightInd w:val="0"/>
                    <w:snapToGrid w:val="0"/>
                    <w:rPr>
                      <w:rFonts w:eastAsia="宋体"/>
                    </w:rPr>
                  </w:pPr>
                  <w:r>
                    <w:rPr>
                      <w:rFonts w:eastAsia="宋体"/>
                    </w:rPr>
                    <w:t>用量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280" w:hRule="atLeast"/>
              </w:trPr>
              <w:tc>
                <w:tcPr>
                  <w:tcW w:w="1672" w:type="dxa"/>
                  <w:vMerge w:val="restart"/>
                  <w:vAlign w:val="center"/>
                </w:tcPr>
                <w:p>
                  <w:pPr>
                    <w:pStyle w:val="46"/>
                    <w:adjustRightInd w:val="0"/>
                    <w:snapToGrid w:val="0"/>
                    <w:rPr>
                      <w:rFonts w:eastAsia="宋体"/>
                    </w:rPr>
                  </w:pPr>
                  <w:r>
                    <w:rPr>
                      <w:rFonts w:eastAsia="宋体"/>
                    </w:rPr>
                    <w:t>宁都县翠微加油站</w:t>
                  </w:r>
                </w:p>
              </w:tc>
              <w:tc>
                <w:tcPr>
                  <w:tcW w:w="1314" w:type="dxa"/>
                  <w:vAlign w:val="center"/>
                </w:tcPr>
                <w:p>
                  <w:pPr>
                    <w:pStyle w:val="46"/>
                    <w:adjustRightInd w:val="0"/>
                    <w:snapToGrid w:val="0"/>
                    <w:rPr>
                      <w:rFonts w:eastAsia="宋体"/>
                    </w:rPr>
                  </w:pPr>
                  <w:r>
                    <w:rPr>
                      <w:rFonts w:eastAsia="宋体"/>
                    </w:rPr>
                    <w:t>1</w:t>
                  </w:r>
                </w:p>
              </w:tc>
              <w:tc>
                <w:tcPr>
                  <w:tcW w:w="1950" w:type="dxa"/>
                  <w:vAlign w:val="center"/>
                </w:tcPr>
                <w:p>
                  <w:pPr>
                    <w:pStyle w:val="46"/>
                    <w:adjustRightInd w:val="0"/>
                    <w:snapToGrid w:val="0"/>
                    <w:rPr>
                      <w:rFonts w:eastAsia="宋体"/>
                    </w:rPr>
                  </w:pPr>
                  <w:r>
                    <w:rPr>
                      <w:rFonts w:eastAsia="宋体"/>
                    </w:rPr>
                    <w:t>汽油</w:t>
                  </w:r>
                </w:p>
              </w:tc>
              <w:tc>
                <w:tcPr>
                  <w:tcW w:w="2004" w:type="dxa"/>
                  <w:tcBorders>
                    <w:right w:val="single" w:color="auto" w:sz="2" w:space="0"/>
                  </w:tcBorders>
                  <w:vAlign w:val="center"/>
                </w:tcPr>
                <w:p>
                  <w:pPr>
                    <w:pStyle w:val="46"/>
                    <w:adjustRightInd w:val="0"/>
                    <w:snapToGrid w:val="0"/>
                    <w:rPr>
                      <w:rFonts w:eastAsia="宋体"/>
                    </w:rPr>
                  </w:pPr>
                  <w:r>
                    <w:rPr>
                      <w:rFonts w:eastAsia="宋体"/>
                    </w:rPr>
                    <w:t>2720t/a</w:t>
                  </w:r>
                </w:p>
              </w:tc>
              <w:tc>
                <w:tcPr>
                  <w:tcW w:w="1028" w:type="dxa"/>
                  <w:vMerge w:val="restart"/>
                  <w:tcBorders>
                    <w:left w:val="single" w:color="auto" w:sz="2" w:space="0"/>
                  </w:tcBorders>
                  <w:vAlign w:val="center"/>
                </w:tcPr>
                <w:p>
                  <w:pPr>
                    <w:pStyle w:val="46"/>
                    <w:adjustRightInd w:val="0"/>
                    <w:snapToGrid w:val="0"/>
                    <w:rPr>
                      <w:rFonts w:eastAsia="宋体"/>
                    </w:rPr>
                  </w:pPr>
                  <w:r>
                    <w:rPr>
                      <w:rFonts w:eastAsia="宋体"/>
                    </w:rPr>
                    <w:t>4720 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280" w:hRule="atLeast"/>
              </w:trPr>
              <w:tc>
                <w:tcPr>
                  <w:tcW w:w="1672" w:type="dxa"/>
                  <w:vMerge w:val="continue"/>
                  <w:vAlign w:val="center"/>
                </w:tcPr>
                <w:p>
                  <w:pPr>
                    <w:pStyle w:val="46"/>
                    <w:adjustRightInd w:val="0"/>
                    <w:snapToGrid w:val="0"/>
                    <w:rPr>
                      <w:rFonts w:eastAsia="宋体"/>
                    </w:rPr>
                  </w:pPr>
                </w:p>
              </w:tc>
              <w:tc>
                <w:tcPr>
                  <w:tcW w:w="1314" w:type="dxa"/>
                  <w:vAlign w:val="center"/>
                </w:tcPr>
                <w:p>
                  <w:pPr>
                    <w:pStyle w:val="46"/>
                    <w:adjustRightInd w:val="0"/>
                    <w:snapToGrid w:val="0"/>
                    <w:rPr>
                      <w:rFonts w:eastAsia="宋体"/>
                    </w:rPr>
                  </w:pPr>
                  <w:r>
                    <w:rPr>
                      <w:rFonts w:eastAsia="宋体"/>
                    </w:rPr>
                    <w:t>2</w:t>
                  </w:r>
                </w:p>
              </w:tc>
              <w:tc>
                <w:tcPr>
                  <w:tcW w:w="1950" w:type="dxa"/>
                  <w:vAlign w:val="center"/>
                </w:tcPr>
                <w:p>
                  <w:pPr>
                    <w:pStyle w:val="46"/>
                    <w:adjustRightInd w:val="0"/>
                    <w:snapToGrid w:val="0"/>
                    <w:rPr>
                      <w:rFonts w:eastAsia="宋体"/>
                    </w:rPr>
                  </w:pPr>
                  <w:r>
                    <w:rPr>
                      <w:rFonts w:eastAsia="宋体"/>
                    </w:rPr>
                    <w:t>柴油</w:t>
                  </w:r>
                </w:p>
              </w:tc>
              <w:tc>
                <w:tcPr>
                  <w:tcW w:w="2004" w:type="dxa"/>
                  <w:tcBorders>
                    <w:right w:val="single" w:color="auto" w:sz="2" w:space="0"/>
                  </w:tcBorders>
                  <w:vAlign w:val="center"/>
                </w:tcPr>
                <w:p>
                  <w:pPr>
                    <w:pStyle w:val="46"/>
                    <w:adjustRightInd w:val="0"/>
                    <w:snapToGrid w:val="0"/>
                    <w:rPr>
                      <w:rFonts w:eastAsia="宋体"/>
                    </w:rPr>
                  </w:pPr>
                  <w:r>
                    <w:rPr>
                      <w:rFonts w:eastAsia="宋体"/>
                    </w:rPr>
                    <w:t>2000 t/a</w:t>
                  </w:r>
                </w:p>
              </w:tc>
              <w:tc>
                <w:tcPr>
                  <w:tcW w:w="1028" w:type="dxa"/>
                  <w:vMerge w:val="continue"/>
                  <w:tcBorders>
                    <w:left w:val="single" w:color="auto" w:sz="2" w:space="0"/>
                  </w:tcBorders>
                  <w:vAlign w:val="center"/>
                </w:tcPr>
                <w:p>
                  <w:pPr>
                    <w:pStyle w:val="46"/>
                    <w:adjustRightInd w:val="0"/>
                    <w:snapToGrid w:val="0"/>
                    <w:rPr>
                      <w:rFonts w:eastAsia="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280" w:hRule="atLeast"/>
              </w:trPr>
              <w:tc>
                <w:tcPr>
                  <w:tcW w:w="1672" w:type="dxa"/>
                  <w:vMerge w:val="continue"/>
                  <w:vAlign w:val="center"/>
                </w:tcPr>
                <w:p>
                  <w:pPr>
                    <w:pStyle w:val="46"/>
                    <w:adjustRightInd w:val="0"/>
                    <w:snapToGrid w:val="0"/>
                    <w:rPr>
                      <w:rFonts w:eastAsia="宋体"/>
                    </w:rPr>
                  </w:pPr>
                </w:p>
              </w:tc>
              <w:tc>
                <w:tcPr>
                  <w:tcW w:w="1314" w:type="dxa"/>
                  <w:vAlign w:val="center"/>
                </w:tcPr>
                <w:p>
                  <w:pPr>
                    <w:pStyle w:val="46"/>
                    <w:adjustRightInd w:val="0"/>
                    <w:snapToGrid w:val="0"/>
                    <w:rPr>
                      <w:rFonts w:eastAsia="宋体"/>
                    </w:rPr>
                  </w:pPr>
                  <w:r>
                    <w:rPr>
                      <w:rFonts w:eastAsia="宋体"/>
                    </w:rPr>
                    <w:t>3</w:t>
                  </w:r>
                </w:p>
              </w:tc>
              <w:tc>
                <w:tcPr>
                  <w:tcW w:w="1950" w:type="dxa"/>
                  <w:vAlign w:val="center"/>
                </w:tcPr>
                <w:p>
                  <w:pPr>
                    <w:pStyle w:val="46"/>
                    <w:adjustRightInd w:val="0"/>
                    <w:snapToGrid w:val="0"/>
                    <w:rPr>
                      <w:rFonts w:eastAsia="宋体"/>
                    </w:rPr>
                  </w:pPr>
                  <w:r>
                    <w:rPr>
                      <w:rFonts w:eastAsia="宋体"/>
                    </w:rPr>
                    <w:t>尿素</w:t>
                  </w:r>
                </w:p>
              </w:tc>
              <w:tc>
                <w:tcPr>
                  <w:tcW w:w="3032" w:type="dxa"/>
                  <w:gridSpan w:val="2"/>
                  <w:vAlign w:val="center"/>
                </w:tcPr>
                <w:p>
                  <w:pPr>
                    <w:pStyle w:val="46"/>
                    <w:adjustRightInd w:val="0"/>
                    <w:snapToGrid w:val="0"/>
                    <w:rPr>
                      <w:rFonts w:eastAsia="宋体"/>
                    </w:rPr>
                  </w:pPr>
                  <w:r>
                    <w:rPr>
                      <w:rFonts w:eastAsia="宋体"/>
                    </w:rPr>
                    <w:t>20t/a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259" w:hRule="atLeast"/>
              </w:trPr>
              <w:tc>
                <w:tcPr>
                  <w:tcW w:w="1672" w:type="dxa"/>
                  <w:vMerge w:val="continue"/>
                  <w:vAlign w:val="center"/>
                </w:tcPr>
                <w:p>
                  <w:pPr>
                    <w:pStyle w:val="48"/>
                    <w:adjustRightInd w:val="0"/>
                    <w:snapToGrid w:val="0"/>
                    <w:rPr>
                      <w:rFonts w:eastAsia="宋体"/>
                    </w:rPr>
                  </w:pPr>
                </w:p>
              </w:tc>
              <w:tc>
                <w:tcPr>
                  <w:tcW w:w="1314" w:type="dxa"/>
                  <w:vAlign w:val="center"/>
                </w:tcPr>
                <w:p>
                  <w:pPr>
                    <w:pStyle w:val="48"/>
                    <w:adjustRightInd w:val="0"/>
                    <w:snapToGrid w:val="0"/>
                    <w:rPr>
                      <w:rFonts w:eastAsia="宋体"/>
                    </w:rPr>
                  </w:pPr>
                  <w:r>
                    <w:rPr>
                      <w:rFonts w:eastAsia="宋体"/>
                    </w:rPr>
                    <w:t>4</w:t>
                  </w:r>
                </w:p>
              </w:tc>
              <w:tc>
                <w:tcPr>
                  <w:tcW w:w="1950" w:type="dxa"/>
                  <w:vAlign w:val="center"/>
                </w:tcPr>
                <w:p>
                  <w:pPr>
                    <w:pStyle w:val="48"/>
                    <w:adjustRightInd w:val="0"/>
                    <w:snapToGrid w:val="0"/>
                    <w:rPr>
                      <w:rFonts w:eastAsia="宋体"/>
                    </w:rPr>
                  </w:pPr>
                  <w:r>
                    <w:rPr>
                      <w:rFonts w:eastAsia="宋体"/>
                    </w:rPr>
                    <w:t>电</w:t>
                  </w:r>
                </w:p>
              </w:tc>
              <w:tc>
                <w:tcPr>
                  <w:tcW w:w="3032" w:type="dxa"/>
                  <w:gridSpan w:val="2"/>
                  <w:vAlign w:val="center"/>
                </w:tcPr>
                <w:p>
                  <w:pPr>
                    <w:pStyle w:val="48"/>
                    <w:adjustRightInd w:val="0"/>
                    <w:snapToGrid w:val="0"/>
                    <w:rPr>
                      <w:rFonts w:eastAsia="宋体"/>
                    </w:rPr>
                  </w:pPr>
                  <w:r>
                    <w:rPr>
                      <w:rFonts w:eastAsia="宋体"/>
                    </w:rPr>
                    <w:t>30000kWh/a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90" w:hRule="atLeast"/>
              </w:trPr>
              <w:tc>
                <w:tcPr>
                  <w:tcW w:w="1672" w:type="dxa"/>
                  <w:vMerge w:val="continue"/>
                  <w:vAlign w:val="center"/>
                </w:tcPr>
                <w:p>
                  <w:pPr>
                    <w:pStyle w:val="48"/>
                    <w:adjustRightInd w:val="0"/>
                    <w:snapToGrid w:val="0"/>
                    <w:rPr>
                      <w:rFonts w:eastAsia="宋体"/>
                    </w:rPr>
                  </w:pPr>
                </w:p>
              </w:tc>
              <w:tc>
                <w:tcPr>
                  <w:tcW w:w="1314" w:type="dxa"/>
                  <w:vAlign w:val="center"/>
                </w:tcPr>
                <w:p>
                  <w:pPr>
                    <w:pStyle w:val="48"/>
                    <w:adjustRightInd w:val="0"/>
                    <w:snapToGrid w:val="0"/>
                    <w:rPr>
                      <w:rFonts w:eastAsia="宋体"/>
                    </w:rPr>
                  </w:pPr>
                  <w:r>
                    <w:rPr>
                      <w:rFonts w:eastAsia="宋体"/>
                    </w:rPr>
                    <w:t>5</w:t>
                  </w:r>
                </w:p>
              </w:tc>
              <w:tc>
                <w:tcPr>
                  <w:tcW w:w="1950" w:type="dxa"/>
                  <w:vAlign w:val="center"/>
                </w:tcPr>
                <w:p>
                  <w:pPr>
                    <w:pStyle w:val="48"/>
                    <w:adjustRightInd w:val="0"/>
                    <w:snapToGrid w:val="0"/>
                    <w:rPr>
                      <w:rFonts w:eastAsia="宋体"/>
                    </w:rPr>
                  </w:pPr>
                  <w:r>
                    <w:rPr>
                      <w:rFonts w:eastAsia="宋体"/>
                    </w:rPr>
                    <w:t>水</w:t>
                  </w:r>
                </w:p>
              </w:tc>
              <w:tc>
                <w:tcPr>
                  <w:tcW w:w="3032" w:type="dxa"/>
                  <w:gridSpan w:val="2"/>
                  <w:vAlign w:val="center"/>
                </w:tcPr>
                <w:p>
                  <w:pPr>
                    <w:pStyle w:val="48"/>
                    <w:adjustRightInd w:val="0"/>
                    <w:snapToGrid w:val="0"/>
                    <w:rPr>
                      <w:rFonts w:eastAsia="宋体"/>
                    </w:rPr>
                  </w:pPr>
                  <w:r>
                    <w:rPr>
                      <w:rFonts w:eastAsia="宋体"/>
                    </w:rPr>
                    <w:t>1946.5t/a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8" w:space="0"/>
                </w:tblBorders>
                <w:tblCellMar>
                  <w:top w:w="0" w:type="dxa"/>
                  <w:left w:w="56" w:type="dxa"/>
                  <w:bottom w:w="0" w:type="dxa"/>
                  <w:right w:w="56" w:type="dxa"/>
                </w:tblCellMar>
              </w:tblPrEx>
              <w:trPr>
                <w:cantSplit/>
                <w:trHeight w:val="90" w:hRule="atLeast"/>
              </w:trPr>
              <w:tc>
                <w:tcPr>
                  <w:tcW w:w="1672" w:type="dxa"/>
                  <w:vMerge w:val="continue"/>
                  <w:vAlign w:val="center"/>
                </w:tcPr>
                <w:p>
                  <w:pPr>
                    <w:pStyle w:val="48"/>
                    <w:adjustRightInd w:val="0"/>
                    <w:snapToGrid w:val="0"/>
                    <w:rPr>
                      <w:rFonts w:eastAsia="宋体"/>
                    </w:rPr>
                  </w:pPr>
                </w:p>
              </w:tc>
              <w:tc>
                <w:tcPr>
                  <w:tcW w:w="1314" w:type="dxa"/>
                  <w:vAlign w:val="center"/>
                </w:tcPr>
                <w:p>
                  <w:pPr>
                    <w:pStyle w:val="48"/>
                    <w:adjustRightInd w:val="0"/>
                    <w:snapToGrid w:val="0"/>
                    <w:rPr>
                      <w:rFonts w:eastAsia="宋体"/>
                    </w:rPr>
                  </w:pPr>
                  <w:r>
                    <w:rPr>
                      <w:rFonts w:eastAsia="宋体"/>
                    </w:rPr>
                    <w:t>6</w:t>
                  </w:r>
                </w:p>
              </w:tc>
              <w:tc>
                <w:tcPr>
                  <w:tcW w:w="1950" w:type="dxa"/>
                  <w:vAlign w:val="center"/>
                </w:tcPr>
                <w:p>
                  <w:pPr>
                    <w:pStyle w:val="48"/>
                    <w:adjustRightInd w:val="0"/>
                    <w:snapToGrid w:val="0"/>
                    <w:rPr>
                      <w:rFonts w:eastAsia="宋体"/>
                    </w:rPr>
                  </w:pPr>
                  <w:r>
                    <w:rPr>
                      <w:rFonts w:eastAsia="宋体"/>
                    </w:rPr>
                    <w:t>吸油棉</w:t>
                  </w:r>
                </w:p>
              </w:tc>
              <w:tc>
                <w:tcPr>
                  <w:tcW w:w="3032" w:type="dxa"/>
                  <w:gridSpan w:val="2"/>
                  <w:vAlign w:val="center"/>
                </w:tcPr>
                <w:p>
                  <w:pPr>
                    <w:pStyle w:val="48"/>
                    <w:adjustRightInd w:val="0"/>
                    <w:snapToGrid w:val="0"/>
                    <w:rPr>
                      <w:rFonts w:eastAsia="宋体"/>
                    </w:rPr>
                  </w:pPr>
                  <w:r>
                    <w:rPr>
                      <w:rFonts w:eastAsia="宋体"/>
                    </w:rPr>
                    <w:t>0.05 t/a</w:t>
                  </w:r>
                </w:p>
              </w:tc>
            </w:tr>
          </w:tbl>
          <w:p>
            <w:pPr>
              <w:adjustRightInd w:val="0"/>
              <w:snapToGrid w:val="0"/>
            </w:pPr>
          </w:p>
          <w:p>
            <w:pPr>
              <w:adjustRightInd w:val="0"/>
              <w:snapToGrid w:val="0"/>
              <w:spacing w:line="360" w:lineRule="auto"/>
              <w:ind w:firstLine="420" w:firstLineChars="200"/>
            </w:pPr>
            <w:r>
              <w:t>（2）主要原辅材料理化性质</w:t>
            </w:r>
          </w:p>
          <w:p>
            <w:pPr>
              <w:adjustRightInd w:val="0"/>
              <w:snapToGrid w:val="0"/>
              <w:spacing w:line="360" w:lineRule="auto"/>
              <w:ind w:firstLine="420" w:firstLineChars="200"/>
            </w:pPr>
            <w:r>
              <w:t>汽油、柴油及尿素的理化性质和危险特性，见表2-5、表2-6、表2-7。</w:t>
            </w:r>
          </w:p>
          <w:p>
            <w:pPr>
              <w:widowControl/>
              <w:snapToGrid w:val="0"/>
              <w:spacing w:line="276" w:lineRule="auto"/>
              <w:ind w:firstLine="482"/>
              <w:jc w:val="center"/>
              <w:rPr>
                <w:b/>
                <w:bCs/>
                <w:szCs w:val="21"/>
              </w:rPr>
            </w:pPr>
            <w:r>
              <w:rPr>
                <w:b/>
                <w:bCs/>
                <w:szCs w:val="21"/>
              </w:rPr>
              <w:t>表2-5 汽油的理化性质和危险特性</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51"/>
              <w:gridCol w:w="140"/>
              <w:gridCol w:w="1200"/>
              <w:gridCol w:w="1462"/>
              <w:gridCol w:w="1373"/>
              <w:gridCol w:w="501"/>
              <w:gridCol w:w="20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5000" w:type="pct"/>
                  <w:gridSpan w:val="7"/>
                  <w:tcBorders>
                    <w:top w:val="single" w:color="auto" w:sz="12" w:space="0"/>
                    <w:left w:val="single" w:color="auto" w:sz="12" w:space="0"/>
                    <w:bottom w:val="single" w:color="auto" w:sz="2" w:space="0"/>
                    <w:right w:val="single" w:color="auto" w:sz="12" w:space="0"/>
                  </w:tcBorders>
                  <w:vAlign w:val="center"/>
                </w:tcPr>
                <w:p>
                  <w:pPr>
                    <w:pStyle w:val="46"/>
                    <w:adjustRightInd w:val="0"/>
                    <w:snapToGrid w:val="0"/>
                    <w:rPr>
                      <w:rFonts w:eastAsia="宋体"/>
                    </w:rPr>
                  </w:pPr>
                  <w:r>
                    <w:rPr>
                      <w:rFonts w:eastAsia="宋体"/>
                    </w:rPr>
                    <w:t>一、危险性概述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6"/>
                    <w:adjustRightInd w:val="0"/>
                    <w:snapToGrid w:val="0"/>
                    <w:rPr>
                      <w:rFonts w:eastAsia="宋体"/>
                    </w:rPr>
                  </w:pPr>
                  <w:r>
                    <w:rPr>
                      <w:rFonts w:eastAsia="宋体"/>
                    </w:rPr>
                    <w:t>危险类别</w:t>
                  </w:r>
                </w:p>
              </w:tc>
              <w:tc>
                <w:tcPr>
                  <w:tcW w:w="1670" w:type="pct"/>
                  <w:gridSpan w:val="2"/>
                  <w:tcBorders>
                    <w:top w:val="single" w:color="auto" w:sz="2" w:space="0"/>
                    <w:left w:val="single" w:color="auto" w:sz="8" w:space="0"/>
                    <w:bottom w:val="single" w:color="auto" w:sz="2" w:space="0"/>
                  </w:tcBorders>
                  <w:vAlign w:val="center"/>
                </w:tcPr>
                <w:p>
                  <w:pPr>
                    <w:pStyle w:val="46"/>
                    <w:adjustRightInd w:val="0"/>
                    <w:snapToGrid w:val="0"/>
                    <w:rPr>
                      <w:rFonts w:eastAsia="宋体"/>
                    </w:rPr>
                  </w:pPr>
                  <w:r>
                    <w:rPr>
                      <w:rFonts w:eastAsia="宋体"/>
                    </w:rPr>
                    <w:t>第3类低闪点易燃液体</w:t>
                  </w:r>
                </w:p>
              </w:tc>
              <w:tc>
                <w:tcPr>
                  <w:tcW w:w="1175" w:type="pct"/>
                  <w:gridSpan w:val="2"/>
                  <w:tcBorders>
                    <w:top w:val="single" w:color="auto" w:sz="2" w:space="0"/>
                    <w:bottom w:val="single" w:color="auto" w:sz="2" w:space="0"/>
                  </w:tcBorders>
                  <w:vAlign w:val="center"/>
                </w:tcPr>
                <w:p>
                  <w:pPr>
                    <w:pStyle w:val="46"/>
                    <w:adjustRightInd w:val="0"/>
                    <w:snapToGrid w:val="0"/>
                    <w:rPr>
                      <w:rFonts w:eastAsia="宋体"/>
                    </w:rPr>
                  </w:pPr>
                  <w:r>
                    <w:rPr>
                      <w:rFonts w:eastAsia="宋体"/>
                    </w:rPr>
                    <w:t>燃爆危险</w:t>
                  </w:r>
                </w:p>
              </w:tc>
              <w:tc>
                <w:tcPr>
                  <w:tcW w:w="1282" w:type="pct"/>
                  <w:tcBorders>
                    <w:top w:val="single" w:color="auto" w:sz="2" w:space="0"/>
                    <w:bottom w:val="single" w:color="auto" w:sz="2" w:space="0"/>
                    <w:right w:val="single" w:color="auto" w:sz="12" w:space="0"/>
                  </w:tcBorders>
                  <w:vAlign w:val="center"/>
                </w:tcPr>
                <w:p>
                  <w:pPr>
                    <w:pStyle w:val="46"/>
                    <w:adjustRightInd w:val="0"/>
                    <w:snapToGrid w:val="0"/>
                    <w:rPr>
                      <w:rFonts w:eastAsia="宋体"/>
                    </w:rPr>
                  </w:pPr>
                  <w:r>
                    <w:rPr>
                      <w:rFonts w:eastAsia="宋体"/>
                    </w:rPr>
                    <w:t>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6"/>
                    <w:adjustRightInd w:val="0"/>
                    <w:snapToGrid w:val="0"/>
                    <w:rPr>
                      <w:rFonts w:eastAsia="宋体"/>
                    </w:rPr>
                  </w:pPr>
                  <w:r>
                    <w:rPr>
                      <w:rFonts w:eastAsia="宋体"/>
                    </w:rPr>
                    <w:t>侵入途径</w:t>
                  </w:r>
                </w:p>
              </w:tc>
              <w:tc>
                <w:tcPr>
                  <w:tcW w:w="1670" w:type="pct"/>
                  <w:gridSpan w:val="2"/>
                  <w:tcBorders>
                    <w:top w:val="single" w:color="auto" w:sz="2" w:space="0"/>
                    <w:left w:val="single" w:color="auto" w:sz="8" w:space="0"/>
                    <w:bottom w:val="single" w:color="auto" w:sz="2" w:space="0"/>
                  </w:tcBorders>
                  <w:vAlign w:val="center"/>
                </w:tcPr>
                <w:p>
                  <w:pPr>
                    <w:pStyle w:val="46"/>
                    <w:adjustRightInd w:val="0"/>
                    <w:snapToGrid w:val="0"/>
                    <w:rPr>
                      <w:rFonts w:eastAsia="宋体"/>
                    </w:rPr>
                  </w:pPr>
                  <w:r>
                    <w:rPr>
                      <w:rFonts w:eastAsia="宋体"/>
                    </w:rPr>
                    <w:t>吸入、食入、经皮肤吸收</w:t>
                  </w:r>
                </w:p>
              </w:tc>
              <w:tc>
                <w:tcPr>
                  <w:tcW w:w="1175" w:type="pct"/>
                  <w:gridSpan w:val="2"/>
                  <w:tcBorders>
                    <w:top w:val="single" w:color="auto" w:sz="2" w:space="0"/>
                    <w:bottom w:val="single" w:color="auto" w:sz="2" w:space="0"/>
                  </w:tcBorders>
                  <w:vAlign w:val="center"/>
                </w:tcPr>
                <w:p>
                  <w:pPr>
                    <w:pStyle w:val="46"/>
                    <w:adjustRightInd w:val="0"/>
                    <w:snapToGrid w:val="0"/>
                    <w:rPr>
                      <w:rFonts w:eastAsia="宋体"/>
                    </w:rPr>
                  </w:pPr>
                  <w:r>
                    <w:rPr>
                      <w:rFonts w:eastAsia="宋体"/>
                    </w:rPr>
                    <w:t>有害燃烧产物</w:t>
                  </w:r>
                </w:p>
              </w:tc>
              <w:tc>
                <w:tcPr>
                  <w:tcW w:w="1282" w:type="pct"/>
                  <w:tcBorders>
                    <w:top w:val="single" w:color="auto" w:sz="2" w:space="0"/>
                    <w:bottom w:val="single" w:color="auto" w:sz="2" w:space="0"/>
                    <w:right w:val="single" w:color="auto" w:sz="12" w:space="0"/>
                  </w:tcBorders>
                  <w:vAlign w:val="center"/>
                </w:tcPr>
                <w:p>
                  <w:pPr>
                    <w:pStyle w:val="46"/>
                    <w:adjustRightInd w:val="0"/>
                    <w:snapToGrid w:val="0"/>
                    <w:rPr>
                      <w:rFonts w:eastAsia="宋体"/>
                    </w:rPr>
                  </w:pPr>
                  <w:r>
                    <w:rPr>
                      <w:rFonts w:eastAsia="宋体"/>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健康危害</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引起急性胃炎，重者出现类似急性吸入中毒症状。慢性中毒：神经衰弱综合症，周围神经病，皮肤损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785" w:type="pct"/>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环境危害</w:t>
                  </w:r>
                </w:p>
              </w:tc>
              <w:tc>
                <w:tcPr>
                  <w:tcW w:w="4215" w:type="pct"/>
                  <w:gridSpan w:val="6"/>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该物质对环境有危害，应特别注意对地表水、土壤、大气和饮用水的污染。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5000" w:type="pct"/>
                  <w:gridSpan w:val="7"/>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二、理化特性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外观及性状</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无色或淡黄色易挥发液体，具有特殊臭味。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熔点（℃）</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&lt;-60</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相对密度（水＝1）</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0.70～0.79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闪点（℃）</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-50</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相对密度（空气=1）</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引燃温度（℃）</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415～530</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爆炸上限％（V/V）：</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沸点（℃）</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40～200</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爆炸下限％（V/V）：</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溶解性</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不溶于水、易溶于于苯、二硫化碳、醇、易溶于脂肪。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主要用途</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主要用作汽油机的燃料，用于橡胶、制鞋、印刷、制革等行业。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5000" w:type="pct"/>
                  <w:gridSpan w:val="7"/>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三、稳定性及化学活性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稳定性</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稳定</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避免接触的条件</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明火、高热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禁配物</w:t>
                  </w:r>
                </w:p>
              </w:tc>
              <w:tc>
                <w:tcPr>
                  <w:tcW w:w="753" w:type="pct"/>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强氧化剂</w:t>
                  </w:r>
                </w:p>
              </w:tc>
              <w:tc>
                <w:tcPr>
                  <w:tcW w:w="1778" w:type="pct"/>
                  <w:gridSpan w:val="2"/>
                  <w:tcBorders>
                    <w:top w:val="single" w:color="auto" w:sz="2" w:space="0"/>
                    <w:bottom w:val="single" w:color="auto" w:sz="2" w:space="0"/>
                  </w:tcBorders>
                  <w:vAlign w:val="center"/>
                </w:tcPr>
                <w:p>
                  <w:pPr>
                    <w:pStyle w:val="48"/>
                    <w:adjustRightInd w:val="0"/>
                    <w:snapToGrid w:val="0"/>
                    <w:rPr>
                      <w:rFonts w:eastAsia="宋体"/>
                    </w:rPr>
                  </w:pPr>
                  <w:r>
                    <w:rPr>
                      <w:rFonts w:eastAsia="宋体"/>
                    </w:rPr>
                    <w:t>聚合危害：</w:t>
                  </w:r>
                </w:p>
              </w:tc>
              <w:tc>
                <w:tcPr>
                  <w:tcW w:w="1596" w:type="pct"/>
                  <w:gridSpan w:val="2"/>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分解产物</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5000" w:type="pct"/>
                  <w:gridSpan w:val="7"/>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四、毒理学资料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急性毒性</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LD</w:t>
                  </w:r>
                  <w:r>
                    <w:rPr>
                      <w:rFonts w:eastAsia="宋体"/>
                      <w:vertAlign w:val="subscript"/>
                    </w:rPr>
                    <w:t>50</w:t>
                  </w:r>
                  <w:r>
                    <w:rPr>
                      <w:rFonts w:eastAsia="宋体"/>
                    </w:rPr>
                    <w:t xml:space="preserve"> 67000mg/kg（小鼠经口），2小时（120号溶剂汽油）</w:t>
                  </w:r>
                </w:p>
                <w:p>
                  <w:pPr>
                    <w:pStyle w:val="48"/>
                    <w:adjustRightInd w:val="0"/>
                    <w:snapToGrid w:val="0"/>
                    <w:rPr>
                      <w:rFonts w:eastAsia="宋体"/>
                    </w:rPr>
                  </w:pPr>
                  <w:r>
                    <w:rPr>
                      <w:rFonts w:eastAsia="宋体"/>
                    </w:rPr>
                    <w:t>LC</w:t>
                  </w:r>
                  <w:r>
                    <w:rPr>
                      <w:rFonts w:eastAsia="宋体"/>
                      <w:vertAlign w:val="subscript"/>
                    </w:rPr>
                    <w:t>50</w:t>
                  </w:r>
                  <w:r>
                    <w:rPr>
                      <w:rFonts w:eastAsia="宋体"/>
                    </w:rPr>
                    <w:t xml:space="preserve"> 103000mg/m</w:t>
                  </w:r>
                  <w:r>
                    <w:rPr>
                      <w:rFonts w:eastAsia="宋体"/>
                      <w:vertAlign w:val="superscript"/>
                    </w:rPr>
                    <w:t>3</w:t>
                  </w:r>
                  <w:r>
                    <w:rPr>
                      <w:rFonts w:eastAsia="宋体"/>
                    </w:rPr>
                    <w:t>小鼠，2小时（120号溶剂汽油）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w:t>
                  </w:r>
                </w:p>
                <w:p>
                  <w:pPr>
                    <w:pStyle w:val="48"/>
                    <w:adjustRightInd w:val="0"/>
                    <w:snapToGrid w:val="0"/>
                    <w:rPr>
                      <w:rFonts w:eastAsia="宋体"/>
                    </w:rPr>
                  </w:pPr>
                  <w:r>
                    <w:rPr>
                      <w:rFonts w:eastAsia="宋体"/>
                    </w:rPr>
                    <w:t>性中毒</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高浓度吸入出现中毒性脑病。极高浓度吸入引起意识突然丧失、反射性呼吸停止和化学性肺炎。可致角膜溃疡、穿孔，甚至失明。皮肤接触致急性接触性皮炎或过敏性皮炎。经口中毒引起急性胃肠炎；重者出现，似急性吸入中毒症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慢性中毒</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神经衰弱综合症，周围神经病，皮肤损害。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刺激性</w:t>
                  </w:r>
                </w:p>
              </w:tc>
              <w:tc>
                <w:tcPr>
                  <w:tcW w:w="4127" w:type="pct"/>
                  <w:gridSpan w:val="5"/>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人经眼：140ppm（8小时），轻微刺激。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center"/>
              </w:trPr>
              <w:tc>
                <w:tcPr>
                  <w:tcW w:w="873" w:type="pct"/>
                  <w:gridSpan w:val="2"/>
                  <w:tcBorders>
                    <w:top w:val="single" w:color="auto" w:sz="2" w:space="0"/>
                    <w:left w:val="single" w:color="auto" w:sz="12" w:space="0"/>
                    <w:bottom w:val="single" w:color="auto" w:sz="12" w:space="0"/>
                    <w:right w:val="single" w:color="auto" w:sz="8" w:space="0"/>
                  </w:tcBorders>
                  <w:vAlign w:val="center"/>
                </w:tcPr>
                <w:p>
                  <w:pPr>
                    <w:pStyle w:val="48"/>
                    <w:adjustRightInd w:val="0"/>
                    <w:snapToGrid w:val="0"/>
                    <w:rPr>
                      <w:rFonts w:eastAsia="宋体"/>
                    </w:rPr>
                  </w:pPr>
                  <w:r>
                    <w:rPr>
                      <w:rFonts w:eastAsia="宋体"/>
                    </w:rPr>
                    <w:t>最高容许浓度</w:t>
                  </w:r>
                </w:p>
              </w:tc>
              <w:tc>
                <w:tcPr>
                  <w:tcW w:w="4127" w:type="pct"/>
                  <w:gridSpan w:val="5"/>
                  <w:tcBorders>
                    <w:top w:val="single" w:color="auto" w:sz="2" w:space="0"/>
                    <w:left w:val="single" w:color="auto" w:sz="8" w:space="0"/>
                    <w:bottom w:val="single" w:color="auto" w:sz="12" w:space="0"/>
                    <w:right w:val="single" w:color="auto" w:sz="12" w:space="0"/>
                  </w:tcBorders>
                  <w:vAlign w:val="center"/>
                </w:tcPr>
                <w:p>
                  <w:pPr>
                    <w:pStyle w:val="48"/>
                    <w:adjustRightInd w:val="0"/>
                    <w:snapToGrid w:val="0"/>
                    <w:rPr>
                      <w:rFonts w:eastAsia="宋体"/>
                    </w:rPr>
                  </w:pPr>
                  <w:r>
                    <w:rPr>
                      <w:rFonts w:eastAsia="宋体"/>
                    </w:rPr>
                    <w:t>300mg/m</w:t>
                  </w:r>
                  <w:r>
                    <w:rPr>
                      <w:rFonts w:eastAsia="宋体"/>
                      <w:vertAlign w:val="superscript"/>
                    </w:rPr>
                    <w:t>3</w:t>
                  </w:r>
                </w:p>
              </w:tc>
            </w:tr>
          </w:tbl>
          <w:p>
            <w:pPr>
              <w:widowControl/>
              <w:snapToGrid w:val="0"/>
              <w:spacing w:before="120" w:beforeLines="50" w:line="276" w:lineRule="auto"/>
              <w:ind w:firstLine="482"/>
              <w:jc w:val="center"/>
              <w:rPr>
                <w:b/>
                <w:bCs/>
                <w:szCs w:val="21"/>
              </w:rPr>
            </w:pPr>
            <w:r>
              <w:rPr>
                <w:b/>
                <w:bCs/>
                <w:szCs w:val="21"/>
              </w:rPr>
              <w:t>表2-6  柴油的理化性质和危险特性</w:t>
            </w:r>
          </w:p>
          <w:tbl>
            <w:tblPr>
              <w:tblStyle w:val="21"/>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51"/>
              <w:gridCol w:w="141"/>
              <w:gridCol w:w="2395"/>
              <w:gridCol w:w="2000"/>
              <w:gridCol w:w="21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12" w:space="0"/>
                    <w:left w:val="single" w:color="auto" w:sz="12" w:space="0"/>
                    <w:bottom w:val="single" w:color="auto" w:sz="2" w:space="0"/>
                    <w:right w:val="single" w:color="auto" w:sz="12" w:space="0"/>
                  </w:tcBorders>
                  <w:vAlign w:val="center"/>
                </w:tcPr>
                <w:p>
                  <w:pPr>
                    <w:pStyle w:val="48"/>
                    <w:adjustRightInd w:val="0"/>
                    <w:snapToGrid w:val="0"/>
                    <w:rPr>
                      <w:rFonts w:eastAsia="宋体"/>
                    </w:rPr>
                  </w:pPr>
                  <w:r>
                    <w:rPr>
                      <w:rFonts w:eastAsia="宋体"/>
                    </w:rPr>
                    <w:t>一、危险性概述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危险性类别</w:t>
                  </w:r>
                </w:p>
              </w:tc>
              <w:tc>
                <w:tcPr>
                  <w:tcW w:w="2536" w:type="dxa"/>
                  <w:gridSpan w:val="2"/>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第3.3类高闪点 易燃液体</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燃爆危险</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侵入途径</w:t>
                  </w:r>
                </w:p>
              </w:tc>
              <w:tc>
                <w:tcPr>
                  <w:tcW w:w="2536" w:type="dxa"/>
                  <w:gridSpan w:val="2"/>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吸入、食入、经皮肤吸收</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有氧燃烧产物</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环境危害</w:t>
                  </w:r>
                </w:p>
              </w:tc>
              <w:tc>
                <w:tcPr>
                  <w:tcW w:w="6720" w:type="dxa"/>
                  <w:gridSpan w:val="4"/>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该物质对环境有危害，应特别注意对地表水、土壤、大气和饮用水的污染。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二、理化特性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外观及性状</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稍粘性棕色液体。</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主要用途</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用作柴油机的燃料等。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闪点（℃）</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45～55℃</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相对密度（水＝1）</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0.87～0.9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沸点（℃）</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200～350℃</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爆炸上限%（V/V）</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自然点（℃）</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257</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爆炸下限%（V/V）</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溶解性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不溶于水，易溶于苯、二硫化碳、醇，易溶于脂肪。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三、稳定性及化学活性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稳定性</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稳定</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避免接触的条件</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明火、高热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禁配物</w:t>
                  </w:r>
                </w:p>
              </w:tc>
              <w:tc>
                <w:tcPr>
                  <w:tcW w:w="2395"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强氧化剂、卤素</w:t>
                  </w:r>
                </w:p>
              </w:tc>
              <w:tc>
                <w:tcPr>
                  <w:tcW w:w="2000"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聚合危害</w:t>
                  </w:r>
                </w:p>
              </w:tc>
              <w:tc>
                <w:tcPr>
                  <w:tcW w:w="2184"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分解产物</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四、毒理学资料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急性毒性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柴油的毒性相似煤油，但由于添加剂，如硫化酯类的影响，毒性略大于煤油。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急性中毒</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皮肤接触柴油可引起接触性皮炎、油性痤疮、吸入可引起吸入性肺炎，能经胎盘进入胎儿血中。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慢性中毒</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柴油废气可引起眼、鼻刺激症状，头痛。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刺激性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具有刺激作用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12" w:space="0"/>
                    <w:right w:val="single" w:color="auto" w:sz="8" w:space="0"/>
                  </w:tcBorders>
                  <w:vAlign w:val="center"/>
                </w:tcPr>
                <w:p>
                  <w:pPr>
                    <w:pStyle w:val="48"/>
                    <w:adjustRightInd w:val="0"/>
                    <w:snapToGrid w:val="0"/>
                    <w:rPr>
                      <w:rFonts w:eastAsia="宋体"/>
                    </w:rPr>
                  </w:pPr>
                  <w:r>
                    <w:rPr>
                      <w:rFonts w:eastAsia="宋体"/>
                    </w:rPr>
                    <w:t>最高容许浓度</w:t>
                  </w:r>
                </w:p>
              </w:tc>
              <w:tc>
                <w:tcPr>
                  <w:tcW w:w="6579" w:type="dxa"/>
                  <w:gridSpan w:val="3"/>
                  <w:tcBorders>
                    <w:top w:val="single" w:color="auto" w:sz="2" w:space="0"/>
                    <w:left w:val="single" w:color="auto" w:sz="8" w:space="0"/>
                    <w:bottom w:val="single" w:color="auto" w:sz="12" w:space="0"/>
                    <w:right w:val="single" w:color="auto" w:sz="12" w:space="0"/>
                  </w:tcBorders>
                  <w:vAlign w:val="center"/>
                </w:tcPr>
                <w:p>
                  <w:pPr>
                    <w:pStyle w:val="48"/>
                    <w:adjustRightInd w:val="0"/>
                    <w:snapToGrid w:val="0"/>
                    <w:rPr>
                      <w:rFonts w:eastAsia="宋体"/>
                    </w:rPr>
                  </w:pPr>
                  <w:r>
                    <w:rPr>
                      <w:rFonts w:eastAsia="宋体"/>
                    </w:rPr>
                    <w:t>目前无标准</w:t>
                  </w:r>
                </w:p>
              </w:tc>
            </w:tr>
          </w:tbl>
          <w:p>
            <w:pPr>
              <w:widowControl/>
              <w:snapToGrid w:val="0"/>
              <w:spacing w:before="120" w:beforeLines="50" w:line="276" w:lineRule="auto"/>
              <w:ind w:firstLine="482"/>
              <w:jc w:val="center"/>
              <w:rPr>
                <w:b/>
                <w:bCs/>
                <w:szCs w:val="21"/>
              </w:rPr>
            </w:pPr>
            <w:r>
              <w:rPr>
                <w:b/>
                <w:bCs/>
                <w:szCs w:val="21"/>
              </w:rPr>
              <w:t xml:space="preserve">表2-7  </w:t>
            </w:r>
            <w:r>
              <w:rPr>
                <w:rFonts w:hint="eastAsia"/>
                <w:b/>
                <w:bCs/>
                <w:szCs w:val="21"/>
              </w:rPr>
              <w:t>车用</w:t>
            </w:r>
            <w:r>
              <w:rPr>
                <w:b/>
                <w:bCs/>
                <w:szCs w:val="21"/>
              </w:rPr>
              <w:t>尿素</w:t>
            </w:r>
            <w:r>
              <w:rPr>
                <w:rFonts w:hint="eastAsia"/>
                <w:b/>
                <w:bCs/>
                <w:szCs w:val="21"/>
              </w:rPr>
              <w:t>液</w:t>
            </w:r>
            <w:r>
              <w:rPr>
                <w:b/>
                <w:bCs/>
                <w:szCs w:val="21"/>
              </w:rPr>
              <w:t>的理化性质和危险特性</w:t>
            </w:r>
          </w:p>
          <w:tbl>
            <w:tblPr>
              <w:tblStyle w:val="21"/>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51"/>
              <w:gridCol w:w="141"/>
              <w:gridCol w:w="2043"/>
              <w:gridCol w:w="1984"/>
              <w:gridCol w:w="25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12" w:space="0"/>
                    <w:left w:val="single" w:color="auto" w:sz="12" w:space="0"/>
                    <w:bottom w:val="single" w:color="auto" w:sz="2" w:space="0"/>
                    <w:right w:val="single" w:color="auto" w:sz="12" w:space="0"/>
                  </w:tcBorders>
                  <w:vAlign w:val="center"/>
                </w:tcPr>
                <w:p>
                  <w:pPr>
                    <w:pStyle w:val="48"/>
                    <w:adjustRightInd w:val="0"/>
                    <w:snapToGrid w:val="0"/>
                    <w:rPr>
                      <w:rFonts w:eastAsia="宋体"/>
                    </w:rPr>
                  </w:pPr>
                  <w:r>
                    <w:rPr>
                      <w:rFonts w:eastAsia="宋体"/>
                    </w:rPr>
                    <w:t>一、危险性概述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危险性类别</w:t>
                  </w:r>
                </w:p>
              </w:tc>
              <w:tc>
                <w:tcPr>
                  <w:tcW w:w="2184" w:type="dxa"/>
                  <w:gridSpan w:val="2"/>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刺激性、对人体有害</w:t>
                  </w:r>
                </w:p>
              </w:tc>
              <w:tc>
                <w:tcPr>
                  <w:tcW w:w="1984"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燃爆危险</w:t>
                  </w:r>
                </w:p>
              </w:tc>
              <w:tc>
                <w:tcPr>
                  <w:tcW w:w="2552"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不燃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侵入途径</w:t>
                  </w:r>
                </w:p>
              </w:tc>
              <w:tc>
                <w:tcPr>
                  <w:tcW w:w="6720" w:type="dxa"/>
                  <w:gridSpan w:val="4"/>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吸入、食入、经皮肤吸收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251" w:type="dxa"/>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环境危害</w:t>
                  </w:r>
                </w:p>
              </w:tc>
              <w:tc>
                <w:tcPr>
                  <w:tcW w:w="6720" w:type="dxa"/>
                  <w:gridSpan w:val="4"/>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一般作为肥料使用，对土壤、地下水环境影响轻微，可能对地表水环境产生危害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二、理化特性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19"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外观及性状</w:t>
                  </w:r>
                </w:p>
              </w:tc>
              <w:tc>
                <w:tcPr>
                  <w:tcW w:w="2043"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hint="eastAsia" w:eastAsia="宋体"/>
                    </w:rPr>
                    <w:t>尿素饱和水溶液，无色</w:t>
                  </w:r>
                </w:p>
              </w:tc>
              <w:tc>
                <w:tcPr>
                  <w:tcW w:w="1984"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主要用途</w:t>
                  </w:r>
                </w:p>
              </w:tc>
              <w:tc>
                <w:tcPr>
                  <w:tcW w:w="2552"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hint="eastAsia" w:eastAsia="宋体"/>
                    </w:rPr>
                    <w:t>可</w:t>
                  </w:r>
                  <w:r>
                    <w:rPr>
                      <w:rFonts w:eastAsia="宋体"/>
                    </w:rPr>
                    <w:t>作化肥使用，可加入柴油中减少尾气氮氧化物排放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熔点（℃）</w:t>
                  </w:r>
                </w:p>
              </w:tc>
              <w:tc>
                <w:tcPr>
                  <w:tcW w:w="2043"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132.7℃</w:t>
                  </w:r>
                </w:p>
              </w:tc>
              <w:tc>
                <w:tcPr>
                  <w:tcW w:w="1984"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相对密度（水＝1）</w:t>
                  </w:r>
                </w:p>
              </w:tc>
              <w:tc>
                <w:tcPr>
                  <w:tcW w:w="2552"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1.146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沸点（℃）</w:t>
                  </w:r>
                </w:p>
              </w:tc>
              <w:tc>
                <w:tcPr>
                  <w:tcW w:w="2043"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196.6℃</w:t>
                  </w:r>
                </w:p>
              </w:tc>
              <w:tc>
                <w:tcPr>
                  <w:tcW w:w="1984"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溶解性</w:t>
                  </w:r>
                </w:p>
              </w:tc>
              <w:tc>
                <w:tcPr>
                  <w:tcW w:w="2552"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吸湿性强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三、稳定性及化学活性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hint="eastAsia" w:eastAsia="宋体"/>
                    </w:rPr>
                    <w:t>化学性质</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hint="eastAsia" w:eastAsia="宋体"/>
                    </w:rPr>
                    <w:t>可与酸作用生成盐，加热到</w:t>
                  </w:r>
                  <w:r>
                    <w:rPr>
                      <w:rFonts w:eastAsia="宋体"/>
                    </w:rPr>
                    <w:t>130℃</w:t>
                  </w:r>
                  <w:r>
                    <w:rPr>
                      <w:rFonts w:hint="eastAsia" w:eastAsia="宋体"/>
                    </w:rPr>
                    <w:t>有水解作用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禁配物</w:t>
                  </w:r>
                </w:p>
              </w:tc>
              <w:tc>
                <w:tcPr>
                  <w:tcW w:w="2043" w:type="dxa"/>
                  <w:tcBorders>
                    <w:top w:val="single" w:color="auto" w:sz="2" w:space="0"/>
                    <w:left w:val="single" w:color="auto" w:sz="8" w:space="0"/>
                    <w:bottom w:val="single" w:color="auto" w:sz="2" w:space="0"/>
                  </w:tcBorders>
                  <w:vAlign w:val="center"/>
                </w:tcPr>
                <w:p>
                  <w:pPr>
                    <w:pStyle w:val="48"/>
                    <w:adjustRightInd w:val="0"/>
                    <w:snapToGrid w:val="0"/>
                    <w:rPr>
                      <w:rFonts w:eastAsia="宋体"/>
                    </w:rPr>
                  </w:pPr>
                  <w:r>
                    <w:rPr>
                      <w:rFonts w:eastAsia="宋体"/>
                    </w:rPr>
                    <w:t>强氧化剂、强酸、亚硝酸钠、干粉</w:t>
                  </w:r>
                </w:p>
              </w:tc>
              <w:tc>
                <w:tcPr>
                  <w:tcW w:w="1984" w:type="dxa"/>
                  <w:tcBorders>
                    <w:top w:val="single" w:color="auto" w:sz="2" w:space="0"/>
                    <w:bottom w:val="single" w:color="auto" w:sz="2" w:space="0"/>
                  </w:tcBorders>
                  <w:vAlign w:val="center"/>
                </w:tcPr>
                <w:p>
                  <w:pPr>
                    <w:pStyle w:val="48"/>
                    <w:adjustRightInd w:val="0"/>
                    <w:snapToGrid w:val="0"/>
                    <w:rPr>
                      <w:rFonts w:eastAsia="宋体"/>
                    </w:rPr>
                  </w:pPr>
                  <w:r>
                    <w:rPr>
                      <w:rFonts w:eastAsia="宋体"/>
                    </w:rPr>
                    <w:t>聚合危害</w:t>
                  </w:r>
                </w:p>
              </w:tc>
              <w:tc>
                <w:tcPr>
                  <w:tcW w:w="2552" w:type="dxa"/>
                  <w:tcBorders>
                    <w:top w:val="single" w:color="auto" w:sz="2" w:space="0"/>
                    <w:bottom w:val="single" w:color="auto" w:sz="2" w:space="0"/>
                    <w:right w:val="single" w:color="auto" w:sz="12" w:space="0"/>
                  </w:tcBorders>
                  <w:vAlign w:val="center"/>
                </w:tcPr>
                <w:p>
                  <w:pPr>
                    <w:pStyle w:val="48"/>
                    <w:adjustRightInd w:val="0"/>
                    <w:snapToGrid w:val="0"/>
                    <w:rPr>
                      <w:rFonts w:eastAsia="宋体"/>
                    </w:rPr>
                  </w:pPr>
                  <w:r>
                    <w:rPr>
                      <w:rFonts w:eastAsia="宋体"/>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分解产物</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一氧化碳、二氧化碳、氮氧化物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971" w:type="dxa"/>
                  <w:gridSpan w:val="5"/>
                  <w:tcBorders>
                    <w:top w:val="single" w:color="auto" w:sz="2" w:space="0"/>
                    <w:left w:val="single" w:color="auto" w:sz="12" w:space="0"/>
                    <w:bottom w:val="single" w:color="auto" w:sz="2" w:space="0"/>
                    <w:right w:val="single" w:color="auto" w:sz="12" w:space="0"/>
                  </w:tcBorders>
                  <w:vAlign w:val="center"/>
                </w:tcPr>
                <w:p>
                  <w:pPr>
                    <w:pStyle w:val="48"/>
                    <w:adjustRightInd w:val="0"/>
                    <w:snapToGrid w:val="0"/>
                    <w:ind w:firstLine="482"/>
                    <w:rPr>
                      <w:rFonts w:eastAsia="宋体"/>
                    </w:rPr>
                  </w:pPr>
                  <w:r>
                    <w:rPr>
                      <w:rFonts w:eastAsia="宋体"/>
                    </w:rPr>
                    <w:t>四、毒理学资料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急性毒性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对人体皮肤有轻度刺激性。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急性中毒</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吸入可引起咳嗽，食用会导致中毒。能经胎盘进入胎儿血中。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致癌性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长期暴露可能致癌。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2" w:space="0"/>
                    <w:right w:val="single" w:color="auto" w:sz="8" w:space="0"/>
                  </w:tcBorders>
                  <w:vAlign w:val="center"/>
                </w:tcPr>
                <w:p>
                  <w:pPr>
                    <w:pStyle w:val="48"/>
                    <w:adjustRightInd w:val="0"/>
                    <w:snapToGrid w:val="0"/>
                    <w:rPr>
                      <w:rFonts w:eastAsia="宋体"/>
                    </w:rPr>
                  </w:pPr>
                  <w:r>
                    <w:rPr>
                      <w:rFonts w:eastAsia="宋体"/>
                    </w:rPr>
                    <w:t>刺激性</w:t>
                  </w:r>
                </w:p>
              </w:tc>
              <w:tc>
                <w:tcPr>
                  <w:tcW w:w="6579" w:type="dxa"/>
                  <w:gridSpan w:val="3"/>
                  <w:tcBorders>
                    <w:top w:val="single" w:color="auto" w:sz="2" w:space="0"/>
                    <w:left w:val="single" w:color="auto" w:sz="8" w:space="0"/>
                    <w:bottom w:val="single" w:color="auto" w:sz="2" w:space="0"/>
                    <w:right w:val="single" w:color="auto" w:sz="12" w:space="0"/>
                  </w:tcBorders>
                  <w:vAlign w:val="center"/>
                </w:tcPr>
                <w:p>
                  <w:pPr>
                    <w:pStyle w:val="48"/>
                    <w:adjustRightInd w:val="0"/>
                    <w:snapToGrid w:val="0"/>
                    <w:rPr>
                      <w:rFonts w:eastAsia="宋体"/>
                    </w:rPr>
                  </w:pPr>
                  <w:r>
                    <w:rPr>
                      <w:rFonts w:eastAsia="宋体"/>
                    </w:rPr>
                    <w:t>具有刺激作用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1392" w:type="dxa"/>
                  <w:gridSpan w:val="2"/>
                  <w:tcBorders>
                    <w:top w:val="single" w:color="auto" w:sz="2" w:space="0"/>
                    <w:left w:val="single" w:color="auto" w:sz="12" w:space="0"/>
                    <w:bottom w:val="single" w:color="auto" w:sz="12" w:space="0"/>
                    <w:right w:val="single" w:color="auto" w:sz="8" w:space="0"/>
                  </w:tcBorders>
                  <w:vAlign w:val="center"/>
                </w:tcPr>
                <w:p>
                  <w:pPr>
                    <w:pStyle w:val="48"/>
                    <w:adjustRightInd w:val="0"/>
                    <w:snapToGrid w:val="0"/>
                    <w:rPr>
                      <w:rFonts w:eastAsia="宋体"/>
                    </w:rPr>
                  </w:pPr>
                  <w:r>
                    <w:rPr>
                      <w:rFonts w:eastAsia="宋体"/>
                    </w:rPr>
                    <w:t>最高容许浓度</w:t>
                  </w:r>
                </w:p>
              </w:tc>
              <w:tc>
                <w:tcPr>
                  <w:tcW w:w="6579" w:type="dxa"/>
                  <w:gridSpan w:val="3"/>
                  <w:tcBorders>
                    <w:top w:val="single" w:color="auto" w:sz="2" w:space="0"/>
                    <w:left w:val="single" w:color="auto" w:sz="8" w:space="0"/>
                    <w:bottom w:val="single" w:color="auto" w:sz="12" w:space="0"/>
                    <w:right w:val="single" w:color="auto" w:sz="12" w:space="0"/>
                  </w:tcBorders>
                  <w:vAlign w:val="center"/>
                </w:tcPr>
                <w:p>
                  <w:pPr>
                    <w:pStyle w:val="48"/>
                    <w:adjustRightInd w:val="0"/>
                    <w:snapToGrid w:val="0"/>
                    <w:rPr>
                      <w:rFonts w:eastAsia="宋体"/>
                    </w:rPr>
                  </w:pPr>
                  <w:r>
                    <w:rPr>
                      <w:rFonts w:eastAsia="宋体"/>
                    </w:rPr>
                    <w:t>目前无标准</w:t>
                  </w:r>
                </w:p>
              </w:tc>
            </w:tr>
          </w:tbl>
          <w:p>
            <w:pPr>
              <w:autoSpaceDE w:val="0"/>
              <w:autoSpaceDN w:val="0"/>
              <w:adjustRightInd w:val="0"/>
              <w:spacing w:line="360" w:lineRule="auto"/>
              <w:ind w:firstLine="420" w:firstLineChars="200"/>
              <w:rPr>
                <w:kern w:val="0"/>
                <w:szCs w:val="21"/>
              </w:rPr>
            </w:pPr>
          </w:p>
          <w:p>
            <w:pPr>
              <w:autoSpaceDE w:val="0"/>
              <w:autoSpaceDN w:val="0"/>
              <w:adjustRightInd w:val="0"/>
              <w:spacing w:line="360" w:lineRule="auto"/>
              <w:ind w:firstLine="422" w:firstLineChars="200"/>
              <w:rPr>
                <w:b/>
                <w:kern w:val="0"/>
                <w:szCs w:val="21"/>
              </w:rPr>
            </w:pPr>
            <w:r>
              <w:rPr>
                <w:b/>
                <w:kern w:val="0"/>
                <w:szCs w:val="21"/>
              </w:rPr>
              <w:t>4、公用工程</w:t>
            </w:r>
          </w:p>
          <w:p>
            <w:pPr>
              <w:spacing w:line="360" w:lineRule="auto"/>
              <w:ind w:firstLine="420" w:firstLineChars="200"/>
              <w:rPr>
                <w:szCs w:val="21"/>
              </w:rPr>
            </w:pPr>
            <w:r>
              <w:rPr>
                <w:szCs w:val="21"/>
              </w:rPr>
              <w:t>（1）给水</w:t>
            </w:r>
          </w:p>
          <w:p>
            <w:pPr>
              <w:spacing w:line="360" w:lineRule="auto"/>
              <w:ind w:firstLine="420" w:firstLineChars="200"/>
              <w:rPr>
                <w:szCs w:val="21"/>
              </w:rPr>
            </w:pPr>
            <w:r>
              <w:rPr>
                <w:kern w:val="21"/>
                <w:szCs w:val="21"/>
              </w:rPr>
              <w:t>项目投产营运后主要用水为生活用水、地面冲洗用水和绿化用水等，项目用水由市政供水管网供给</w:t>
            </w:r>
            <w:r>
              <w:rPr>
                <w:szCs w:val="21"/>
              </w:rPr>
              <w:t>。</w:t>
            </w:r>
          </w:p>
          <w:p>
            <w:pPr>
              <w:pStyle w:val="50"/>
              <w:numPr>
                <w:ilvl w:val="0"/>
                <w:numId w:val="1"/>
              </w:numPr>
              <w:ind w:firstLineChars="0"/>
              <w:rPr>
                <w:rFonts w:ascii="Times New Roman" w:hAnsi="Times New Roman" w:cs="Times New Roman"/>
                <w:color w:val="auto"/>
                <w:kern w:val="2"/>
                <w:sz w:val="21"/>
                <w:szCs w:val="21"/>
              </w:rPr>
            </w:pPr>
            <w:r>
              <w:rPr>
                <w:rFonts w:ascii="Times New Roman" w:hAnsi="Times New Roman" w:cs="Times New Roman"/>
                <w:color w:val="auto"/>
                <w:kern w:val="2"/>
                <w:sz w:val="21"/>
                <w:szCs w:val="21"/>
              </w:rPr>
              <w:t>生活用水</w:t>
            </w:r>
          </w:p>
          <w:p>
            <w:pPr>
              <w:spacing w:line="360" w:lineRule="auto"/>
              <w:ind w:firstLine="420" w:firstLineChars="200"/>
            </w:pPr>
            <w:r>
              <w:t>根据建设单位提供的资料，本项目</w:t>
            </w:r>
            <w:r>
              <w:rPr>
                <w:rFonts w:hint="eastAsia"/>
              </w:rPr>
              <w:t>每日</w:t>
            </w:r>
            <w:r>
              <w:t>工作人员有5人，用水标准按照《江西省生活用水定额》（DB36/T419-2017）中</w:t>
            </w:r>
            <w:r>
              <w:rPr>
                <w:rFonts w:hint="eastAsia"/>
              </w:rPr>
              <w:t>表1城市居民生活用水定额指标1</w:t>
            </w:r>
            <w:r>
              <w:t>20 L/d·人计算，员工用水量为120L/d·人，排放量按产生量的80% 计；站场客流量最高日按250 人/日，用水量按10L/人次·天计；排放量按产生量的80%计。</w:t>
            </w:r>
          </w:p>
          <w:p>
            <w:pPr>
              <w:spacing w:line="360" w:lineRule="auto"/>
              <w:ind w:firstLine="420" w:firstLineChars="200"/>
              <w:rPr>
                <w:sz w:val="18"/>
                <w:szCs w:val="21"/>
              </w:rPr>
            </w:pPr>
            <w:r>
              <w:t>经计算，项目日生活用水量为3.1t，日废水排放量为2.48t（年用水量约1131.5t，年排放量约905.2t）。</w:t>
            </w:r>
          </w:p>
          <w:p>
            <w:pPr>
              <w:numPr>
                <w:ilvl w:val="0"/>
                <w:numId w:val="1"/>
              </w:numPr>
              <w:spacing w:line="360" w:lineRule="auto"/>
              <w:rPr>
                <w:szCs w:val="21"/>
              </w:rPr>
            </w:pPr>
            <w:r>
              <w:rPr>
                <w:szCs w:val="21"/>
              </w:rPr>
              <w:t>地面冲洗用水</w:t>
            </w:r>
          </w:p>
          <w:p>
            <w:pPr>
              <w:spacing w:line="360" w:lineRule="auto"/>
              <w:ind w:firstLine="420" w:firstLineChars="200"/>
              <w:rPr>
                <w:szCs w:val="21"/>
              </w:rPr>
            </w:pPr>
            <w:r>
              <w:rPr>
                <w:szCs w:val="21"/>
              </w:rPr>
              <w:t>项目加油（充电）站每周定期冲洗一次地面（每年按53 次计算），产生地面冲洗水废水。冲洗水用量按1.5L/m</w:t>
            </w:r>
            <w:r>
              <w:rPr>
                <w:szCs w:val="21"/>
                <w:vertAlign w:val="superscript"/>
              </w:rPr>
              <w:t>2</w:t>
            </w:r>
            <w:r>
              <w:rPr>
                <w:szCs w:val="21"/>
              </w:rPr>
              <w:t>·次计，本项目站场地坪面积约为2000m</w:t>
            </w:r>
            <w:r>
              <w:rPr>
                <w:szCs w:val="21"/>
                <w:vertAlign w:val="superscript"/>
              </w:rPr>
              <w:t>2</w:t>
            </w:r>
            <w:r>
              <w:rPr>
                <w:szCs w:val="21"/>
              </w:rPr>
              <w:t>，则地面冲洗用水量约3t/次（159t/a，平均0.44t/d），污水排放量按其用水量的80%计，则地面冲洗废水排放量为2.4t/次（127.2t/a，平均0.35t/d）。</w:t>
            </w:r>
          </w:p>
          <w:p>
            <w:pPr>
              <w:numPr>
                <w:ilvl w:val="0"/>
                <w:numId w:val="1"/>
              </w:numPr>
              <w:spacing w:line="360" w:lineRule="auto"/>
              <w:rPr>
                <w:szCs w:val="21"/>
              </w:rPr>
            </w:pPr>
            <w:r>
              <w:rPr>
                <w:szCs w:val="21"/>
              </w:rPr>
              <w:t>绿化用水</w:t>
            </w:r>
          </w:p>
          <w:p>
            <w:pPr>
              <w:spacing w:line="360" w:lineRule="auto"/>
              <w:ind w:firstLine="420" w:firstLineChars="200"/>
              <w:rPr>
                <w:szCs w:val="21"/>
              </w:rPr>
            </w:pPr>
            <w:r>
              <w:rPr>
                <w:szCs w:val="21"/>
              </w:rPr>
              <w:t>根据建设单位提供的资料，本项目绿化（含站外绿化1028.6 m</w:t>
            </w:r>
            <w:r>
              <w:rPr>
                <w:szCs w:val="21"/>
                <w:vertAlign w:val="superscript"/>
              </w:rPr>
              <w:t>2</w:t>
            </w:r>
            <w:r>
              <w:rPr>
                <w:szCs w:val="21"/>
              </w:rPr>
              <w:t>）面积为2526.0 m</w:t>
            </w:r>
            <w:r>
              <w:rPr>
                <w:szCs w:val="21"/>
                <w:vertAlign w:val="superscript"/>
              </w:rPr>
              <w:t>2</w:t>
            </w:r>
            <w:r>
              <w:rPr>
                <w:szCs w:val="21"/>
              </w:rPr>
              <w:t>，用水标准</w:t>
            </w:r>
            <w:r>
              <w:t>按照《江西省生活用水定额》（DB36/T419-2017）中</w:t>
            </w:r>
            <w:r>
              <w:rPr>
                <w:rFonts w:hint="eastAsia"/>
              </w:rPr>
              <w:t>表1绿化管理用水定额指标</w:t>
            </w:r>
            <w:r>
              <w:t>1.3L/(m</w:t>
            </w:r>
            <w:r>
              <w:rPr>
                <w:vertAlign w:val="superscript"/>
              </w:rPr>
              <w:t>2</w:t>
            </w:r>
            <w:r>
              <w:t>·d)，经计算，绿化用水量约为3.28 t/d</w:t>
            </w:r>
            <w:r>
              <w:rPr>
                <w:szCs w:val="21"/>
              </w:rPr>
              <w:t>。一年以200天计，则一年的绿化用水为656m</w:t>
            </w:r>
            <w:r>
              <w:rPr>
                <w:szCs w:val="21"/>
                <w:vertAlign w:val="superscript"/>
              </w:rPr>
              <w:t>3</w:t>
            </w:r>
            <w:r>
              <w:rPr>
                <w:szCs w:val="21"/>
              </w:rPr>
              <w:t>/a。</w:t>
            </w:r>
          </w:p>
          <w:p>
            <w:pPr>
              <w:pStyle w:val="9"/>
              <w:spacing w:before="0" w:line="360" w:lineRule="auto"/>
              <w:ind w:left="0" w:firstLine="420" w:firstLineChars="200"/>
              <w:rPr>
                <w:sz w:val="21"/>
              </w:rPr>
            </w:pPr>
            <w:r>
              <w:rPr>
                <w:sz w:val="21"/>
              </w:rPr>
              <w:t>项目用排水情况及水平衡图见表2-8和图2-1。</w:t>
            </w:r>
          </w:p>
          <w:p>
            <w:pPr>
              <w:pStyle w:val="9"/>
              <w:spacing w:before="0" w:line="360" w:lineRule="auto"/>
              <w:ind w:left="0" w:firstLine="420" w:firstLineChars="200"/>
              <w:rPr>
                <w:sz w:val="21"/>
              </w:rPr>
            </w:pPr>
          </w:p>
          <w:p>
            <w:pPr>
              <w:pStyle w:val="9"/>
              <w:spacing w:before="0" w:line="360" w:lineRule="auto"/>
              <w:ind w:left="0" w:firstLine="420" w:firstLineChars="200"/>
              <w:rPr>
                <w:sz w:val="21"/>
              </w:rPr>
            </w:pPr>
          </w:p>
          <w:p>
            <w:pPr>
              <w:pStyle w:val="9"/>
              <w:spacing w:before="0" w:line="360" w:lineRule="auto"/>
              <w:ind w:left="0" w:firstLine="420" w:firstLineChars="200"/>
              <w:rPr>
                <w:sz w:val="21"/>
              </w:rPr>
            </w:pPr>
          </w:p>
          <w:p>
            <w:pPr>
              <w:pStyle w:val="9"/>
              <w:spacing w:before="0" w:line="360" w:lineRule="auto"/>
              <w:ind w:left="0" w:firstLine="420" w:firstLineChars="200"/>
              <w:rPr>
                <w:sz w:val="21"/>
              </w:rPr>
            </w:pPr>
          </w:p>
          <w:p>
            <w:pPr>
              <w:adjustRightInd w:val="0"/>
              <w:spacing w:line="360" w:lineRule="auto"/>
              <w:textAlignment w:val="baseline"/>
              <w:rPr>
                <w:kern w:val="0"/>
                <w:szCs w:val="21"/>
              </w:rPr>
            </w:pPr>
            <w:r>
              <mc:AlternateContent>
                <mc:Choice Requires="wpc">
                  <w:drawing>
                    <wp:inline distT="0" distB="0" distL="114300" distR="114300">
                      <wp:extent cx="4997450" cy="2261870"/>
                      <wp:effectExtent l="4445" t="0" r="8255" b="0"/>
                      <wp:docPr id="33"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矩形 1406"/>
                              <wps:cNvSpPr/>
                              <wps:spPr>
                                <a:xfrm>
                                  <a:off x="1363314" y="318110"/>
                                  <a:ext cx="755608" cy="2883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w:t>
                                    </w:r>
                                    <w:r>
                                      <w:t>用水</w:t>
                                    </w:r>
                                  </w:p>
                                </w:txbxContent>
                              </wps:txbx>
                              <wps:bodyPr wrap="square" anchor="t" anchorCtr="0" upright="1"/>
                            </wps:wsp>
                            <wps:wsp>
                              <wps:cNvPr id="4" name="矩形 1407"/>
                              <wps:cNvSpPr/>
                              <wps:spPr>
                                <a:xfrm>
                                  <a:off x="2586926" y="318110"/>
                                  <a:ext cx="648406" cy="2883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wrap="square" anchor="t" anchorCtr="0" upright="1"/>
                            </wps:wsp>
                            <wps:wsp>
                              <wps:cNvPr id="5" name="矩形 1408"/>
                              <wps:cNvSpPr/>
                              <wps:spPr>
                                <a:xfrm>
                                  <a:off x="2586926" y="963930"/>
                                  <a:ext cx="908109" cy="2889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隔油沉淀池</w:t>
                                    </w:r>
                                  </w:p>
                                </w:txbxContent>
                              </wps:txbx>
                              <wps:bodyPr wrap="square" anchor="t" anchorCtr="0" upright="1"/>
                            </wps:wsp>
                            <wps:wsp>
                              <wps:cNvPr id="6" name="矩形 1410"/>
                              <wps:cNvSpPr/>
                              <wps:spPr>
                                <a:xfrm>
                                  <a:off x="1363314" y="973430"/>
                                  <a:ext cx="756308" cy="2883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冲洗</w:t>
                                    </w:r>
                                    <w:r>
                                      <w:t>用水</w:t>
                                    </w:r>
                                  </w:p>
                                </w:txbxContent>
                              </wps:txbx>
                              <wps:bodyPr wrap="square" anchor="t" anchorCtr="0" upright="1"/>
                            </wps:wsp>
                            <wps:wsp>
                              <wps:cNvPr id="7" name="矩形 1411"/>
                              <wps:cNvSpPr/>
                              <wps:spPr>
                                <a:xfrm>
                                  <a:off x="1377314" y="1550648"/>
                                  <a:ext cx="755608" cy="2883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绿化用水</w:t>
                                    </w:r>
                                  </w:p>
                                </w:txbxContent>
                              </wps:txbx>
                              <wps:bodyPr wrap="square" anchor="t" anchorCtr="0" upright="1"/>
                            </wps:wsp>
                            <wps:wsp>
                              <wps:cNvPr id="8" name="矩形 1413"/>
                              <wps:cNvSpPr/>
                              <wps:spPr>
                                <a:xfrm>
                                  <a:off x="0" y="966430"/>
                                  <a:ext cx="647706" cy="2883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自来水</w:t>
                                    </w:r>
                                  </w:p>
                                </w:txbxContent>
                              </wps:txbx>
                              <wps:bodyPr wrap="square" anchor="t" anchorCtr="0" upright="1"/>
                            </wps:wsp>
                            <wps:wsp>
                              <wps:cNvPr id="9" name="自选图形 1414"/>
                              <wps:cNvCnPr/>
                              <wps:spPr>
                                <a:xfrm>
                                  <a:off x="945509" y="463514"/>
                                  <a:ext cx="417804" cy="600"/>
                                </a:xfrm>
                                <a:prstGeom prst="straightConnector1">
                                  <a:avLst/>
                                </a:prstGeom>
                                <a:ln w="9525" cap="flat" cmpd="sng">
                                  <a:solidFill>
                                    <a:srgbClr val="000000"/>
                                  </a:solidFill>
                                  <a:prstDash val="solid"/>
                                  <a:headEnd type="none" w="med" len="med"/>
                                  <a:tailEnd type="triangle" w="med" len="med"/>
                                </a:ln>
                              </wps:spPr>
                              <wps:bodyPr/>
                            </wps:wsp>
                            <wps:wsp>
                              <wps:cNvPr id="10" name="矩形 1417"/>
                              <wps:cNvSpPr/>
                              <wps:spPr>
                                <a:xfrm>
                                  <a:off x="851809" y="877427"/>
                                  <a:ext cx="582906" cy="287009"/>
                                </a:xfrm>
                                <a:prstGeom prst="rect">
                                  <a:avLst/>
                                </a:prstGeom>
                                <a:noFill/>
                                <a:ln>
                                  <a:noFill/>
                                </a:ln>
                              </wps:spPr>
                              <wps:txbx>
                                <w:txbxContent>
                                  <w:p>
                                    <w:pPr>
                                      <w:jc w:val="center"/>
                                    </w:pPr>
                                    <w:r>
                                      <w:t>0.44</w:t>
                                    </w:r>
                                  </w:p>
                                </w:txbxContent>
                              </wps:txbx>
                              <wps:bodyPr wrap="square" anchor="t" anchorCtr="0" upright="1"/>
                            </wps:wsp>
                            <wps:wsp>
                              <wps:cNvPr id="11" name="自选图形 1418"/>
                              <wps:cNvCnPr/>
                              <wps:spPr>
                                <a:xfrm>
                                  <a:off x="937209" y="463514"/>
                                  <a:ext cx="600" cy="1235138"/>
                                </a:xfrm>
                                <a:prstGeom prst="straightConnector1">
                                  <a:avLst/>
                                </a:prstGeom>
                                <a:ln w="9525" cap="flat" cmpd="sng">
                                  <a:solidFill>
                                    <a:srgbClr val="000000"/>
                                  </a:solidFill>
                                  <a:prstDash val="solid"/>
                                  <a:headEnd type="none" w="med" len="med"/>
                                  <a:tailEnd type="none" w="med" len="med"/>
                                </a:ln>
                              </wps:spPr>
                              <wps:bodyPr/>
                            </wps:wsp>
                            <wps:wsp>
                              <wps:cNvPr id="12" name="任意多边形 1419"/>
                              <wps:cNvSpPr/>
                              <wps:spPr>
                                <a:xfrm>
                                  <a:off x="1739917" y="175805"/>
                                  <a:ext cx="330203" cy="142304"/>
                                </a:xfrm>
                                <a:custGeom>
                                  <a:avLst/>
                                  <a:gdLst/>
                                  <a:ahLst/>
                                  <a:cxnLst>
                                    <a:cxn ang="0">
                                      <a:pos x="0" y="142240"/>
                                    </a:cxn>
                                    <a:cxn ang="0">
                                      <a:pos x="161925" y="19050"/>
                                    </a:cxn>
                                    <a:cxn ang="0">
                                      <a:pos x="254000" y="68580"/>
                                    </a:cxn>
                                    <a:cxn ang="0">
                                      <a:pos x="330200" y="0"/>
                                    </a:cxn>
                                  </a:cxnLst>
                                  <a:pathLst>
                                    <a:path w="520" h="224">
                                      <a:moveTo>
                                        <a:pt x="0" y="224"/>
                                      </a:moveTo>
                                      <a:cubicBezTo>
                                        <a:pt x="94" y="136"/>
                                        <a:pt x="188" y="49"/>
                                        <a:pt x="255" y="30"/>
                                      </a:cubicBezTo>
                                      <a:cubicBezTo>
                                        <a:pt x="322" y="11"/>
                                        <a:pt x="356" y="113"/>
                                        <a:pt x="400" y="108"/>
                                      </a:cubicBezTo>
                                      <a:cubicBezTo>
                                        <a:pt x="444" y="103"/>
                                        <a:pt x="500" y="18"/>
                                        <a:pt x="520" y="0"/>
                                      </a:cubicBezTo>
                                    </a:path>
                                  </a:pathLst>
                                </a:custGeom>
                                <a:noFill/>
                                <a:ln w="9525" cap="flat" cmpd="sng">
                                  <a:solidFill>
                                    <a:srgbClr val="000000"/>
                                  </a:solidFill>
                                  <a:prstDash val="solid"/>
                                  <a:headEnd type="none" w="med" len="med"/>
                                  <a:tailEnd type="none" w="med" len="med"/>
                                </a:ln>
                              </wps:spPr>
                              <wps:bodyPr wrap="square" anchor="t" anchorCtr="0" upright="1"/>
                            </wps:wsp>
                            <wps:wsp>
                              <wps:cNvPr id="13" name="矩形 1420"/>
                              <wps:cNvSpPr/>
                              <wps:spPr>
                                <a:xfrm>
                                  <a:off x="859909" y="236507"/>
                                  <a:ext cx="582906" cy="287009"/>
                                </a:xfrm>
                                <a:prstGeom prst="rect">
                                  <a:avLst/>
                                </a:prstGeom>
                                <a:noFill/>
                                <a:ln>
                                  <a:noFill/>
                                </a:ln>
                              </wps:spPr>
                              <wps:txbx>
                                <w:txbxContent>
                                  <w:p>
                                    <w:pPr>
                                      <w:jc w:val="center"/>
                                    </w:pPr>
                                    <w:r>
                                      <w:t>3.1</w:t>
                                    </w:r>
                                  </w:p>
                                </w:txbxContent>
                              </wps:txbx>
                              <wps:bodyPr wrap="square" anchor="t" anchorCtr="0" upright="1"/>
                            </wps:wsp>
                            <wps:wsp>
                              <wps:cNvPr id="14" name="自选图形 1422"/>
                              <wps:cNvCnPr/>
                              <wps:spPr>
                                <a:xfrm>
                                  <a:off x="2118921" y="462914"/>
                                  <a:ext cx="468005" cy="600"/>
                                </a:xfrm>
                                <a:prstGeom prst="straightConnector1">
                                  <a:avLst/>
                                </a:prstGeom>
                                <a:ln w="9525" cap="flat" cmpd="sng">
                                  <a:solidFill>
                                    <a:srgbClr val="000000"/>
                                  </a:solidFill>
                                  <a:prstDash val="solid"/>
                                  <a:headEnd type="none" w="med" len="med"/>
                                  <a:tailEnd type="triangle" w="med" len="med"/>
                                </a:ln>
                              </wps:spPr>
                              <wps:bodyPr/>
                            </wps:wsp>
                            <wps:wsp>
                              <wps:cNvPr id="15" name="矩形 1423"/>
                              <wps:cNvSpPr/>
                              <wps:spPr>
                                <a:xfrm>
                                  <a:off x="2051021" y="246308"/>
                                  <a:ext cx="582906" cy="287109"/>
                                </a:xfrm>
                                <a:prstGeom prst="rect">
                                  <a:avLst/>
                                </a:prstGeom>
                                <a:noFill/>
                                <a:ln>
                                  <a:noFill/>
                                </a:ln>
                              </wps:spPr>
                              <wps:txbx>
                                <w:txbxContent>
                                  <w:p>
                                    <w:pPr>
                                      <w:jc w:val="center"/>
                                    </w:pPr>
                                    <w:r>
                                      <w:t>2.48</w:t>
                                    </w:r>
                                  </w:p>
                                </w:txbxContent>
                              </wps:txbx>
                              <wps:bodyPr wrap="square" anchor="t" anchorCtr="0" upright="1"/>
                            </wps:wsp>
                            <wps:wsp>
                              <wps:cNvPr id="16" name="自选图形 1424"/>
                              <wps:cNvCnPr/>
                              <wps:spPr>
                                <a:xfrm>
                                  <a:off x="937209" y="1110634"/>
                                  <a:ext cx="417804" cy="600"/>
                                </a:xfrm>
                                <a:prstGeom prst="straightConnector1">
                                  <a:avLst/>
                                </a:prstGeom>
                                <a:ln w="9525" cap="flat" cmpd="sng">
                                  <a:solidFill>
                                    <a:srgbClr val="000000"/>
                                  </a:solidFill>
                                  <a:prstDash val="solid"/>
                                  <a:headEnd type="none" w="med" len="med"/>
                                  <a:tailEnd type="triangle" w="med" len="med"/>
                                </a:ln>
                              </wps:spPr>
                              <wps:bodyPr/>
                            </wps:wsp>
                            <wps:wsp>
                              <wps:cNvPr id="17" name="任意多边形 1425"/>
                              <wps:cNvSpPr/>
                              <wps:spPr>
                                <a:xfrm>
                                  <a:off x="1720817" y="831226"/>
                                  <a:ext cx="330203" cy="142204"/>
                                </a:xfrm>
                                <a:custGeom>
                                  <a:avLst/>
                                  <a:gdLst/>
                                  <a:ahLst/>
                                  <a:cxnLst>
                                    <a:cxn ang="0">
                                      <a:pos x="0" y="142240"/>
                                    </a:cxn>
                                    <a:cxn ang="0">
                                      <a:pos x="161925" y="19050"/>
                                    </a:cxn>
                                    <a:cxn ang="0">
                                      <a:pos x="254000" y="68580"/>
                                    </a:cxn>
                                    <a:cxn ang="0">
                                      <a:pos x="330200" y="0"/>
                                    </a:cxn>
                                  </a:cxnLst>
                                  <a:pathLst>
                                    <a:path w="520" h="224">
                                      <a:moveTo>
                                        <a:pt x="0" y="224"/>
                                      </a:moveTo>
                                      <a:cubicBezTo>
                                        <a:pt x="94" y="136"/>
                                        <a:pt x="188" y="49"/>
                                        <a:pt x="255" y="30"/>
                                      </a:cubicBezTo>
                                      <a:cubicBezTo>
                                        <a:pt x="322" y="11"/>
                                        <a:pt x="356" y="113"/>
                                        <a:pt x="400" y="108"/>
                                      </a:cubicBezTo>
                                      <a:cubicBezTo>
                                        <a:pt x="444" y="103"/>
                                        <a:pt x="500" y="18"/>
                                        <a:pt x="520" y="0"/>
                                      </a:cubicBezTo>
                                    </a:path>
                                  </a:pathLst>
                                </a:custGeom>
                                <a:noFill/>
                                <a:ln w="9525" cap="flat" cmpd="sng">
                                  <a:solidFill>
                                    <a:srgbClr val="000000"/>
                                  </a:solidFill>
                                  <a:prstDash val="solid"/>
                                  <a:headEnd type="none" w="med" len="med"/>
                                  <a:tailEnd type="none" w="med" len="med"/>
                                </a:ln>
                              </wps:spPr>
                              <wps:bodyPr wrap="square" anchor="t" anchorCtr="0" upright="1"/>
                            </wps:wsp>
                            <wps:wsp>
                              <wps:cNvPr id="18" name="矩形 1426"/>
                              <wps:cNvSpPr/>
                              <wps:spPr>
                                <a:xfrm>
                                  <a:off x="1906219" y="657820"/>
                                  <a:ext cx="868709" cy="287009"/>
                                </a:xfrm>
                                <a:prstGeom prst="rect">
                                  <a:avLst/>
                                </a:prstGeom>
                                <a:noFill/>
                                <a:ln>
                                  <a:noFill/>
                                </a:ln>
                              </wps:spPr>
                              <wps:txbx>
                                <w:txbxContent>
                                  <w:p>
                                    <w:pPr>
                                      <w:jc w:val="center"/>
                                    </w:pPr>
                                    <w:r>
                                      <w:rPr>
                                        <w:rFonts w:hint="eastAsia"/>
                                      </w:rPr>
                                      <w:t>损耗</w:t>
                                    </w:r>
                                    <w:r>
                                      <w:t>0.09</w:t>
                                    </w:r>
                                  </w:p>
                                </w:txbxContent>
                              </wps:txbx>
                              <wps:bodyPr wrap="square" anchor="t" anchorCtr="0" upright="1"/>
                            </wps:wsp>
                            <wps:wsp>
                              <wps:cNvPr id="19" name="矩形 1427"/>
                              <wps:cNvSpPr/>
                              <wps:spPr>
                                <a:xfrm>
                                  <a:off x="3155932" y="244408"/>
                                  <a:ext cx="582906" cy="287009"/>
                                </a:xfrm>
                                <a:prstGeom prst="rect">
                                  <a:avLst/>
                                </a:prstGeom>
                                <a:noFill/>
                                <a:ln>
                                  <a:noFill/>
                                </a:ln>
                              </wps:spPr>
                              <wps:txbx>
                                <w:txbxContent>
                                  <w:p/>
                                </w:txbxContent>
                              </wps:txbx>
                              <wps:bodyPr wrap="square" anchor="t" anchorCtr="0" upright="1"/>
                            </wps:wsp>
                            <wps:wsp>
                              <wps:cNvPr id="20" name="自选图形 1428"/>
                              <wps:cNvCnPr/>
                              <wps:spPr>
                                <a:xfrm>
                                  <a:off x="2118921" y="1100434"/>
                                  <a:ext cx="468005" cy="600"/>
                                </a:xfrm>
                                <a:prstGeom prst="straightConnector1">
                                  <a:avLst/>
                                </a:prstGeom>
                                <a:ln w="9525" cap="flat" cmpd="sng">
                                  <a:solidFill>
                                    <a:srgbClr val="000000"/>
                                  </a:solidFill>
                                  <a:prstDash val="solid"/>
                                  <a:headEnd type="none" w="med" len="med"/>
                                  <a:tailEnd type="triangle" w="med" len="med"/>
                                </a:ln>
                              </wps:spPr>
                              <wps:bodyPr/>
                            </wps:wsp>
                            <wps:wsp>
                              <wps:cNvPr id="21" name="自选图形 1429"/>
                              <wps:cNvCnPr/>
                              <wps:spPr>
                                <a:xfrm>
                                  <a:off x="937209" y="1699853"/>
                                  <a:ext cx="417804" cy="700"/>
                                </a:xfrm>
                                <a:prstGeom prst="straightConnector1">
                                  <a:avLst/>
                                </a:prstGeom>
                                <a:ln w="9525" cap="flat" cmpd="sng">
                                  <a:solidFill>
                                    <a:srgbClr val="000000"/>
                                  </a:solidFill>
                                  <a:prstDash val="solid"/>
                                  <a:headEnd type="none" w="med" len="med"/>
                                  <a:tailEnd type="triangle" w="med" len="med"/>
                                </a:ln>
                              </wps:spPr>
                              <wps:bodyPr/>
                            </wps:wsp>
                            <wps:wsp>
                              <wps:cNvPr id="22" name="自选图形 1434"/>
                              <wps:cNvCnPr/>
                              <wps:spPr>
                                <a:xfrm flipH="1">
                                  <a:off x="647706" y="1109934"/>
                                  <a:ext cx="289503" cy="700"/>
                                </a:xfrm>
                                <a:prstGeom prst="straightConnector1">
                                  <a:avLst/>
                                </a:prstGeom>
                                <a:ln w="9525" cap="flat" cmpd="sng">
                                  <a:solidFill>
                                    <a:srgbClr val="000000"/>
                                  </a:solidFill>
                                  <a:prstDash val="solid"/>
                                  <a:headEnd type="none" w="med" len="med"/>
                                  <a:tailEnd type="none" w="med" len="med"/>
                                </a:ln>
                              </wps:spPr>
                              <wps:bodyPr/>
                            </wps:wsp>
                            <wps:wsp>
                              <wps:cNvPr id="23" name="自选图形 1437"/>
                              <wps:cNvCnPr/>
                              <wps:spPr>
                                <a:xfrm>
                                  <a:off x="3234632" y="462914"/>
                                  <a:ext cx="647706" cy="600"/>
                                </a:xfrm>
                                <a:prstGeom prst="straightConnector1">
                                  <a:avLst/>
                                </a:prstGeom>
                                <a:ln w="9525" cap="flat" cmpd="sng">
                                  <a:solidFill>
                                    <a:srgbClr val="000000"/>
                                  </a:solidFill>
                                  <a:prstDash val="solid"/>
                                  <a:headEnd type="none" w="med" len="med"/>
                                  <a:tailEnd type="triangle" w="med" len="med"/>
                                </a:ln>
                              </wps:spPr>
                              <wps:bodyPr/>
                            </wps:wsp>
                            <wps:wsp>
                              <wps:cNvPr id="24" name="自选图形 1439"/>
                              <wps:cNvCnPr/>
                              <wps:spPr>
                                <a:xfrm flipV="1">
                                  <a:off x="3488035" y="1101034"/>
                                  <a:ext cx="378504" cy="700"/>
                                </a:xfrm>
                                <a:prstGeom prst="straightConnector1">
                                  <a:avLst/>
                                </a:prstGeom>
                                <a:ln w="9525" cap="flat" cmpd="sng">
                                  <a:solidFill>
                                    <a:srgbClr val="000000"/>
                                  </a:solidFill>
                                  <a:prstDash val="solid"/>
                                  <a:headEnd type="none" w="med" len="med"/>
                                  <a:tailEnd type="triangle" w="med" len="med"/>
                                </a:ln>
                              </wps:spPr>
                              <wps:bodyPr/>
                            </wps:wsp>
                            <wps:wsp>
                              <wps:cNvPr id="25" name="矩形 1441"/>
                              <wps:cNvSpPr/>
                              <wps:spPr>
                                <a:xfrm>
                                  <a:off x="4253243" y="555617"/>
                                  <a:ext cx="662907" cy="4616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市政污水</w:t>
                                    </w:r>
                                    <w:r>
                                      <w:t>管网</w:t>
                                    </w:r>
                                  </w:p>
                                </w:txbxContent>
                              </wps:txbx>
                              <wps:bodyPr wrap="square" anchor="t" anchorCtr="0" upright="1"/>
                            </wps:wsp>
                            <wps:wsp>
                              <wps:cNvPr id="26" name="矩形 1446"/>
                              <wps:cNvSpPr/>
                              <wps:spPr>
                                <a:xfrm>
                                  <a:off x="945509" y="1483346"/>
                                  <a:ext cx="431804" cy="287009"/>
                                </a:xfrm>
                                <a:prstGeom prst="rect">
                                  <a:avLst/>
                                </a:prstGeom>
                                <a:noFill/>
                                <a:ln>
                                  <a:noFill/>
                                </a:ln>
                              </wps:spPr>
                              <wps:txbx>
                                <w:txbxContent>
                                  <w:p>
                                    <w:pPr>
                                      <w:jc w:val="center"/>
                                    </w:pPr>
                                    <w:r>
                                      <w:t>3.28</w:t>
                                    </w:r>
                                  </w:p>
                                </w:txbxContent>
                              </wps:txbx>
                              <wps:bodyPr wrap="square" anchor="t" anchorCtr="0" upright="1"/>
                            </wps:wsp>
                            <wps:wsp>
                              <wps:cNvPr id="27" name="矩形 1448"/>
                              <wps:cNvSpPr/>
                              <wps:spPr>
                                <a:xfrm>
                                  <a:off x="2045320" y="882027"/>
                                  <a:ext cx="582906" cy="287009"/>
                                </a:xfrm>
                                <a:prstGeom prst="rect">
                                  <a:avLst/>
                                </a:prstGeom>
                                <a:noFill/>
                                <a:ln>
                                  <a:noFill/>
                                </a:ln>
                              </wps:spPr>
                              <wps:txbx>
                                <w:txbxContent>
                                  <w:p>
                                    <w:pPr>
                                      <w:jc w:val="center"/>
                                    </w:pPr>
                                    <w:r>
                                      <w:t>0.35</w:t>
                                    </w:r>
                                  </w:p>
                                </w:txbxContent>
                              </wps:txbx>
                              <wps:bodyPr wrap="square" anchor="t" anchorCtr="0" upright="1"/>
                            </wps:wsp>
                            <wps:wsp>
                              <wps:cNvPr id="28" name="任意多边形 1454"/>
                              <wps:cNvSpPr/>
                              <wps:spPr>
                                <a:xfrm>
                                  <a:off x="1720817" y="1388743"/>
                                  <a:ext cx="330203" cy="142204"/>
                                </a:xfrm>
                                <a:custGeom>
                                  <a:avLst/>
                                  <a:gdLst/>
                                  <a:ahLst/>
                                  <a:cxnLst>
                                    <a:cxn ang="0">
                                      <a:pos x="0" y="142240"/>
                                    </a:cxn>
                                    <a:cxn ang="0">
                                      <a:pos x="161925" y="19050"/>
                                    </a:cxn>
                                    <a:cxn ang="0">
                                      <a:pos x="254000" y="68580"/>
                                    </a:cxn>
                                    <a:cxn ang="0">
                                      <a:pos x="330200" y="0"/>
                                    </a:cxn>
                                  </a:cxnLst>
                                  <a:pathLst>
                                    <a:path w="520" h="224">
                                      <a:moveTo>
                                        <a:pt x="0" y="224"/>
                                      </a:moveTo>
                                      <a:cubicBezTo>
                                        <a:pt x="94" y="136"/>
                                        <a:pt x="188" y="49"/>
                                        <a:pt x="255" y="30"/>
                                      </a:cubicBezTo>
                                      <a:cubicBezTo>
                                        <a:pt x="322" y="11"/>
                                        <a:pt x="356" y="113"/>
                                        <a:pt x="400" y="108"/>
                                      </a:cubicBezTo>
                                      <a:cubicBezTo>
                                        <a:pt x="444" y="103"/>
                                        <a:pt x="500" y="18"/>
                                        <a:pt x="520" y="0"/>
                                      </a:cubicBezTo>
                                    </a:path>
                                  </a:pathLst>
                                </a:custGeom>
                                <a:noFill/>
                                <a:ln w="9525" cap="flat" cmpd="sng">
                                  <a:solidFill>
                                    <a:srgbClr val="000000"/>
                                  </a:solidFill>
                                  <a:prstDash val="solid"/>
                                  <a:headEnd type="none" w="med" len="med"/>
                                  <a:tailEnd type="none" w="med" len="med"/>
                                </a:ln>
                              </wps:spPr>
                              <wps:bodyPr wrap="square" anchor="t" anchorCtr="0" upright="1"/>
                            </wps:wsp>
                            <wps:wsp>
                              <wps:cNvPr id="29" name="矩形 1455"/>
                              <wps:cNvSpPr/>
                              <wps:spPr>
                                <a:xfrm>
                                  <a:off x="1906219" y="1215338"/>
                                  <a:ext cx="868709" cy="287109"/>
                                </a:xfrm>
                                <a:prstGeom prst="rect">
                                  <a:avLst/>
                                </a:prstGeom>
                                <a:noFill/>
                                <a:ln>
                                  <a:noFill/>
                                </a:ln>
                              </wps:spPr>
                              <wps:txbx>
                                <w:txbxContent>
                                  <w:p>
                                    <w:pPr>
                                      <w:jc w:val="center"/>
                                    </w:pPr>
                                    <w:r>
                                      <w:rPr>
                                        <w:rFonts w:hint="eastAsia"/>
                                      </w:rPr>
                                      <w:t>损耗</w:t>
                                    </w:r>
                                    <w:r>
                                      <w:t>3.28</w:t>
                                    </w:r>
                                  </w:p>
                                </w:txbxContent>
                              </wps:txbx>
                              <wps:bodyPr wrap="square" anchor="t" anchorCtr="0" upright="1"/>
                            </wps:wsp>
                            <wps:wsp>
                              <wps:cNvPr id="30" name="自选图形 1439"/>
                              <wps:cNvCnPr/>
                              <wps:spPr>
                                <a:xfrm flipV="1">
                                  <a:off x="3868439" y="777224"/>
                                  <a:ext cx="378404" cy="600"/>
                                </a:xfrm>
                                <a:prstGeom prst="straightConnector1">
                                  <a:avLst/>
                                </a:prstGeom>
                                <a:ln w="9525" cap="flat" cmpd="sng">
                                  <a:solidFill>
                                    <a:srgbClr val="000000"/>
                                  </a:solidFill>
                                  <a:prstDash val="solid"/>
                                  <a:headEnd type="none" w="med" len="med"/>
                                  <a:tailEnd type="triangle" w="med" len="med"/>
                                </a:ln>
                              </wps:spPr>
                              <wps:bodyPr/>
                            </wps:wsp>
                            <wps:wsp>
                              <wps:cNvPr id="31" name="矩形 1427"/>
                              <wps:cNvSpPr/>
                              <wps:spPr>
                                <a:xfrm>
                                  <a:off x="3791038" y="531416"/>
                                  <a:ext cx="582906" cy="287109"/>
                                </a:xfrm>
                                <a:prstGeom prst="rect">
                                  <a:avLst/>
                                </a:prstGeom>
                                <a:noFill/>
                                <a:ln>
                                  <a:noFill/>
                                </a:ln>
                              </wps:spPr>
                              <wps:txbx>
                                <w:txbxContent>
                                  <w:p>
                                    <w:pPr>
                                      <w:jc w:val="center"/>
                                    </w:pPr>
                                    <w:r>
                                      <w:t>2.83</w:t>
                                    </w:r>
                                  </w:p>
                                </w:txbxContent>
                              </wps:txbx>
                              <wps:bodyPr wrap="square" anchor="t" anchorCtr="0" upright="1"/>
                            </wps:wsp>
                            <wps:wsp>
                              <wps:cNvPr id="32" name="自选图形 154"/>
                              <wps:cNvCnPr/>
                              <wps:spPr>
                                <a:xfrm>
                                  <a:off x="3866539" y="464214"/>
                                  <a:ext cx="8200" cy="637520"/>
                                </a:xfrm>
                                <a:prstGeom prst="straightConnector1">
                                  <a:avLst/>
                                </a:prstGeom>
                                <a:ln w="9525" cap="flat" cmpd="sng">
                                  <a:solidFill>
                                    <a:srgbClr val="000000"/>
                                  </a:solidFill>
                                  <a:prstDash val="solid"/>
                                  <a:headEnd type="none" w="med" len="med"/>
                                  <a:tailEnd type="none" w="med" len="med"/>
                                </a:ln>
                              </wps:spPr>
                              <wps:bodyPr/>
                            </wps:wsp>
                          </wpc:wpc>
                        </a:graphicData>
                      </a:graphic>
                    </wp:inline>
                  </w:drawing>
                </mc:Choice>
                <mc:Fallback>
                  <w:pict>
                    <v:group id="画布 32" o:spid="_x0000_s1026" o:spt="203" style="height:178.1pt;width:393.5pt;" coordsize="4997450,2261870" editas="canvas" o:gfxdata="UEsDBAoAAAAAAIdO4kAAAAAAAAAAAAAAAAAEAAAAZHJzL1BLAwQUAAAACACHTuJAV+a4v9YAAAAF&#10;AQAADwAAAGRycy9kb3ducmV2LnhtbE2PQUvDQBCF74L/YRnBi9hNK7YlZtJDQSwiFFPteZsdk2B2&#10;Ns1uk/rvHb3o5cHjDe99k63OrlUD9aHxjDCdJKCIS28brhDedo+3S1AhGram9UwIXxRglV9eZCa1&#10;fuRXGopYKSnhkBqEOsYu1TqUNTkTJr4jluzD985EsX2lbW9GKXetniXJXDvTsCzUpqN1TeVncXII&#10;Y7kd9ruXJ7292W88HzfHdfH+jHh9NU0eQEU6x79j+MEXdMiF6eBPbINqEeSR+KuSLZYLsQeEu/v5&#10;DHSe6f/0+TdQSwMEFAAAAAgAh07iQFEX3rxZCAAAFkgAAA4AAABkcnMvZTJvRG9jLnhtbO1cT4/b&#10;RBS/I/EdLN/ZeGb8Zxw1W4ndthwQVGrh7nWcxFJiG9u72XJCAglx4sIJDkiIC3wCUEU/DUvLt+A3&#10;M/6TOM7G2S5bpfUeshN7PJ558+bN+/3em9y7f7mYaxdBmoVxNNLJkaFrQeTH4zCajvTPnj78gOta&#10;lnvR2JvHUTDSnwWZfv/4/ffuLZNhQONZPB8HqYZGomy4TEb6LM+T4WCQ+bNg4WVHcRJEuDmJ04WX&#10;42s6HYxTb4nWF/MBNQx7sIzTcZLGfpBluHqqbupFi2mXBuPJJPSD09g/XwRRrlpNg7mXY0jZLEwy&#10;/Vj2djIJ/PzTySQLcm0+0jHSXH7iJSific/B8T1vOE29ZBb6RRe8Ll1ojGnhhRFeWjV16uWedp6G&#10;G00tQj+Ns3iSH/nxYqAGIiWCURCjIZtHaXyeyLFMh8tpUgkdE9WQ+o2b9T+5eJxq4XikM6ZrkbfA&#10;jL/84fnVH19rjArpLJPpEJUepcmT5HFaXJiqb2LAl5N0If5jKNqllOuzSq7BZa75uGi6rmNaELmP&#10;e5TahDuF5P0ZpmfjOX/2YMeTg/LFA9G/qjvLBDqZ1YLKXk9QT2ZeEkj5Z0IGpaAqOf3829Vfv2jE&#10;NGwlKVmrElM2zCCxFhkRZjNGTF2DNBjhhBTCKMXlWJZtYBVKaXHODFc0Xw3ZGyZplj8K4oUmCiM9&#10;hZZL5fMuPs5yVbWsIl6fxfNw/DCcz+WXdHp2Mk+1Cw8r4qH8K1pfqzaPtOVIdy1qoR8elvkEywvF&#10;RQJVyaKpfN/aE9lqw4b8a2tYdOzUy2aqA7IFUc0bLsI8SGVpFnjjB9FYy58l0MYIVkgXnVkEY12b&#10;BzBaoiRr5l4471ITsptHEKHQDzUpopRfnl2iGVE8i8fPML1LGAIM74tzL8U7vcifxbAVGLcqnuTK&#10;cpwnaTidQfJEjrDQOtXS/65+0JtimVbq54huiF5ASXerH7W47VJ7q/rZJhca3atfr34t1g/2oKl+&#10;/Mbq59rMZQ3r5xqcwOKV6uf21q+3fvXmC7vUUD+1e3a2fqubr+sws6l+jmWzfvPtN99238/ZVD/p&#10;A+yhfo5T+n7EsgxstsqV6Z2/tHf+VnBxu/4BFTTNH9tr9wUIA+pwbXvD8Nmm4/RuX2/42hUPDplS&#10;vFff/v7vV99d/fRCQV/A2Bp7nEQFQ1CirBKlV/SAa8LmoS3ooGkzSz3tDUvjZxKHGwA4AvnahnQM&#10;t8PeLE89AcNO4igCAo5Tch0IvntAe1MYm6ehF03nW0BvO5RV+BUzISEuMOgdgVE4XxsGaT80yi3C&#10;C43gjmNS+XStERanbm2VHON10UAUCyJE7jSCEfCG1YV2wR4mR0BIOS3N5bqK1TosV+bQa5arWKJy&#10;rRKKtcxk2+/eet1OULWr1Btbq7RUir+fP//nm++vfv3x1Ys/CzMuKcbuXqzDXJfAGYadJo7FDWvd&#10;iWXMoAb4ZGHHiUkZbLqwTfV24J8rBlOswJK1BHk+Vvwlrs3Kkn8ZoSjqoQQeDty3Ie18Emc1cYyX&#10;ULPcL1Bxe31iE1eQmqJnrgFSWnXs2meoZYLPlM/YHKPt8owUgXpmrT6EUA8p8XIxUNFbURQsp0Xx&#10;0EzQ5KYc5iK+CJ7GskZej1fcVR2v7/vnZ6H/YfDlam0Xm6kYKZMMNd4i2yAcfiQum3LWy6vUUmJR&#10;iFj0c63B9W+qIUahU6J9CYLKhpilyEVCpG9aXoYMVWXA60LoO19gmsUAoE14pmzKKpsqwJPqjRQd&#10;elPJe6V5DEdIWCphJXU5xloRq61AsMV3TX/f1Fu4mfU5CKYb6tN0LrA4oAad7RS3XMEfChWlzLaM&#10;3rnYK1DYDgVE5KoVC8AY1JOz27mghHCXwlMRlsim7gYYsLmBjaUHAwcDBjBZDXaC7sdOUMMiRqES&#10;FABR7RRb0YCIE6idpIxCl2HPjpHRNYsvtpfqAraGtyZiSCrSvIEGlBNRWNPdC9at0QBB0Npm0gep&#10;Z6dH7whXHxR6r+jsTUQAH7k25ruDygRAkReIgDOCJA/xeK0bDURAe0Qg4JBEHer/CgxYKfaIoIlo&#10;ekRw22kwB5T7QjbjH8rQdEYEwPw2JQoS2JbDFaCo7RS3kZuG2yr3qucbmymJWyABJNb0/PajgRmC&#10;oS4yDiVUwxrf4fn1PHAjVbR9XgSX1A7V9uOBV6EaPD/D3HD9eqx2WK6fAFntmrHKBO+HCWzX5VbB&#10;07VF9GBNr4drfUSvTk59U1ECwei2KoZa8teDRW0yD5OPwAdL6rpICS8TCyRPbLhu03ZQ7lplsOCd&#10;VZGb0biC/BAzcncBXxA6W9Rjdb/fbTcYZeB31H7fRv6VStNnAhxIJgC4pC2K0WFDkXbj84bdYCbn&#10;BitCdQSnY5qGgzncKrNF3lnDcUh8k4i7NmCCuV/6pEktRk3YIGwmFo7JgHFao5lsxBEQ5ZHwzbQR&#10;6y3DpDckiLefcOmPzhT04AHRB+LQS1P/9ju6tZK/RkzOsIet65+J81ylSaJgEvoAxfppzy0wteKh&#10;X5ZnmlRadGdaB3wyDIPKL+Agdfo0sqNbiPTSim7bjA9Y0rJ2nqDV+AAyxbgDI75mufsAAU7gImtK&#10;6XAJlPsAgdzqSZ8y1HJitk8ZAs1QWKDibDbdJKKR1VZ4Kp1Ox64GCAglFlNprVsjBH0OQicmGkmF&#10;tw0PEaoxmYrkOI5TZETW8wR0aJauWH+WoPUAfXuSy5tiHllFSVdeoHLjOjsZzHHBEqjcVgun7JD4&#10;suZjNA4T9Eu329LdwgiveYAdGD9u21axXk3bpM10P3jtsBGS72OOSOXF1EFBtwD3tzVUcAs8sPxJ&#10;FPxcjBRf8dM24vdoVr9L3rj+OZ/j/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CgAAW0NvbnRlbnRfVHlwZXNdLnhtbFBLAQIUAAoAAAAAAIdO&#10;4kAAAAAAAAAAAAAAAAAGAAAAAAAAAAAAEAAAAKoJAABfcmVscy9QSwECFAAUAAAACACHTuJAihRm&#10;PNEAAACUAQAACwAAAAAAAAABACAAAADOCQAAX3JlbHMvLnJlbHNQSwECFAAKAAAAAACHTuJAAAAA&#10;AAAAAAAAAAAABAAAAAAAAAAAABAAAAAAAAAAZHJzL1BLAQIUABQAAAAIAIdO4kBX5ri/1gAAAAUB&#10;AAAPAAAAAAAAAAEAIAAAACIAAABkcnMvZG93bnJldi54bWxQSwECFAAUAAAACACHTuJAURfevFkI&#10;AAAWSAAADgAAAAAAAAABACAAAAAlAQAAZHJzL2Uyb0RvYy54bWxQSwUGAAAAAAYABgBZAQAA8AsA&#10;AAAA&#10;">
                      <o:lock v:ext="edit" aspectratio="f"/>
                      <v:rect id="画布 32" o:spid="_x0000_s1026" o:spt="1" style="position:absolute;left:0;top:0;height:2261870;width:4997450;" filled="f" stroked="f" coordsize="21600,21600" o:gfxdata="UEsDBAoAAAAAAIdO4kAAAAAAAAAAAAAAAAAEAAAAZHJzL1BLAwQUAAAACACHTuJAV+a4v9YAAAAF&#10;AQAADwAAAGRycy9kb3ducmV2LnhtbE2PQUvDQBCF74L/YRnBi9hNK7YlZtJDQSwiFFPteZsdk2B2&#10;Ns1uk/rvHb3o5cHjDe99k63OrlUD9aHxjDCdJKCIS28brhDedo+3S1AhGram9UwIXxRglV9eZCa1&#10;fuRXGopYKSnhkBqEOsYu1TqUNTkTJr4jluzD985EsX2lbW9GKXetniXJXDvTsCzUpqN1TeVncXII&#10;Y7kd9ruXJ7292W88HzfHdfH+jHh9NU0eQEU6x79j+MEXdMiF6eBPbINqEeSR+KuSLZYLsQeEu/v5&#10;DHSe6f/0+TdQSwMEFAAAAAgAh07iQAxEB5wOCAAAkUcAAA4AAABkcnMvZTJvRG9jLnhtbO1cy47j&#10;RBTdI/EPlvd0XFV+lKNJj0Q3AwsEI83A3u04iaXENrb7MaxYICFW7GGBhNjAH6AR8zUMDH/BqSo7&#10;fsTudnqaHsK4F52KXb6ux61b95x7Kw8eXm3W2kWQZmEczXRyZOhaEPnxPIyWM/2zp4/e47qW5V40&#10;99ZxFMz0Z0GmPzx+950Hl8k0oPEqXs+DVIOQKJteJjN9lefJdDLJ/FWw8bKjOAki3FzE6cbL8TVd&#10;Tuapdwnpm/WEGoY9uYzTeZLGfpBluHqqbuqFxHSIwHixCP3gNPbPN0GUK6lpsPZydClbhUmmH8vW&#10;LhaBn3+6WGRBrq1nOnqay/94Ccpn4v/k+IE3XaZesgr9ognekCa0+rTxwggv3Yo69XJPO0/DHVGb&#10;0E/jLF7kR368maiOyBFBL4jRGpsTL7rwVGd8jHXZQJTuUO7ZUrQ7ih+F6zVGYwLpU3FNfF5itgNx&#10;ex01K6krsm5R5zKBOmTJVjGy12vik5WXBHIas6n/ycXjVAvnM53pWuRtoJR//fjLy99/0ohp2GIK&#10;xctR60nyOC2+ZSiKJl8t0o34xEhrV1B3ZjNGTF17BmGEE1JoQHCVaz7uO5ZlG1gAPu5TzpnhCvGT&#10;Sk6SZvmHQbzRRGGmp1AwOe/excdZrqqWVcRrs3gdzsXIyi/p8uxknWoXHpTxkfwrpDeqrSPtcqa7&#10;FrXQDg8rbAHNRnGTYASyaCnf13giqws25F+XYNGwUy9bqQZICaKaN92EeZDK0irw5h9Ecy1/lmCU&#10;IxgAXTRmE8x1bR3AXoiSrJl74XpITYydUB6oSjZVkyJK+dXZFcSI4lk8f4bpvcQaRPe+OPdSvNOL&#10;/FWMZYp+q+JJrhbteZKGyxVGnsgeCgHQOiXpX1c/6E1b/RzRDNGKQepHLW671O5VP9vkQqNH9RvV&#10;r8P6wR601Y/fWv1cm7msZf1cgxNYvFL93NH6jdav2nxhl1rqp3bPwdavvvm6DjPb6udYNhs333Hz&#10;7fb9nF31kz7AHurnOKXvRyzLwGarXJnR+UtH568GSbv1D6igbf7YXrsvICdQhWvbO4bPNh1ndPtG&#10;w9eteHDIlOK9+ubXv7/69uUPLxT0BYytsMdJdBP0dU3YPMiCDpo2s9TT3rQ0fiZxuAGAI5CvbUjH&#10;sB/2ZnnqCRh2EkcREHCckutA8P0D2tvC2DwNvWi57gG93VBW4VfMhIS49wdG4XztGKT90Ci3CC80&#10;gjuOSeXTlUZYnLqVVXKM10UDW4rpGjrp8DkCQsppaS/XOlYbsFyZQ69ZrmKJyrVKKNYyk7LfvvXa&#10;T1D9x9YqLZXij+fP//z6u5c/f//qxW+FGZcU43Av1mGuS+AMw04Tx+KG1XRiGTOoAZ5U2HFiUgab&#10;LmxTxWD654rBFMRfyVqCt54r/hLXVmXJv4pQFPVQAg+H+IAh7XwSZ4JMVQ4NXkLNcr9Axf76xCau&#10;IDVFy1zDGvQMtUzwmfIZm6O3RWeufY8cAvVMoz4GoepS4uWio6K1oihYTovioRWIX2rKbm7ii+Bp&#10;LGvkVX/FXTWi1X3//Cz03w++rNd2sZmKnjLJUOMtUgbh8CNx2ZSzXl6llhoWhYhFOxsCm9+UIEah&#10;U0K+BEGlIGYpcpEQ6ZuWlzGGqjLgtWp7U2Tzm3qBaRYdgDbhmVKUVYoqwJOqLIcOrdmOd6396I4Y&#10;YamE21GXfawUsbE33Df9fVtv4XbW5yCYbqhP27nA4oAaDLZT3HIFfyhUlDLbMkbnYq/QXzcUEJGr&#10;TiwAY1BNzs3OBSWEuxSeirBENnV3wIDNDWwsIxg4GDCAyWqxE3Q/doIaFjEKlaAAiGqn6EUDIk6g&#10;dpIywlqGPQdGRhsWX2wv2wvYGv43EUOyJc1baIDuCd4rNEAQtLaZfLyanRG9I1x9UOh9S2fvIgL4&#10;yJUxH5DTAKDIC0TAGaGIL+PxSjdaiICOiEDAIYkg1GcNBtSKIyJoI5oREdx1GswB5b6Q3fiHMjSD&#10;EQEwv02JggS25XAFKCo7xW3uCMSgcq9GvrGdDdgDCTBibc9vPxqYIRjqMsUmUKzxGzy/kQduZWl2&#10;z4vgkrqh2n48cB2qwfMzzB3Xb8Rqh+X6CZDVrRl1JvhmEO/WMIHtutwqeLquiB6s6fVwbYzoVcmp&#10;byqiJxjdTsVQS77YaHsUQ1usw+Qj8MGSui7SncvEAskTG67bth2Uu1YZLHhrVeR2NK4gP8SM3F/A&#10;F4ROj3rU9/se9RCAsFAKRhn4HbXfd5F/pdKMmQAHkgkALqlHMQZsKNJufN6yG8zk3GBFqI7gYErb&#10;cDCHW2W2yFtrOA6JbxJx1xZMMPdLnzSpxagJG4TNxMIxGTBODZrJRhwBUR4J30wbsd4yTHpLgrj/&#10;hMt4dKagBw+IPhCHXtr6t9/RrVr+GjE5wx7W1D8T57lKk0TBJIwBiuZByx6YuuWht0fqVFr0YFoH&#10;fDIMg8ov4CB1xjSyozuI9NIt3bYbH7DqsaP94gPIFOMOjHjDco8BAn1MGUIiUSPPZ0wZEilPfSdm&#10;x5Qh0AzFFlGczaa7RDSy2gpPZdDp2HqAgFBiMZXW2hshGHMQBjHRSCq8a3iIUI3JVCTHcZwiI7Ka&#10;J6BDs3TFxrMEnQfou5Nc3hTzyLaU9NYLVG7cYC+QOS5YApXbauGUHRJfGj5G6zDBuHSHLd0eRrjh&#10;AQ5g/LhtW8V6NW2TttP94LXDRki+jzkilRdTBwXtAe7/11DBHfDA6gdREl8OX/GrMuKnYOrfJW9c&#10;/ZLO8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BX5ri/1gAAAAUBAAAPAAAAAAAAAAEAIAAAACIA&#10;AABkcnMvZG93bnJldi54bWxQSwECFAAUAAAACACHTuJADEQHnA4IAACRRwAADgAAAAAAAAABACAA&#10;AAAlAQAAZHJzL2Uyb0RvYy54bWxQSwUGAAAAAAYABgBZAQAApQsAAAAA&#10;">
                        <v:fill on="f" focussize="0,0"/>
                        <v:stroke on="f"/>
                        <v:imagedata o:title=""/>
                        <o:lock v:ext="edit" aspectratio="t"/>
                      </v:rect>
                      <v:rect id="矩形 1406" o:spid="_x0000_s1026" o:spt="1" style="position:absolute;left:1363313;top:318109;height:288308;width:75560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fill on="t" focussize="0,0"/>
                        <v:stroke color="#000000" joinstyle="miter"/>
                        <v:imagedata o:title=""/>
                        <o:lock v:ext="edit" aspectratio="f"/>
                        <v:textbox>
                          <w:txbxContent>
                            <w:p>
                              <w:pPr>
                                <w:jc w:val="center"/>
                              </w:pPr>
                              <w:r>
                                <w:rPr>
                                  <w:rFonts w:hint="eastAsia"/>
                                </w:rPr>
                                <w:t>生活</w:t>
                              </w:r>
                              <w:r>
                                <w:t>用水</w:t>
                              </w:r>
                            </w:p>
                          </w:txbxContent>
                        </v:textbox>
                      </v:rect>
                      <v:rect id="矩形 1407" o:spid="_x0000_s1026" o:spt="1" style="position:absolute;left:2586925;top:318109;height:288308;width:64840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fill on="t" focussize="0,0"/>
                        <v:stroke color="#000000" joinstyle="miter"/>
                        <v:imagedata o:title=""/>
                        <o:lock v:ext="edit" aspectratio="f"/>
                        <v:textbox>
                          <w:txbxContent>
                            <w:p>
                              <w:pPr>
                                <w:jc w:val="center"/>
                              </w:pPr>
                              <w:r>
                                <w:rPr>
                                  <w:rFonts w:hint="eastAsia"/>
                                </w:rPr>
                                <w:t>化粪池</w:t>
                              </w:r>
                            </w:p>
                          </w:txbxContent>
                        </v:textbox>
                      </v:rect>
                      <v:rect id="矩形 1408" o:spid="_x0000_s1026" o:spt="1" style="position:absolute;left:2586925;top:963929;height:288908;width:90810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fill on="t" focussize="0,0"/>
                        <v:stroke color="#000000" joinstyle="miter"/>
                        <v:imagedata o:title=""/>
                        <o:lock v:ext="edit" aspectratio="f"/>
                        <v:textbox>
                          <w:txbxContent>
                            <w:p>
                              <w:pPr>
                                <w:jc w:val="center"/>
                              </w:pPr>
                              <w:r>
                                <w:rPr>
                                  <w:rFonts w:hint="eastAsia"/>
                                </w:rPr>
                                <w:t>隔油沉淀池</w:t>
                              </w:r>
                            </w:p>
                          </w:txbxContent>
                        </v:textbox>
                      </v:rect>
                      <v:rect id="矩形 1410" o:spid="_x0000_s1026" o:spt="1" style="position:absolute;left:1363313;top:973430;height:288308;width:75630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fill on="t" focussize="0,0"/>
                        <v:stroke color="#000000" joinstyle="miter"/>
                        <v:imagedata o:title=""/>
                        <o:lock v:ext="edit" aspectratio="f"/>
                        <v:textbox>
                          <w:txbxContent>
                            <w:p>
                              <w:pPr>
                                <w:jc w:val="center"/>
                              </w:pPr>
                              <w:r>
                                <w:rPr>
                                  <w:rFonts w:hint="eastAsia"/>
                                </w:rPr>
                                <w:t>冲洗</w:t>
                              </w:r>
                              <w:r>
                                <w:t>用水</w:t>
                              </w:r>
                            </w:p>
                          </w:txbxContent>
                        </v:textbox>
                      </v:rect>
                      <v:rect id="矩形 1411" o:spid="_x0000_s1026" o:spt="1" style="position:absolute;left:1377313;top:1550647;height:288308;width:75560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fill on="t" focussize="0,0"/>
                        <v:stroke color="#000000" joinstyle="miter"/>
                        <v:imagedata o:title=""/>
                        <o:lock v:ext="edit" aspectratio="f"/>
                        <v:textbox>
                          <w:txbxContent>
                            <w:p>
                              <w:pPr>
                                <w:jc w:val="center"/>
                              </w:pPr>
                              <w:r>
                                <w:rPr>
                                  <w:rFonts w:hint="eastAsia"/>
                                </w:rPr>
                                <w:t>绿化用水</w:t>
                              </w:r>
                            </w:p>
                          </w:txbxContent>
                        </v:textbox>
                      </v:rect>
                      <v:rect id="矩形 1413" o:spid="_x0000_s1026" o:spt="1" style="position:absolute;left:0;top:966429;height:288308;width:64770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fill on="t" focussize="0,0"/>
                        <v:stroke color="#000000" joinstyle="miter"/>
                        <v:imagedata o:title=""/>
                        <o:lock v:ext="edit" aspectratio="f"/>
                        <v:textbox>
                          <w:txbxContent>
                            <w:p>
                              <w:pPr>
                                <w:jc w:val="center"/>
                              </w:pPr>
                              <w:r>
                                <w:rPr>
                                  <w:rFonts w:hint="eastAsia"/>
                                </w:rPr>
                                <w:t>自来水</w:t>
                              </w:r>
                            </w:p>
                          </w:txbxContent>
                        </v:textbox>
                      </v:rect>
                      <v:shape id="自选图形 1414" o:spid="_x0000_s1026" o:spt="32" type="#_x0000_t32" style="position:absolute;left:945509;top:463514;height:600;width:4178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fill on="f" focussize="0,0"/>
                        <v:stroke color="#000000" joinstyle="round" endarrow="block"/>
                        <v:imagedata o:title=""/>
                        <o:lock v:ext="edit" aspectratio="f"/>
                      </v:shape>
                      <v:rect id="矩形 1417" o:spid="_x0000_s1026" o:spt="1" style="position:absolute;left:851808;top:877427;height:2870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v:fill on="f" focussize="0,0"/>
                        <v:stroke on="f"/>
                        <v:imagedata o:title=""/>
                        <o:lock v:ext="edit" aspectratio="f"/>
                        <v:textbox>
                          <w:txbxContent>
                            <w:p>
                              <w:pPr>
                                <w:jc w:val="center"/>
                              </w:pPr>
                              <w:r>
                                <w:t>0.44</w:t>
                              </w:r>
                            </w:p>
                          </w:txbxContent>
                        </v:textbox>
                      </v:rect>
                      <v:shape id="自选图形 1418" o:spid="_x0000_s1026" o:spt="32" type="#_x0000_t32" style="position:absolute;left:937209;top:463514;height:1235138;width:60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fill on="f" focussize="0,0"/>
                        <v:stroke color="#000000" joinstyle="round"/>
                        <v:imagedata o:title=""/>
                        <o:lock v:ext="edit" aspectratio="f"/>
                      </v:shape>
                      <v:shape id="任意多边形 1419" o:spid="_x0000_s1026" o:spt="100" style="position:absolute;left:1739917;top:175805;height:142304;width:330203;" filled="f" stroked="t" coordsize="5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6rxAAAANsAAAAPAAAAZHJzL2Rvd25yZXYueG1sRE9Na8JA&#10;EL0X+h+WKfRSdGMPGqOrSKGt4sEaBa9DdpqEZmfT7NYk/npXEHqbx/uc+bIzlThT40rLCkbDCARx&#10;ZnXJuYLj4X0Qg3AeWWNlmRT05GC5eHyYY6Jty3s6pz4XIYRdggoK7+tESpcVZNANbU0cuG/bGPQB&#10;NrnUDbYh3FTyNYrG0mDJoaHAmt4Kyn7SP6PgUn1MTy96N93qySr++t30n5c4Ver5qVvNQHjq/L/4&#10;7l7rMH8Et1/CAXJxBQAA//8DAFBLAQItABQABgAIAAAAIQDb4fbL7gAAAIUBAAATAAAAAAAAAAAA&#10;AAAAAAAAAABbQ29udGVudF9UeXBlc10ueG1sUEsBAi0AFAAGAAgAAAAhAFr0LFu/AAAAFQEAAAsA&#10;AAAAAAAAAAAAAAAAHwEAAF9yZWxzLy5yZWxzUEsBAi0AFAAGAAgAAAAhAIxKnqvEAAAA2wAAAA8A&#10;AAAAAAAAAAAAAAAABwIAAGRycy9kb3ducmV2LnhtbFBLBQYAAAAAAwADALcAAAD4AgAAAAA=&#10;" path="m0,224c94,136,188,49,255,30c322,11,356,113,400,108c444,103,500,18,520,0e">
                        <v:path o:connecttype="custom" o:connectlocs="0,142240;161925,19050;254000,68580;330200,0" o:connectangles="0,0,0,0"/>
                        <v:fill on="f" focussize="0,0"/>
                        <v:stroke color="#000000" joinstyle="round"/>
                        <v:imagedata o:title=""/>
                        <o:lock v:ext="edit" aspectratio="f"/>
                      </v:shape>
                      <v:rect id="矩形 1420" o:spid="_x0000_s1026" o:spt="1" style="position:absolute;left:859908;top:236507;height:2870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v:fill on="f" focussize="0,0"/>
                        <v:stroke on="f"/>
                        <v:imagedata o:title=""/>
                        <o:lock v:ext="edit" aspectratio="f"/>
                        <v:textbox>
                          <w:txbxContent>
                            <w:p>
                              <w:pPr>
                                <w:jc w:val="center"/>
                              </w:pPr>
                              <w:r>
                                <w:t>3.1</w:t>
                              </w:r>
                            </w:p>
                          </w:txbxContent>
                        </v:textbox>
                      </v:rect>
                      <v:shape id="自选图形 1422" o:spid="_x0000_s1026" o:spt="32" type="#_x0000_t32" style="position:absolute;left:2118921;top:462914;height:600;width:4680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fill on="f" focussize="0,0"/>
                        <v:stroke color="#000000" joinstyle="round" endarrow="block"/>
                        <v:imagedata o:title=""/>
                        <o:lock v:ext="edit" aspectratio="f"/>
                      </v:shape>
                      <v:rect id="矩形 1423" o:spid="_x0000_s1026" o:spt="1" style="position:absolute;left:2051020;top:246307;height:2871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v:fill on="f" focussize="0,0"/>
                        <v:stroke on="f"/>
                        <v:imagedata o:title=""/>
                        <o:lock v:ext="edit" aspectratio="f"/>
                        <v:textbox>
                          <w:txbxContent>
                            <w:p>
                              <w:pPr>
                                <w:jc w:val="center"/>
                              </w:pPr>
                              <w:r>
                                <w:t>2.48</w:t>
                              </w:r>
                            </w:p>
                          </w:txbxContent>
                        </v:textbox>
                      </v:rect>
                      <v:shape id="自选图形 1424" o:spid="_x0000_s1026" o:spt="32" type="#_x0000_t32" style="position:absolute;left:937209;top:1110634;height:600;width:4178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fill on="f" focussize="0,0"/>
                        <v:stroke color="#000000" joinstyle="round" endarrow="block"/>
                        <v:imagedata o:title=""/>
                        <o:lock v:ext="edit" aspectratio="f"/>
                      </v:shape>
                      <v:shape id="任意多边形 1425" o:spid="_x0000_s1026" o:spt="100" style="position:absolute;left:1720817;top:831225;height:142204;width:330203;" filled="f" stroked="t" coordsize="5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bfwwAAANsAAAAPAAAAZHJzL2Rvd25yZXYueG1sRE9Na8JA&#10;EL0L/odlBC9SN/ZgY+oqIrRaPGij0OuQHZNgdjbNrhr99V2h4G0e73Om89ZU4kKNKy0rGA0jEMSZ&#10;1SXnCg77j5cYhPPIGivLpOBGDuazbmeKibZX/qZL6nMRQtglqKDwvk6kdFlBBt3Q1sSBO9rGoA+w&#10;yaVu8BrCTSVfo2gsDZYcGgqsaVlQdkrPRsG9+pz8DPR2stFvi3j3+3Vb3eNUqX6vXbyD8NT6p/jf&#10;vdZh/hgev4QD5OwPAAD//wMAUEsBAi0AFAAGAAgAAAAhANvh9svuAAAAhQEAABMAAAAAAAAAAAAA&#10;AAAAAAAAAFtDb250ZW50X1R5cGVzXS54bWxQSwECLQAUAAYACAAAACEAWvQsW78AAAAVAQAACwAA&#10;AAAAAAAAAAAAAAAfAQAAX3JlbHMvLnJlbHNQSwECLQAUAAYACAAAACEAA6MG38MAAADbAAAADwAA&#10;AAAAAAAAAAAAAAAHAgAAZHJzL2Rvd25yZXYueG1sUEsFBgAAAAADAAMAtwAAAPcCAAAAAA==&#10;" path="m0,224c94,136,188,49,255,30c322,11,356,113,400,108c444,103,500,18,520,0e">
                        <v:path o:connecttype="custom" o:connectlocs="0,142240;161925,19050;254000,68580;330200,0" o:connectangles="0,0,0,0"/>
                        <v:fill on="f" focussize="0,0"/>
                        <v:stroke color="#000000" joinstyle="round"/>
                        <v:imagedata o:title=""/>
                        <o:lock v:ext="edit" aspectratio="f"/>
                      </v:shape>
                      <v:rect id="矩形 1426" o:spid="_x0000_s1026" o:spt="1" style="position:absolute;left:1906219;top:657820;height:287008;width:86870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v:fill on="f" focussize="0,0"/>
                        <v:stroke on="f"/>
                        <v:imagedata o:title=""/>
                        <o:lock v:ext="edit" aspectratio="f"/>
                        <v:textbox>
                          <w:txbxContent>
                            <w:p>
                              <w:pPr>
                                <w:jc w:val="center"/>
                              </w:pPr>
                              <w:r>
                                <w:rPr>
                                  <w:rFonts w:hint="eastAsia"/>
                                </w:rPr>
                                <w:t>损耗</w:t>
                              </w:r>
                              <w:r>
                                <w:t>0.09</w:t>
                              </w:r>
                            </w:p>
                          </w:txbxContent>
                        </v:textbox>
                      </v:rect>
                      <v:rect id="矩形 1427" o:spid="_x0000_s1026" o:spt="1" style="position:absolute;left:3155931;top:244407;height:2870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v:fill on="f" focussize="0,0"/>
                        <v:stroke on="f"/>
                        <v:imagedata o:title=""/>
                        <o:lock v:ext="edit" aspectratio="f"/>
                        <v:textbox>
                          <w:txbxContent>
                            <w:p/>
                          </w:txbxContent>
                        </v:textbox>
                      </v:rect>
                      <v:shape id="自选图形 1428" o:spid="_x0000_s1026" o:spt="32" type="#_x0000_t32" style="position:absolute;left:2118921;top:1100434;height:600;width:4680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fill on="f" focussize="0,0"/>
                        <v:stroke color="#000000" joinstyle="round" endarrow="block"/>
                        <v:imagedata o:title=""/>
                        <o:lock v:ext="edit" aspectratio="f"/>
                      </v:shape>
                      <v:shape id="自选图形 1429" o:spid="_x0000_s1026" o:spt="32" type="#_x0000_t32" style="position:absolute;left:937209;top:1699852;height:700;width:4178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fill on="f" focussize="0,0"/>
                        <v:stroke color="#000000" joinstyle="round" endarrow="block"/>
                        <v:imagedata o:title=""/>
                        <o:lock v:ext="edit" aspectratio="f"/>
                      </v:shape>
                      <v:shape id="自选图形 1434" o:spid="_x0000_s1026" o:spt="32" type="#_x0000_t32" style="position:absolute;left:647706;top:1109934;flip:x;height:700;width:28950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fill on="f" focussize="0,0"/>
                        <v:stroke color="#000000" joinstyle="round"/>
                        <v:imagedata o:title=""/>
                        <o:lock v:ext="edit" aspectratio="f"/>
                      </v:shape>
                      <v:shape id="自选图形 1437" o:spid="_x0000_s1026" o:spt="32" type="#_x0000_t32" style="position:absolute;left:3234632;top:462914;height:600;width:64770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fill on="f" focussize="0,0"/>
                        <v:stroke color="#000000" joinstyle="round" endarrow="block"/>
                        <v:imagedata o:title=""/>
                        <o:lock v:ext="edit" aspectratio="f"/>
                      </v:shape>
                      <v:shape id="自选图形 1439" o:spid="_x0000_s1026" o:spt="32" type="#_x0000_t32" style="position:absolute;left:3488034;top:1101034;flip:y;height:700;width:378503;"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fill on="f" focussize="0,0"/>
                        <v:stroke color="#000000" joinstyle="round" endarrow="block"/>
                        <v:imagedata o:title=""/>
                        <o:lock v:ext="edit" aspectratio="f"/>
                      </v:shape>
                      <v:rect id="矩形 1441" o:spid="_x0000_s1026" o:spt="1" style="position:absolute;left:4253242;top:555617;height:461614;width:66290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fill on="t" focussize="0,0"/>
                        <v:stroke color="#000000" joinstyle="miter"/>
                        <v:imagedata o:title=""/>
                        <o:lock v:ext="edit" aspectratio="f"/>
                        <v:textbox>
                          <w:txbxContent>
                            <w:p>
                              <w:pPr>
                                <w:jc w:val="center"/>
                              </w:pPr>
                              <w:r>
                                <w:rPr>
                                  <w:rFonts w:hint="eastAsia"/>
                                </w:rPr>
                                <w:t>市政污水</w:t>
                              </w:r>
                              <w:r>
                                <w:t>管网</w:t>
                              </w:r>
                            </w:p>
                          </w:txbxContent>
                        </v:textbox>
                      </v:rect>
                      <v:rect id="矩形 1446" o:spid="_x0000_s1026" o:spt="1" style="position:absolute;left:945509;top:1483345;height:287008;width:43180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v:fill on="f" focussize="0,0"/>
                        <v:stroke on="f"/>
                        <v:imagedata o:title=""/>
                        <o:lock v:ext="edit" aspectratio="f"/>
                        <v:textbox>
                          <w:txbxContent>
                            <w:p>
                              <w:pPr>
                                <w:jc w:val="center"/>
                              </w:pPr>
                              <w:r>
                                <w:t>3.28</w:t>
                              </w:r>
                            </w:p>
                          </w:txbxContent>
                        </v:textbox>
                      </v:rect>
                      <v:rect id="矩形 1448" o:spid="_x0000_s1026" o:spt="1" style="position:absolute;left:2045320;top:882027;height:2870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v:fill on="f" focussize="0,0"/>
                        <v:stroke on="f"/>
                        <v:imagedata o:title=""/>
                        <o:lock v:ext="edit" aspectratio="f"/>
                        <v:textbox>
                          <w:txbxContent>
                            <w:p>
                              <w:pPr>
                                <w:jc w:val="center"/>
                              </w:pPr>
                              <w:r>
                                <w:t>0.35</w:t>
                              </w:r>
                            </w:p>
                          </w:txbxContent>
                        </v:textbox>
                      </v:rect>
                      <v:shape id="任意多边形 1454" o:spid="_x0000_s1026" o:spt="100" style="position:absolute;left:1720817;top:1388742;height:142204;width:330203;" filled="f" stroked="t" coordsize="5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n5xgAAANsAAAAPAAAAZHJzL2Rvd25yZXYueG1sRI9Ba8JA&#10;FITvBf/D8oReim7qQWN0FRG0FQ/VKHh9ZJ9JMPs2zW41+uu7BaHHYWa+Yabz1lTiSo0rLSt470cg&#10;iDOrS84VHA+rXgzCeWSNlWVScCcH81nnZYqJtjfe0zX1uQgQdgkqKLyvEyldVpBB17c1cfDOtjHo&#10;g2xyqRu8Bbip5CCKhtJgyWGhwJqWBWWX9McoeFTr8elNf423erSId9+b+8cjTpV67baLCQhPrf8P&#10;P9ufWsFgBH9fwg+Qs18AAAD//wMAUEsBAi0AFAAGAAgAAAAhANvh9svuAAAAhQEAABMAAAAAAAAA&#10;AAAAAAAAAAAAAFtDb250ZW50X1R5cGVzXS54bWxQSwECLQAUAAYACAAAACEAWvQsW78AAAAVAQAA&#10;CwAAAAAAAAAAAAAAAAAfAQAAX3JlbHMvLnJlbHNQSwECLQAUAAYACAAAACEAooNp+cYAAADbAAAA&#10;DwAAAAAAAAAAAAAAAAAHAgAAZHJzL2Rvd25yZXYueG1sUEsFBgAAAAADAAMAtwAAAPoCAAAAAA==&#10;" path="m0,224c94,136,188,49,255,30c322,11,356,113,400,108c444,103,500,18,520,0e">
                        <v:path o:connecttype="custom" o:connectlocs="0,142240;161925,19050;254000,68580;330200,0" o:connectangles="0,0,0,0"/>
                        <v:fill on="f" focussize="0,0"/>
                        <v:stroke color="#000000" joinstyle="round"/>
                        <v:imagedata o:title=""/>
                        <o:lock v:ext="edit" aspectratio="f"/>
                      </v:shape>
                      <v:rect id="矩形 1455" o:spid="_x0000_s1026" o:spt="1" style="position:absolute;left:1906219;top:1215337;height:287108;width:86870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v:fill on="f" focussize="0,0"/>
                        <v:stroke on="f"/>
                        <v:imagedata o:title=""/>
                        <o:lock v:ext="edit" aspectratio="f"/>
                        <v:textbox>
                          <w:txbxContent>
                            <w:p>
                              <w:pPr>
                                <w:jc w:val="center"/>
                              </w:pPr>
                              <w:r>
                                <w:rPr>
                                  <w:rFonts w:hint="eastAsia"/>
                                </w:rPr>
                                <w:t>损耗</w:t>
                              </w:r>
                              <w:r>
                                <w:t>3.28</w:t>
                              </w:r>
                            </w:p>
                          </w:txbxContent>
                        </v:textbox>
                      </v:rect>
                      <v:shape id="自选图形 1439" o:spid="_x0000_s1026" o:spt="32" type="#_x0000_t32" style="position:absolute;left:3868438;top:777224;flip:y;height:600;width:378403;"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fill on="f" focussize="0,0"/>
                        <v:stroke color="#000000" joinstyle="round" endarrow="block"/>
                        <v:imagedata o:title=""/>
                        <o:lock v:ext="edit" aspectratio="f"/>
                      </v:shape>
                      <v:rect id="矩形 1427" o:spid="_x0000_s1026" o:spt="1" style="position:absolute;left:3791037;top:531416;height:287108;width:5829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v:fill on="f" focussize="0,0"/>
                        <v:stroke on="f"/>
                        <v:imagedata o:title=""/>
                        <o:lock v:ext="edit" aspectratio="f"/>
                        <v:textbox>
                          <w:txbxContent>
                            <w:p>
                              <w:pPr>
                                <w:jc w:val="center"/>
                              </w:pPr>
                              <w:r>
                                <w:t>2.83</w:t>
                              </w:r>
                            </w:p>
                          </w:txbxContent>
                        </v:textbox>
                      </v:rect>
                      <v:shape id="自选图形 154" o:spid="_x0000_s1026" o:spt="32" type="#_x0000_t32" style="position:absolute;left:3866538;top:464214;height:637519;width:8200;" filled="f" stroked="t" coordsize="21600,21600" o:gfxdata="UEsDBAoAAAAAAIdO4kAAAAAAAAAAAAAAAAAEAAAAZHJzL1BLAwQUAAAACACHTuJAdD41FtUAAAAF&#10;AQAADwAAAGRycy9kb3ducmV2LnhtbE2PzU7DMBCE70i8g7WVuCBqJ6h/IU6FkDhwpK3E1Y23SWi8&#10;jmKnKX16tr3AZaTRrGa+zddn14oT9qHxpCGZKhBIpbcNVRp22/enJYgQDVnTekINPxhgXdzf5Saz&#10;fqRPPG1iJbiEQmY01DF2mZShrNGZMPUdEmcH3zsT2faVtL0Zudy1MlVqLp1piBdq0+FbjeVxMzgN&#10;GIZZol5Xrtp9XMbHr/TyPXZbrR8miXoBEfEc/47his/oUDDT3g9kg2g18CPxppwtlgu2ew3Ps3kK&#10;ssjlf/riF1BLAwQUAAAACACHTuJARA4+AwgCAADzAwAADgAAAGRycy9lMm9Eb2MueG1srVNLjhMx&#10;EN0jcQfLe9JJ50Omlc4sEoYNgkjAASq2u9uSf7I96WTHDnEGdiy5A9xmJLgFZXeYgWGTBb1wl11V&#10;r+o9l1fXR63IQfggranpZDSmRBhmuTRtTd+/u3m2pCREMByUNaKmJxHo9frpk1XvKlHaziouPEEQ&#10;E6re1bSL0VVFEVgnNISRdcKgs7FeQ8StbwvuoUd0rYpyPF4UvfXcectECHi6HZz0jOgvAbRNI5nY&#10;WnarhYkDqhcKIlIKnXSBrnO3TSNYfNM0QUSiaopMY16xCNr7tBbrFVStB9dJdm4BLmnhEScN0mDR&#10;e6gtRCC3Xv4DpSXzNtgmjpjVxUAkK4IsJuNH2rztwInMBaUO7l708P9g2evDzhPJazotKTGg8cZ/&#10;fPz688Onu8/f7759IZP5LInUu1Bh7Mbs/HkX3M4nxsfG6/RHLuSIMMvFYj69ouRU09liVk5yOlTi&#10;GAlD/xJngBKG3sX0+bzMN1A8oDgf4kthNUlGTUP0INsubqwxeJfWT7LKcHgVIvaBib8TUgvKkL6m&#10;V/NyjhUAZ7PBmUBTO+QXTJtzg1WS30ilUkbw7X6jPDlAmo/8JbaI+1dYKrKF0A1x2TVMTieAvzCc&#10;xJND4Qw+GJpa0IJTogS+r2QhIFQRpLokEksrgx0kwQeJk7W3/JSVz+c4C7nH89ymYftzn7Mf3ur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Q+NRbVAAAABQEAAA8AAAAAAAAAAQAgAAAAIgAAAGRy&#10;cy9kb3ducmV2LnhtbFBLAQIUABQAAAAIAIdO4kBEDj4DCAIAAPMDAAAOAAAAAAAAAAEAIAAAACQB&#10;AABkcnMvZTJvRG9jLnhtbFBLBQYAAAAABgAGAFkBAACeBQAAAAA=&#10;">
                        <v:fill on="f" focussize="0,0"/>
                        <v:stroke color="#000000" joinstyle="round"/>
                        <v:imagedata o:title=""/>
                        <o:lock v:ext="edit" aspectratio="f"/>
                      </v:shape>
                      <w10:wrap type="none"/>
                      <w10:anchorlock/>
                    </v:group>
                  </w:pict>
                </mc:Fallback>
              </mc:AlternateContent>
            </w:r>
            <w:r>
              <w:rPr>
                <w:kern w:val="0"/>
                <w:szCs w:val="21"/>
              </w:rPr>
              <mc:AlternateContent>
                <mc:Choice Requires="wps">
                  <w:drawing>
                    <wp:anchor distT="0" distB="0" distL="114300" distR="114300" simplePos="0" relativeHeight="251659264" behindDoc="0" locked="0" layoutInCell="1" allowOverlap="1">
                      <wp:simplePos x="0" y="0"/>
                      <wp:positionH relativeFrom="column">
                        <wp:posOffset>1912620</wp:posOffset>
                      </wp:positionH>
                      <wp:positionV relativeFrom="paragraph">
                        <wp:posOffset>13970</wp:posOffset>
                      </wp:positionV>
                      <wp:extent cx="868680" cy="287020"/>
                      <wp:effectExtent l="0" t="0" r="0" b="0"/>
                      <wp:wrapNone/>
                      <wp:docPr id="1" name="矩形 1453"/>
                      <wp:cNvGraphicFramePr/>
                      <a:graphic xmlns:a="http://schemas.openxmlformats.org/drawingml/2006/main">
                        <a:graphicData uri="http://schemas.microsoft.com/office/word/2010/wordprocessingShape">
                          <wps:wsp>
                            <wps:cNvSpPr/>
                            <wps:spPr>
                              <a:xfrm>
                                <a:off x="0" y="0"/>
                                <a:ext cx="868680" cy="287020"/>
                              </a:xfrm>
                              <a:prstGeom prst="rect">
                                <a:avLst/>
                              </a:prstGeom>
                              <a:noFill/>
                              <a:ln>
                                <a:noFill/>
                              </a:ln>
                            </wps:spPr>
                            <wps:txbx>
                              <w:txbxContent>
                                <w:p>
                                  <w:pPr>
                                    <w:jc w:val="center"/>
                                  </w:pPr>
                                  <w:r>
                                    <w:rPr>
                                      <w:rFonts w:hint="eastAsia"/>
                                    </w:rPr>
                                    <w:t>损耗</w:t>
                                  </w:r>
                                  <w:r>
                                    <w:t>0.62</w:t>
                                  </w:r>
                                </w:p>
                              </w:txbxContent>
                            </wps:txbx>
                            <wps:bodyPr upright="1"/>
                          </wps:wsp>
                        </a:graphicData>
                      </a:graphic>
                    </wp:anchor>
                  </w:drawing>
                </mc:Choice>
                <mc:Fallback>
                  <w:pict>
                    <v:rect id="矩形 1453" o:spid="_x0000_s1026" o:spt="1" style="position:absolute;left:0pt;margin-left:150.6pt;margin-top:1.1pt;height:22.6pt;width:68.4pt;z-index:251659264;mso-width-relative:page;mso-height-relative:page;" filled="f" stroked="f" coordsize="21600,21600" o:gfxdata="UEsDBAoAAAAAAIdO4kAAAAAAAAAAAAAAAAAEAAAAZHJzL1BLAwQUAAAACACHTuJAhk7u9tkAAAAI&#10;AQAADwAAAGRycy9kb3ducmV2LnhtbE2PQUvDQBCF74L/YRnBi9jdpEVLzKaHglhEKE215212TILZ&#10;2TS7Teq/dzzpaWZ4jzffy1cX14kRh9B60pDMFAikytuWag3v++f7JYgQDVnTeUIN3xhgVVxf5Saz&#10;fqIdjmWsBYdQyIyGJsY+kzJUDToTZr5HYu3TD85EPoda2sFMHO46mSr1IJ1piT80psd1g9VXeXYa&#10;pmo7HvZvL3J7d9h4Om1O6/LjVevbm0Q9gYh4iX9m+MVndCiY6ejPZIPoNMxVkrJVQ8qD9cV8yd2O&#10;vDwuQBa5/F+g+AFQSwMEFAAAAAgAh07iQBSE9HOkAQAAQwMAAA4AAABkcnMvZTJvRG9jLnhtbK1S&#10;zW7bMAy+D+g7CLovdrKtC4w4vQTtZVgLdHsARZZiAfoDqcTO0wzobQ+xxxn2GqMUN93aSw+FAZmk&#10;qI/8PnJ1NTrLDgrQBN/y+azmTHkZOuN3Lf/+7fr9kjNMwnfCBq9aflTIr9YX71ZDbNQi9MF2ChiB&#10;eGyG2PI+pdhUFcpeOYGzEJWnSx3AiUQu7KoOxEDozlaLur6shgBdhCAVIkU3p0s+IcJrAIPWRqpN&#10;kHunfDqhgrIiESXsTUS+Lt1qrWS61RpVYrblxDSVk4qQvc1ntV6JZgci9kZOLYjXtPCMkxPGU9Ez&#10;1EYkwfZgXkA5IyFg0Gkmg6tORIoixGJeP9PmvhdRFS4kNcaz6Ph2sPLr4Q6Y6WgTOPPC0cD//Pj5&#10;+9cDm3/89CHLM0RsKOs+3sHkIZmZ66jB5T+xYGOR9HiWVI2JSQouL+kjsSVdLZaf60WRvHp6HAHT&#10;jQqOZaPlQBMrQorDF0xUkFIfU3ItH66NtWVq1v8XoMQcqXK/pw6zlcbtOLW9Dd2RuO4jmF1PpeaZ&#10;XUknbUuhaQ/y8P71S9bT7q//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ZO7vbZAAAACAEAAA8A&#10;AAAAAAAAAQAgAAAAIgAAAGRycy9kb3ducmV2LnhtbFBLAQIUABQAAAAIAIdO4kAUhPRzpAEAAEMD&#10;AAAOAAAAAAAAAAEAIAAAACgBAABkcnMvZTJvRG9jLnhtbFBLBQYAAAAABgAGAFkBAAA+BQAAAAA=&#10;">
                      <v:fill on="f" focussize="0,0"/>
                      <v:stroke on="f"/>
                      <v:imagedata o:title=""/>
                      <o:lock v:ext="edit" aspectratio="f"/>
                      <v:textbox>
                        <w:txbxContent>
                          <w:p>
                            <w:pPr>
                              <w:jc w:val="center"/>
                            </w:pPr>
                            <w:r>
                              <w:rPr>
                                <w:rFonts w:hint="eastAsia"/>
                              </w:rPr>
                              <w:t>损耗</w:t>
                            </w:r>
                            <w:r>
                              <w:t>0.62</w:t>
                            </w:r>
                          </w:p>
                        </w:txbxContent>
                      </v:textbox>
                    </v:rect>
                  </w:pict>
                </mc:Fallback>
              </mc:AlternateContent>
            </w:r>
          </w:p>
          <w:p>
            <w:pPr>
              <w:adjustRightInd w:val="0"/>
              <w:spacing w:line="360" w:lineRule="auto"/>
              <w:ind w:firstLine="422" w:firstLineChars="200"/>
              <w:jc w:val="center"/>
              <w:textAlignment w:val="baseline"/>
              <w:rPr>
                <w:b/>
                <w:kern w:val="0"/>
              </w:rPr>
            </w:pPr>
            <w:r>
              <w:rPr>
                <w:b/>
                <w:kern w:val="0"/>
              </w:rPr>
              <w:t>图2-1    项目水平衡图（单位m</w:t>
            </w:r>
            <w:r>
              <w:rPr>
                <w:b/>
                <w:kern w:val="0"/>
                <w:vertAlign w:val="superscript"/>
              </w:rPr>
              <w:t>3</w:t>
            </w:r>
            <w:r>
              <w:rPr>
                <w:b/>
                <w:kern w:val="0"/>
              </w:rPr>
              <w:t>/d）</w:t>
            </w:r>
          </w:p>
          <w:p>
            <w:pPr>
              <w:pStyle w:val="9"/>
              <w:spacing w:before="0" w:line="276" w:lineRule="auto"/>
              <w:ind w:left="0" w:firstLine="422" w:firstLineChars="200"/>
              <w:jc w:val="center"/>
              <w:rPr>
                <w:b/>
                <w:sz w:val="21"/>
              </w:rPr>
            </w:pPr>
            <w:r>
              <w:rPr>
                <w:b/>
                <w:sz w:val="21"/>
              </w:rPr>
              <w:t>表2-8  本项目用排水量情况表</w:t>
            </w:r>
          </w:p>
          <w:tbl>
            <w:tblPr>
              <w:tblStyle w:val="21"/>
              <w:tblW w:w="79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autofit"/>
              <w:tblCellMar>
                <w:top w:w="0" w:type="dxa"/>
                <w:left w:w="28" w:type="dxa"/>
                <w:bottom w:w="0" w:type="dxa"/>
                <w:right w:w="28" w:type="dxa"/>
              </w:tblCellMar>
            </w:tblPr>
            <w:tblGrid>
              <w:gridCol w:w="694"/>
              <w:gridCol w:w="982"/>
              <w:gridCol w:w="840"/>
              <w:gridCol w:w="1144"/>
              <w:gridCol w:w="1418"/>
              <w:gridCol w:w="1433"/>
              <w:gridCol w:w="14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1676" w:type="dxa"/>
                  <w:gridSpan w:val="2"/>
                  <w:vAlign w:val="center"/>
                </w:tcPr>
                <w:p>
                  <w:pPr>
                    <w:jc w:val="center"/>
                    <w:rPr>
                      <w:b/>
                      <w:szCs w:val="21"/>
                    </w:rPr>
                  </w:pPr>
                  <w:r>
                    <w:rPr>
                      <w:b/>
                      <w:szCs w:val="21"/>
                    </w:rPr>
                    <w:t>用水类型</w:t>
                  </w:r>
                </w:p>
              </w:tc>
              <w:tc>
                <w:tcPr>
                  <w:tcW w:w="840" w:type="dxa"/>
                  <w:vAlign w:val="center"/>
                </w:tcPr>
                <w:p>
                  <w:pPr>
                    <w:jc w:val="center"/>
                    <w:rPr>
                      <w:b/>
                      <w:szCs w:val="21"/>
                    </w:rPr>
                  </w:pPr>
                  <w:r>
                    <w:rPr>
                      <w:b/>
                      <w:szCs w:val="21"/>
                    </w:rPr>
                    <w:t>规模</w:t>
                  </w:r>
                </w:p>
              </w:tc>
              <w:tc>
                <w:tcPr>
                  <w:tcW w:w="1144" w:type="dxa"/>
                  <w:vAlign w:val="center"/>
                </w:tcPr>
                <w:p>
                  <w:pPr>
                    <w:jc w:val="center"/>
                    <w:rPr>
                      <w:b/>
                      <w:szCs w:val="21"/>
                    </w:rPr>
                  </w:pPr>
                  <w:r>
                    <w:rPr>
                      <w:b/>
                      <w:szCs w:val="21"/>
                    </w:rPr>
                    <w:t>用水定额</w:t>
                  </w:r>
                </w:p>
              </w:tc>
              <w:tc>
                <w:tcPr>
                  <w:tcW w:w="1418" w:type="dxa"/>
                  <w:vAlign w:val="center"/>
                </w:tcPr>
                <w:p>
                  <w:pPr>
                    <w:jc w:val="center"/>
                    <w:rPr>
                      <w:b/>
                      <w:szCs w:val="21"/>
                    </w:rPr>
                  </w:pPr>
                  <w:r>
                    <w:rPr>
                      <w:b/>
                      <w:szCs w:val="21"/>
                    </w:rPr>
                    <w:t>用水量</w:t>
                  </w:r>
                </w:p>
              </w:tc>
              <w:tc>
                <w:tcPr>
                  <w:tcW w:w="1433" w:type="dxa"/>
                  <w:vAlign w:val="center"/>
                </w:tcPr>
                <w:p>
                  <w:pPr>
                    <w:jc w:val="center"/>
                    <w:rPr>
                      <w:b/>
                      <w:szCs w:val="21"/>
                    </w:rPr>
                  </w:pPr>
                  <w:r>
                    <w:rPr>
                      <w:b/>
                      <w:szCs w:val="21"/>
                    </w:rPr>
                    <w:t>排水量</w:t>
                  </w:r>
                </w:p>
              </w:tc>
              <w:tc>
                <w:tcPr>
                  <w:tcW w:w="1432" w:type="dxa"/>
                  <w:vAlign w:val="center"/>
                </w:tcPr>
                <w:p>
                  <w:pPr>
                    <w:jc w:val="center"/>
                    <w:rPr>
                      <w:b/>
                      <w:szCs w:val="21"/>
                    </w:rPr>
                  </w:pPr>
                  <w:r>
                    <w:rPr>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694" w:type="dxa"/>
                  <w:vMerge w:val="restart"/>
                  <w:vAlign w:val="center"/>
                </w:tcPr>
                <w:p>
                  <w:pPr>
                    <w:jc w:val="center"/>
                    <w:rPr>
                      <w:szCs w:val="21"/>
                    </w:rPr>
                  </w:pPr>
                  <w:r>
                    <w:rPr>
                      <w:szCs w:val="21"/>
                    </w:rPr>
                    <w:t>生活用水</w:t>
                  </w:r>
                </w:p>
              </w:tc>
              <w:tc>
                <w:tcPr>
                  <w:tcW w:w="982" w:type="dxa"/>
                  <w:vAlign w:val="center"/>
                </w:tcPr>
                <w:p>
                  <w:pPr>
                    <w:jc w:val="center"/>
                    <w:rPr>
                      <w:szCs w:val="21"/>
                    </w:rPr>
                  </w:pPr>
                  <w:r>
                    <w:rPr>
                      <w:szCs w:val="21"/>
                    </w:rPr>
                    <w:t>工作人员</w:t>
                  </w:r>
                </w:p>
              </w:tc>
              <w:tc>
                <w:tcPr>
                  <w:tcW w:w="840" w:type="dxa"/>
                  <w:vAlign w:val="center"/>
                </w:tcPr>
                <w:p>
                  <w:pPr>
                    <w:jc w:val="center"/>
                    <w:rPr>
                      <w:szCs w:val="21"/>
                    </w:rPr>
                  </w:pPr>
                  <w:r>
                    <w:rPr>
                      <w:szCs w:val="21"/>
                    </w:rPr>
                    <w:t>5人</w:t>
                  </w:r>
                </w:p>
              </w:tc>
              <w:tc>
                <w:tcPr>
                  <w:tcW w:w="1144" w:type="dxa"/>
                  <w:vAlign w:val="center"/>
                </w:tcPr>
                <w:p>
                  <w:pPr>
                    <w:jc w:val="center"/>
                    <w:rPr>
                      <w:szCs w:val="21"/>
                    </w:rPr>
                  </w:pPr>
                  <w:r>
                    <w:rPr>
                      <w:szCs w:val="21"/>
                    </w:rPr>
                    <w:t>120L/人·d</w:t>
                  </w:r>
                </w:p>
              </w:tc>
              <w:tc>
                <w:tcPr>
                  <w:tcW w:w="1418" w:type="dxa"/>
                  <w:vAlign w:val="center"/>
                </w:tcPr>
                <w:p>
                  <w:pPr>
                    <w:jc w:val="center"/>
                    <w:rPr>
                      <w:szCs w:val="21"/>
                    </w:rPr>
                  </w:pPr>
                  <w:r>
                    <w:rPr>
                      <w:szCs w:val="21"/>
                    </w:rPr>
                    <w:t>0.6m</w:t>
                  </w:r>
                  <w:r>
                    <w:rPr>
                      <w:szCs w:val="21"/>
                      <w:vertAlign w:val="superscript"/>
                    </w:rPr>
                    <w:t>3</w:t>
                  </w:r>
                  <w:r>
                    <w:rPr>
                      <w:szCs w:val="21"/>
                    </w:rPr>
                    <w:t>/d,</w:t>
                  </w:r>
                </w:p>
                <w:p>
                  <w:pPr>
                    <w:jc w:val="center"/>
                    <w:rPr>
                      <w:szCs w:val="21"/>
                    </w:rPr>
                  </w:pPr>
                  <w:r>
                    <w:rPr>
                      <w:szCs w:val="21"/>
                    </w:rPr>
                    <w:t>219m</w:t>
                  </w:r>
                  <w:r>
                    <w:rPr>
                      <w:szCs w:val="21"/>
                      <w:vertAlign w:val="superscript"/>
                    </w:rPr>
                    <w:t>3</w:t>
                  </w:r>
                  <w:r>
                    <w:rPr>
                      <w:szCs w:val="21"/>
                    </w:rPr>
                    <w:t>/a</w:t>
                  </w:r>
                </w:p>
              </w:tc>
              <w:tc>
                <w:tcPr>
                  <w:tcW w:w="1433" w:type="dxa"/>
                  <w:vAlign w:val="center"/>
                </w:tcPr>
                <w:p>
                  <w:pPr>
                    <w:jc w:val="center"/>
                    <w:rPr>
                      <w:szCs w:val="21"/>
                    </w:rPr>
                  </w:pPr>
                  <w:r>
                    <w:rPr>
                      <w:szCs w:val="21"/>
                    </w:rPr>
                    <w:t>0.48m</w:t>
                  </w:r>
                  <w:r>
                    <w:rPr>
                      <w:szCs w:val="21"/>
                      <w:vertAlign w:val="superscript"/>
                    </w:rPr>
                    <w:t>3</w:t>
                  </w:r>
                  <w:r>
                    <w:rPr>
                      <w:szCs w:val="21"/>
                    </w:rPr>
                    <w:t>/d，</w:t>
                  </w:r>
                </w:p>
                <w:p>
                  <w:pPr>
                    <w:jc w:val="center"/>
                    <w:rPr>
                      <w:szCs w:val="21"/>
                    </w:rPr>
                  </w:pPr>
                  <w:r>
                    <w:rPr>
                      <w:szCs w:val="21"/>
                    </w:rPr>
                    <w:t>175.2m</w:t>
                  </w:r>
                  <w:r>
                    <w:rPr>
                      <w:szCs w:val="21"/>
                      <w:vertAlign w:val="superscript"/>
                    </w:rPr>
                    <w:t>3</w:t>
                  </w:r>
                  <w:r>
                    <w:rPr>
                      <w:szCs w:val="21"/>
                    </w:rPr>
                    <w:t>/a</w:t>
                  </w:r>
                </w:p>
              </w:tc>
              <w:tc>
                <w:tcPr>
                  <w:tcW w:w="1432" w:type="dxa"/>
                  <w:vMerge w:val="restart"/>
                  <w:vAlign w:val="center"/>
                </w:tcPr>
                <w:p>
                  <w:pPr>
                    <w:rPr>
                      <w:szCs w:val="21"/>
                    </w:rPr>
                  </w:pPr>
                  <w:r>
                    <w:rPr>
                      <w:szCs w:val="21"/>
                    </w:rPr>
                    <w:t>绿化用水按200d/a计，其他按365d/a计，排污系数取0.8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694" w:type="dxa"/>
                  <w:vMerge w:val="continue"/>
                  <w:vAlign w:val="center"/>
                </w:tcPr>
                <w:p>
                  <w:pPr>
                    <w:jc w:val="center"/>
                    <w:rPr>
                      <w:szCs w:val="21"/>
                    </w:rPr>
                  </w:pPr>
                </w:p>
              </w:tc>
              <w:tc>
                <w:tcPr>
                  <w:tcW w:w="982" w:type="dxa"/>
                  <w:vAlign w:val="center"/>
                </w:tcPr>
                <w:p>
                  <w:pPr>
                    <w:jc w:val="center"/>
                    <w:rPr>
                      <w:szCs w:val="21"/>
                    </w:rPr>
                  </w:pPr>
                  <w:r>
                    <w:rPr>
                      <w:szCs w:val="21"/>
                    </w:rPr>
                    <w:t>来往顾客</w:t>
                  </w:r>
                </w:p>
              </w:tc>
              <w:tc>
                <w:tcPr>
                  <w:tcW w:w="840" w:type="dxa"/>
                  <w:vAlign w:val="center"/>
                </w:tcPr>
                <w:p>
                  <w:pPr>
                    <w:jc w:val="center"/>
                    <w:rPr>
                      <w:szCs w:val="21"/>
                    </w:rPr>
                  </w:pPr>
                  <w:r>
                    <w:rPr>
                      <w:szCs w:val="21"/>
                    </w:rPr>
                    <w:t>250人/d</w:t>
                  </w:r>
                </w:p>
              </w:tc>
              <w:tc>
                <w:tcPr>
                  <w:tcW w:w="1144" w:type="dxa"/>
                  <w:vAlign w:val="center"/>
                </w:tcPr>
                <w:p>
                  <w:pPr>
                    <w:jc w:val="center"/>
                    <w:rPr>
                      <w:szCs w:val="21"/>
                    </w:rPr>
                  </w:pPr>
                  <w:r>
                    <w:rPr>
                      <w:szCs w:val="21"/>
                    </w:rPr>
                    <w:t xml:space="preserve">10L/人·d </w:t>
                  </w:r>
                </w:p>
              </w:tc>
              <w:tc>
                <w:tcPr>
                  <w:tcW w:w="1418" w:type="dxa"/>
                  <w:vAlign w:val="center"/>
                </w:tcPr>
                <w:p>
                  <w:pPr>
                    <w:jc w:val="center"/>
                    <w:rPr>
                      <w:szCs w:val="21"/>
                    </w:rPr>
                  </w:pPr>
                  <w:r>
                    <w:rPr>
                      <w:szCs w:val="21"/>
                    </w:rPr>
                    <w:t>2.5m</w:t>
                  </w:r>
                  <w:r>
                    <w:rPr>
                      <w:szCs w:val="21"/>
                      <w:vertAlign w:val="superscript"/>
                    </w:rPr>
                    <w:t>3</w:t>
                  </w:r>
                  <w:r>
                    <w:rPr>
                      <w:szCs w:val="21"/>
                    </w:rPr>
                    <w:t>/d，</w:t>
                  </w:r>
                </w:p>
                <w:p>
                  <w:pPr>
                    <w:jc w:val="center"/>
                    <w:rPr>
                      <w:szCs w:val="21"/>
                    </w:rPr>
                  </w:pPr>
                  <w:r>
                    <w:rPr>
                      <w:szCs w:val="21"/>
                    </w:rPr>
                    <w:t>912.5m</w:t>
                  </w:r>
                  <w:r>
                    <w:rPr>
                      <w:szCs w:val="21"/>
                      <w:vertAlign w:val="superscript"/>
                    </w:rPr>
                    <w:t xml:space="preserve"> 3</w:t>
                  </w:r>
                  <w:r>
                    <w:rPr>
                      <w:szCs w:val="21"/>
                    </w:rPr>
                    <w:t>/a</w:t>
                  </w:r>
                </w:p>
              </w:tc>
              <w:tc>
                <w:tcPr>
                  <w:tcW w:w="1433" w:type="dxa"/>
                  <w:vAlign w:val="center"/>
                </w:tcPr>
                <w:p>
                  <w:pPr>
                    <w:jc w:val="center"/>
                    <w:rPr>
                      <w:szCs w:val="21"/>
                    </w:rPr>
                  </w:pPr>
                  <w:r>
                    <w:rPr>
                      <w:szCs w:val="21"/>
                    </w:rPr>
                    <w:t>2m</w:t>
                  </w:r>
                  <w:r>
                    <w:rPr>
                      <w:szCs w:val="21"/>
                      <w:vertAlign w:val="superscript"/>
                    </w:rPr>
                    <w:t>3</w:t>
                  </w:r>
                  <w:r>
                    <w:rPr>
                      <w:szCs w:val="21"/>
                    </w:rPr>
                    <w:t>/d，</w:t>
                  </w:r>
                </w:p>
                <w:p>
                  <w:pPr>
                    <w:jc w:val="center"/>
                    <w:rPr>
                      <w:szCs w:val="21"/>
                    </w:rPr>
                  </w:pPr>
                  <w:r>
                    <w:rPr>
                      <w:szCs w:val="21"/>
                    </w:rPr>
                    <w:t>730m</w:t>
                  </w:r>
                  <w:r>
                    <w:rPr>
                      <w:szCs w:val="21"/>
                      <w:vertAlign w:val="superscript"/>
                    </w:rPr>
                    <w:t>3</w:t>
                  </w:r>
                  <w:r>
                    <w:rPr>
                      <w:szCs w:val="21"/>
                    </w:rPr>
                    <w:t>/a</w:t>
                  </w:r>
                </w:p>
              </w:tc>
              <w:tc>
                <w:tcPr>
                  <w:tcW w:w="1432"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1676" w:type="dxa"/>
                  <w:gridSpan w:val="2"/>
                  <w:vAlign w:val="center"/>
                </w:tcPr>
                <w:p>
                  <w:pPr>
                    <w:jc w:val="center"/>
                    <w:rPr>
                      <w:szCs w:val="21"/>
                    </w:rPr>
                  </w:pPr>
                  <w:r>
                    <w:rPr>
                      <w:szCs w:val="21"/>
                    </w:rPr>
                    <w:t>地面冲洗用水</w:t>
                  </w:r>
                </w:p>
              </w:tc>
              <w:tc>
                <w:tcPr>
                  <w:tcW w:w="840" w:type="dxa"/>
                  <w:vAlign w:val="center"/>
                </w:tcPr>
                <w:p>
                  <w:pPr>
                    <w:jc w:val="center"/>
                    <w:rPr>
                      <w:szCs w:val="21"/>
                    </w:rPr>
                  </w:pPr>
                  <w:r>
                    <w:rPr>
                      <w:szCs w:val="21"/>
                    </w:rPr>
                    <w:t>2000m</w:t>
                  </w:r>
                  <w:r>
                    <w:rPr>
                      <w:szCs w:val="21"/>
                      <w:vertAlign w:val="superscript"/>
                    </w:rPr>
                    <w:t>2</w:t>
                  </w:r>
                </w:p>
              </w:tc>
              <w:tc>
                <w:tcPr>
                  <w:tcW w:w="1144" w:type="dxa"/>
                  <w:vAlign w:val="center"/>
                </w:tcPr>
                <w:p>
                  <w:pPr>
                    <w:jc w:val="center"/>
                    <w:rPr>
                      <w:szCs w:val="21"/>
                    </w:rPr>
                  </w:pPr>
                  <w:r>
                    <w:rPr>
                      <w:szCs w:val="21"/>
                    </w:rPr>
                    <w:t>1.5L/m</w:t>
                  </w:r>
                  <w:r>
                    <w:rPr>
                      <w:szCs w:val="21"/>
                      <w:vertAlign w:val="superscript"/>
                    </w:rPr>
                    <w:t>2</w:t>
                  </w:r>
                  <w:r>
                    <w:rPr>
                      <w:szCs w:val="21"/>
                    </w:rPr>
                    <w:t>•次</w:t>
                  </w:r>
                </w:p>
              </w:tc>
              <w:tc>
                <w:tcPr>
                  <w:tcW w:w="1418" w:type="dxa"/>
                  <w:vAlign w:val="center"/>
                </w:tcPr>
                <w:p>
                  <w:pPr>
                    <w:jc w:val="center"/>
                    <w:rPr>
                      <w:szCs w:val="21"/>
                    </w:rPr>
                  </w:pPr>
                  <w:r>
                    <w:rPr>
                      <w:szCs w:val="21"/>
                    </w:rPr>
                    <w:t>3m</w:t>
                  </w:r>
                  <w:r>
                    <w:rPr>
                      <w:szCs w:val="21"/>
                      <w:vertAlign w:val="superscript"/>
                    </w:rPr>
                    <w:t>3</w:t>
                  </w:r>
                  <w:r>
                    <w:rPr>
                      <w:szCs w:val="21"/>
                    </w:rPr>
                    <w:t>/次，</w:t>
                  </w:r>
                </w:p>
                <w:p>
                  <w:pPr>
                    <w:jc w:val="center"/>
                    <w:rPr>
                      <w:szCs w:val="21"/>
                    </w:rPr>
                  </w:pPr>
                  <w:r>
                    <w:rPr>
                      <w:szCs w:val="21"/>
                    </w:rPr>
                    <w:t>0.44m</w:t>
                  </w:r>
                  <w:r>
                    <w:rPr>
                      <w:szCs w:val="21"/>
                      <w:vertAlign w:val="superscript"/>
                    </w:rPr>
                    <w:t>3</w:t>
                  </w:r>
                  <w:r>
                    <w:rPr>
                      <w:szCs w:val="21"/>
                    </w:rPr>
                    <w:t>/d,</w:t>
                  </w:r>
                </w:p>
                <w:p>
                  <w:pPr>
                    <w:jc w:val="center"/>
                    <w:rPr>
                      <w:szCs w:val="21"/>
                    </w:rPr>
                  </w:pPr>
                  <w:r>
                    <w:rPr>
                      <w:szCs w:val="21"/>
                    </w:rPr>
                    <w:t>159m</w:t>
                  </w:r>
                  <w:r>
                    <w:rPr>
                      <w:szCs w:val="21"/>
                      <w:vertAlign w:val="superscript"/>
                    </w:rPr>
                    <w:t>3</w:t>
                  </w:r>
                  <w:r>
                    <w:rPr>
                      <w:szCs w:val="21"/>
                    </w:rPr>
                    <w:t>/a</w:t>
                  </w:r>
                </w:p>
              </w:tc>
              <w:tc>
                <w:tcPr>
                  <w:tcW w:w="1433" w:type="dxa"/>
                  <w:vAlign w:val="center"/>
                </w:tcPr>
                <w:p>
                  <w:pPr>
                    <w:jc w:val="center"/>
                    <w:rPr>
                      <w:szCs w:val="21"/>
                    </w:rPr>
                  </w:pPr>
                  <w:r>
                    <w:rPr>
                      <w:szCs w:val="21"/>
                    </w:rPr>
                    <w:t>2.4m</w:t>
                  </w:r>
                  <w:r>
                    <w:rPr>
                      <w:szCs w:val="21"/>
                      <w:vertAlign w:val="superscript"/>
                    </w:rPr>
                    <w:t>3</w:t>
                  </w:r>
                  <w:r>
                    <w:rPr>
                      <w:szCs w:val="21"/>
                    </w:rPr>
                    <w:t>/次，</w:t>
                  </w:r>
                </w:p>
                <w:p>
                  <w:pPr>
                    <w:jc w:val="center"/>
                    <w:rPr>
                      <w:szCs w:val="21"/>
                    </w:rPr>
                  </w:pPr>
                  <w:r>
                    <w:rPr>
                      <w:szCs w:val="21"/>
                    </w:rPr>
                    <w:t>0.35m</w:t>
                  </w:r>
                  <w:r>
                    <w:rPr>
                      <w:szCs w:val="21"/>
                      <w:vertAlign w:val="superscript"/>
                    </w:rPr>
                    <w:t>3</w:t>
                  </w:r>
                  <w:r>
                    <w:rPr>
                      <w:szCs w:val="21"/>
                    </w:rPr>
                    <w:t>/d,</w:t>
                  </w:r>
                </w:p>
                <w:p>
                  <w:pPr>
                    <w:jc w:val="center"/>
                    <w:rPr>
                      <w:szCs w:val="21"/>
                    </w:rPr>
                  </w:pPr>
                  <w:r>
                    <w:rPr>
                      <w:szCs w:val="21"/>
                    </w:rPr>
                    <w:t>127.2m</w:t>
                  </w:r>
                  <w:r>
                    <w:rPr>
                      <w:szCs w:val="21"/>
                      <w:vertAlign w:val="superscript"/>
                    </w:rPr>
                    <w:t>3</w:t>
                  </w:r>
                  <w:r>
                    <w:rPr>
                      <w:szCs w:val="21"/>
                    </w:rPr>
                    <w:t>/a</w:t>
                  </w:r>
                </w:p>
              </w:tc>
              <w:tc>
                <w:tcPr>
                  <w:tcW w:w="1432"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1676" w:type="dxa"/>
                  <w:gridSpan w:val="2"/>
                  <w:vAlign w:val="center"/>
                </w:tcPr>
                <w:p>
                  <w:pPr>
                    <w:jc w:val="center"/>
                    <w:rPr>
                      <w:szCs w:val="21"/>
                    </w:rPr>
                  </w:pPr>
                  <w:r>
                    <w:rPr>
                      <w:szCs w:val="21"/>
                    </w:rPr>
                    <w:t>绿化用水</w:t>
                  </w:r>
                </w:p>
              </w:tc>
              <w:tc>
                <w:tcPr>
                  <w:tcW w:w="840" w:type="dxa"/>
                  <w:vAlign w:val="center"/>
                </w:tcPr>
                <w:p>
                  <w:pPr>
                    <w:jc w:val="center"/>
                    <w:rPr>
                      <w:szCs w:val="21"/>
                    </w:rPr>
                  </w:pPr>
                  <w:r>
                    <w:rPr>
                      <w:szCs w:val="21"/>
                    </w:rPr>
                    <w:t>2526.0</w:t>
                  </w:r>
                </w:p>
              </w:tc>
              <w:tc>
                <w:tcPr>
                  <w:tcW w:w="1144" w:type="dxa"/>
                  <w:vAlign w:val="center"/>
                </w:tcPr>
                <w:p>
                  <w:pPr>
                    <w:jc w:val="center"/>
                    <w:rPr>
                      <w:szCs w:val="21"/>
                    </w:rPr>
                  </w:pPr>
                  <w:r>
                    <w:t>1.3L/(m</w:t>
                  </w:r>
                  <w:r>
                    <w:rPr>
                      <w:vertAlign w:val="superscript"/>
                    </w:rPr>
                    <w:t>2</w:t>
                  </w:r>
                  <w:r>
                    <w:t>·d)</w:t>
                  </w:r>
                </w:p>
              </w:tc>
              <w:tc>
                <w:tcPr>
                  <w:tcW w:w="1418" w:type="dxa"/>
                  <w:vAlign w:val="center"/>
                </w:tcPr>
                <w:p>
                  <w:pPr>
                    <w:jc w:val="center"/>
                    <w:rPr>
                      <w:szCs w:val="21"/>
                    </w:rPr>
                  </w:pPr>
                  <w:r>
                    <w:rPr>
                      <w:szCs w:val="21"/>
                    </w:rPr>
                    <w:t>3.28m</w:t>
                  </w:r>
                  <w:r>
                    <w:rPr>
                      <w:szCs w:val="21"/>
                      <w:vertAlign w:val="superscript"/>
                    </w:rPr>
                    <w:t>3</w:t>
                  </w:r>
                  <w:r>
                    <w:rPr>
                      <w:szCs w:val="21"/>
                    </w:rPr>
                    <w:t>/d，</w:t>
                  </w:r>
                </w:p>
                <w:p>
                  <w:pPr>
                    <w:jc w:val="center"/>
                    <w:rPr>
                      <w:szCs w:val="21"/>
                    </w:rPr>
                  </w:pPr>
                  <w:r>
                    <w:rPr>
                      <w:szCs w:val="21"/>
                    </w:rPr>
                    <w:t>656m</w:t>
                  </w:r>
                  <w:r>
                    <w:rPr>
                      <w:szCs w:val="21"/>
                      <w:vertAlign w:val="superscript"/>
                    </w:rPr>
                    <w:t>3</w:t>
                  </w:r>
                  <w:r>
                    <w:rPr>
                      <w:szCs w:val="21"/>
                    </w:rPr>
                    <w:t>/a</w:t>
                  </w:r>
                </w:p>
              </w:tc>
              <w:tc>
                <w:tcPr>
                  <w:tcW w:w="1433" w:type="dxa"/>
                  <w:vAlign w:val="center"/>
                </w:tcPr>
                <w:p>
                  <w:pPr>
                    <w:jc w:val="center"/>
                    <w:rPr>
                      <w:szCs w:val="21"/>
                    </w:rPr>
                  </w:pPr>
                  <w:r>
                    <w:rPr>
                      <w:szCs w:val="21"/>
                    </w:rPr>
                    <w:t>0m</w:t>
                  </w:r>
                  <w:r>
                    <w:rPr>
                      <w:szCs w:val="21"/>
                      <w:vertAlign w:val="superscript"/>
                    </w:rPr>
                    <w:t>3</w:t>
                  </w:r>
                  <w:r>
                    <w:rPr>
                      <w:szCs w:val="21"/>
                    </w:rPr>
                    <w:t>/d，</w:t>
                  </w:r>
                </w:p>
                <w:p>
                  <w:pPr>
                    <w:jc w:val="center"/>
                    <w:rPr>
                      <w:szCs w:val="21"/>
                    </w:rPr>
                  </w:pPr>
                  <w:r>
                    <w:rPr>
                      <w:szCs w:val="21"/>
                    </w:rPr>
                    <w:t>0m</w:t>
                  </w:r>
                  <w:r>
                    <w:rPr>
                      <w:szCs w:val="21"/>
                      <w:vertAlign w:val="superscript"/>
                    </w:rPr>
                    <w:t>3</w:t>
                  </w:r>
                  <w:r>
                    <w:rPr>
                      <w:szCs w:val="21"/>
                    </w:rPr>
                    <w:t xml:space="preserve">/a </w:t>
                  </w:r>
                </w:p>
              </w:tc>
              <w:tc>
                <w:tcPr>
                  <w:tcW w:w="1432"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84" w:hRule="atLeast"/>
              </w:trPr>
              <w:tc>
                <w:tcPr>
                  <w:tcW w:w="1676" w:type="dxa"/>
                  <w:gridSpan w:val="2"/>
                  <w:vAlign w:val="center"/>
                </w:tcPr>
                <w:p>
                  <w:pPr>
                    <w:jc w:val="center"/>
                    <w:rPr>
                      <w:szCs w:val="21"/>
                    </w:rPr>
                  </w:pPr>
                  <w:r>
                    <w:rPr>
                      <w:szCs w:val="21"/>
                    </w:rPr>
                    <w:t>合计</w:t>
                  </w:r>
                </w:p>
              </w:tc>
              <w:tc>
                <w:tcPr>
                  <w:tcW w:w="840" w:type="dxa"/>
                  <w:vAlign w:val="center"/>
                </w:tcPr>
                <w:p>
                  <w:pPr>
                    <w:jc w:val="center"/>
                    <w:rPr>
                      <w:szCs w:val="21"/>
                    </w:rPr>
                  </w:pPr>
                </w:p>
              </w:tc>
              <w:tc>
                <w:tcPr>
                  <w:tcW w:w="1144" w:type="dxa"/>
                  <w:vAlign w:val="center"/>
                </w:tcPr>
                <w:p>
                  <w:pPr>
                    <w:jc w:val="center"/>
                    <w:rPr>
                      <w:szCs w:val="21"/>
                    </w:rPr>
                  </w:pPr>
                </w:p>
              </w:tc>
              <w:tc>
                <w:tcPr>
                  <w:tcW w:w="1418" w:type="dxa"/>
                  <w:vAlign w:val="center"/>
                </w:tcPr>
                <w:p>
                  <w:pPr>
                    <w:jc w:val="center"/>
                    <w:rPr>
                      <w:szCs w:val="21"/>
                    </w:rPr>
                  </w:pPr>
                  <w:r>
                    <w:rPr>
                      <w:szCs w:val="21"/>
                    </w:rPr>
                    <w:t>6.82m</w:t>
                  </w:r>
                  <w:r>
                    <w:rPr>
                      <w:szCs w:val="21"/>
                      <w:vertAlign w:val="superscript"/>
                    </w:rPr>
                    <w:t>3</w:t>
                  </w:r>
                  <w:r>
                    <w:rPr>
                      <w:szCs w:val="21"/>
                    </w:rPr>
                    <w:t>/d，</w:t>
                  </w:r>
                </w:p>
                <w:p>
                  <w:pPr>
                    <w:jc w:val="center"/>
                    <w:rPr>
                      <w:szCs w:val="21"/>
                    </w:rPr>
                  </w:pPr>
                  <w:r>
                    <w:rPr>
                      <w:szCs w:val="21"/>
                    </w:rPr>
                    <w:t>1946.5m</w:t>
                  </w:r>
                  <w:r>
                    <w:rPr>
                      <w:szCs w:val="21"/>
                      <w:vertAlign w:val="superscript"/>
                    </w:rPr>
                    <w:t>3</w:t>
                  </w:r>
                  <w:r>
                    <w:rPr>
                      <w:szCs w:val="21"/>
                    </w:rPr>
                    <w:t>/a</w:t>
                  </w:r>
                </w:p>
              </w:tc>
              <w:tc>
                <w:tcPr>
                  <w:tcW w:w="1433" w:type="dxa"/>
                  <w:vAlign w:val="center"/>
                </w:tcPr>
                <w:p>
                  <w:pPr>
                    <w:jc w:val="center"/>
                    <w:rPr>
                      <w:szCs w:val="21"/>
                    </w:rPr>
                  </w:pPr>
                  <w:r>
                    <w:rPr>
                      <w:szCs w:val="21"/>
                    </w:rPr>
                    <w:t>2.83m</w:t>
                  </w:r>
                  <w:r>
                    <w:rPr>
                      <w:szCs w:val="21"/>
                      <w:vertAlign w:val="superscript"/>
                    </w:rPr>
                    <w:t>3</w:t>
                  </w:r>
                  <w:r>
                    <w:rPr>
                      <w:szCs w:val="21"/>
                    </w:rPr>
                    <w:t>/d，</w:t>
                  </w:r>
                </w:p>
                <w:p>
                  <w:pPr>
                    <w:jc w:val="center"/>
                    <w:rPr>
                      <w:szCs w:val="21"/>
                    </w:rPr>
                  </w:pPr>
                  <w:r>
                    <w:rPr>
                      <w:szCs w:val="21"/>
                    </w:rPr>
                    <w:t>1032.95m</w:t>
                  </w:r>
                  <w:r>
                    <w:rPr>
                      <w:szCs w:val="21"/>
                      <w:vertAlign w:val="superscript"/>
                    </w:rPr>
                    <w:t>3</w:t>
                  </w:r>
                  <w:r>
                    <w:rPr>
                      <w:szCs w:val="21"/>
                    </w:rPr>
                    <w:t>/a</w:t>
                  </w:r>
                </w:p>
              </w:tc>
              <w:tc>
                <w:tcPr>
                  <w:tcW w:w="1432" w:type="dxa"/>
                  <w:vAlign w:val="center"/>
                </w:tcPr>
                <w:p>
                  <w:pPr>
                    <w:rPr>
                      <w:szCs w:val="21"/>
                    </w:rPr>
                  </w:pPr>
                </w:p>
              </w:tc>
            </w:tr>
          </w:tbl>
          <w:p>
            <w:pPr>
              <w:rPr>
                <w:szCs w:val="21"/>
              </w:rPr>
            </w:pPr>
          </w:p>
          <w:p>
            <w:pPr>
              <w:spacing w:line="360" w:lineRule="auto"/>
              <w:ind w:firstLine="420" w:firstLineChars="200"/>
              <w:rPr>
                <w:szCs w:val="21"/>
              </w:rPr>
            </w:pPr>
            <w:r>
              <w:rPr>
                <w:szCs w:val="21"/>
              </w:rPr>
              <w:t>（2）排水</w:t>
            </w:r>
          </w:p>
          <w:p>
            <w:pPr>
              <w:tabs>
                <w:tab w:val="left" w:pos="0"/>
              </w:tabs>
              <w:spacing w:line="360" w:lineRule="auto"/>
              <w:ind w:firstLine="420" w:firstLineChars="200"/>
              <w:rPr>
                <w:kern w:val="21"/>
                <w:szCs w:val="21"/>
              </w:rPr>
            </w:pPr>
            <w:r>
              <w:rPr>
                <w:szCs w:val="21"/>
              </w:rPr>
              <w:t>站内采用废污水分流，生活污水经化粪池、地面冲洗废水由排水沟收集经隔油沉淀池处理后经污水管网排入宁都县污水处理厂。站区</w:t>
            </w:r>
            <w:r>
              <w:t>拟在进、出站口设置排水沟，截留道路雨水防止进入站区；站内雨水则散流至站区围墙外排放。</w:t>
            </w:r>
          </w:p>
          <w:p>
            <w:pPr>
              <w:spacing w:line="360" w:lineRule="auto"/>
              <w:ind w:firstLine="420" w:firstLineChars="200"/>
              <w:rPr>
                <w:szCs w:val="21"/>
              </w:rPr>
            </w:pPr>
            <w:r>
              <w:rPr>
                <w:szCs w:val="21"/>
              </w:rPr>
              <w:t>（3）供电</w:t>
            </w:r>
          </w:p>
          <w:p>
            <w:pPr>
              <w:tabs>
                <w:tab w:val="left" w:pos="0"/>
              </w:tabs>
              <w:spacing w:line="360" w:lineRule="auto"/>
              <w:ind w:firstLine="420" w:firstLineChars="200"/>
              <w:rPr>
                <w:kern w:val="21"/>
                <w:szCs w:val="21"/>
              </w:rPr>
            </w:pPr>
            <w:r>
              <w:rPr>
                <w:kern w:val="21"/>
                <w:szCs w:val="21"/>
              </w:rPr>
              <w:t>项目用电由站外城镇电网经站区附近变压器（站区南面箱式变压器）接线进入站区配电间，用于设备运行、照明等。</w:t>
            </w:r>
          </w:p>
          <w:p>
            <w:pPr>
              <w:pStyle w:val="8"/>
              <w:adjustRightInd w:val="0"/>
              <w:snapToGrid w:val="0"/>
              <w:spacing w:after="0" w:line="360" w:lineRule="auto"/>
              <w:ind w:left="0" w:leftChars="0" w:firstLine="420" w:firstLineChars="200"/>
              <w:rPr>
                <w:sz w:val="21"/>
                <w:szCs w:val="21"/>
              </w:rPr>
            </w:pPr>
            <w:r>
              <w:rPr>
                <w:kern w:val="21"/>
                <w:sz w:val="21"/>
                <w:szCs w:val="21"/>
              </w:rPr>
              <w:t>（4）</w:t>
            </w:r>
            <w:r>
              <w:rPr>
                <w:sz w:val="21"/>
                <w:szCs w:val="21"/>
              </w:rPr>
              <w:t>供热供冷</w:t>
            </w:r>
          </w:p>
          <w:p>
            <w:pPr>
              <w:pStyle w:val="8"/>
              <w:adjustRightInd w:val="0"/>
              <w:snapToGrid w:val="0"/>
              <w:spacing w:after="0" w:line="360" w:lineRule="auto"/>
              <w:ind w:left="0" w:leftChars="0" w:firstLine="420" w:firstLineChars="200"/>
              <w:rPr>
                <w:kern w:val="21"/>
                <w:sz w:val="21"/>
                <w:szCs w:val="21"/>
              </w:rPr>
            </w:pPr>
            <w:r>
              <w:rPr>
                <w:sz w:val="21"/>
                <w:szCs w:val="21"/>
              </w:rPr>
              <w:t>项目无集中供热供冷系统，供冷供热由分体空调提供。</w:t>
            </w:r>
          </w:p>
          <w:p>
            <w:pPr>
              <w:pStyle w:val="8"/>
              <w:adjustRightInd w:val="0"/>
              <w:snapToGrid w:val="0"/>
              <w:spacing w:after="0" w:line="360" w:lineRule="auto"/>
              <w:ind w:left="0" w:leftChars="0" w:firstLine="420" w:firstLineChars="200"/>
              <w:rPr>
                <w:sz w:val="21"/>
                <w:szCs w:val="21"/>
              </w:rPr>
            </w:pPr>
            <w:r>
              <w:rPr>
                <w:sz w:val="21"/>
                <w:szCs w:val="21"/>
              </w:rPr>
              <w:t>（5）消防系统</w:t>
            </w:r>
          </w:p>
          <w:p>
            <w:pPr>
              <w:pStyle w:val="8"/>
              <w:adjustRightInd w:val="0"/>
              <w:snapToGrid w:val="0"/>
              <w:spacing w:after="0" w:line="360" w:lineRule="auto"/>
              <w:ind w:left="0" w:leftChars="0" w:firstLine="420" w:firstLineChars="200"/>
              <w:rPr>
                <w:sz w:val="21"/>
                <w:szCs w:val="21"/>
              </w:rPr>
            </w:pPr>
            <w:r>
              <w:rPr>
                <w:sz w:val="21"/>
                <w:szCs w:val="21"/>
              </w:rPr>
              <w:t>按照规范标准和消防管理部门的规定配备消防设备。对于加油站，需在加油机、地下储罐设一定数量的手提式和手推式干粉灭火器，同时站内配置灭火毯、消防罐和消防工具架一座，加油站消防同时依托当地消防站。</w:t>
            </w:r>
          </w:p>
          <w:p>
            <w:pPr>
              <w:pStyle w:val="8"/>
              <w:adjustRightInd w:val="0"/>
              <w:snapToGrid w:val="0"/>
              <w:spacing w:after="0" w:line="360" w:lineRule="auto"/>
              <w:ind w:left="0" w:leftChars="0" w:firstLine="420" w:firstLineChars="200"/>
              <w:rPr>
                <w:sz w:val="21"/>
                <w:szCs w:val="21"/>
              </w:rPr>
            </w:pPr>
            <w:r>
              <w:rPr>
                <w:sz w:val="21"/>
                <w:szCs w:val="21"/>
              </w:rPr>
              <w:t>本项目配备的消防设置见表2-9。</w:t>
            </w:r>
          </w:p>
          <w:p>
            <w:pPr>
              <w:adjustRightInd w:val="0"/>
              <w:snapToGrid w:val="0"/>
              <w:spacing w:line="276" w:lineRule="auto"/>
              <w:jc w:val="center"/>
              <w:rPr>
                <w:szCs w:val="21"/>
              </w:rPr>
            </w:pPr>
            <w:r>
              <w:rPr>
                <w:b/>
                <w:bCs/>
                <w:szCs w:val="21"/>
              </w:rPr>
              <w:t>表2-9  本项目配备的消防设施一览表</w:t>
            </w:r>
          </w:p>
          <w:tbl>
            <w:tblPr>
              <w:tblStyle w:val="21"/>
              <w:tblW w:w="791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3544"/>
              <w:gridCol w:w="1559"/>
              <w:gridCol w:w="17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6"/>
                    <w:spacing w:line="240" w:lineRule="atLeast"/>
                    <w:rPr>
                      <w:rFonts w:eastAsia="宋体"/>
                    </w:rPr>
                  </w:pPr>
                  <w:r>
                    <w:rPr>
                      <w:rFonts w:eastAsia="宋体"/>
                    </w:rPr>
                    <w:t>序号</w:t>
                  </w:r>
                </w:p>
              </w:tc>
              <w:tc>
                <w:tcPr>
                  <w:tcW w:w="3544" w:type="dxa"/>
                  <w:vAlign w:val="center"/>
                </w:tcPr>
                <w:p>
                  <w:pPr>
                    <w:pStyle w:val="46"/>
                    <w:spacing w:line="240" w:lineRule="atLeast"/>
                    <w:rPr>
                      <w:rFonts w:eastAsia="宋体"/>
                    </w:rPr>
                  </w:pPr>
                  <w:r>
                    <w:rPr>
                      <w:rFonts w:eastAsia="宋体"/>
                    </w:rPr>
                    <w:t>名称</w:t>
                  </w:r>
                </w:p>
              </w:tc>
              <w:tc>
                <w:tcPr>
                  <w:tcW w:w="1559" w:type="dxa"/>
                  <w:vAlign w:val="center"/>
                </w:tcPr>
                <w:p>
                  <w:pPr>
                    <w:pStyle w:val="46"/>
                    <w:spacing w:line="240" w:lineRule="atLeast"/>
                    <w:rPr>
                      <w:rFonts w:eastAsia="宋体"/>
                    </w:rPr>
                  </w:pPr>
                  <w:r>
                    <w:rPr>
                      <w:rFonts w:eastAsia="宋体"/>
                    </w:rPr>
                    <w:t>数量</w:t>
                  </w:r>
                </w:p>
              </w:tc>
              <w:tc>
                <w:tcPr>
                  <w:tcW w:w="1701" w:type="dxa"/>
                  <w:vAlign w:val="center"/>
                </w:tcPr>
                <w:p>
                  <w:pPr>
                    <w:pStyle w:val="46"/>
                    <w:spacing w:line="240" w:lineRule="atLeast"/>
                    <w:rPr>
                      <w:rFonts w:eastAsia="宋体"/>
                    </w:rPr>
                  </w:pPr>
                  <w:r>
                    <w:rPr>
                      <w:rFonts w:eastAsia="宋体"/>
                    </w:rPr>
                    <w:t>单位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1</w:t>
                  </w:r>
                </w:p>
              </w:tc>
              <w:tc>
                <w:tcPr>
                  <w:tcW w:w="3544" w:type="dxa"/>
                  <w:vAlign w:val="center"/>
                </w:tcPr>
                <w:p>
                  <w:pPr>
                    <w:pStyle w:val="48"/>
                    <w:adjustRightInd w:val="0"/>
                    <w:snapToGrid w:val="0"/>
                    <w:rPr>
                      <w:rFonts w:eastAsia="宋体"/>
                    </w:rPr>
                  </w:pPr>
                  <w:r>
                    <w:rPr>
                      <w:rFonts w:eastAsia="宋体"/>
                    </w:rPr>
                    <w:t>手提式干粉灭火器（MF/ABC6×2）</w:t>
                  </w:r>
                </w:p>
              </w:tc>
              <w:tc>
                <w:tcPr>
                  <w:tcW w:w="1559" w:type="dxa"/>
                  <w:vAlign w:val="center"/>
                </w:tcPr>
                <w:p>
                  <w:pPr>
                    <w:pStyle w:val="48"/>
                    <w:adjustRightInd w:val="0"/>
                    <w:snapToGrid w:val="0"/>
                    <w:rPr>
                      <w:rFonts w:eastAsia="宋体"/>
                    </w:rPr>
                  </w:pPr>
                  <w:r>
                    <w:rPr>
                      <w:rFonts w:eastAsia="宋体"/>
                    </w:rPr>
                    <w:t>14</w:t>
                  </w:r>
                </w:p>
              </w:tc>
              <w:tc>
                <w:tcPr>
                  <w:tcW w:w="1701" w:type="dxa"/>
                  <w:vAlign w:val="center"/>
                </w:tcPr>
                <w:p>
                  <w:pPr>
                    <w:pStyle w:val="48"/>
                    <w:adjustRightInd w:val="0"/>
                    <w:snapToGrid w:val="0"/>
                    <w:rPr>
                      <w:rFonts w:eastAsia="宋体"/>
                    </w:rPr>
                  </w:pPr>
                  <w:r>
                    <w:rPr>
                      <w:rFonts w:eastAsia="宋体"/>
                    </w:rPr>
                    <w:t>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2</w:t>
                  </w:r>
                </w:p>
              </w:tc>
              <w:tc>
                <w:tcPr>
                  <w:tcW w:w="3544" w:type="dxa"/>
                  <w:vAlign w:val="center"/>
                </w:tcPr>
                <w:p>
                  <w:pPr>
                    <w:pStyle w:val="48"/>
                    <w:adjustRightInd w:val="0"/>
                    <w:snapToGrid w:val="0"/>
                    <w:rPr>
                      <w:rFonts w:eastAsia="宋体"/>
                    </w:rPr>
                  </w:pPr>
                  <w:r>
                    <w:rPr>
                      <w:rFonts w:eastAsia="宋体"/>
                    </w:rPr>
                    <w:t>推车式干粉灭火器（MFT/ABC50）</w:t>
                  </w:r>
                </w:p>
              </w:tc>
              <w:tc>
                <w:tcPr>
                  <w:tcW w:w="1559" w:type="dxa"/>
                  <w:vAlign w:val="center"/>
                </w:tcPr>
                <w:p>
                  <w:pPr>
                    <w:pStyle w:val="48"/>
                    <w:adjustRightInd w:val="0"/>
                    <w:snapToGrid w:val="0"/>
                    <w:rPr>
                      <w:rFonts w:eastAsia="宋体"/>
                    </w:rPr>
                  </w:pPr>
                  <w:r>
                    <w:rPr>
                      <w:rFonts w:eastAsia="宋体"/>
                    </w:rPr>
                    <w:t>7</w:t>
                  </w:r>
                </w:p>
              </w:tc>
              <w:tc>
                <w:tcPr>
                  <w:tcW w:w="1701" w:type="dxa"/>
                  <w:vAlign w:val="center"/>
                </w:tcPr>
                <w:p>
                  <w:pPr>
                    <w:pStyle w:val="48"/>
                    <w:adjustRightInd w:val="0"/>
                    <w:snapToGrid w:val="0"/>
                    <w:rPr>
                      <w:rFonts w:eastAsia="宋体"/>
                    </w:rPr>
                  </w:pPr>
                  <w:r>
                    <w:rPr>
                      <w:rFonts w:eastAsia="宋体"/>
                    </w:rPr>
                    <w:t>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3</w:t>
                  </w:r>
                </w:p>
              </w:tc>
              <w:tc>
                <w:tcPr>
                  <w:tcW w:w="3544" w:type="dxa"/>
                  <w:vAlign w:val="center"/>
                </w:tcPr>
                <w:p>
                  <w:pPr>
                    <w:pStyle w:val="48"/>
                    <w:adjustRightInd w:val="0"/>
                    <w:snapToGrid w:val="0"/>
                    <w:rPr>
                      <w:rFonts w:eastAsia="宋体"/>
                    </w:rPr>
                  </w:pPr>
                  <w:r>
                    <w:rPr>
                      <w:rFonts w:eastAsia="宋体"/>
                    </w:rPr>
                    <w:t>7kg二氧化碳灭火器</w:t>
                  </w:r>
                </w:p>
              </w:tc>
              <w:tc>
                <w:tcPr>
                  <w:tcW w:w="1559" w:type="dxa"/>
                  <w:vAlign w:val="center"/>
                </w:tcPr>
                <w:p>
                  <w:pPr>
                    <w:pStyle w:val="48"/>
                    <w:adjustRightInd w:val="0"/>
                    <w:snapToGrid w:val="0"/>
                    <w:rPr>
                      <w:rFonts w:eastAsia="宋体"/>
                    </w:rPr>
                  </w:pPr>
                  <w:r>
                    <w:rPr>
                      <w:rFonts w:eastAsia="宋体"/>
                    </w:rPr>
                    <w:t>1</w:t>
                  </w:r>
                </w:p>
              </w:tc>
              <w:tc>
                <w:tcPr>
                  <w:tcW w:w="1701" w:type="dxa"/>
                  <w:vAlign w:val="center"/>
                </w:tcPr>
                <w:p>
                  <w:pPr>
                    <w:pStyle w:val="48"/>
                    <w:adjustRightInd w:val="0"/>
                    <w:snapToGrid w:val="0"/>
                    <w:rPr>
                      <w:rFonts w:eastAsia="宋体"/>
                    </w:rPr>
                  </w:pPr>
                  <w:r>
                    <w:rPr>
                      <w:rFonts w:eastAsia="宋体"/>
                    </w:rPr>
                    <w:t>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1109" w:type="dxa"/>
                  <w:vAlign w:val="center"/>
                </w:tcPr>
                <w:p>
                  <w:pPr>
                    <w:pStyle w:val="48"/>
                    <w:spacing w:line="240" w:lineRule="atLeast"/>
                    <w:rPr>
                      <w:rFonts w:eastAsia="宋体"/>
                    </w:rPr>
                  </w:pPr>
                  <w:r>
                    <w:rPr>
                      <w:rFonts w:eastAsia="宋体"/>
                    </w:rPr>
                    <w:t>4</w:t>
                  </w:r>
                </w:p>
              </w:tc>
              <w:tc>
                <w:tcPr>
                  <w:tcW w:w="3544" w:type="dxa"/>
                  <w:vAlign w:val="center"/>
                </w:tcPr>
                <w:p>
                  <w:pPr>
                    <w:pStyle w:val="48"/>
                    <w:adjustRightInd w:val="0"/>
                    <w:snapToGrid w:val="0"/>
                    <w:rPr>
                      <w:rFonts w:eastAsia="宋体"/>
                    </w:rPr>
                  </w:pPr>
                  <w:r>
                    <w:rPr>
                      <w:rFonts w:eastAsia="宋体"/>
                    </w:rPr>
                    <w:t>灭火毯（2000×2000）</w:t>
                  </w:r>
                </w:p>
              </w:tc>
              <w:tc>
                <w:tcPr>
                  <w:tcW w:w="1559" w:type="dxa"/>
                  <w:vAlign w:val="center"/>
                </w:tcPr>
                <w:p>
                  <w:pPr>
                    <w:pStyle w:val="48"/>
                    <w:adjustRightInd w:val="0"/>
                    <w:snapToGrid w:val="0"/>
                    <w:rPr>
                      <w:rFonts w:eastAsia="宋体"/>
                    </w:rPr>
                  </w:pPr>
                  <w:r>
                    <w:rPr>
                      <w:rFonts w:eastAsia="宋体"/>
                    </w:rPr>
                    <w:t>5</w:t>
                  </w:r>
                </w:p>
              </w:tc>
              <w:tc>
                <w:tcPr>
                  <w:tcW w:w="1701" w:type="dxa"/>
                  <w:vAlign w:val="center"/>
                </w:tcPr>
                <w:p>
                  <w:pPr>
                    <w:pStyle w:val="48"/>
                    <w:adjustRightInd w:val="0"/>
                    <w:snapToGrid w:val="0"/>
                    <w:rPr>
                      <w:rFonts w:eastAsia="宋体"/>
                    </w:rPr>
                  </w:pPr>
                  <w:r>
                    <w:rPr>
                      <w:rFonts w:eastAsia="宋体"/>
                    </w:rPr>
                    <w:t>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5</w:t>
                  </w:r>
                </w:p>
              </w:tc>
              <w:tc>
                <w:tcPr>
                  <w:tcW w:w="3544" w:type="dxa"/>
                  <w:vAlign w:val="center"/>
                </w:tcPr>
                <w:p>
                  <w:pPr>
                    <w:pStyle w:val="48"/>
                    <w:adjustRightInd w:val="0"/>
                    <w:snapToGrid w:val="0"/>
                    <w:rPr>
                      <w:rFonts w:eastAsia="宋体"/>
                    </w:rPr>
                  </w:pPr>
                  <w:r>
                    <w:rPr>
                      <w:rFonts w:eastAsia="宋体"/>
                    </w:rPr>
                    <w:t>消防沙箱</w:t>
                  </w:r>
                </w:p>
              </w:tc>
              <w:tc>
                <w:tcPr>
                  <w:tcW w:w="1559" w:type="dxa"/>
                  <w:vAlign w:val="center"/>
                </w:tcPr>
                <w:p>
                  <w:pPr>
                    <w:pStyle w:val="48"/>
                    <w:adjustRightInd w:val="0"/>
                    <w:snapToGrid w:val="0"/>
                    <w:rPr>
                      <w:rFonts w:eastAsia="宋体"/>
                    </w:rPr>
                  </w:pPr>
                  <w:r>
                    <w:rPr>
                      <w:rFonts w:eastAsia="宋体"/>
                    </w:rPr>
                    <w:t>1</w:t>
                  </w:r>
                </w:p>
              </w:tc>
              <w:tc>
                <w:tcPr>
                  <w:tcW w:w="1701" w:type="dxa"/>
                  <w:vAlign w:val="center"/>
                </w:tcPr>
                <w:p>
                  <w:pPr>
                    <w:pStyle w:val="48"/>
                    <w:adjustRightInd w:val="0"/>
                    <w:snapToGrid w:val="0"/>
                    <w:rPr>
                      <w:rFonts w:eastAsia="宋体"/>
                    </w:rPr>
                  </w:pPr>
                  <w:r>
                    <w:rPr>
                      <w:rFonts w:eastAsia="宋体"/>
                    </w:rPr>
                    <w:t>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6</w:t>
                  </w:r>
                </w:p>
              </w:tc>
              <w:tc>
                <w:tcPr>
                  <w:tcW w:w="3544" w:type="dxa"/>
                  <w:vAlign w:val="center"/>
                </w:tcPr>
                <w:p>
                  <w:pPr>
                    <w:pStyle w:val="48"/>
                    <w:adjustRightInd w:val="0"/>
                    <w:snapToGrid w:val="0"/>
                    <w:rPr>
                      <w:rFonts w:eastAsia="宋体"/>
                    </w:rPr>
                  </w:pPr>
                  <w:r>
                    <w:rPr>
                      <w:rFonts w:eastAsia="宋体"/>
                    </w:rPr>
                    <w:t>消防器材箱</w:t>
                  </w:r>
                </w:p>
              </w:tc>
              <w:tc>
                <w:tcPr>
                  <w:tcW w:w="1559" w:type="dxa"/>
                  <w:vAlign w:val="center"/>
                </w:tcPr>
                <w:p>
                  <w:pPr>
                    <w:pStyle w:val="48"/>
                    <w:adjustRightInd w:val="0"/>
                    <w:snapToGrid w:val="0"/>
                    <w:rPr>
                      <w:rFonts w:eastAsia="宋体"/>
                    </w:rPr>
                  </w:pPr>
                  <w:r>
                    <w:rPr>
                      <w:rFonts w:eastAsia="宋体"/>
                    </w:rPr>
                    <w:t>1</w:t>
                  </w:r>
                </w:p>
              </w:tc>
              <w:tc>
                <w:tcPr>
                  <w:tcW w:w="1701" w:type="dxa"/>
                  <w:vAlign w:val="center"/>
                </w:tcPr>
                <w:p>
                  <w:pPr>
                    <w:pStyle w:val="48"/>
                    <w:adjustRightInd w:val="0"/>
                    <w:snapToGrid w:val="0"/>
                    <w:rPr>
                      <w:rFonts w:eastAsia="宋体"/>
                    </w:rPr>
                  </w:pPr>
                  <w:r>
                    <w:rPr>
                      <w:rFonts w:eastAsia="宋体"/>
                    </w:rPr>
                    <w:t>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dxa"/>
                  <w:vAlign w:val="center"/>
                </w:tcPr>
                <w:p>
                  <w:pPr>
                    <w:pStyle w:val="48"/>
                    <w:spacing w:line="240" w:lineRule="atLeast"/>
                    <w:rPr>
                      <w:rFonts w:eastAsia="宋体"/>
                    </w:rPr>
                  </w:pPr>
                  <w:r>
                    <w:rPr>
                      <w:rFonts w:eastAsia="宋体"/>
                    </w:rPr>
                    <w:t>7</w:t>
                  </w:r>
                </w:p>
              </w:tc>
              <w:tc>
                <w:tcPr>
                  <w:tcW w:w="3544" w:type="dxa"/>
                  <w:vAlign w:val="center"/>
                </w:tcPr>
                <w:p>
                  <w:pPr>
                    <w:pStyle w:val="48"/>
                    <w:adjustRightInd w:val="0"/>
                    <w:snapToGrid w:val="0"/>
                    <w:rPr>
                      <w:rFonts w:eastAsia="宋体"/>
                    </w:rPr>
                  </w:pPr>
                  <w:r>
                    <w:rPr>
                      <w:rFonts w:eastAsia="宋体"/>
                    </w:rPr>
                    <w:t>消防沙</w:t>
                  </w:r>
                </w:p>
              </w:tc>
              <w:tc>
                <w:tcPr>
                  <w:tcW w:w="1559" w:type="dxa"/>
                  <w:vAlign w:val="center"/>
                </w:tcPr>
                <w:p>
                  <w:pPr>
                    <w:pStyle w:val="48"/>
                    <w:adjustRightInd w:val="0"/>
                    <w:snapToGrid w:val="0"/>
                    <w:rPr>
                      <w:rFonts w:eastAsia="宋体"/>
                    </w:rPr>
                  </w:pPr>
                  <w:r>
                    <w:rPr>
                      <w:rFonts w:eastAsia="宋体"/>
                    </w:rPr>
                    <w:t>2</w:t>
                  </w:r>
                </w:p>
              </w:tc>
              <w:tc>
                <w:tcPr>
                  <w:tcW w:w="1701" w:type="dxa"/>
                  <w:vAlign w:val="center"/>
                </w:tcPr>
                <w:p>
                  <w:pPr>
                    <w:pStyle w:val="48"/>
                    <w:adjustRightInd w:val="0"/>
                    <w:snapToGrid w:val="0"/>
                    <w:rPr>
                      <w:rFonts w:eastAsia="宋体"/>
                    </w:rPr>
                  </w:pPr>
                  <w:r>
                    <w:rPr>
                      <w:rFonts w:eastAsia="宋体"/>
                    </w:rPr>
                    <w:t>m</w:t>
                  </w:r>
                  <w:r>
                    <w:rPr>
                      <w:rFonts w:eastAsia="宋体"/>
                      <w:vertAlign w:val="superscript"/>
                    </w:rPr>
                    <w:t>3</w:t>
                  </w:r>
                </w:p>
              </w:tc>
            </w:tr>
          </w:tbl>
          <w:p>
            <w:pPr>
              <w:tabs>
                <w:tab w:val="left" w:pos="0"/>
              </w:tabs>
              <w:spacing w:line="360" w:lineRule="auto"/>
              <w:ind w:firstLine="422" w:firstLineChars="200"/>
              <w:rPr>
                <w:b/>
                <w:szCs w:val="21"/>
                <w:lang w:bidi="en-US"/>
              </w:rPr>
            </w:pPr>
          </w:p>
          <w:p>
            <w:pPr>
              <w:tabs>
                <w:tab w:val="left" w:pos="0"/>
              </w:tabs>
              <w:spacing w:line="360" w:lineRule="auto"/>
              <w:ind w:firstLine="422" w:firstLineChars="200"/>
              <w:rPr>
                <w:b/>
                <w:szCs w:val="21"/>
                <w:lang w:bidi="en-US"/>
              </w:rPr>
            </w:pPr>
            <w:r>
              <w:rPr>
                <w:b/>
                <w:szCs w:val="21"/>
                <w:lang w:bidi="en-US"/>
              </w:rPr>
              <w:t>5、劳动定员及工作制度</w:t>
            </w:r>
          </w:p>
          <w:p>
            <w:pPr>
              <w:tabs>
                <w:tab w:val="left" w:pos="0"/>
              </w:tabs>
              <w:spacing w:line="360" w:lineRule="auto"/>
              <w:ind w:firstLine="420" w:firstLineChars="200"/>
              <w:rPr>
                <w:szCs w:val="21"/>
              </w:rPr>
            </w:pPr>
            <w:r>
              <w:rPr>
                <w:szCs w:val="21"/>
              </w:rPr>
              <w:t>加油站实行站长负责制，建成后定员8人，管理人员1人，工人7人。两班工作制，每天每班8小时工作，</w:t>
            </w:r>
            <w:r>
              <w:rPr>
                <w:rFonts w:hint="eastAsia"/>
                <w:szCs w:val="21"/>
              </w:rPr>
              <w:t>每天有5名员工上班</w:t>
            </w:r>
            <w:r>
              <w:rPr>
                <w:szCs w:val="21"/>
              </w:rPr>
              <w:t>。</w:t>
            </w:r>
          </w:p>
          <w:p>
            <w:pPr>
              <w:tabs>
                <w:tab w:val="left" w:pos="0"/>
              </w:tabs>
              <w:spacing w:line="360" w:lineRule="auto"/>
              <w:ind w:firstLine="422" w:firstLineChars="200"/>
              <w:rPr>
                <w:b/>
                <w:szCs w:val="21"/>
              </w:rPr>
            </w:pPr>
            <w:r>
              <w:rPr>
                <w:b/>
                <w:szCs w:val="21"/>
              </w:rPr>
              <w:t>6、项目总平面布置</w:t>
            </w:r>
          </w:p>
          <w:p>
            <w:pPr>
              <w:tabs>
                <w:tab w:val="left" w:pos="0"/>
              </w:tabs>
              <w:spacing w:line="360" w:lineRule="auto"/>
              <w:ind w:firstLine="420" w:firstLineChars="200"/>
              <w:rPr>
                <w:szCs w:val="21"/>
              </w:rPr>
            </w:pPr>
            <w:r>
              <w:rPr>
                <w:szCs w:val="21"/>
              </w:rPr>
              <w:t>本项目西侧为外环路G236，</w:t>
            </w:r>
            <w:r>
              <w:rPr>
                <w:szCs w:val="28"/>
              </w:rPr>
              <w:t>该站罩棚位于站区中部，罩棚下为</w:t>
            </w:r>
            <w:r>
              <w:rPr>
                <w:szCs w:val="21"/>
              </w:rPr>
              <w:t>加油区，3个加油岛平均分布于加油区内，</w:t>
            </w:r>
            <w:r>
              <w:rPr>
                <w:szCs w:val="28"/>
              </w:rPr>
              <w:t>加油机位于加油岛上，</w:t>
            </w:r>
            <w:r>
              <w:rPr>
                <w:szCs w:val="21"/>
              </w:rPr>
              <w:t>埋地油罐位于加油区的东北方向，罐池埋设在地下。加油区的南侧为汽车充电区，充电车位及充电桩沿南侧围墙平行布置；加油区的东侧为站房，便利店、站财室、值班室、配电间、洗手间等均设置于站房内。站房的北侧为卸油区域及消防器材；隔油沉淀池位于项目加油区西侧出入口附近；化粪池位于项目区站房外东</w:t>
            </w:r>
            <w:r>
              <w:rPr>
                <w:rFonts w:hint="eastAsia"/>
                <w:szCs w:val="21"/>
              </w:rPr>
              <w:t>南</w:t>
            </w:r>
            <w:r>
              <w:rPr>
                <w:szCs w:val="21"/>
              </w:rPr>
              <w:t>侧。项目西侧外环路G236方向设置有1个出入口。本项目不设置食堂，员工外带食物，站房内不使用明火。</w:t>
            </w:r>
            <w:r>
              <w:rPr>
                <w:kern w:val="21"/>
                <w:szCs w:val="21"/>
              </w:rPr>
              <w:t>项目具体总平面布置见附图二。</w:t>
            </w:r>
          </w:p>
          <w:p>
            <w:pPr>
              <w:tabs>
                <w:tab w:val="left" w:pos="0"/>
              </w:tabs>
              <w:spacing w:line="360" w:lineRule="auto"/>
              <w:ind w:firstLine="420" w:firstLineChars="200"/>
              <w:rPr>
                <w:szCs w:val="21"/>
              </w:rPr>
            </w:pPr>
            <w:r>
              <w:rPr>
                <w:szCs w:val="21"/>
              </w:rPr>
              <w:t>根据《汽车加油加气加氢站技术标准》（GB50156-2021）中关于加油站总平面布置标准要求，本项目总平面布置与标准情况对比见表2-10。</w:t>
            </w:r>
          </w:p>
          <w:p>
            <w:pPr>
              <w:adjustRightInd w:val="0"/>
              <w:snapToGrid w:val="0"/>
              <w:spacing w:line="276" w:lineRule="auto"/>
              <w:jc w:val="center"/>
              <w:rPr>
                <w:b/>
                <w:bCs/>
                <w:szCs w:val="21"/>
              </w:rPr>
            </w:pPr>
            <w:r>
              <w:rPr>
                <w:b/>
                <w:bCs/>
                <w:szCs w:val="21"/>
              </w:rPr>
              <w:t>表2-10  本项目总平面布置与标准对比情况</w:t>
            </w:r>
          </w:p>
          <w:tbl>
            <w:tblPr>
              <w:tblStyle w:val="21"/>
              <w:tblW w:w="79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autofit"/>
              <w:tblCellMar>
                <w:top w:w="0" w:type="dxa"/>
                <w:left w:w="28" w:type="dxa"/>
                <w:bottom w:w="0" w:type="dxa"/>
                <w:right w:w="28" w:type="dxa"/>
              </w:tblCellMar>
            </w:tblPr>
            <w:tblGrid>
              <w:gridCol w:w="400"/>
              <w:gridCol w:w="4064"/>
              <w:gridCol w:w="2882"/>
              <w:gridCol w:w="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91" w:hRule="atLeast"/>
              </w:trPr>
              <w:tc>
                <w:tcPr>
                  <w:tcW w:w="400" w:type="dxa"/>
                  <w:vAlign w:val="center"/>
                </w:tcPr>
                <w:p>
                  <w:pPr>
                    <w:pStyle w:val="46"/>
                    <w:adjustRightInd w:val="0"/>
                    <w:snapToGrid w:val="0"/>
                    <w:rPr>
                      <w:rFonts w:eastAsia="宋体"/>
                    </w:rPr>
                  </w:pPr>
                  <w:r>
                    <w:rPr>
                      <w:rFonts w:eastAsia="宋体"/>
                    </w:rPr>
                    <w:t>序号</w:t>
                  </w:r>
                </w:p>
              </w:tc>
              <w:tc>
                <w:tcPr>
                  <w:tcW w:w="4064" w:type="dxa"/>
                  <w:vAlign w:val="center"/>
                </w:tcPr>
                <w:p>
                  <w:pPr>
                    <w:pStyle w:val="46"/>
                    <w:adjustRightInd w:val="0"/>
                    <w:snapToGrid w:val="0"/>
                    <w:rPr>
                      <w:rFonts w:eastAsia="宋体"/>
                    </w:rPr>
                  </w:pPr>
                  <w:r>
                    <w:rPr>
                      <w:rFonts w:eastAsia="宋体"/>
                    </w:rPr>
                    <w:t>标准要求</w:t>
                  </w:r>
                </w:p>
              </w:tc>
              <w:tc>
                <w:tcPr>
                  <w:tcW w:w="2882" w:type="dxa"/>
                  <w:vAlign w:val="center"/>
                </w:tcPr>
                <w:p>
                  <w:pPr>
                    <w:pStyle w:val="46"/>
                    <w:adjustRightInd w:val="0"/>
                    <w:snapToGrid w:val="0"/>
                    <w:rPr>
                      <w:rFonts w:eastAsia="宋体"/>
                    </w:rPr>
                  </w:pPr>
                  <w:r>
                    <w:rPr>
                      <w:rFonts w:eastAsia="宋体"/>
                    </w:rPr>
                    <w:t>本项目实际情况</w:t>
                  </w:r>
                </w:p>
              </w:tc>
              <w:tc>
                <w:tcPr>
                  <w:tcW w:w="567" w:type="dxa"/>
                  <w:vAlign w:val="center"/>
                </w:tcPr>
                <w:p>
                  <w:pPr>
                    <w:pStyle w:val="46"/>
                    <w:adjustRightInd w:val="0"/>
                    <w:snapToGrid w:val="0"/>
                    <w:rPr>
                      <w:rFonts w:eastAsia="宋体"/>
                    </w:rPr>
                  </w:pPr>
                  <w:r>
                    <w:rPr>
                      <w:rFonts w:eastAsia="宋体"/>
                    </w:rPr>
                    <w:t>符合情况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1</w:t>
                  </w:r>
                </w:p>
              </w:tc>
              <w:tc>
                <w:tcPr>
                  <w:tcW w:w="4064" w:type="dxa"/>
                  <w:vAlign w:val="center"/>
                </w:tcPr>
                <w:p>
                  <w:pPr>
                    <w:pStyle w:val="46"/>
                    <w:adjustRightInd w:val="0"/>
                    <w:snapToGrid w:val="0"/>
                    <w:rPr>
                      <w:rFonts w:eastAsia="宋体"/>
                    </w:rPr>
                  </w:pPr>
                  <w:r>
                    <w:rPr>
                      <w:rFonts w:eastAsia="宋体"/>
                    </w:rPr>
                    <w:t>车辆入口和出口应分开设置。</w:t>
                  </w:r>
                </w:p>
              </w:tc>
              <w:tc>
                <w:tcPr>
                  <w:tcW w:w="2882" w:type="dxa"/>
                  <w:vAlign w:val="center"/>
                </w:tcPr>
                <w:p>
                  <w:pPr>
                    <w:pStyle w:val="46"/>
                    <w:adjustRightInd w:val="0"/>
                    <w:snapToGrid w:val="0"/>
                    <w:rPr>
                      <w:rFonts w:eastAsia="宋体"/>
                    </w:rPr>
                  </w:pPr>
                  <w:r>
                    <w:rPr>
                      <w:rFonts w:eastAsia="宋体"/>
                    </w:rPr>
                    <w:t>车辆入口、出口道路分开设置。</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2</w:t>
                  </w:r>
                </w:p>
              </w:tc>
              <w:tc>
                <w:tcPr>
                  <w:tcW w:w="4064" w:type="dxa"/>
                  <w:vAlign w:val="center"/>
                </w:tcPr>
                <w:p>
                  <w:pPr>
                    <w:pStyle w:val="46"/>
                    <w:adjustRightInd w:val="0"/>
                    <w:snapToGrid w:val="0"/>
                    <w:rPr>
                      <w:rFonts w:eastAsia="宋体"/>
                    </w:rPr>
                  </w:pPr>
                  <w:r>
                    <w:rPr>
                      <w:rFonts w:eastAsia="宋体"/>
                    </w:rPr>
                    <w:t>单车道宽度≥4m，双车道宽度≥6m</w:t>
                  </w:r>
                </w:p>
              </w:tc>
              <w:tc>
                <w:tcPr>
                  <w:tcW w:w="2882" w:type="dxa"/>
                  <w:vAlign w:val="center"/>
                </w:tcPr>
                <w:p>
                  <w:pPr>
                    <w:pStyle w:val="46"/>
                    <w:adjustRightInd w:val="0"/>
                    <w:snapToGrid w:val="0"/>
                    <w:rPr>
                      <w:rFonts w:eastAsia="宋体"/>
                    </w:rPr>
                  </w:pPr>
                  <w:r>
                    <w:rPr>
                      <w:rFonts w:eastAsia="宋体"/>
                    </w:rPr>
                    <w:t>单车道5m，双车道20m</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3</w:t>
                  </w:r>
                </w:p>
              </w:tc>
              <w:tc>
                <w:tcPr>
                  <w:tcW w:w="4064" w:type="dxa"/>
                  <w:vAlign w:val="center"/>
                </w:tcPr>
                <w:p>
                  <w:pPr>
                    <w:pStyle w:val="46"/>
                    <w:adjustRightInd w:val="0"/>
                    <w:snapToGrid w:val="0"/>
                    <w:rPr>
                      <w:rFonts w:eastAsia="宋体"/>
                    </w:rPr>
                  </w:pPr>
                  <w:r>
                    <w:rPr>
                      <w:rFonts w:eastAsia="宋体"/>
                    </w:rPr>
                    <w:t>站内道路转弯半径半径应按行驶车型确定，且不宜小于9m。</w:t>
                  </w:r>
                </w:p>
              </w:tc>
              <w:tc>
                <w:tcPr>
                  <w:tcW w:w="2882" w:type="dxa"/>
                  <w:vAlign w:val="center"/>
                </w:tcPr>
                <w:p>
                  <w:pPr>
                    <w:pStyle w:val="46"/>
                    <w:adjustRightInd w:val="0"/>
                    <w:snapToGrid w:val="0"/>
                    <w:rPr>
                      <w:rFonts w:eastAsia="宋体"/>
                    </w:rPr>
                  </w:pPr>
                  <w:r>
                    <w:rPr>
                      <w:rFonts w:eastAsia="宋体"/>
                    </w:rPr>
                    <w:t>12m</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4</w:t>
                  </w:r>
                </w:p>
              </w:tc>
              <w:tc>
                <w:tcPr>
                  <w:tcW w:w="4064" w:type="dxa"/>
                  <w:vAlign w:val="center"/>
                </w:tcPr>
                <w:p>
                  <w:pPr>
                    <w:pStyle w:val="46"/>
                    <w:adjustRightInd w:val="0"/>
                    <w:snapToGrid w:val="0"/>
                    <w:rPr>
                      <w:rFonts w:eastAsia="宋体"/>
                    </w:rPr>
                  </w:pPr>
                  <w:r>
                    <w:rPr>
                      <w:rFonts w:eastAsia="宋体"/>
                    </w:rPr>
                    <w:t>站内停车场和道路路面不应采用沥青路面</w:t>
                  </w:r>
                </w:p>
              </w:tc>
              <w:tc>
                <w:tcPr>
                  <w:tcW w:w="2882" w:type="dxa"/>
                  <w:vAlign w:val="center"/>
                </w:tcPr>
                <w:p>
                  <w:pPr>
                    <w:pStyle w:val="46"/>
                    <w:adjustRightInd w:val="0"/>
                    <w:snapToGrid w:val="0"/>
                    <w:rPr>
                      <w:rFonts w:eastAsia="宋体"/>
                    </w:rPr>
                  </w:pPr>
                  <w:r>
                    <w:rPr>
                      <w:rFonts w:eastAsia="宋体"/>
                    </w:rPr>
                    <w:t>混凝土路面</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5</w:t>
                  </w:r>
                </w:p>
              </w:tc>
              <w:tc>
                <w:tcPr>
                  <w:tcW w:w="4064" w:type="dxa"/>
                  <w:vAlign w:val="center"/>
                </w:tcPr>
                <w:p>
                  <w:pPr>
                    <w:pStyle w:val="46"/>
                    <w:adjustRightInd w:val="0"/>
                    <w:snapToGrid w:val="0"/>
                    <w:rPr>
                      <w:rFonts w:eastAsia="宋体"/>
                    </w:rPr>
                  </w:pPr>
                  <w:r>
                    <w:rPr>
                      <w:rFonts w:eastAsia="宋体"/>
                    </w:rPr>
                    <w:t>电动汽车充电设施应布置在辅助服务区内</w:t>
                  </w:r>
                </w:p>
              </w:tc>
              <w:tc>
                <w:tcPr>
                  <w:tcW w:w="2882" w:type="dxa"/>
                  <w:vAlign w:val="center"/>
                </w:tcPr>
                <w:p>
                  <w:pPr>
                    <w:pStyle w:val="46"/>
                    <w:adjustRightInd w:val="0"/>
                    <w:snapToGrid w:val="0"/>
                    <w:rPr>
                      <w:rFonts w:eastAsia="宋体"/>
                    </w:rPr>
                  </w:pPr>
                  <w:r>
                    <w:rPr>
                      <w:rFonts w:eastAsia="宋体"/>
                    </w:rPr>
                    <w:t>充电设施位于南侧绿化区</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91" w:hRule="atLeast"/>
              </w:trPr>
              <w:tc>
                <w:tcPr>
                  <w:tcW w:w="400" w:type="dxa"/>
                  <w:vAlign w:val="center"/>
                </w:tcPr>
                <w:p>
                  <w:pPr>
                    <w:pStyle w:val="46"/>
                    <w:adjustRightInd w:val="0"/>
                    <w:snapToGrid w:val="0"/>
                    <w:rPr>
                      <w:rFonts w:eastAsia="宋体"/>
                    </w:rPr>
                  </w:pPr>
                  <w:r>
                    <w:rPr>
                      <w:rFonts w:eastAsia="宋体"/>
                    </w:rPr>
                    <w:t>6</w:t>
                  </w:r>
                </w:p>
              </w:tc>
              <w:tc>
                <w:tcPr>
                  <w:tcW w:w="4064" w:type="dxa"/>
                  <w:vAlign w:val="center"/>
                </w:tcPr>
                <w:p>
                  <w:pPr>
                    <w:pStyle w:val="46"/>
                    <w:adjustRightInd w:val="0"/>
                    <w:snapToGrid w:val="0"/>
                    <w:rPr>
                      <w:rFonts w:eastAsia="宋体"/>
                    </w:rPr>
                  </w:pPr>
                  <w:r>
                    <w:rPr>
                      <w:rFonts w:eastAsia="宋体"/>
                    </w:rPr>
                    <w:t>变配电间或室外变压器应布置在作业区之外。</w:t>
                  </w:r>
                </w:p>
              </w:tc>
              <w:tc>
                <w:tcPr>
                  <w:tcW w:w="2882" w:type="dxa"/>
                  <w:vAlign w:val="center"/>
                </w:tcPr>
                <w:p>
                  <w:pPr>
                    <w:pStyle w:val="46"/>
                    <w:adjustRightInd w:val="0"/>
                    <w:snapToGrid w:val="0"/>
                    <w:rPr>
                      <w:rFonts w:eastAsia="宋体"/>
                    </w:rPr>
                  </w:pPr>
                  <w:r>
                    <w:rPr>
                      <w:rFonts w:eastAsia="宋体"/>
                    </w:rPr>
                    <w:t>箱式变压器位于站房南侧的绿化区</w:t>
                  </w:r>
                </w:p>
              </w:tc>
              <w:tc>
                <w:tcPr>
                  <w:tcW w:w="567" w:type="dxa"/>
                  <w:vAlign w:val="center"/>
                </w:tcPr>
                <w:p>
                  <w:pPr>
                    <w:pStyle w:val="46"/>
                    <w:adjustRightInd w:val="0"/>
                    <w:snapToGrid w:val="0"/>
                    <w:rPr>
                      <w:rFonts w:eastAsia="宋体"/>
                    </w:rPr>
                  </w:pPr>
                  <w:r>
                    <w:rPr>
                      <w:rFonts w:eastAsia="宋体"/>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28" w:type="dxa"/>
                  <w:bottom w:w="0" w:type="dxa"/>
                  <w:right w:w="28" w:type="dxa"/>
                </w:tblCellMar>
              </w:tblPrEx>
              <w:trPr>
                <w:trHeight w:val="278" w:hRule="atLeast"/>
              </w:trPr>
              <w:tc>
                <w:tcPr>
                  <w:tcW w:w="400" w:type="dxa"/>
                  <w:vAlign w:val="center"/>
                </w:tcPr>
                <w:p>
                  <w:pPr>
                    <w:pStyle w:val="46"/>
                    <w:adjustRightInd w:val="0"/>
                    <w:snapToGrid w:val="0"/>
                    <w:rPr>
                      <w:rFonts w:eastAsia="宋体"/>
                    </w:rPr>
                  </w:pPr>
                  <w:r>
                    <w:rPr>
                      <w:rFonts w:eastAsia="宋体"/>
                    </w:rPr>
                    <w:t>7</w:t>
                  </w:r>
                </w:p>
              </w:tc>
              <w:tc>
                <w:tcPr>
                  <w:tcW w:w="4064" w:type="dxa"/>
                  <w:vAlign w:val="center"/>
                </w:tcPr>
                <w:p>
                  <w:pPr>
                    <w:pStyle w:val="46"/>
                    <w:adjustRightInd w:val="0"/>
                    <w:snapToGrid w:val="0"/>
                    <w:rPr>
                      <w:rFonts w:eastAsia="宋体"/>
                    </w:rPr>
                  </w:pPr>
                  <w:r>
                    <w:rPr>
                      <w:rFonts w:eastAsia="宋体"/>
                    </w:rPr>
                    <w:t>加油站的工艺设备与站外建（构）物之间宜设置不燃烧体围墙，围墙高度相对于站内站外地坪均不宜低于2.2m</w:t>
                  </w:r>
                </w:p>
              </w:tc>
              <w:tc>
                <w:tcPr>
                  <w:tcW w:w="2882" w:type="dxa"/>
                  <w:vAlign w:val="center"/>
                </w:tcPr>
                <w:p>
                  <w:pPr>
                    <w:pStyle w:val="46"/>
                    <w:adjustRightInd w:val="0"/>
                    <w:snapToGrid w:val="0"/>
                    <w:rPr>
                      <w:rFonts w:eastAsia="宋体"/>
                    </w:rPr>
                  </w:pPr>
                  <w:r>
                    <w:rPr>
                      <w:rFonts w:eastAsia="宋体"/>
                    </w:rPr>
                    <w:t>加油站东、南、北三面建设实体围墙，建设高度为2.2m</w:t>
                  </w:r>
                </w:p>
              </w:tc>
              <w:tc>
                <w:tcPr>
                  <w:tcW w:w="567" w:type="dxa"/>
                  <w:vAlign w:val="center"/>
                </w:tcPr>
                <w:p>
                  <w:pPr>
                    <w:pStyle w:val="46"/>
                    <w:adjustRightInd w:val="0"/>
                    <w:snapToGrid w:val="0"/>
                    <w:rPr>
                      <w:rFonts w:eastAsia="宋体"/>
                    </w:rPr>
                  </w:pPr>
                  <w:r>
                    <w:rPr>
                      <w:rFonts w:eastAsia="宋体"/>
                    </w:rPr>
                    <w:t>符合</w:t>
                  </w:r>
                </w:p>
              </w:tc>
            </w:tr>
          </w:tbl>
          <w:p>
            <w:pPr>
              <w:tabs>
                <w:tab w:val="left" w:pos="0"/>
              </w:tabs>
              <w:spacing w:line="360" w:lineRule="auto"/>
              <w:ind w:firstLine="465"/>
              <w:rPr>
                <w:szCs w:val="21"/>
              </w:rPr>
            </w:pPr>
            <w:r>
              <w:rPr>
                <w:szCs w:val="21"/>
              </w:rPr>
              <w:t>由表2-10可以看出，本项目总图布置规范，各项指标均满足《汽车加油加气加氢站技术标准》（GB50156-2021）中的要求。因此本项目总图布置合理。</w:t>
            </w:r>
          </w:p>
          <w:p>
            <w:pPr>
              <w:tabs>
                <w:tab w:val="left" w:pos="0"/>
              </w:tabs>
              <w:spacing w:line="360" w:lineRule="auto"/>
              <w:ind w:firstLine="422" w:firstLineChars="200"/>
              <w:rPr>
                <w:b/>
                <w:szCs w:val="21"/>
              </w:rPr>
            </w:pPr>
            <w:r>
              <w:rPr>
                <w:b/>
                <w:szCs w:val="21"/>
              </w:rPr>
              <w:t>7、本项目周边现状</w:t>
            </w:r>
          </w:p>
          <w:p>
            <w:pPr>
              <w:adjustRightInd w:val="0"/>
              <w:snapToGrid w:val="0"/>
              <w:spacing w:line="360" w:lineRule="auto"/>
              <w:ind w:firstLine="420" w:firstLineChars="200"/>
              <w:rPr>
                <w:bCs/>
                <w:szCs w:val="21"/>
              </w:rPr>
            </w:pPr>
            <w:r>
              <w:rPr>
                <w:bCs/>
                <w:szCs w:val="21"/>
              </w:rPr>
              <w:t>通过现场踏勘，本项目范围内是已平整空地，用地现状见下图2-2所示：</w:t>
            </w:r>
          </w:p>
          <w:p>
            <w:pPr>
              <w:adjustRightInd w:val="0"/>
              <w:snapToGrid w:val="0"/>
              <w:spacing w:line="360" w:lineRule="auto"/>
              <w:jc w:val="center"/>
              <w:rPr>
                <w:bCs/>
                <w:szCs w:val="21"/>
              </w:rPr>
            </w:pPr>
            <w:r>
              <w:rPr>
                <w:bCs/>
                <w:szCs w:val="21"/>
              </w:rPr>
              <w:drawing>
                <wp:inline distT="0" distB="0" distL="114300" distR="114300">
                  <wp:extent cx="3606165" cy="2706370"/>
                  <wp:effectExtent l="0" t="0" r="13335" b="17780"/>
                  <wp:docPr id="34" name="图片 1" descr="IMG_20220421_145540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0220421_145540_src"/>
                          <pic:cNvPicPr>
                            <a:picLocks noChangeAspect="1"/>
                          </pic:cNvPicPr>
                        </pic:nvPicPr>
                        <pic:blipFill>
                          <a:blip r:embed="rId8"/>
                          <a:stretch>
                            <a:fillRect/>
                          </a:stretch>
                        </pic:blipFill>
                        <pic:spPr>
                          <a:xfrm>
                            <a:off x="0" y="0"/>
                            <a:ext cx="3606165" cy="2706370"/>
                          </a:xfrm>
                          <a:prstGeom prst="rect">
                            <a:avLst/>
                          </a:prstGeom>
                          <a:noFill/>
                          <a:ln>
                            <a:noFill/>
                          </a:ln>
                        </pic:spPr>
                      </pic:pic>
                    </a:graphicData>
                  </a:graphic>
                </wp:inline>
              </w:drawing>
            </w:r>
          </w:p>
          <w:p>
            <w:pPr>
              <w:adjustRightInd w:val="0"/>
              <w:snapToGrid w:val="0"/>
              <w:spacing w:line="360" w:lineRule="auto"/>
              <w:jc w:val="center"/>
              <w:rPr>
                <w:b/>
                <w:bCs/>
                <w:szCs w:val="21"/>
              </w:rPr>
            </w:pPr>
            <w:r>
              <w:rPr>
                <w:b/>
                <w:bCs/>
                <w:szCs w:val="21"/>
              </w:rPr>
              <w:t>图2-2  本项目用地现状图</w:t>
            </w:r>
          </w:p>
          <w:p>
            <w:pPr>
              <w:adjustRightInd w:val="0"/>
              <w:snapToGrid w:val="0"/>
              <w:spacing w:line="360" w:lineRule="auto"/>
              <w:ind w:firstLine="420" w:firstLineChars="200"/>
              <w:rPr>
                <w:szCs w:val="21"/>
              </w:rPr>
            </w:pPr>
            <w:r>
              <w:rPr>
                <w:szCs w:val="21"/>
              </w:rPr>
              <w:t>根据现场踏勘，本项目西侧为G236国道，其余三侧为空地，本项目厂界外南侧约450m是土围村，东侧宁都碧桂园小区正在建设。</w:t>
            </w: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p>
            <w:pPr>
              <w:adjustRightInd w:val="0"/>
              <w:snapToGrid w:val="0"/>
              <w:spacing w:line="360" w:lineRule="auto"/>
              <w:ind w:firstLine="420" w:firstLineChars="200"/>
              <w:rPr>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2"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161" w:type="dxa"/>
          </w:tcPr>
          <w:p>
            <w:pPr>
              <w:pStyle w:val="5"/>
              <w:numPr>
                <w:ilvl w:val="0"/>
                <w:numId w:val="2"/>
              </w:numPr>
              <w:spacing w:line="360" w:lineRule="auto"/>
              <w:rPr>
                <w:b/>
                <w:spacing w:val="3"/>
                <w:sz w:val="21"/>
                <w:szCs w:val="21"/>
              </w:rPr>
            </w:pPr>
            <w:r>
              <w:rPr>
                <w:b/>
                <w:spacing w:val="3"/>
                <w:sz w:val="21"/>
                <w:szCs w:val="21"/>
              </w:rPr>
              <w:t>施工期</w:t>
            </w:r>
          </w:p>
          <w:p>
            <w:pPr>
              <w:pStyle w:val="88"/>
              <w:ind w:firstLine="420"/>
              <w:jc w:val="left"/>
              <w:rPr>
                <w:sz w:val="21"/>
                <w:szCs w:val="21"/>
              </w:rPr>
            </w:pPr>
            <w:r>
              <w:rPr>
                <w:sz w:val="21"/>
                <w:szCs w:val="21"/>
              </w:rPr>
              <w:t>本项目施工全过程按作业性质可以分为下述几个阶段：</w:t>
            </w:r>
          </w:p>
          <w:p>
            <w:pPr>
              <w:pStyle w:val="88"/>
              <w:ind w:firstLine="420"/>
              <w:jc w:val="left"/>
              <w:rPr>
                <w:sz w:val="21"/>
                <w:szCs w:val="21"/>
              </w:rPr>
            </w:pPr>
            <w:r>
              <w:rPr>
                <w:sz w:val="21"/>
                <w:szCs w:val="21"/>
              </w:rPr>
              <w:t>（1）场地平整阶段：包括土石方开挖、清运工程垃圾土等；</w:t>
            </w:r>
          </w:p>
          <w:p>
            <w:pPr>
              <w:pStyle w:val="88"/>
              <w:ind w:firstLine="420"/>
              <w:jc w:val="left"/>
              <w:rPr>
                <w:sz w:val="21"/>
                <w:szCs w:val="21"/>
              </w:rPr>
            </w:pPr>
            <w:r>
              <w:rPr>
                <w:sz w:val="21"/>
                <w:szCs w:val="21"/>
              </w:rPr>
              <w:t>（2）基础施工阶段：包括挖掘、打桩、砌筑基础等；</w:t>
            </w:r>
          </w:p>
          <w:p>
            <w:pPr>
              <w:pStyle w:val="88"/>
              <w:ind w:firstLine="420"/>
              <w:jc w:val="left"/>
              <w:rPr>
                <w:sz w:val="21"/>
                <w:szCs w:val="21"/>
              </w:rPr>
            </w:pPr>
            <w:r>
              <w:rPr>
                <w:sz w:val="21"/>
                <w:szCs w:val="21"/>
              </w:rPr>
              <w:t>（3）主体结构施工阶段：包括钢筋、混凝土工程，钢木工程，砌体工程；</w:t>
            </w:r>
          </w:p>
          <w:p>
            <w:pPr>
              <w:pStyle w:val="88"/>
              <w:ind w:firstLine="420"/>
              <w:jc w:val="left"/>
              <w:rPr>
                <w:sz w:val="21"/>
                <w:szCs w:val="21"/>
              </w:rPr>
            </w:pPr>
            <w:r>
              <w:rPr>
                <w:sz w:val="21"/>
                <w:szCs w:val="21"/>
              </w:rPr>
              <w:t>（4）配套设施施工阶段：包括铺设上下水管、设备安装调试等；</w:t>
            </w:r>
          </w:p>
          <w:p>
            <w:pPr>
              <w:pStyle w:val="5"/>
              <w:spacing w:line="360" w:lineRule="auto"/>
              <w:ind w:firstLine="434"/>
              <w:rPr>
                <w:sz w:val="21"/>
                <w:szCs w:val="21"/>
              </w:rPr>
            </w:pPr>
            <w:r>
              <w:rPr>
                <w:sz w:val="21"/>
                <w:szCs w:val="21"/>
              </w:rPr>
              <w:t>（5）建筑装修施工阶段：包括站房内墙体装修、粉刷、回填土方，清理现场等。</w:t>
            </w:r>
          </w:p>
          <w:p>
            <w:pPr>
              <w:pStyle w:val="5"/>
              <w:spacing w:line="360" w:lineRule="auto"/>
              <w:ind w:firstLine="434"/>
              <w:rPr>
                <w:spacing w:val="3"/>
                <w:sz w:val="21"/>
                <w:szCs w:val="21"/>
              </w:rPr>
            </w:pPr>
            <w:r>
              <w:rPr>
                <w:spacing w:val="3"/>
                <w:sz w:val="21"/>
                <w:szCs w:val="21"/>
              </w:rPr>
              <w:t>施工期工艺流程及产污环节示意图见图2-3。</w:t>
            </w:r>
          </w:p>
          <w:p>
            <w:pPr>
              <w:adjustRightInd w:val="0"/>
              <w:snapToGrid w:val="0"/>
              <w:spacing w:line="276" w:lineRule="auto"/>
              <w:jc w:val="center"/>
              <w:rPr>
                <w:szCs w:val="21"/>
              </w:rPr>
            </w:pPr>
            <w:r>
              <w:rPr>
                <w:szCs w:val="21"/>
              </w:rPr>
              <w:object>
                <v:shape id="_x0000_i1026" o:spt="75" type="#_x0000_t75" style="height:98.5pt;width:394.5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5" r:id="rId9">
                  <o:LockedField>false</o:LockedField>
                </o:OLEObject>
              </w:object>
            </w:r>
          </w:p>
          <w:p>
            <w:pPr>
              <w:adjustRightInd w:val="0"/>
              <w:snapToGrid w:val="0"/>
              <w:spacing w:line="360" w:lineRule="auto"/>
              <w:jc w:val="center"/>
              <w:rPr>
                <w:b/>
                <w:szCs w:val="21"/>
              </w:rPr>
            </w:pPr>
            <w:r>
              <w:rPr>
                <w:b/>
                <w:szCs w:val="21"/>
              </w:rPr>
              <w:t>图2-3 施工期工艺流程及产污环节图</w:t>
            </w:r>
          </w:p>
          <w:p>
            <w:pPr>
              <w:pStyle w:val="5"/>
              <w:spacing w:line="360" w:lineRule="auto"/>
              <w:ind w:firstLine="434" w:firstLineChars="200"/>
              <w:rPr>
                <w:b/>
                <w:spacing w:val="3"/>
                <w:sz w:val="21"/>
                <w:szCs w:val="21"/>
              </w:rPr>
            </w:pPr>
            <w:r>
              <w:rPr>
                <w:b/>
                <w:spacing w:val="3"/>
                <w:sz w:val="21"/>
                <w:szCs w:val="21"/>
              </w:rPr>
              <w:t>2、营运期</w:t>
            </w:r>
          </w:p>
          <w:p>
            <w:pPr>
              <w:pStyle w:val="5"/>
              <w:spacing w:line="360" w:lineRule="auto"/>
              <w:ind w:firstLineChars="200"/>
              <w:rPr>
                <w:sz w:val="21"/>
                <w:szCs w:val="21"/>
              </w:rPr>
            </w:pPr>
            <w:r>
              <w:rPr>
                <w:sz w:val="21"/>
                <w:szCs w:val="21"/>
              </w:rPr>
              <w:t>项目营运期工艺流程及产污节点见图2-4。</w:t>
            </w:r>
          </w:p>
          <w:p>
            <w:pPr>
              <w:pStyle w:val="5"/>
              <w:spacing w:line="360" w:lineRule="auto"/>
              <w:ind w:firstLine="0"/>
              <w:jc w:val="center"/>
              <w:rPr>
                <w:sz w:val="21"/>
                <w:szCs w:val="21"/>
              </w:rPr>
            </w:pPr>
            <w:r>
              <w:rPr>
                <w:sz w:val="21"/>
                <w:szCs w:val="21"/>
              </w:rPr>
              <w:drawing>
                <wp:inline distT="0" distB="0" distL="114300" distR="114300">
                  <wp:extent cx="4864735" cy="3123565"/>
                  <wp:effectExtent l="0" t="0" r="12065" b="635"/>
                  <wp:docPr id="35" name="图片 3" descr="产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产污流程图"/>
                          <pic:cNvPicPr>
                            <a:picLocks noChangeAspect="1"/>
                          </pic:cNvPicPr>
                        </pic:nvPicPr>
                        <pic:blipFill>
                          <a:blip r:embed="rId11"/>
                          <a:stretch>
                            <a:fillRect/>
                          </a:stretch>
                        </pic:blipFill>
                        <pic:spPr>
                          <a:xfrm>
                            <a:off x="0" y="0"/>
                            <a:ext cx="4864735" cy="3123565"/>
                          </a:xfrm>
                          <a:prstGeom prst="rect">
                            <a:avLst/>
                          </a:prstGeom>
                          <a:noFill/>
                          <a:ln>
                            <a:noFill/>
                          </a:ln>
                        </pic:spPr>
                      </pic:pic>
                    </a:graphicData>
                  </a:graphic>
                </wp:inline>
              </w:drawing>
            </w:r>
          </w:p>
          <w:p>
            <w:pPr>
              <w:pStyle w:val="46"/>
              <w:adjustRightInd w:val="0"/>
              <w:snapToGrid w:val="0"/>
              <w:spacing w:before="120" w:beforeLines="50" w:line="360" w:lineRule="auto"/>
              <w:rPr>
                <w:rFonts w:eastAsia="宋体"/>
                <w:b/>
                <w:bCs/>
              </w:rPr>
            </w:pPr>
            <w:r>
              <w:rPr>
                <w:rFonts w:eastAsia="宋体"/>
                <w:b/>
                <w:bCs/>
              </w:rPr>
              <w:t>图2-4   营运期工艺流程及产污环节图</w:t>
            </w:r>
          </w:p>
          <w:p>
            <w:pPr>
              <w:pStyle w:val="5"/>
              <w:spacing w:line="360" w:lineRule="auto"/>
              <w:rPr>
                <w:sz w:val="21"/>
                <w:szCs w:val="21"/>
              </w:rPr>
            </w:pPr>
            <w:r>
              <w:rPr>
                <w:sz w:val="21"/>
                <w:szCs w:val="21"/>
              </w:rPr>
              <w:t>工艺流程简述：</w:t>
            </w:r>
          </w:p>
          <w:p>
            <w:pPr>
              <w:pStyle w:val="5"/>
              <w:spacing w:line="360" w:lineRule="auto"/>
              <w:rPr>
                <w:sz w:val="21"/>
                <w:szCs w:val="21"/>
              </w:rPr>
            </w:pPr>
            <w:r>
              <w:rPr>
                <w:sz w:val="21"/>
                <w:szCs w:val="21"/>
              </w:rPr>
              <w:t>（1）卸油系统</w:t>
            </w:r>
          </w:p>
          <w:p>
            <w:pPr>
              <w:pStyle w:val="5"/>
              <w:spacing w:line="360" w:lineRule="auto"/>
              <w:rPr>
                <w:sz w:val="21"/>
                <w:szCs w:val="21"/>
              </w:rPr>
            </w:pPr>
            <w:r>
              <w:rPr>
                <w:sz w:val="21"/>
                <w:szCs w:val="21"/>
              </w:rPr>
              <w:t>流程：油罐车→密闭接头→（自流）→油罐；</w:t>
            </w:r>
          </w:p>
          <w:p>
            <w:pPr>
              <w:pStyle w:val="5"/>
              <w:spacing w:line="360" w:lineRule="auto"/>
              <w:rPr>
                <w:sz w:val="21"/>
                <w:szCs w:val="21"/>
              </w:rPr>
            </w:pPr>
            <w:r>
              <w:rPr>
                <w:sz w:val="21"/>
                <w:szCs w:val="21"/>
              </w:rPr>
              <w:t>本站油罐车卸油采用密闭卸油方式。油罐车到达油站卸油口停稳熄火后，先用加油站的静电接地导线与油罐车卸油设施连接在一起后，静止15分钟清除静电。然后打开密封盖，用快速接头将油罐车的卸油软管与埋地储油罐的快速密闭卸油口连接一起，通过自流方式卸至储油罐；卸油管采用单层复合管，卸油管和卸油油气回收管集中安装在卸油口。在卸油管道和油气回收管道接口处安装带球阀一体式的密闭接头；卸油管伸至罐内距罐底100mm，卸油立管的底端设为45°斜管口；为防止油罐满溢，卸油时采取防溢措施。在距离罐顶200mm 处的卸油管道上安装卸油防溢阀。油料达到油罐容量的90%时，触动高液位报警装置；油料达到油罐容量的95%时，触动卸油防溢阀自动打开，停止油料进罐。</w:t>
            </w:r>
          </w:p>
          <w:p>
            <w:pPr>
              <w:pStyle w:val="5"/>
              <w:spacing w:line="360" w:lineRule="auto"/>
              <w:rPr>
                <w:sz w:val="21"/>
                <w:szCs w:val="21"/>
              </w:rPr>
            </w:pPr>
            <w:r>
              <w:rPr>
                <w:sz w:val="21"/>
                <w:szCs w:val="21"/>
              </w:rPr>
              <w:t>在油罐车卸油过程中，储油车内压力减小，地下储罐内压力增加，地下储罐与油罐车内的压力差，使卸油过程中地下油罐内产生的油气通过立管排放，油罐车内的产生的油气通过呼吸控制阀挥发油气，挥发油气以非甲烷总烃表征。储油罐一般3 年清理一次，清罐时将产生清罐油渣。清罐另行委托专业公司进行。</w:t>
            </w:r>
          </w:p>
          <w:p>
            <w:pPr>
              <w:pStyle w:val="5"/>
              <w:spacing w:line="360" w:lineRule="auto"/>
              <w:rPr>
                <w:sz w:val="21"/>
                <w:szCs w:val="21"/>
              </w:rPr>
            </w:pPr>
            <w:r>
              <w:rPr>
                <w:sz w:val="21"/>
                <w:szCs w:val="21"/>
              </w:rPr>
              <w:t>（2）加油系统</w:t>
            </w:r>
          </w:p>
          <w:p>
            <w:pPr>
              <w:pStyle w:val="5"/>
              <w:spacing w:line="360" w:lineRule="auto"/>
              <w:rPr>
                <w:sz w:val="21"/>
                <w:szCs w:val="21"/>
              </w:rPr>
            </w:pPr>
            <w:r>
              <w:rPr>
                <w:sz w:val="21"/>
                <w:szCs w:val="21"/>
              </w:rPr>
              <w:t>流程：埋地油罐→潜油泵→输油管道→加油机（加油枪）→用户汽车油箱；</w:t>
            </w:r>
          </w:p>
          <w:p>
            <w:pPr>
              <w:pStyle w:val="5"/>
              <w:spacing w:line="360" w:lineRule="auto"/>
              <w:rPr>
                <w:sz w:val="21"/>
                <w:szCs w:val="21"/>
              </w:rPr>
            </w:pPr>
            <w:r>
              <w:rPr>
                <w:sz w:val="21"/>
                <w:szCs w:val="21"/>
              </w:rPr>
              <w:t>加油采用正压吸入工艺。通过油罐内的潜油泵将油品从储油罐抽出，加油管采用双层复合管，潜油泵入油口距离罐底200mm，经过加油机的油气分离器、计量器（加入油品的量可以从加油机的计数器上观察到），然后用加油枪加到车油箱中。加油软管上设置安全拉断阀，当加油软管被加油车辆或其它外力强制牵拉时，拉断阀能自动关闭。</w:t>
            </w:r>
          </w:p>
          <w:p>
            <w:pPr>
              <w:pStyle w:val="5"/>
              <w:spacing w:line="360" w:lineRule="auto"/>
              <w:rPr>
                <w:sz w:val="21"/>
                <w:szCs w:val="21"/>
              </w:rPr>
            </w:pPr>
            <w:r>
              <w:rPr>
                <w:sz w:val="21"/>
                <w:szCs w:val="21"/>
              </w:rPr>
              <w:t>车辆油罐内产生的油气逸散至大气中。加油过程会产生加油机、汽车的运行噪声。</w:t>
            </w:r>
          </w:p>
          <w:p>
            <w:pPr>
              <w:pStyle w:val="5"/>
              <w:spacing w:line="360" w:lineRule="auto"/>
              <w:rPr>
                <w:sz w:val="21"/>
                <w:szCs w:val="21"/>
              </w:rPr>
            </w:pPr>
            <w:r>
              <w:rPr>
                <w:sz w:val="21"/>
                <w:szCs w:val="21"/>
              </w:rPr>
              <w:t>（3）油气回收系统</w:t>
            </w:r>
          </w:p>
          <w:p>
            <w:pPr>
              <w:pStyle w:val="5"/>
              <w:spacing w:line="360" w:lineRule="auto"/>
              <w:rPr>
                <w:sz w:val="21"/>
                <w:szCs w:val="21"/>
              </w:rPr>
            </w:pPr>
            <w:r>
              <w:rPr>
                <w:sz w:val="21"/>
                <w:szCs w:val="21"/>
              </w:rPr>
              <w:t>项目配套建设有油气回收系统，油气回收系统是由卸油油气回收系统（即一次油气回收系统）和加油油气回收系统（即二次油气回收系统）组成。</w:t>
            </w:r>
          </w:p>
          <w:p>
            <w:pPr>
              <w:pStyle w:val="5"/>
              <w:spacing w:line="360" w:lineRule="auto"/>
              <w:rPr>
                <w:b/>
                <w:sz w:val="21"/>
                <w:szCs w:val="21"/>
              </w:rPr>
            </w:pPr>
            <w:r>
              <w:rPr>
                <w:b/>
                <w:sz w:val="21"/>
                <w:szCs w:val="21"/>
              </w:rPr>
              <w:t>卸油油气回收系统（一次油气回收系统）：</w:t>
            </w:r>
          </w:p>
          <w:p>
            <w:pPr>
              <w:pStyle w:val="5"/>
              <w:spacing w:line="360" w:lineRule="auto"/>
              <w:rPr>
                <w:sz w:val="21"/>
                <w:szCs w:val="21"/>
              </w:rPr>
            </w:pPr>
            <w:r>
              <w:rPr>
                <w:sz w:val="21"/>
                <w:szCs w:val="21"/>
              </w:rPr>
              <w:t>一次油气回收阶段，即卸油油气回收系统，是通过压力平衡原理，将在卸油过程中挥发的油气收集到油罐车内，运回储油库进行油气回收处理的过程。该阶段油气回收实现过程：在油罐车卸油过程中，油罐车内压力减小，地下储罐内压力增加，地下储罐内与油罐车内的压力差，使卸油过程中挥发的油气通过气管线回到油罐车内，达到油气收集目的。待卸油结束，地下储罐与油罐车内压力达到平衡状态，一次油气回收阶段结束。</w:t>
            </w:r>
          </w:p>
          <w:p>
            <w:pPr>
              <w:pStyle w:val="5"/>
              <w:spacing w:line="360" w:lineRule="auto"/>
              <w:rPr>
                <w:sz w:val="21"/>
                <w:szCs w:val="21"/>
              </w:rPr>
            </w:pPr>
          </w:p>
          <w:p>
            <w:pPr>
              <w:pStyle w:val="5"/>
              <w:spacing w:line="360" w:lineRule="auto"/>
              <w:rPr>
                <w:sz w:val="21"/>
                <w:szCs w:val="21"/>
              </w:rPr>
            </w:pPr>
          </w:p>
          <w:p>
            <w:pPr>
              <w:pStyle w:val="5"/>
              <w:spacing w:line="360" w:lineRule="auto"/>
              <w:rPr>
                <w:sz w:val="21"/>
                <w:szCs w:val="21"/>
              </w:rPr>
            </w:pPr>
          </w:p>
          <w:p>
            <w:pPr>
              <w:pStyle w:val="5"/>
              <w:spacing w:line="360" w:lineRule="auto"/>
              <w:rPr>
                <w:sz w:val="21"/>
                <w:szCs w:val="21"/>
              </w:rPr>
            </w:pPr>
          </w:p>
          <w:p>
            <w:pPr>
              <w:pStyle w:val="52"/>
              <w:spacing w:line="360" w:lineRule="auto"/>
              <w:jc w:val="center"/>
              <w:rPr>
                <w:rFonts w:ascii="Times New Roman" w:cs="Times New Roman"/>
                <w:color w:val="auto"/>
                <w:sz w:val="21"/>
                <w:szCs w:val="21"/>
              </w:rPr>
            </w:pPr>
            <w:r>
              <w:rPr>
                <w:rFonts w:ascii="Times New Roman" w:cs="Times New Roman"/>
                <w:color w:val="auto"/>
                <w:sz w:val="21"/>
                <w:szCs w:val="21"/>
              </w:rPr>
              <w:drawing>
                <wp:inline distT="0" distB="0" distL="114300" distR="114300">
                  <wp:extent cx="4740275" cy="1916430"/>
                  <wp:effectExtent l="0" t="0" r="3175" b="7620"/>
                  <wp:docPr id="36" name="图片 4" descr="360截图2016031422315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360截图20160314223152791"/>
                          <pic:cNvPicPr>
                            <a:picLocks noChangeAspect="1"/>
                          </pic:cNvPicPr>
                        </pic:nvPicPr>
                        <pic:blipFill>
                          <a:blip r:embed="rId12"/>
                          <a:srcRect l="3482" t="9230"/>
                          <a:stretch>
                            <a:fillRect/>
                          </a:stretch>
                        </pic:blipFill>
                        <pic:spPr>
                          <a:xfrm>
                            <a:off x="0" y="0"/>
                            <a:ext cx="4740275" cy="1916430"/>
                          </a:xfrm>
                          <a:prstGeom prst="rect">
                            <a:avLst/>
                          </a:prstGeom>
                          <a:noFill/>
                          <a:ln>
                            <a:noFill/>
                          </a:ln>
                        </pic:spPr>
                      </pic:pic>
                    </a:graphicData>
                  </a:graphic>
                </wp:inline>
              </w:drawing>
            </w:r>
          </w:p>
          <w:p>
            <w:pPr>
              <w:pStyle w:val="46"/>
              <w:adjustRightInd w:val="0"/>
              <w:snapToGrid w:val="0"/>
              <w:spacing w:line="360" w:lineRule="auto"/>
              <w:rPr>
                <w:rFonts w:eastAsia="宋体"/>
                <w:b/>
                <w:bCs/>
              </w:rPr>
            </w:pPr>
            <w:r>
              <w:rPr>
                <w:rFonts w:eastAsia="宋体"/>
                <w:b/>
                <w:bCs/>
              </w:rPr>
              <w:t>图2-5   卸油油气回收系统</w:t>
            </w:r>
          </w:p>
          <w:p>
            <w:pPr>
              <w:pStyle w:val="46"/>
              <w:adjustRightInd w:val="0"/>
              <w:snapToGrid w:val="0"/>
              <w:spacing w:line="360" w:lineRule="auto"/>
              <w:ind w:firstLine="422" w:firstLineChars="200"/>
              <w:jc w:val="left"/>
              <w:rPr>
                <w:rFonts w:eastAsia="宋体"/>
                <w:b/>
              </w:rPr>
            </w:pPr>
            <w:r>
              <w:rPr>
                <w:rFonts w:eastAsia="宋体"/>
                <w:b/>
              </w:rPr>
              <w:t>加油油气回收系统（二次油气回收系统）：</w:t>
            </w:r>
          </w:p>
          <w:p>
            <w:pPr>
              <w:pStyle w:val="46"/>
              <w:adjustRightInd w:val="0"/>
              <w:snapToGrid w:val="0"/>
              <w:spacing w:line="360" w:lineRule="auto"/>
              <w:ind w:firstLine="420" w:firstLineChars="200"/>
              <w:jc w:val="both"/>
              <w:rPr>
                <w:rFonts w:eastAsia="宋体"/>
              </w:rPr>
            </w:pPr>
            <w:r>
              <w:rPr>
                <w:rFonts w:eastAsia="宋体"/>
              </w:rPr>
              <w:t>二次油气回收阶段，即加油油气回收系统，是采用真空辅助式油气回收设备，将在加油过程中挥发的油气通过地下油气回收管线收集到地下储罐内的油气回收过程。</w:t>
            </w:r>
          </w:p>
          <w:p>
            <w:pPr>
              <w:pStyle w:val="46"/>
              <w:adjustRightInd w:val="0"/>
              <w:snapToGrid w:val="0"/>
              <w:spacing w:line="360" w:lineRule="auto"/>
              <w:ind w:firstLine="420" w:firstLineChars="200"/>
              <w:jc w:val="both"/>
              <w:rPr>
                <w:rFonts w:eastAsia="宋体"/>
              </w:rPr>
            </w:pPr>
            <w:r>
              <w:rPr>
                <w:rFonts w:eastAsia="宋体"/>
              </w:rPr>
              <w:t>该阶段油气回收实现过程：在加油站为汽车加油过程中，通过真空泵产生一定真空度，经过加油枪、油气回收管、真空泵等油气回收设备，按照气液比控制在1.0 至1.2 之间的要求，将加油过程中挥发的油气回收到油罐内。二次油气回收分为分散式油气回收和集中式油气回收两种形式，主要采用的二次油气回收形式以分散式油气回收为主。</w:t>
            </w:r>
          </w:p>
          <w:p>
            <w:pPr>
              <w:pStyle w:val="52"/>
              <w:rPr>
                <w:rFonts w:ascii="Times New Roman" w:cs="Times New Roman"/>
                <w:color w:val="auto"/>
                <w:sz w:val="21"/>
                <w:szCs w:val="21"/>
              </w:rPr>
            </w:pPr>
            <w:r>
              <w:rPr>
                <w:rFonts w:ascii="Times New Roman" w:cs="Times New Roman"/>
                <w:color w:val="auto"/>
                <w:sz w:val="21"/>
                <w:szCs w:val="21"/>
              </w:rPr>
              <w:drawing>
                <wp:inline distT="0" distB="0" distL="114300" distR="114300">
                  <wp:extent cx="5054600" cy="2699385"/>
                  <wp:effectExtent l="0" t="0" r="12700" b="5715"/>
                  <wp:docPr id="37" name="图片 5" descr="360截图201603142232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360截图20160314223223525"/>
                          <pic:cNvPicPr>
                            <a:picLocks noChangeAspect="1"/>
                          </pic:cNvPicPr>
                        </pic:nvPicPr>
                        <pic:blipFill>
                          <a:blip r:embed="rId13"/>
                          <a:srcRect t="6271"/>
                          <a:stretch>
                            <a:fillRect/>
                          </a:stretch>
                        </pic:blipFill>
                        <pic:spPr>
                          <a:xfrm>
                            <a:off x="0" y="0"/>
                            <a:ext cx="5054600" cy="2699385"/>
                          </a:xfrm>
                          <a:prstGeom prst="rect">
                            <a:avLst/>
                          </a:prstGeom>
                          <a:noFill/>
                          <a:ln>
                            <a:noFill/>
                          </a:ln>
                        </pic:spPr>
                      </pic:pic>
                    </a:graphicData>
                  </a:graphic>
                </wp:inline>
              </w:drawing>
            </w:r>
          </w:p>
          <w:p>
            <w:pPr>
              <w:adjustRightInd w:val="0"/>
              <w:snapToGrid w:val="0"/>
              <w:spacing w:line="360" w:lineRule="auto"/>
              <w:jc w:val="center"/>
              <w:rPr>
                <w:b/>
                <w:bCs/>
                <w:szCs w:val="21"/>
              </w:rPr>
            </w:pPr>
            <w:r>
              <w:rPr>
                <w:b/>
                <w:bCs/>
                <w:szCs w:val="21"/>
              </w:rPr>
              <w:t>图2-6  加油油气回收系统</w:t>
            </w:r>
          </w:p>
          <w:p>
            <w:pPr>
              <w:pStyle w:val="5"/>
              <w:spacing w:line="360" w:lineRule="auto"/>
              <w:rPr>
                <w:sz w:val="21"/>
                <w:szCs w:val="21"/>
              </w:rPr>
            </w:pPr>
            <w:r>
              <w:rPr>
                <w:sz w:val="21"/>
                <w:szCs w:val="21"/>
              </w:rPr>
              <w:t>（4）充电工艺：项目南侧沿围墙拟设置2个充电桩，采用不同的电压等级对各种型号的电动汽车进行充电，充电桩共配套设有1座箱式变压器以连接市政电网，同时对充电桩的电压进行调整。</w:t>
            </w:r>
          </w:p>
          <w:p>
            <w:pPr>
              <w:spacing w:line="360" w:lineRule="auto"/>
              <w:rPr>
                <w:bCs/>
                <w:szCs w:val="21"/>
              </w:rPr>
            </w:pPr>
            <w:r>
              <w:rPr>
                <w:b/>
                <w:szCs w:val="21"/>
              </w:rPr>
              <w:t>主要污染工序</w:t>
            </w:r>
            <w:r>
              <w:rPr>
                <w:szCs w:val="21"/>
              </w:rPr>
              <w:t xml:space="preserve"> ：</w:t>
            </w:r>
          </w:p>
          <w:p>
            <w:pPr>
              <w:adjustRightInd w:val="0"/>
              <w:snapToGrid w:val="0"/>
              <w:spacing w:line="360" w:lineRule="auto"/>
              <w:ind w:firstLine="480"/>
              <w:rPr>
                <w:szCs w:val="21"/>
              </w:rPr>
            </w:pPr>
            <w:r>
              <w:rPr>
                <w:szCs w:val="21"/>
              </w:rPr>
              <w:t>项目主要产污环节及产污因子见表2-11。</w:t>
            </w:r>
          </w:p>
          <w:p>
            <w:pPr>
              <w:adjustRightInd w:val="0"/>
              <w:snapToGrid w:val="0"/>
              <w:ind w:firstLine="480"/>
              <w:jc w:val="center"/>
              <w:rPr>
                <w:b/>
                <w:szCs w:val="21"/>
              </w:rPr>
            </w:pPr>
          </w:p>
          <w:p>
            <w:pPr>
              <w:adjustRightInd w:val="0"/>
              <w:snapToGrid w:val="0"/>
              <w:ind w:firstLine="480"/>
              <w:jc w:val="center"/>
              <w:rPr>
                <w:b/>
                <w:szCs w:val="21"/>
              </w:rPr>
            </w:pPr>
            <w:r>
              <w:rPr>
                <w:b/>
                <w:szCs w:val="21"/>
              </w:rPr>
              <w:t>表2-11  主要污染工序一览表</w:t>
            </w:r>
          </w:p>
          <w:tbl>
            <w:tblPr>
              <w:tblStyle w:val="21"/>
              <w:tblW w:w="791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42"/>
              <w:gridCol w:w="685"/>
              <w:gridCol w:w="2693"/>
              <w:gridCol w:w="3260"/>
              <w:gridCol w:w="73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284" w:hRule="atLeast"/>
              </w:trPr>
              <w:tc>
                <w:tcPr>
                  <w:tcW w:w="542" w:type="dxa"/>
                </w:tcPr>
                <w:p>
                  <w:pPr>
                    <w:spacing w:line="300" w:lineRule="exact"/>
                    <w:jc w:val="center"/>
                    <w:rPr>
                      <w:spacing w:val="3"/>
                      <w:szCs w:val="21"/>
                    </w:rPr>
                  </w:pPr>
                  <w:r>
                    <w:rPr>
                      <w:spacing w:val="3"/>
                      <w:szCs w:val="21"/>
                    </w:rPr>
                    <w:t>时段</w:t>
                  </w:r>
                </w:p>
              </w:tc>
              <w:tc>
                <w:tcPr>
                  <w:tcW w:w="685" w:type="dxa"/>
                  <w:vAlign w:val="center"/>
                </w:tcPr>
                <w:p>
                  <w:pPr>
                    <w:spacing w:line="300" w:lineRule="exact"/>
                    <w:jc w:val="center"/>
                    <w:rPr>
                      <w:spacing w:val="3"/>
                      <w:szCs w:val="21"/>
                    </w:rPr>
                  </w:pPr>
                  <w:r>
                    <w:rPr>
                      <w:spacing w:val="3"/>
                      <w:szCs w:val="21"/>
                    </w:rPr>
                    <w:t>污染因子</w:t>
                  </w:r>
                </w:p>
              </w:tc>
              <w:tc>
                <w:tcPr>
                  <w:tcW w:w="2693" w:type="dxa"/>
                  <w:vAlign w:val="center"/>
                </w:tcPr>
                <w:p>
                  <w:pPr>
                    <w:spacing w:line="300" w:lineRule="exact"/>
                    <w:jc w:val="center"/>
                    <w:rPr>
                      <w:spacing w:val="3"/>
                      <w:szCs w:val="21"/>
                    </w:rPr>
                  </w:pPr>
                  <w:r>
                    <w:rPr>
                      <w:spacing w:val="3"/>
                      <w:szCs w:val="21"/>
                    </w:rPr>
                    <w:t>来  源</w:t>
                  </w:r>
                </w:p>
              </w:tc>
              <w:tc>
                <w:tcPr>
                  <w:tcW w:w="3260" w:type="dxa"/>
                  <w:vAlign w:val="center"/>
                </w:tcPr>
                <w:p>
                  <w:pPr>
                    <w:spacing w:line="300" w:lineRule="exact"/>
                    <w:jc w:val="center"/>
                    <w:rPr>
                      <w:spacing w:val="3"/>
                      <w:szCs w:val="21"/>
                    </w:rPr>
                  </w:pPr>
                  <w:r>
                    <w:rPr>
                      <w:spacing w:val="3"/>
                      <w:szCs w:val="21"/>
                    </w:rPr>
                    <w:t>污染物种类</w:t>
                  </w:r>
                </w:p>
              </w:tc>
              <w:tc>
                <w:tcPr>
                  <w:tcW w:w="733" w:type="dxa"/>
                  <w:vAlign w:val="center"/>
                </w:tcPr>
                <w:p>
                  <w:pPr>
                    <w:spacing w:line="300" w:lineRule="exact"/>
                    <w:jc w:val="center"/>
                    <w:rPr>
                      <w:spacing w:val="3"/>
                      <w:szCs w:val="21"/>
                    </w:rPr>
                  </w:pPr>
                  <w:r>
                    <w:rPr>
                      <w:spacing w:val="3"/>
                      <w:szCs w:val="21"/>
                    </w:rPr>
                    <w:t>排放方式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542" w:type="dxa"/>
                  <w:vMerge w:val="restart"/>
                  <w:vAlign w:val="center"/>
                </w:tcPr>
                <w:p>
                  <w:pPr>
                    <w:spacing w:line="300" w:lineRule="exact"/>
                    <w:jc w:val="center"/>
                    <w:rPr>
                      <w:spacing w:val="3"/>
                      <w:szCs w:val="21"/>
                    </w:rPr>
                  </w:pPr>
                  <w:r>
                    <w:rPr>
                      <w:spacing w:val="3"/>
                      <w:szCs w:val="21"/>
                    </w:rPr>
                    <w:t>营</w:t>
                  </w:r>
                </w:p>
                <w:p>
                  <w:pPr>
                    <w:spacing w:line="300" w:lineRule="exact"/>
                    <w:jc w:val="center"/>
                    <w:rPr>
                      <w:spacing w:val="3"/>
                      <w:szCs w:val="21"/>
                    </w:rPr>
                  </w:pPr>
                  <w:r>
                    <w:rPr>
                      <w:spacing w:val="3"/>
                      <w:szCs w:val="21"/>
                    </w:rPr>
                    <w:t>运</w:t>
                  </w:r>
                </w:p>
                <w:p>
                  <w:pPr>
                    <w:spacing w:line="300" w:lineRule="exact"/>
                    <w:jc w:val="center"/>
                    <w:rPr>
                      <w:spacing w:val="3"/>
                      <w:szCs w:val="21"/>
                    </w:rPr>
                  </w:pPr>
                  <w:r>
                    <w:rPr>
                      <w:spacing w:val="3"/>
                      <w:szCs w:val="21"/>
                    </w:rPr>
                    <w:t>期</w:t>
                  </w:r>
                </w:p>
              </w:tc>
              <w:tc>
                <w:tcPr>
                  <w:tcW w:w="685" w:type="dxa"/>
                  <w:vAlign w:val="center"/>
                </w:tcPr>
                <w:p>
                  <w:pPr>
                    <w:spacing w:line="300" w:lineRule="exact"/>
                    <w:jc w:val="center"/>
                    <w:rPr>
                      <w:spacing w:val="3"/>
                      <w:szCs w:val="21"/>
                    </w:rPr>
                  </w:pPr>
                  <w:r>
                    <w:rPr>
                      <w:spacing w:val="3"/>
                      <w:szCs w:val="21"/>
                    </w:rPr>
                    <w:t>废水</w:t>
                  </w:r>
                </w:p>
              </w:tc>
              <w:tc>
                <w:tcPr>
                  <w:tcW w:w="2693" w:type="dxa"/>
                  <w:vAlign w:val="center"/>
                </w:tcPr>
                <w:p>
                  <w:pPr>
                    <w:autoSpaceDE w:val="0"/>
                    <w:autoSpaceDN w:val="0"/>
                    <w:adjustRightInd w:val="0"/>
                    <w:jc w:val="center"/>
                    <w:rPr>
                      <w:spacing w:val="3"/>
                      <w:szCs w:val="21"/>
                    </w:rPr>
                  </w:pPr>
                  <w:r>
                    <w:rPr>
                      <w:kern w:val="0"/>
                      <w:szCs w:val="21"/>
                    </w:rPr>
                    <w:t>员工及顾客生活污水、地面冲洗水、</w:t>
                  </w:r>
                </w:p>
              </w:tc>
              <w:tc>
                <w:tcPr>
                  <w:tcW w:w="3260" w:type="dxa"/>
                  <w:vAlign w:val="center"/>
                </w:tcPr>
                <w:p>
                  <w:pPr>
                    <w:spacing w:line="300" w:lineRule="exact"/>
                    <w:jc w:val="center"/>
                    <w:rPr>
                      <w:spacing w:val="3"/>
                      <w:szCs w:val="21"/>
                    </w:rPr>
                  </w:pPr>
                  <w:r>
                    <w:rPr>
                      <w:spacing w:val="3"/>
                      <w:szCs w:val="21"/>
                    </w:rPr>
                    <w:t>COD</w:t>
                  </w:r>
                  <w:r>
                    <w:rPr>
                      <w:spacing w:val="3"/>
                      <w:szCs w:val="21"/>
                      <w:vertAlign w:val="subscript"/>
                    </w:rPr>
                    <w:t>cr</w:t>
                  </w:r>
                  <w:r>
                    <w:rPr>
                      <w:spacing w:val="3"/>
                      <w:szCs w:val="21"/>
                    </w:rPr>
                    <w:t>、BOD</w:t>
                  </w:r>
                  <w:r>
                    <w:rPr>
                      <w:spacing w:val="3"/>
                      <w:szCs w:val="21"/>
                      <w:vertAlign w:val="subscript"/>
                    </w:rPr>
                    <w:t>5</w:t>
                  </w:r>
                  <w:r>
                    <w:rPr>
                      <w:spacing w:val="3"/>
                      <w:szCs w:val="21"/>
                    </w:rPr>
                    <w:t>、SS、NH</w:t>
                  </w:r>
                  <w:r>
                    <w:rPr>
                      <w:spacing w:val="3"/>
                      <w:szCs w:val="21"/>
                      <w:vertAlign w:val="subscript"/>
                    </w:rPr>
                    <w:t>3</w:t>
                  </w:r>
                  <w:r>
                    <w:rPr>
                      <w:spacing w:val="3"/>
                      <w:szCs w:val="21"/>
                    </w:rPr>
                    <w:t>-N、石油类</w:t>
                  </w:r>
                </w:p>
              </w:tc>
              <w:tc>
                <w:tcPr>
                  <w:tcW w:w="733" w:type="dxa"/>
                  <w:vMerge w:val="restart"/>
                  <w:vAlign w:val="center"/>
                </w:tcPr>
                <w:p>
                  <w:pPr>
                    <w:spacing w:line="300" w:lineRule="exact"/>
                    <w:jc w:val="center"/>
                    <w:rPr>
                      <w:spacing w:val="3"/>
                      <w:szCs w:val="21"/>
                    </w:rPr>
                  </w:pPr>
                  <w:r>
                    <w:rPr>
                      <w:spacing w:val="3"/>
                      <w:szCs w:val="21"/>
                    </w:rPr>
                    <w:t>间断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542" w:type="dxa"/>
                  <w:vMerge w:val="continue"/>
                </w:tcPr>
                <w:p>
                  <w:pPr>
                    <w:spacing w:line="300" w:lineRule="exact"/>
                    <w:jc w:val="center"/>
                    <w:rPr>
                      <w:spacing w:val="3"/>
                      <w:szCs w:val="21"/>
                    </w:rPr>
                  </w:pPr>
                </w:p>
              </w:tc>
              <w:tc>
                <w:tcPr>
                  <w:tcW w:w="685" w:type="dxa"/>
                  <w:vAlign w:val="center"/>
                </w:tcPr>
                <w:p>
                  <w:pPr>
                    <w:spacing w:line="300" w:lineRule="exact"/>
                    <w:jc w:val="center"/>
                    <w:rPr>
                      <w:spacing w:val="3"/>
                      <w:szCs w:val="21"/>
                    </w:rPr>
                  </w:pPr>
                  <w:r>
                    <w:rPr>
                      <w:spacing w:val="3"/>
                      <w:szCs w:val="21"/>
                    </w:rPr>
                    <w:t>固体废物</w:t>
                  </w:r>
                </w:p>
              </w:tc>
              <w:tc>
                <w:tcPr>
                  <w:tcW w:w="2693" w:type="dxa"/>
                  <w:vAlign w:val="center"/>
                </w:tcPr>
                <w:p>
                  <w:pPr>
                    <w:autoSpaceDE w:val="0"/>
                    <w:autoSpaceDN w:val="0"/>
                    <w:adjustRightInd w:val="0"/>
                    <w:jc w:val="center"/>
                    <w:rPr>
                      <w:spacing w:val="3"/>
                      <w:szCs w:val="21"/>
                    </w:rPr>
                  </w:pPr>
                  <w:r>
                    <w:rPr>
                      <w:kern w:val="0"/>
                      <w:szCs w:val="21"/>
                    </w:rPr>
                    <w:t>来往车辆、生活办公、</w:t>
                  </w:r>
                  <w:r>
                    <w:rPr>
                      <w:szCs w:val="21"/>
                    </w:rPr>
                    <w:t>隔油沉淀池</w:t>
                  </w:r>
                  <w:r>
                    <w:rPr>
                      <w:kern w:val="0"/>
                      <w:szCs w:val="21"/>
                    </w:rPr>
                    <w:t>、油罐</w:t>
                  </w:r>
                </w:p>
              </w:tc>
              <w:tc>
                <w:tcPr>
                  <w:tcW w:w="3260" w:type="dxa"/>
                  <w:vAlign w:val="center"/>
                </w:tcPr>
                <w:p>
                  <w:pPr>
                    <w:spacing w:line="300" w:lineRule="exact"/>
                    <w:jc w:val="center"/>
                    <w:rPr>
                      <w:spacing w:val="3"/>
                      <w:szCs w:val="21"/>
                    </w:rPr>
                  </w:pPr>
                  <w:r>
                    <w:rPr>
                      <w:kern w:val="0"/>
                      <w:szCs w:val="21"/>
                    </w:rPr>
                    <w:t>生活垃圾、废油泥</w:t>
                  </w:r>
                </w:p>
              </w:tc>
              <w:tc>
                <w:tcPr>
                  <w:tcW w:w="733" w:type="dxa"/>
                  <w:vMerge w:val="continue"/>
                  <w:vAlign w:val="center"/>
                </w:tcPr>
                <w:p>
                  <w:pPr>
                    <w:pStyle w:val="53"/>
                    <w:spacing w:line="300" w:lineRule="exact"/>
                    <w:rPr>
                      <w:spacing w:val="3"/>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542" w:type="dxa"/>
                  <w:vMerge w:val="continue"/>
                  <w:vAlign w:val="center"/>
                </w:tcPr>
                <w:p>
                  <w:pPr>
                    <w:spacing w:line="300" w:lineRule="exact"/>
                    <w:jc w:val="center"/>
                    <w:rPr>
                      <w:spacing w:val="3"/>
                      <w:szCs w:val="21"/>
                    </w:rPr>
                  </w:pPr>
                </w:p>
              </w:tc>
              <w:tc>
                <w:tcPr>
                  <w:tcW w:w="685" w:type="dxa"/>
                  <w:vMerge w:val="restart"/>
                  <w:vAlign w:val="center"/>
                </w:tcPr>
                <w:p>
                  <w:pPr>
                    <w:spacing w:line="300" w:lineRule="exact"/>
                    <w:jc w:val="center"/>
                    <w:rPr>
                      <w:spacing w:val="3"/>
                      <w:szCs w:val="21"/>
                    </w:rPr>
                  </w:pPr>
                  <w:r>
                    <w:rPr>
                      <w:spacing w:val="3"/>
                      <w:szCs w:val="21"/>
                    </w:rPr>
                    <w:t>废气</w:t>
                  </w:r>
                </w:p>
              </w:tc>
              <w:tc>
                <w:tcPr>
                  <w:tcW w:w="2693" w:type="dxa"/>
                  <w:vAlign w:val="center"/>
                </w:tcPr>
                <w:p>
                  <w:pPr>
                    <w:autoSpaceDE w:val="0"/>
                    <w:autoSpaceDN w:val="0"/>
                    <w:adjustRightInd w:val="0"/>
                    <w:jc w:val="left"/>
                    <w:rPr>
                      <w:spacing w:val="3"/>
                      <w:szCs w:val="21"/>
                    </w:rPr>
                  </w:pPr>
                  <w:r>
                    <w:rPr>
                      <w:kern w:val="0"/>
                      <w:szCs w:val="21"/>
                    </w:rPr>
                    <w:t>油罐大小呼吸、加油机作业</w:t>
                  </w:r>
                </w:p>
              </w:tc>
              <w:tc>
                <w:tcPr>
                  <w:tcW w:w="3260" w:type="dxa"/>
                  <w:vAlign w:val="center"/>
                </w:tcPr>
                <w:p>
                  <w:pPr>
                    <w:spacing w:line="300" w:lineRule="exact"/>
                    <w:jc w:val="center"/>
                    <w:rPr>
                      <w:spacing w:val="3"/>
                      <w:szCs w:val="21"/>
                    </w:rPr>
                  </w:pPr>
                  <w:r>
                    <w:rPr>
                      <w:kern w:val="0"/>
                      <w:szCs w:val="21"/>
                    </w:rPr>
                    <w:t>油品挥发废气（非甲烷总烃）</w:t>
                  </w:r>
                </w:p>
              </w:tc>
              <w:tc>
                <w:tcPr>
                  <w:tcW w:w="733" w:type="dxa"/>
                  <w:vMerge w:val="continue"/>
                  <w:vAlign w:val="center"/>
                </w:tcPr>
                <w:p>
                  <w:pPr>
                    <w:pStyle w:val="53"/>
                    <w:spacing w:line="300" w:lineRule="exact"/>
                    <w:rPr>
                      <w:w w:val="8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284" w:hRule="atLeast"/>
              </w:trPr>
              <w:tc>
                <w:tcPr>
                  <w:tcW w:w="542" w:type="dxa"/>
                  <w:vMerge w:val="continue"/>
                  <w:vAlign w:val="center"/>
                </w:tcPr>
                <w:p>
                  <w:pPr>
                    <w:spacing w:line="300" w:lineRule="exact"/>
                    <w:jc w:val="center"/>
                    <w:rPr>
                      <w:spacing w:val="3"/>
                      <w:szCs w:val="21"/>
                    </w:rPr>
                  </w:pPr>
                </w:p>
              </w:tc>
              <w:tc>
                <w:tcPr>
                  <w:tcW w:w="685" w:type="dxa"/>
                  <w:vMerge w:val="continue"/>
                  <w:vAlign w:val="center"/>
                </w:tcPr>
                <w:p>
                  <w:pPr>
                    <w:spacing w:line="300" w:lineRule="exact"/>
                    <w:jc w:val="center"/>
                    <w:rPr>
                      <w:spacing w:val="3"/>
                      <w:szCs w:val="21"/>
                    </w:rPr>
                  </w:pPr>
                </w:p>
              </w:tc>
              <w:tc>
                <w:tcPr>
                  <w:tcW w:w="2693" w:type="dxa"/>
                  <w:vAlign w:val="center"/>
                </w:tcPr>
                <w:p>
                  <w:pPr>
                    <w:spacing w:line="300" w:lineRule="exact"/>
                    <w:jc w:val="center"/>
                    <w:rPr>
                      <w:spacing w:val="3"/>
                      <w:szCs w:val="21"/>
                    </w:rPr>
                  </w:pPr>
                  <w:r>
                    <w:rPr>
                      <w:kern w:val="0"/>
                      <w:szCs w:val="21"/>
                    </w:rPr>
                    <w:t>汽车尾气</w:t>
                  </w:r>
                </w:p>
              </w:tc>
              <w:tc>
                <w:tcPr>
                  <w:tcW w:w="3260" w:type="dxa"/>
                  <w:vAlign w:val="center"/>
                </w:tcPr>
                <w:p>
                  <w:pPr>
                    <w:spacing w:line="300" w:lineRule="exact"/>
                    <w:jc w:val="center"/>
                    <w:rPr>
                      <w:spacing w:val="3"/>
                      <w:szCs w:val="21"/>
                    </w:rPr>
                  </w:pPr>
                  <w:r>
                    <w:rPr>
                      <w:kern w:val="0"/>
                      <w:szCs w:val="21"/>
                    </w:rPr>
                    <w:t>汽车尾气（CO、NOx 和HC）</w:t>
                  </w:r>
                </w:p>
              </w:tc>
              <w:tc>
                <w:tcPr>
                  <w:tcW w:w="733" w:type="dxa"/>
                  <w:vMerge w:val="continue"/>
                  <w:vAlign w:val="center"/>
                </w:tcPr>
                <w:p>
                  <w:pPr>
                    <w:pStyle w:val="53"/>
                    <w:spacing w:line="300" w:lineRule="exact"/>
                    <w:rPr>
                      <w:w w:val="8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284" w:hRule="atLeast"/>
              </w:trPr>
              <w:tc>
                <w:tcPr>
                  <w:tcW w:w="542" w:type="dxa"/>
                  <w:vMerge w:val="continue"/>
                </w:tcPr>
                <w:p>
                  <w:pPr>
                    <w:spacing w:line="300" w:lineRule="exact"/>
                    <w:jc w:val="center"/>
                    <w:rPr>
                      <w:spacing w:val="3"/>
                      <w:szCs w:val="21"/>
                    </w:rPr>
                  </w:pPr>
                </w:p>
              </w:tc>
              <w:tc>
                <w:tcPr>
                  <w:tcW w:w="685" w:type="dxa"/>
                  <w:vMerge w:val="restart"/>
                  <w:vAlign w:val="center"/>
                </w:tcPr>
                <w:p>
                  <w:pPr>
                    <w:spacing w:line="300" w:lineRule="exact"/>
                    <w:jc w:val="center"/>
                    <w:rPr>
                      <w:spacing w:val="3"/>
                      <w:szCs w:val="21"/>
                    </w:rPr>
                  </w:pPr>
                  <w:r>
                    <w:rPr>
                      <w:spacing w:val="3"/>
                      <w:szCs w:val="21"/>
                    </w:rPr>
                    <w:t>噪声</w:t>
                  </w:r>
                </w:p>
              </w:tc>
              <w:tc>
                <w:tcPr>
                  <w:tcW w:w="2693" w:type="dxa"/>
                  <w:vAlign w:val="center"/>
                </w:tcPr>
                <w:p>
                  <w:pPr>
                    <w:spacing w:line="300" w:lineRule="exact"/>
                    <w:jc w:val="center"/>
                    <w:rPr>
                      <w:spacing w:val="3"/>
                      <w:szCs w:val="21"/>
                    </w:rPr>
                  </w:pPr>
                  <w:r>
                    <w:rPr>
                      <w:spacing w:val="3"/>
                      <w:szCs w:val="21"/>
                    </w:rPr>
                    <w:t>加油机</w:t>
                  </w:r>
                </w:p>
              </w:tc>
              <w:tc>
                <w:tcPr>
                  <w:tcW w:w="3260" w:type="dxa"/>
                  <w:vAlign w:val="center"/>
                </w:tcPr>
                <w:p>
                  <w:pPr>
                    <w:spacing w:line="300" w:lineRule="exact"/>
                    <w:jc w:val="center"/>
                    <w:rPr>
                      <w:spacing w:val="3"/>
                      <w:szCs w:val="21"/>
                    </w:rPr>
                  </w:pPr>
                  <w:r>
                    <w:rPr>
                      <w:spacing w:val="3"/>
                      <w:szCs w:val="21"/>
                    </w:rPr>
                    <w:t>机械噪声</w:t>
                  </w:r>
                </w:p>
              </w:tc>
              <w:tc>
                <w:tcPr>
                  <w:tcW w:w="733" w:type="dxa"/>
                  <w:vMerge w:val="continue"/>
                  <w:vAlign w:val="center"/>
                </w:tcPr>
                <w:p>
                  <w:pPr>
                    <w:pStyle w:val="53"/>
                    <w:spacing w:line="300" w:lineRule="exact"/>
                    <w:rPr>
                      <w:w w:val="8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284" w:hRule="atLeast"/>
              </w:trPr>
              <w:tc>
                <w:tcPr>
                  <w:tcW w:w="542" w:type="dxa"/>
                  <w:vMerge w:val="continue"/>
                </w:tcPr>
                <w:p>
                  <w:pPr>
                    <w:spacing w:line="300" w:lineRule="exact"/>
                    <w:jc w:val="center"/>
                    <w:rPr>
                      <w:spacing w:val="3"/>
                      <w:szCs w:val="21"/>
                    </w:rPr>
                  </w:pPr>
                </w:p>
              </w:tc>
              <w:tc>
                <w:tcPr>
                  <w:tcW w:w="685" w:type="dxa"/>
                  <w:vMerge w:val="continue"/>
                  <w:vAlign w:val="center"/>
                </w:tcPr>
                <w:p>
                  <w:pPr>
                    <w:spacing w:line="300" w:lineRule="exact"/>
                    <w:jc w:val="center"/>
                    <w:rPr>
                      <w:spacing w:val="3"/>
                      <w:szCs w:val="21"/>
                    </w:rPr>
                  </w:pPr>
                </w:p>
              </w:tc>
              <w:tc>
                <w:tcPr>
                  <w:tcW w:w="2693" w:type="dxa"/>
                  <w:vAlign w:val="center"/>
                </w:tcPr>
                <w:p>
                  <w:pPr>
                    <w:spacing w:line="300" w:lineRule="exact"/>
                    <w:jc w:val="center"/>
                    <w:rPr>
                      <w:spacing w:val="3"/>
                      <w:szCs w:val="21"/>
                    </w:rPr>
                  </w:pPr>
                  <w:r>
                    <w:rPr>
                      <w:spacing w:val="3"/>
                      <w:szCs w:val="21"/>
                    </w:rPr>
                    <w:t>来往车辆</w:t>
                  </w:r>
                </w:p>
              </w:tc>
              <w:tc>
                <w:tcPr>
                  <w:tcW w:w="3260" w:type="dxa"/>
                  <w:vAlign w:val="center"/>
                </w:tcPr>
                <w:p>
                  <w:pPr>
                    <w:spacing w:line="300" w:lineRule="exact"/>
                    <w:jc w:val="center"/>
                    <w:rPr>
                      <w:spacing w:val="3"/>
                      <w:szCs w:val="21"/>
                    </w:rPr>
                  </w:pPr>
                  <w:r>
                    <w:rPr>
                      <w:spacing w:val="3"/>
                      <w:szCs w:val="21"/>
                    </w:rPr>
                    <w:t>交通噪声</w:t>
                  </w:r>
                </w:p>
              </w:tc>
              <w:tc>
                <w:tcPr>
                  <w:tcW w:w="733" w:type="dxa"/>
                  <w:vMerge w:val="continue"/>
                  <w:vAlign w:val="center"/>
                </w:tcPr>
                <w:p>
                  <w:pPr>
                    <w:pStyle w:val="53"/>
                    <w:spacing w:line="300" w:lineRule="exact"/>
                    <w:rPr>
                      <w:w w:val="80"/>
                      <w:kern w:val="21"/>
                      <w:sz w:val="21"/>
                      <w:szCs w:val="21"/>
                    </w:rPr>
                  </w:pPr>
                </w:p>
              </w:tc>
            </w:tr>
          </w:tbl>
          <w:p>
            <w:pPr>
              <w:adjustRightInd w:val="0"/>
              <w:snapToGrid w:val="0"/>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161" w:type="dxa"/>
          </w:tcPr>
          <w:p>
            <w:pPr>
              <w:adjustRightInd w:val="0"/>
              <w:snapToGrid w:val="0"/>
              <w:spacing w:line="360" w:lineRule="auto"/>
              <w:rPr>
                <w:b/>
                <w:bCs/>
                <w:szCs w:val="21"/>
              </w:rPr>
            </w:pPr>
          </w:p>
          <w:p>
            <w:pPr>
              <w:adjustRightInd w:val="0"/>
              <w:snapToGrid w:val="0"/>
              <w:spacing w:line="360" w:lineRule="auto"/>
              <w:rPr>
                <w:b/>
                <w:bCs/>
                <w:szCs w:val="21"/>
              </w:rPr>
            </w:pPr>
          </w:p>
          <w:p>
            <w:pPr>
              <w:adjustRightInd w:val="0"/>
              <w:snapToGrid w:val="0"/>
              <w:spacing w:line="360" w:lineRule="auto"/>
              <w:rPr>
                <w:b/>
                <w:bCs/>
                <w:szCs w:val="21"/>
              </w:rPr>
            </w:pPr>
          </w:p>
          <w:p>
            <w:pPr>
              <w:adjustRightInd w:val="0"/>
              <w:snapToGrid w:val="0"/>
              <w:spacing w:line="360" w:lineRule="auto"/>
              <w:rPr>
                <w:b/>
                <w:bCs/>
                <w:szCs w:val="21"/>
              </w:rPr>
            </w:pPr>
          </w:p>
          <w:p>
            <w:pPr>
              <w:adjustRightInd w:val="0"/>
              <w:snapToGrid w:val="0"/>
              <w:spacing w:line="360" w:lineRule="auto"/>
              <w:rPr>
                <w:b/>
                <w:bCs/>
                <w:szCs w:val="21"/>
              </w:rPr>
            </w:pPr>
          </w:p>
          <w:p>
            <w:pPr>
              <w:adjustRightInd w:val="0"/>
              <w:snapToGrid w:val="0"/>
              <w:spacing w:line="360" w:lineRule="auto"/>
              <w:ind w:firstLine="420" w:firstLineChars="200"/>
              <w:rPr>
                <w:b/>
                <w:szCs w:val="21"/>
              </w:rPr>
            </w:pPr>
            <w:r>
              <w:rPr>
                <w:bCs/>
                <w:szCs w:val="21"/>
              </w:rPr>
              <w:t>本项目为新建项目，因此无原有环境污染</w:t>
            </w:r>
            <w:r>
              <w:rPr>
                <w:szCs w:val="21"/>
              </w:rPr>
              <w:t>。</w:t>
            </w:r>
          </w:p>
          <w:p>
            <w:pPr>
              <w:adjustRightInd w:val="0"/>
              <w:snapToGrid w:val="0"/>
              <w:spacing w:line="360" w:lineRule="auto"/>
              <w:rPr>
                <w:bCs/>
                <w:szCs w:val="21"/>
              </w:rPr>
            </w:pPr>
          </w:p>
          <w:p>
            <w:pPr>
              <w:adjustRightInd w:val="0"/>
              <w:snapToGrid w:val="0"/>
              <w:spacing w:line="360" w:lineRule="auto"/>
              <w:rPr>
                <w:bCs/>
                <w:szCs w:val="21"/>
              </w:rPr>
            </w:pPr>
          </w:p>
          <w:p>
            <w:pPr>
              <w:adjustRightInd w:val="0"/>
              <w:snapToGrid w:val="0"/>
              <w:spacing w:line="360" w:lineRule="auto"/>
              <w:rPr>
                <w:bCs/>
                <w:szCs w:val="21"/>
              </w:rPr>
            </w:pPr>
          </w:p>
          <w:p>
            <w:pPr>
              <w:adjustRightInd w:val="0"/>
              <w:snapToGrid w:val="0"/>
              <w:spacing w:line="360" w:lineRule="auto"/>
              <w:rPr>
                <w:bCs/>
                <w:szCs w:val="21"/>
              </w:rPr>
            </w:pPr>
          </w:p>
          <w:p>
            <w:pPr>
              <w:adjustRightInd w:val="0"/>
              <w:snapToGrid w:val="0"/>
              <w:spacing w:line="360" w:lineRule="auto"/>
              <w:rPr>
                <w:bCs/>
                <w:szCs w:val="21"/>
              </w:rPr>
            </w:pPr>
          </w:p>
          <w:p>
            <w:pPr>
              <w:adjustRightInd w:val="0"/>
              <w:snapToGrid w:val="0"/>
              <w:spacing w:after="100" w:afterAutospacing="1" w:line="360" w:lineRule="auto"/>
              <w:rPr>
                <w:bCs/>
                <w:szCs w:val="21"/>
              </w:rPr>
            </w:pPr>
          </w:p>
        </w:tc>
      </w:tr>
    </w:tbl>
    <w:p>
      <w:pPr>
        <w:pStyle w:val="17"/>
        <w:jc w:val="center"/>
        <w:rPr>
          <w:rFonts w:ascii="Times New Roman" w:hAnsi="Times New Roman"/>
          <w:snapToGrid w:val="0"/>
          <w:color w:val="FF0000"/>
          <w:sz w:val="36"/>
          <w:szCs w:val="36"/>
        </w:rPr>
        <w:sectPr>
          <w:pgSz w:w="11906" w:h="16838"/>
          <w:pgMar w:top="1701" w:right="1531" w:bottom="1701" w:left="1531" w:header="851" w:footer="851" w:gutter="0"/>
          <w:cols w:space="720" w:num="1"/>
          <w:docGrid w:linePitch="312" w:charSpace="0"/>
        </w:sectPr>
      </w:pPr>
    </w:p>
    <w:p>
      <w:pPr>
        <w:pStyle w:val="17"/>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800"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color w:val="FF0000"/>
                <w:kern w:val="0"/>
                <w:szCs w:val="21"/>
              </w:rPr>
            </w:pPr>
            <w:r>
              <w:rPr>
                <w:kern w:val="0"/>
                <w:szCs w:val="21"/>
              </w:rPr>
              <w:t>现状</w:t>
            </w:r>
          </w:p>
        </w:tc>
        <w:tc>
          <w:tcPr>
            <w:tcW w:w="8190" w:type="dxa"/>
            <w:vAlign w:val="center"/>
          </w:tcPr>
          <w:p>
            <w:pPr>
              <w:spacing w:line="360" w:lineRule="auto"/>
              <w:ind w:firstLine="422" w:firstLineChars="200"/>
              <w:jc w:val="left"/>
              <w:rPr>
                <w:b/>
                <w:szCs w:val="21"/>
              </w:rPr>
            </w:pPr>
            <w:r>
              <w:rPr>
                <w:b/>
                <w:szCs w:val="21"/>
              </w:rPr>
              <w:t>1、大气环境</w:t>
            </w:r>
          </w:p>
          <w:p>
            <w:pPr>
              <w:spacing w:line="360" w:lineRule="auto"/>
              <w:ind w:firstLine="420" w:firstLineChars="200"/>
              <w:rPr>
                <w:szCs w:val="21"/>
              </w:rPr>
            </w:pPr>
            <w:r>
              <w:rPr>
                <w:bCs/>
                <w:szCs w:val="21"/>
              </w:rPr>
              <w:t>（1）</w:t>
            </w:r>
            <w:r>
              <w:rPr>
                <w:szCs w:val="21"/>
              </w:rPr>
              <w:t>项目所在区域环境质量达标情况</w:t>
            </w:r>
          </w:p>
          <w:p>
            <w:pPr>
              <w:pStyle w:val="54"/>
              <w:ind w:firstLine="420"/>
              <w:rPr>
                <w:sz w:val="21"/>
                <w:szCs w:val="21"/>
                <w:shd w:val="clear" w:color="auto" w:fill="FFFFFF"/>
              </w:rPr>
            </w:pPr>
            <w:r>
              <w:rPr>
                <w:sz w:val="21"/>
                <w:szCs w:val="21"/>
              </w:rPr>
              <w:t>根据《环境影响评价技术导则—大气环境》（HJ2.2-2018），城市环境空气质量达标情况评价优选采用国家或地方生态环境主管部门公开发布的城市环境空气达标情况，判定项目所在区域时是否属于达标区。本次评价引用江西省生态环境厅发布的2020年江西省各市（区）大气环境质量监测数据。</w:t>
            </w:r>
            <w:r>
              <w:rPr>
                <w:sz w:val="21"/>
                <w:szCs w:val="21"/>
                <w:shd w:val="clear" w:color="auto" w:fill="FFFFFF"/>
              </w:rPr>
              <w:t>详见表3-1。</w:t>
            </w:r>
          </w:p>
          <w:p>
            <w:pPr>
              <w:spacing w:line="276" w:lineRule="auto"/>
              <w:jc w:val="center"/>
              <w:rPr>
                <w:b/>
                <w:szCs w:val="21"/>
              </w:rPr>
            </w:pPr>
            <w:r>
              <w:rPr>
                <w:b/>
                <w:szCs w:val="21"/>
              </w:rPr>
              <w:t>表3-1  2020年宁都县六项污染物浓度年均值</w:t>
            </w:r>
          </w:p>
          <w:tbl>
            <w:tblPr>
              <w:tblStyle w:val="21"/>
              <w:tblW w:w="796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650"/>
              <w:gridCol w:w="761"/>
              <w:gridCol w:w="708"/>
              <w:gridCol w:w="819"/>
              <w:gridCol w:w="854"/>
              <w:gridCol w:w="1371"/>
              <w:gridCol w:w="180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1650" w:type="dxa"/>
                  <w:vAlign w:val="center"/>
                </w:tcPr>
                <w:p>
                  <w:pPr>
                    <w:jc w:val="center"/>
                    <w:rPr>
                      <w:szCs w:val="21"/>
                    </w:rPr>
                  </w:pPr>
                  <w:r>
                    <w:rPr>
                      <w:bCs/>
                      <w:szCs w:val="21"/>
                    </w:rPr>
                    <w:t>县（市、区）</w:t>
                  </w:r>
                </w:p>
              </w:tc>
              <w:tc>
                <w:tcPr>
                  <w:tcW w:w="761" w:type="dxa"/>
                  <w:vAlign w:val="center"/>
                </w:tcPr>
                <w:p>
                  <w:pPr>
                    <w:ind w:left="-105" w:right="-105"/>
                    <w:jc w:val="center"/>
                    <w:rPr>
                      <w:szCs w:val="21"/>
                    </w:rPr>
                  </w:pPr>
                  <w:r>
                    <w:rPr>
                      <w:bCs/>
                      <w:szCs w:val="21"/>
                    </w:rPr>
                    <w:t>SO</w:t>
                  </w:r>
                  <w:r>
                    <w:rPr>
                      <w:bCs/>
                      <w:szCs w:val="21"/>
                      <w:vertAlign w:val="subscript"/>
                    </w:rPr>
                    <w:t>2</w:t>
                  </w:r>
                </w:p>
              </w:tc>
              <w:tc>
                <w:tcPr>
                  <w:tcW w:w="708" w:type="dxa"/>
                  <w:vAlign w:val="center"/>
                </w:tcPr>
                <w:p>
                  <w:pPr>
                    <w:ind w:left="-105" w:right="-105"/>
                    <w:jc w:val="center"/>
                    <w:rPr>
                      <w:szCs w:val="21"/>
                    </w:rPr>
                  </w:pPr>
                  <w:r>
                    <w:rPr>
                      <w:bCs/>
                      <w:szCs w:val="21"/>
                    </w:rPr>
                    <w:t>NO</w:t>
                  </w:r>
                  <w:r>
                    <w:rPr>
                      <w:bCs/>
                      <w:szCs w:val="21"/>
                      <w:vertAlign w:val="subscript"/>
                    </w:rPr>
                    <w:t>2</w:t>
                  </w:r>
                </w:p>
              </w:tc>
              <w:tc>
                <w:tcPr>
                  <w:tcW w:w="819" w:type="dxa"/>
                  <w:vAlign w:val="center"/>
                </w:tcPr>
                <w:p>
                  <w:pPr>
                    <w:ind w:left="-105" w:right="-105"/>
                    <w:jc w:val="center"/>
                    <w:rPr>
                      <w:szCs w:val="21"/>
                    </w:rPr>
                  </w:pPr>
                  <w:r>
                    <w:rPr>
                      <w:bCs/>
                      <w:szCs w:val="21"/>
                    </w:rPr>
                    <w:t>PM</w:t>
                  </w:r>
                  <w:r>
                    <w:rPr>
                      <w:bCs/>
                      <w:szCs w:val="21"/>
                      <w:vertAlign w:val="subscript"/>
                    </w:rPr>
                    <w:t>10</w:t>
                  </w:r>
                </w:p>
              </w:tc>
              <w:tc>
                <w:tcPr>
                  <w:tcW w:w="854" w:type="dxa"/>
                  <w:noWrap/>
                  <w:vAlign w:val="center"/>
                </w:tcPr>
                <w:p>
                  <w:pPr>
                    <w:ind w:left="-105" w:right="-105"/>
                    <w:jc w:val="center"/>
                    <w:rPr>
                      <w:szCs w:val="21"/>
                    </w:rPr>
                  </w:pPr>
                  <w:r>
                    <w:rPr>
                      <w:bCs/>
                      <w:szCs w:val="21"/>
                    </w:rPr>
                    <w:t>PM</w:t>
                  </w:r>
                  <w:r>
                    <w:rPr>
                      <w:bCs/>
                      <w:szCs w:val="21"/>
                      <w:vertAlign w:val="subscript"/>
                    </w:rPr>
                    <w:t>2.5</w:t>
                  </w:r>
                  <w:r>
                    <w:rPr>
                      <w:szCs w:val="21"/>
                    </w:rPr>
                    <w:t xml:space="preserve"> </w:t>
                  </w:r>
                </w:p>
              </w:tc>
              <w:tc>
                <w:tcPr>
                  <w:tcW w:w="1371" w:type="dxa"/>
                  <w:vAlign w:val="center"/>
                </w:tcPr>
                <w:p>
                  <w:pPr>
                    <w:jc w:val="center"/>
                    <w:rPr>
                      <w:szCs w:val="21"/>
                    </w:rPr>
                  </w:pPr>
                  <w:r>
                    <w:rPr>
                      <w:bCs/>
                      <w:szCs w:val="21"/>
                    </w:rPr>
                    <w:t>CO日均值95%位数值</w:t>
                  </w:r>
                </w:p>
              </w:tc>
              <w:tc>
                <w:tcPr>
                  <w:tcW w:w="1806" w:type="dxa"/>
                  <w:vAlign w:val="center"/>
                </w:tcPr>
                <w:p>
                  <w:pPr>
                    <w:jc w:val="center"/>
                    <w:rPr>
                      <w:szCs w:val="21"/>
                    </w:rPr>
                  </w:pPr>
                  <w:r>
                    <w:rPr>
                      <w:bCs/>
                      <w:szCs w:val="21"/>
                    </w:rPr>
                    <w:t>O</w:t>
                  </w:r>
                  <w:r>
                    <w:rPr>
                      <w:bCs/>
                      <w:szCs w:val="21"/>
                      <w:vertAlign w:val="subscript"/>
                    </w:rPr>
                    <w:t>3</w:t>
                  </w:r>
                  <w:r>
                    <w:rPr>
                      <w:bCs/>
                      <w:szCs w:val="21"/>
                    </w:rPr>
                    <w:t>日最大8小时值90%位数值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50" w:type="dxa"/>
                  <w:vAlign w:val="center"/>
                </w:tcPr>
                <w:p>
                  <w:pPr>
                    <w:jc w:val="center"/>
                    <w:rPr>
                      <w:szCs w:val="21"/>
                    </w:rPr>
                  </w:pPr>
                  <w:r>
                    <w:rPr>
                      <w:szCs w:val="21"/>
                    </w:rPr>
                    <w:t>宁都县</w:t>
                  </w:r>
                </w:p>
              </w:tc>
              <w:tc>
                <w:tcPr>
                  <w:tcW w:w="761" w:type="dxa"/>
                  <w:vAlign w:val="center"/>
                </w:tcPr>
                <w:p>
                  <w:pPr>
                    <w:ind w:left="-105" w:right="-105"/>
                    <w:jc w:val="center"/>
                    <w:rPr>
                      <w:bCs/>
                      <w:szCs w:val="21"/>
                    </w:rPr>
                  </w:pPr>
                  <w:r>
                    <w:t>16</w:t>
                  </w:r>
                </w:p>
              </w:tc>
              <w:tc>
                <w:tcPr>
                  <w:tcW w:w="708" w:type="dxa"/>
                  <w:vAlign w:val="center"/>
                </w:tcPr>
                <w:p>
                  <w:pPr>
                    <w:ind w:left="-105" w:right="-105"/>
                    <w:jc w:val="center"/>
                    <w:rPr>
                      <w:bCs/>
                      <w:szCs w:val="21"/>
                    </w:rPr>
                  </w:pPr>
                  <w:r>
                    <w:t>12</w:t>
                  </w:r>
                </w:p>
              </w:tc>
              <w:tc>
                <w:tcPr>
                  <w:tcW w:w="819" w:type="dxa"/>
                  <w:vAlign w:val="center"/>
                </w:tcPr>
                <w:p>
                  <w:pPr>
                    <w:ind w:left="-105" w:right="-105"/>
                    <w:jc w:val="center"/>
                    <w:rPr>
                      <w:bCs/>
                      <w:szCs w:val="21"/>
                    </w:rPr>
                  </w:pPr>
                  <w:r>
                    <w:t>38</w:t>
                  </w:r>
                </w:p>
              </w:tc>
              <w:tc>
                <w:tcPr>
                  <w:tcW w:w="854" w:type="dxa"/>
                  <w:vAlign w:val="center"/>
                </w:tcPr>
                <w:p>
                  <w:pPr>
                    <w:ind w:left="-105" w:right="-105"/>
                    <w:jc w:val="center"/>
                    <w:rPr>
                      <w:bCs/>
                      <w:szCs w:val="21"/>
                    </w:rPr>
                  </w:pPr>
                  <w:r>
                    <w:t>18</w:t>
                  </w:r>
                </w:p>
              </w:tc>
              <w:tc>
                <w:tcPr>
                  <w:tcW w:w="1371" w:type="dxa"/>
                  <w:vAlign w:val="center"/>
                </w:tcPr>
                <w:p>
                  <w:pPr>
                    <w:ind w:left="-105" w:right="-105"/>
                    <w:jc w:val="center"/>
                    <w:rPr>
                      <w:bCs/>
                      <w:szCs w:val="21"/>
                    </w:rPr>
                  </w:pPr>
                  <w:r>
                    <w:t xml:space="preserve">1.4 </w:t>
                  </w:r>
                </w:p>
              </w:tc>
              <w:tc>
                <w:tcPr>
                  <w:tcW w:w="1806" w:type="dxa"/>
                  <w:vAlign w:val="center"/>
                </w:tcPr>
                <w:p>
                  <w:pPr>
                    <w:ind w:left="-105" w:right="-105"/>
                    <w:jc w:val="center"/>
                    <w:rPr>
                      <w:bCs/>
                      <w:szCs w:val="21"/>
                    </w:rPr>
                  </w:pPr>
                  <w:r>
                    <w:t>119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50" w:type="dxa"/>
                  <w:vAlign w:val="center"/>
                </w:tcPr>
                <w:p>
                  <w:pPr>
                    <w:jc w:val="center"/>
                    <w:rPr>
                      <w:szCs w:val="21"/>
                    </w:rPr>
                  </w:pPr>
                  <w:r>
                    <w:rPr>
                      <w:szCs w:val="21"/>
                    </w:rPr>
                    <w:t>(GB3095-2012)二级标准</w:t>
                  </w:r>
                </w:p>
              </w:tc>
              <w:tc>
                <w:tcPr>
                  <w:tcW w:w="761" w:type="dxa"/>
                  <w:vAlign w:val="center"/>
                </w:tcPr>
                <w:p>
                  <w:pPr>
                    <w:ind w:left="-105" w:right="-105"/>
                    <w:jc w:val="center"/>
                    <w:rPr>
                      <w:bCs/>
                      <w:szCs w:val="21"/>
                    </w:rPr>
                  </w:pPr>
                  <w:r>
                    <w:rPr>
                      <w:bCs/>
                      <w:szCs w:val="21"/>
                    </w:rPr>
                    <w:t>60</w:t>
                  </w:r>
                </w:p>
              </w:tc>
              <w:tc>
                <w:tcPr>
                  <w:tcW w:w="708" w:type="dxa"/>
                  <w:vAlign w:val="center"/>
                </w:tcPr>
                <w:p>
                  <w:pPr>
                    <w:ind w:left="-105" w:right="-105"/>
                    <w:jc w:val="center"/>
                    <w:rPr>
                      <w:bCs/>
                      <w:szCs w:val="21"/>
                    </w:rPr>
                  </w:pPr>
                  <w:r>
                    <w:rPr>
                      <w:bCs/>
                      <w:szCs w:val="21"/>
                    </w:rPr>
                    <w:t>40</w:t>
                  </w:r>
                </w:p>
              </w:tc>
              <w:tc>
                <w:tcPr>
                  <w:tcW w:w="819" w:type="dxa"/>
                  <w:vAlign w:val="center"/>
                </w:tcPr>
                <w:p>
                  <w:pPr>
                    <w:ind w:left="-105" w:right="-105"/>
                    <w:jc w:val="center"/>
                    <w:rPr>
                      <w:bCs/>
                      <w:szCs w:val="21"/>
                    </w:rPr>
                  </w:pPr>
                  <w:r>
                    <w:rPr>
                      <w:bCs/>
                      <w:szCs w:val="21"/>
                    </w:rPr>
                    <w:t>70</w:t>
                  </w:r>
                </w:p>
              </w:tc>
              <w:tc>
                <w:tcPr>
                  <w:tcW w:w="854" w:type="dxa"/>
                  <w:vAlign w:val="center"/>
                </w:tcPr>
                <w:p>
                  <w:pPr>
                    <w:ind w:left="-105" w:right="-105"/>
                    <w:jc w:val="center"/>
                    <w:rPr>
                      <w:bCs/>
                      <w:szCs w:val="21"/>
                    </w:rPr>
                  </w:pPr>
                  <w:r>
                    <w:rPr>
                      <w:bCs/>
                      <w:szCs w:val="21"/>
                    </w:rPr>
                    <w:t>35</w:t>
                  </w:r>
                </w:p>
              </w:tc>
              <w:tc>
                <w:tcPr>
                  <w:tcW w:w="1371" w:type="dxa"/>
                  <w:vAlign w:val="center"/>
                </w:tcPr>
                <w:p>
                  <w:pPr>
                    <w:ind w:left="-105" w:right="-105"/>
                    <w:jc w:val="center"/>
                    <w:rPr>
                      <w:bCs/>
                      <w:szCs w:val="21"/>
                    </w:rPr>
                  </w:pPr>
                  <w:r>
                    <w:rPr>
                      <w:bCs/>
                      <w:szCs w:val="21"/>
                    </w:rPr>
                    <w:t>4</w:t>
                  </w:r>
                </w:p>
              </w:tc>
              <w:tc>
                <w:tcPr>
                  <w:tcW w:w="1806" w:type="dxa"/>
                  <w:vAlign w:val="center"/>
                </w:tcPr>
                <w:p>
                  <w:pPr>
                    <w:ind w:left="-105" w:right="-105"/>
                    <w:jc w:val="center"/>
                    <w:rPr>
                      <w:bCs/>
                      <w:szCs w:val="21"/>
                    </w:rPr>
                  </w:pPr>
                  <w:r>
                    <w:rPr>
                      <w:bCs/>
                      <w:szCs w:val="21"/>
                    </w:rPr>
                    <w:t>160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50" w:type="dxa"/>
                  <w:vAlign w:val="center"/>
                </w:tcPr>
                <w:p>
                  <w:pPr>
                    <w:jc w:val="center"/>
                    <w:rPr>
                      <w:szCs w:val="21"/>
                    </w:rPr>
                  </w:pPr>
                  <w:r>
                    <w:rPr>
                      <w:szCs w:val="21"/>
                    </w:rPr>
                    <w:t>占标率（%）</w:t>
                  </w:r>
                </w:p>
              </w:tc>
              <w:tc>
                <w:tcPr>
                  <w:tcW w:w="761" w:type="dxa"/>
                  <w:vAlign w:val="center"/>
                </w:tcPr>
                <w:p>
                  <w:pPr>
                    <w:ind w:left="-105" w:right="-105"/>
                    <w:jc w:val="center"/>
                    <w:rPr>
                      <w:bCs/>
                      <w:szCs w:val="21"/>
                    </w:rPr>
                  </w:pPr>
                  <w:r>
                    <w:rPr>
                      <w:bCs/>
                      <w:szCs w:val="21"/>
                    </w:rPr>
                    <w:t>26.7</w:t>
                  </w:r>
                </w:p>
              </w:tc>
              <w:tc>
                <w:tcPr>
                  <w:tcW w:w="708" w:type="dxa"/>
                  <w:vAlign w:val="center"/>
                </w:tcPr>
                <w:p>
                  <w:pPr>
                    <w:ind w:left="-105" w:right="-105"/>
                    <w:jc w:val="center"/>
                    <w:rPr>
                      <w:bCs/>
                      <w:szCs w:val="21"/>
                    </w:rPr>
                  </w:pPr>
                  <w:r>
                    <w:rPr>
                      <w:bCs/>
                      <w:szCs w:val="21"/>
                    </w:rPr>
                    <w:t>30.0</w:t>
                  </w:r>
                </w:p>
              </w:tc>
              <w:tc>
                <w:tcPr>
                  <w:tcW w:w="819" w:type="dxa"/>
                  <w:vAlign w:val="center"/>
                </w:tcPr>
                <w:p>
                  <w:pPr>
                    <w:ind w:left="-105" w:right="-105"/>
                    <w:jc w:val="center"/>
                    <w:rPr>
                      <w:bCs/>
                      <w:szCs w:val="21"/>
                    </w:rPr>
                  </w:pPr>
                  <w:r>
                    <w:rPr>
                      <w:bCs/>
                      <w:szCs w:val="21"/>
                    </w:rPr>
                    <w:t>54.3</w:t>
                  </w:r>
                </w:p>
              </w:tc>
              <w:tc>
                <w:tcPr>
                  <w:tcW w:w="854" w:type="dxa"/>
                  <w:vAlign w:val="center"/>
                </w:tcPr>
                <w:p>
                  <w:pPr>
                    <w:ind w:left="-105" w:right="-105"/>
                    <w:jc w:val="center"/>
                    <w:rPr>
                      <w:bCs/>
                      <w:szCs w:val="21"/>
                    </w:rPr>
                  </w:pPr>
                  <w:r>
                    <w:rPr>
                      <w:bCs/>
                      <w:szCs w:val="21"/>
                    </w:rPr>
                    <w:t>51.4</w:t>
                  </w:r>
                </w:p>
              </w:tc>
              <w:tc>
                <w:tcPr>
                  <w:tcW w:w="1371" w:type="dxa"/>
                  <w:vAlign w:val="center"/>
                </w:tcPr>
                <w:p>
                  <w:pPr>
                    <w:ind w:left="-105" w:right="-105"/>
                    <w:jc w:val="center"/>
                    <w:rPr>
                      <w:bCs/>
                      <w:szCs w:val="21"/>
                    </w:rPr>
                  </w:pPr>
                  <w:r>
                    <w:rPr>
                      <w:bCs/>
                      <w:szCs w:val="21"/>
                    </w:rPr>
                    <w:t>35.0</w:t>
                  </w:r>
                </w:p>
              </w:tc>
              <w:tc>
                <w:tcPr>
                  <w:tcW w:w="1806" w:type="dxa"/>
                  <w:vAlign w:val="center"/>
                </w:tcPr>
                <w:p>
                  <w:pPr>
                    <w:ind w:left="-105" w:right="-105"/>
                    <w:jc w:val="center"/>
                    <w:rPr>
                      <w:bCs/>
                      <w:szCs w:val="21"/>
                    </w:rPr>
                  </w:pPr>
                  <w:r>
                    <w:rPr>
                      <w:bCs/>
                      <w:szCs w:val="21"/>
                    </w:rPr>
                    <w:t>74.4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1650" w:type="dxa"/>
                  <w:vAlign w:val="center"/>
                </w:tcPr>
                <w:p>
                  <w:pPr>
                    <w:jc w:val="center"/>
                    <w:rPr>
                      <w:szCs w:val="21"/>
                    </w:rPr>
                  </w:pPr>
                  <w:r>
                    <w:rPr>
                      <w:szCs w:val="21"/>
                    </w:rPr>
                    <w:t>达标情况</w:t>
                  </w:r>
                </w:p>
              </w:tc>
              <w:tc>
                <w:tcPr>
                  <w:tcW w:w="761" w:type="dxa"/>
                  <w:vAlign w:val="center"/>
                </w:tcPr>
                <w:p>
                  <w:pPr>
                    <w:ind w:left="-105" w:right="-105"/>
                    <w:jc w:val="center"/>
                    <w:rPr>
                      <w:bCs/>
                      <w:szCs w:val="21"/>
                    </w:rPr>
                  </w:pPr>
                  <w:r>
                    <w:rPr>
                      <w:bCs/>
                      <w:szCs w:val="21"/>
                    </w:rPr>
                    <w:t>达标</w:t>
                  </w:r>
                </w:p>
              </w:tc>
              <w:tc>
                <w:tcPr>
                  <w:tcW w:w="708" w:type="dxa"/>
                  <w:vAlign w:val="center"/>
                </w:tcPr>
                <w:p>
                  <w:pPr>
                    <w:ind w:left="-105" w:right="-105"/>
                    <w:jc w:val="center"/>
                    <w:rPr>
                      <w:bCs/>
                      <w:szCs w:val="21"/>
                    </w:rPr>
                  </w:pPr>
                  <w:r>
                    <w:rPr>
                      <w:bCs/>
                      <w:szCs w:val="21"/>
                    </w:rPr>
                    <w:t>达标</w:t>
                  </w:r>
                </w:p>
              </w:tc>
              <w:tc>
                <w:tcPr>
                  <w:tcW w:w="819" w:type="dxa"/>
                  <w:vAlign w:val="center"/>
                </w:tcPr>
                <w:p>
                  <w:pPr>
                    <w:ind w:left="-105" w:right="-105"/>
                    <w:jc w:val="center"/>
                    <w:rPr>
                      <w:bCs/>
                      <w:szCs w:val="21"/>
                    </w:rPr>
                  </w:pPr>
                  <w:r>
                    <w:rPr>
                      <w:bCs/>
                      <w:szCs w:val="21"/>
                    </w:rPr>
                    <w:t>达标</w:t>
                  </w:r>
                </w:p>
              </w:tc>
              <w:tc>
                <w:tcPr>
                  <w:tcW w:w="854" w:type="dxa"/>
                  <w:vAlign w:val="center"/>
                </w:tcPr>
                <w:p>
                  <w:pPr>
                    <w:ind w:left="-105" w:right="-105"/>
                    <w:jc w:val="center"/>
                    <w:rPr>
                      <w:bCs/>
                      <w:szCs w:val="21"/>
                    </w:rPr>
                  </w:pPr>
                  <w:r>
                    <w:rPr>
                      <w:bCs/>
                      <w:szCs w:val="21"/>
                    </w:rPr>
                    <w:t>达标</w:t>
                  </w:r>
                </w:p>
              </w:tc>
              <w:tc>
                <w:tcPr>
                  <w:tcW w:w="1371" w:type="dxa"/>
                  <w:vAlign w:val="center"/>
                </w:tcPr>
                <w:p>
                  <w:pPr>
                    <w:ind w:left="-105" w:right="-105"/>
                    <w:jc w:val="center"/>
                    <w:rPr>
                      <w:bCs/>
                      <w:szCs w:val="21"/>
                    </w:rPr>
                  </w:pPr>
                  <w:r>
                    <w:rPr>
                      <w:bCs/>
                      <w:szCs w:val="21"/>
                    </w:rPr>
                    <w:t>达标</w:t>
                  </w:r>
                </w:p>
              </w:tc>
              <w:tc>
                <w:tcPr>
                  <w:tcW w:w="1806" w:type="dxa"/>
                  <w:vAlign w:val="center"/>
                </w:tcPr>
                <w:p>
                  <w:pPr>
                    <w:ind w:left="-105" w:right="-105"/>
                    <w:jc w:val="center"/>
                    <w:rPr>
                      <w:bCs/>
                      <w:szCs w:val="21"/>
                    </w:rPr>
                  </w:pPr>
                  <w:r>
                    <w:rPr>
                      <w:bCs/>
                      <w:szCs w:val="21"/>
                    </w:rPr>
                    <w:t>达标</w:t>
                  </w:r>
                </w:p>
              </w:tc>
            </w:tr>
          </w:tbl>
          <w:p>
            <w:pPr>
              <w:pStyle w:val="54"/>
              <w:spacing w:line="240" w:lineRule="auto"/>
              <w:ind w:firstLine="420"/>
              <w:rPr>
                <w:sz w:val="21"/>
                <w:szCs w:val="21"/>
              </w:rPr>
            </w:pPr>
          </w:p>
          <w:p>
            <w:pPr>
              <w:pStyle w:val="54"/>
              <w:ind w:firstLine="420"/>
              <w:rPr>
                <w:bCs/>
                <w:sz w:val="21"/>
                <w:szCs w:val="21"/>
              </w:rPr>
            </w:pPr>
            <w:r>
              <w:rPr>
                <w:sz w:val="21"/>
                <w:szCs w:val="21"/>
              </w:rPr>
              <w:t>由表3-1可知，宁都县县大气环境质量均可达到《环境空气质量标准》(GB3095-2012)二级标准，项目位于达标区。</w:t>
            </w:r>
          </w:p>
          <w:p>
            <w:pPr>
              <w:spacing w:line="360" w:lineRule="auto"/>
              <w:ind w:firstLine="420" w:firstLineChars="200"/>
              <w:rPr>
                <w:szCs w:val="21"/>
              </w:rPr>
            </w:pPr>
            <w:r>
              <w:rPr>
                <w:szCs w:val="21"/>
              </w:rPr>
              <w:t>（2）其他污染因子补充监测</w:t>
            </w:r>
          </w:p>
          <w:p>
            <w:pPr>
              <w:spacing w:line="360" w:lineRule="auto"/>
              <w:ind w:firstLine="420" w:firstLineChars="200"/>
              <w:rPr>
                <w:szCs w:val="21"/>
              </w:rPr>
            </w:pPr>
            <w:r>
              <w:rPr>
                <w:bCs/>
                <w:szCs w:val="21"/>
              </w:rPr>
              <w:t>本项目的特征因子为非甲烷总烃。本次评价于2022 年4月21日～4月23日对项目所在地及敏感点的非甲烷总烃进行了为期3天的监测。监测结果见表3-2</w:t>
            </w:r>
            <w:r>
              <w:rPr>
                <w:szCs w:val="21"/>
              </w:rPr>
              <w:t>。</w:t>
            </w:r>
          </w:p>
          <w:p>
            <w:pPr>
              <w:pStyle w:val="55"/>
              <w:spacing w:line="276" w:lineRule="auto"/>
              <w:ind w:left="130" w:firstLine="0"/>
              <w:jc w:val="center"/>
              <w:rPr>
                <w:b/>
                <w:sz w:val="21"/>
                <w:szCs w:val="21"/>
              </w:rPr>
            </w:pPr>
            <w:r>
              <w:rPr>
                <w:b/>
                <w:sz w:val="21"/>
                <w:szCs w:val="21"/>
              </w:rPr>
              <w:t>表3-2  环境空气质量监测统计结果  单位：mg/m</w:t>
            </w:r>
            <w:r>
              <w:rPr>
                <w:b/>
                <w:sz w:val="21"/>
                <w:szCs w:val="21"/>
                <w:vertAlign w:val="superscript"/>
              </w:rPr>
              <w:t>3</w:t>
            </w:r>
          </w:p>
          <w:tbl>
            <w:tblPr>
              <w:tblStyle w:val="21"/>
              <w:tblW w:w="80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931"/>
              <w:gridCol w:w="851"/>
              <w:gridCol w:w="1341"/>
              <w:gridCol w:w="1379"/>
              <w:gridCol w:w="1197"/>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99" w:type="pct"/>
                  <w:gridSpan w:val="2"/>
                  <w:tcBorders>
                    <w:top w:val="single" w:color="auto" w:sz="12" w:space="0"/>
                    <w:left w:val="single" w:color="auto" w:sz="12" w:space="0"/>
                    <w:bottom w:val="single" w:color="auto" w:sz="4" w:space="0"/>
                    <w:tl2br w:val="single" w:color="auto" w:sz="4" w:space="0"/>
                  </w:tcBorders>
                </w:tcPr>
                <w:p>
                  <w:pPr>
                    <w:ind w:firstLine="105" w:firstLineChars="50"/>
                    <w:rPr>
                      <w:szCs w:val="21"/>
                    </w:rPr>
                  </w:pPr>
                  <w:r>
                    <w:rPr>
                      <w:szCs w:val="21"/>
                    </w:rPr>
                    <w:t xml:space="preserve">           监测浓度</w:t>
                  </w:r>
                </w:p>
                <w:p>
                  <w:pPr>
                    <w:rPr>
                      <w:szCs w:val="21"/>
                    </w:rPr>
                  </w:pPr>
                  <w:r>
                    <w:rPr>
                      <w:szCs w:val="21"/>
                    </w:rPr>
                    <w:t>监测点及污染物</w:t>
                  </w:r>
                </w:p>
              </w:tc>
              <w:tc>
                <w:tcPr>
                  <w:tcW w:w="1390" w:type="pct"/>
                  <w:gridSpan w:val="2"/>
                  <w:tcBorders>
                    <w:top w:val="single" w:color="auto" w:sz="12" w:space="0"/>
                    <w:bottom w:val="single" w:color="auto" w:sz="4" w:space="0"/>
                  </w:tcBorders>
                  <w:vAlign w:val="center"/>
                </w:tcPr>
                <w:p>
                  <w:pPr>
                    <w:jc w:val="center"/>
                    <w:rPr>
                      <w:szCs w:val="21"/>
                    </w:rPr>
                  </w:pPr>
                  <w:r>
                    <w:rPr>
                      <w:szCs w:val="21"/>
                    </w:rPr>
                    <w:t>浓度范围</w:t>
                  </w:r>
                </w:p>
              </w:tc>
              <w:tc>
                <w:tcPr>
                  <w:tcW w:w="872" w:type="pct"/>
                  <w:tcBorders>
                    <w:top w:val="single" w:color="auto" w:sz="12" w:space="0"/>
                    <w:bottom w:val="single" w:color="auto" w:sz="4" w:space="0"/>
                  </w:tcBorders>
                  <w:vAlign w:val="center"/>
                </w:tcPr>
                <w:p>
                  <w:pPr>
                    <w:jc w:val="center"/>
                    <w:rPr>
                      <w:szCs w:val="21"/>
                    </w:rPr>
                  </w:pPr>
                  <w:r>
                    <w:rPr>
                      <w:szCs w:val="21"/>
                    </w:rPr>
                    <w:t>标准指数</w:t>
                  </w:r>
                </w:p>
              </w:tc>
              <w:tc>
                <w:tcPr>
                  <w:tcW w:w="684" w:type="pct"/>
                  <w:tcBorders>
                    <w:top w:val="single" w:color="auto" w:sz="12" w:space="0"/>
                    <w:bottom w:val="single" w:color="auto" w:sz="4" w:space="0"/>
                  </w:tcBorders>
                  <w:vAlign w:val="center"/>
                </w:tcPr>
                <w:p>
                  <w:pPr>
                    <w:jc w:val="center"/>
                    <w:rPr>
                      <w:szCs w:val="21"/>
                    </w:rPr>
                  </w:pPr>
                  <w:r>
                    <w:rPr>
                      <w:szCs w:val="21"/>
                    </w:rPr>
                    <w:t>标准</w:t>
                  </w:r>
                </w:p>
                <w:p>
                  <w:pPr>
                    <w:jc w:val="center"/>
                    <w:rPr>
                      <w:szCs w:val="21"/>
                    </w:rPr>
                  </w:pPr>
                  <w:r>
                    <w:rPr>
                      <w:szCs w:val="21"/>
                    </w:rPr>
                    <w:t>（mg/m</w:t>
                  </w:r>
                  <w:r>
                    <w:rPr>
                      <w:szCs w:val="21"/>
                      <w:vertAlign w:val="superscript"/>
                    </w:rPr>
                    <w:t>3</w:t>
                  </w:r>
                  <w:r>
                    <w:rPr>
                      <w:szCs w:val="21"/>
                    </w:rPr>
                    <w:t>）</w:t>
                  </w:r>
                </w:p>
              </w:tc>
              <w:tc>
                <w:tcPr>
                  <w:tcW w:w="555" w:type="pct"/>
                  <w:tcBorders>
                    <w:top w:val="single" w:color="auto" w:sz="12" w:space="0"/>
                    <w:bottom w:val="single" w:color="auto" w:sz="4" w:space="0"/>
                    <w:right w:val="single" w:color="auto" w:sz="12" w:space="0"/>
                  </w:tcBorders>
                  <w:vAlign w:val="center"/>
                </w:tcPr>
                <w:p>
                  <w:pPr>
                    <w:jc w:val="center"/>
                    <w:rPr>
                      <w:szCs w:val="21"/>
                    </w:rPr>
                  </w:pPr>
                  <w:r>
                    <w:rPr>
                      <w:szCs w:val="21"/>
                    </w:rPr>
                    <w:t>超标率</w:t>
                  </w:r>
                </w:p>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07" w:type="pct"/>
                  <w:tcBorders>
                    <w:top w:val="single" w:color="auto" w:sz="4" w:space="0"/>
                    <w:left w:val="single" w:color="auto" w:sz="12" w:space="0"/>
                    <w:bottom w:val="single" w:color="auto" w:sz="4" w:space="0"/>
                  </w:tcBorders>
                  <w:vAlign w:val="center"/>
                </w:tcPr>
                <w:p>
                  <w:pPr>
                    <w:jc w:val="center"/>
                    <w:rPr>
                      <w:szCs w:val="21"/>
                    </w:rPr>
                  </w:pPr>
                  <w:r>
                    <w:rPr>
                      <w:szCs w:val="21"/>
                    </w:rPr>
                    <w:t>A1厂址</w:t>
                  </w:r>
                </w:p>
              </w:tc>
              <w:tc>
                <w:tcPr>
                  <w:tcW w:w="591" w:type="pct"/>
                  <w:vMerge w:val="restart"/>
                  <w:tcBorders>
                    <w:top w:val="single" w:color="auto" w:sz="4" w:space="0"/>
                  </w:tcBorders>
                  <w:vAlign w:val="center"/>
                </w:tcPr>
                <w:p>
                  <w:pPr>
                    <w:jc w:val="center"/>
                    <w:rPr>
                      <w:szCs w:val="21"/>
                    </w:rPr>
                  </w:pPr>
                  <w:r>
                    <w:rPr>
                      <w:szCs w:val="21"/>
                    </w:rPr>
                    <w:t>非甲烷总烃</w:t>
                  </w:r>
                </w:p>
              </w:tc>
              <w:tc>
                <w:tcPr>
                  <w:tcW w:w="542" w:type="pct"/>
                  <w:tcBorders>
                    <w:top w:val="single" w:color="auto" w:sz="4" w:space="0"/>
                    <w:bottom w:val="single" w:color="auto" w:sz="4" w:space="0"/>
                  </w:tcBorders>
                  <w:vAlign w:val="center"/>
                </w:tcPr>
                <w:p>
                  <w:pPr>
                    <w:jc w:val="center"/>
                    <w:rPr>
                      <w:szCs w:val="21"/>
                    </w:rPr>
                  </w:pPr>
                  <w:r>
                    <w:rPr>
                      <w:szCs w:val="21"/>
                    </w:rPr>
                    <w:t>小时值</w:t>
                  </w:r>
                </w:p>
              </w:tc>
              <w:tc>
                <w:tcPr>
                  <w:tcW w:w="848" w:type="pct"/>
                  <w:tcBorders>
                    <w:top w:val="single" w:color="auto" w:sz="4" w:space="0"/>
                    <w:bottom w:val="single" w:color="auto" w:sz="4" w:space="0"/>
                  </w:tcBorders>
                  <w:vAlign w:val="center"/>
                </w:tcPr>
                <w:p>
                  <w:pPr>
                    <w:jc w:val="center"/>
                    <w:rPr>
                      <w:szCs w:val="21"/>
                    </w:rPr>
                  </w:pPr>
                  <w:r>
                    <w:rPr>
                      <w:rFonts w:hint="eastAsia"/>
                      <w:szCs w:val="21"/>
                    </w:rPr>
                    <w:t>1</w:t>
                  </w:r>
                  <w:r>
                    <w:rPr>
                      <w:szCs w:val="21"/>
                    </w:rPr>
                    <w:t>.44~1.76</w:t>
                  </w:r>
                </w:p>
              </w:tc>
              <w:tc>
                <w:tcPr>
                  <w:tcW w:w="872" w:type="pct"/>
                  <w:tcBorders>
                    <w:top w:val="single" w:color="auto" w:sz="4" w:space="0"/>
                    <w:bottom w:val="single" w:color="auto" w:sz="4" w:space="0"/>
                  </w:tcBorders>
                  <w:vAlign w:val="center"/>
                </w:tcPr>
                <w:p>
                  <w:pPr>
                    <w:jc w:val="center"/>
                    <w:rPr>
                      <w:szCs w:val="21"/>
                    </w:rPr>
                  </w:pPr>
                  <w:r>
                    <w:rPr>
                      <w:rFonts w:hint="eastAsia"/>
                      <w:szCs w:val="21"/>
                    </w:rPr>
                    <w:t>0</w:t>
                  </w:r>
                  <w:r>
                    <w:rPr>
                      <w:szCs w:val="21"/>
                    </w:rPr>
                    <w:t>.72~0.88</w:t>
                  </w:r>
                </w:p>
              </w:tc>
              <w:tc>
                <w:tcPr>
                  <w:tcW w:w="684" w:type="pct"/>
                  <w:vMerge w:val="restart"/>
                  <w:tcBorders>
                    <w:top w:val="single" w:color="auto" w:sz="4" w:space="0"/>
                  </w:tcBorders>
                  <w:vAlign w:val="center"/>
                </w:tcPr>
                <w:p>
                  <w:pPr>
                    <w:jc w:val="center"/>
                    <w:rPr>
                      <w:szCs w:val="21"/>
                    </w:rPr>
                  </w:pPr>
                  <w:r>
                    <w:rPr>
                      <w:szCs w:val="21"/>
                    </w:rPr>
                    <w:t>2</w:t>
                  </w:r>
                </w:p>
              </w:tc>
              <w:tc>
                <w:tcPr>
                  <w:tcW w:w="555" w:type="pct"/>
                  <w:tcBorders>
                    <w:top w:val="single" w:color="auto" w:sz="4" w:space="0"/>
                    <w:bottom w:val="single" w:color="auto" w:sz="4" w:space="0"/>
                    <w:right w:val="single" w:color="auto" w:sz="12" w:space="0"/>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07" w:type="pct"/>
                  <w:tcBorders>
                    <w:top w:val="single" w:color="auto" w:sz="4" w:space="0"/>
                    <w:left w:val="single" w:color="auto" w:sz="12" w:space="0"/>
                    <w:bottom w:val="single" w:color="auto" w:sz="12" w:space="0"/>
                  </w:tcBorders>
                  <w:vAlign w:val="center"/>
                </w:tcPr>
                <w:p>
                  <w:pPr>
                    <w:jc w:val="center"/>
                    <w:rPr>
                      <w:szCs w:val="21"/>
                    </w:rPr>
                  </w:pPr>
                  <w:r>
                    <w:rPr>
                      <w:szCs w:val="21"/>
                    </w:rPr>
                    <w:t xml:space="preserve">A2 </w:t>
                  </w:r>
                </w:p>
              </w:tc>
              <w:tc>
                <w:tcPr>
                  <w:tcW w:w="591" w:type="pct"/>
                  <w:vMerge w:val="continue"/>
                  <w:tcBorders>
                    <w:bottom w:val="single" w:color="auto" w:sz="12" w:space="0"/>
                  </w:tcBorders>
                  <w:vAlign w:val="center"/>
                </w:tcPr>
                <w:p>
                  <w:pPr>
                    <w:jc w:val="center"/>
                    <w:rPr>
                      <w:szCs w:val="21"/>
                    </w:rPr>
                  </w:pPr>
                </w:p>
              </w:tc>
              <w:tc>
                <w:tcPr>
                  <w:tcW w:w="542" w:type="pct"/>
                  <w:tcBorders>
                    <w:top w:val="single" w:color="auto" w:sz="4" w:space="0"/>
                    <w:bottom w:val="single" w:color="auto" w:sz="12" w:space="0"/>
                  </w:tcBorders>
                  <w:vAlign w:val="center"/>
                </w:tcPr>
                <w:p>
                  <w:pPr>
                    <w:jc w:val="center"/>
                    <w:rPr>
                      <w:szCs w:val="21"/>
                    </w:rPr>
                  </w:pPr>
                  <w:r>
                    <w:rPr>
                      <w:szCs w:val="21"/>
                    </w:rPr>
                    <w:t>小时值</w:t>
                  </w:r>
                </w:p>
              </w:tc>
              <w:tc>
                <w:tcPr>
                  <w:tcW w:w="848" w:type="pct"/>
                  <w:tcBorders>
                    <w:top w:val="single" w:color="auto" w:sz="4" w:space="0"/>
                    <w:bottom w:val="single" w:color="auto" w:sz="12" w:space="0"/>
                  </w:tcBorders>
                  <w:vAlign w:val="center"/>
                </w:tcPr>
                <w:p>
                  <w:pPr>
                    <w:jc w:val="center"/>
                    <w:rPr>
                      <w:szCs w:val="21"/>
                    </w:rPr>
                  </w:pPr>
                  <w:r>
                    <w:rPr>
                      <w:rFonts w:hint="eastAsia"/>
                      <w:szCs w:val="21"/>
                    </w:rPr>
                    <w:t>1</w:t>
                  </w:r>
                  <w:r>
                    <w:rPr>
                      <w:szCs w:val="21"/>
                    </w:rPr>
                    <w:t>.33~1.71</w:t>
                  </w:r>
                </w:p>
              </w:tc>
              <w:tc>
                <w:tcPr>
                  <w:tcW w:w="872" w:type="pct"/>
                  <w:tcBorders>
                    <w:top w:val="single" w:color="auto" w:sz="4" w:space="0"/>
                    <w:bottom w:val="single" w:color="auto" w:sz="12" w:space="0"/>
                  </w:tcBorders>
                  <w:vAlign w:val="center"/>
                </w:tcPr>
                <w:p>
                  <w:pPr>
                    <w:jc w:val="center"/>
                    <w:rPr>
                      <w:szCs w:val="21"/>
                    </w:rPr>
                  </w:pPr>
                  <w:r>
                    <w:rPr>
                      <w:rFonts w:hint="eastAsia"/>
                      <w:szCs w:val="21"/>
                    </w:rPr>
                    <w:t>0</w:t>
                  </w:r>
                  <w:r>
                    <w:rPr>
                      <w:szCs w:val="21"/>
                    </w:rPr>
                    <w:t>.67~0.86</w:t>
                  </w:r>
                </w:p>
              </w:tc>
              <w:tc>
                <w:tcPr>
                  <w:tcW w:w="684" w:type="pct"/>
                  <w:vMerge w:val="continue"/>
                  <w:tcBorders>
                    <w:bottom w:val="single" w:color="auto" w:sz="12" w:space="0"/>
                  </w:tcBorders>
                  <w:vAlign w:val="center"/>
                </w:tcPr>
                <w:p>
                  <w:pPr>
                    <w:jc w:val="center"/>
                    <w:rPr>
                      <w:szCs w:val="21"/>
                    </w:rPr>
                  </w:pPr>
                </w:p>
              </w:tc>
              <w:tc>
                <w:tcPr>
                  <w:tcW w:w="555" w:type="pct"/>
                  <w:tcBorders>
                    <w:top w:val="single" w:color="auto" w:sz="4" w:space="0"/>
                    <w:bottom w:val="single" w:color="auto" w:sz="12" w:space="0"/>
                    <w:right w:val="single" w:color="auto" w:sz="12" w:space="0"/>
                  </w:tcBorders>
                  <w:vAlign w:val="center"/>
                </w:tcPr>
                <w:p>
                  <w:pPr>
                    <w:jc w:val="center"/>
                    <w:rPr>
                      <w:szCs w:val="21"/>
                    </w:rPr>
                  </w:pPr>
                  <w:r>
                    <w:rPr>
                      <w:szCs w:val="21"/>
                    </w:rPr>
                    <w:t>0</w:t>
                  </w:r>
                </w:p>
              </w:tc>
            </w:tr>
          </w:tbl>
          <w:p>
            <w:pPr>
              <w:pStyle w:val="54"/>
              <w:spacing w:line="240" w:lineRule="auto"/>
              <w:ind w:firstLine="420"/>
              <w:rPr>
                <w:sz w:val="21"/>
                <w:szCs w:val="21"/>
              </w:rPr>
            </w:pPr>
          </w:p>
          <w:p>
            <w:pPr>
              <w:adjustRightInd w:val="0"/>
              <w:snapToGrid w:val="0"/>
              <w:spacing w:line="360" w:lineRule="auto"/>
              <w:ind w:firstLine="420" w:firstLineChars="200"/>
              <w:jc w:val="left"/>
              <w:rPr>
                <w:szCs w:val="21"/>
              </w:rPr>
            </w:pPr>
            <w:r>
              <w:rPr>
                <w:szCs w:val="21"/>
              </w:rPr>
              <w:t>由表3-2可知，项目所在区域污染特征因子非甲烷总烃现状可满足《大气污染物综合排放标准详解》相关限值要求，质量现状良好。</w:t>
            </w:r>
          </w:p>
          <w:p>
            <w:pPr>
              <w:spacing w:line="360" w:lineRule="auto"/>
              <w:ind w:firstLine="422" w:firstLineChars="200"/>
              <w:jc w:val="left"/>
              <w:rPr>
                <w:b/>
                <w:szCs w:val="21"/>
              </w:rPr>
            </w:pPr>
            <w:r>
              <w:rPr>
                <w:b/>
                <w:szCs w:val="21"/>
              </w:rPr>
              <w:t>2、地表水环境</w:t>
            </w:r>
          </w:p>
          <w:p>
            <w:pPr>
              <w:pStyle w:val="57"/>
              <w:snapToGrid w:val="0"/>
              <w:spacing w:line="360" w:lineRule="auto"/>
              <w:ind w:firstLine="420" w:firstLineChars="200"/>
              <w:rPr>
                <w:rFonts w:ascii="Times New Roman" w:cs="Times New Roman"/>
                <w:color w:val="auto"/>
                <w:sz w:val="21"/>
                <w:szCs w:val="21"/>
              </w:rPr>
            </w:pPr>
            <w:r>
              <w:rPr>
                <w:rFonts w:ascii="Times New Roman" w:cs="Times New Roman"/>
                <w:color w:val="auto"/>
                <w:sz w:val="21"/>
                <w:szCs w:val="21"/>
              </w:rPr>
              <w:t>本项目纳污水体为梅江河，根据赣州市生态环境局官方网站2022年3月25日发布的《赣州市2022年2月地表水监测月报》中内容显示，梅江各监测断面水质环境达到《地表水环境质量标准》（GB3838-2002）中Ⅲ类水域水质要求。</w:t>
            </w:r>
          </w:p>
          <w:p>
            <w:pPr>
              <w:pStyle w:val="57"/>
              <w:snapToGrid w:val="0"/>
              <w:spacing w:line="360" w:lineRule="auto"/>
              <w:ind w:firstLine="420" w:firstLineChars="200"/>
              <w:rPr>
                <w:rFonts w:ascii="Times New Roman" w:cs="Times New Roman"/>
                <w:color w:val="auto"/>
                <w:sz w:val="21"/>
                <w:szCs w:val="21"/>
              </w:rPr>
            </w:pPr>
          </w:p>
          <w:p>
            <w:pPr>
              <w:pStyle w:val="57"/>
              <w:snapToGrid w:val="0"/>
              <w:spacing w:line="360" w:lineRule="auto"/>
              <w:ind w:firstLine="420" w:firstLineChars="200"/>
              <w:rPr>
                <w:rFonts w:ascii="Times New Roman" w:cs="Times New Roman"/>
                <w:color w:val="auto"/>
                <w:sz w:val="21"/>
                <w:szCs w:val="21"/>
              </w:rPr>
            </w:pPr>
          </w:p>
          <w:p>
            <w:pPr>
              <w:pStyle w:val="57"/>
              <w:snapToGrid w:val="0"/>
              <w:spacing w:before="120" w:beforeLines="50" w:line="276" w:lineRule="auto"/>
              <w:jc w:val="center"/>
              <w:rPr>
                <w:rFonts w:ascii="Times New Roman" w:cs="Times New Roman"/>
                <w:b/>
                <w:bCs/>
                <w:color w:val="auto"/>
                <w:sz w:val="21"/>
                <w:szCs w:val="21"/>
              </w:rPr>
            </w:pPr>
            <w:r>
              <w:rPr>
                <w:rFonts w:ascii="Times New Roman" w:cs="Times New Roman"/>
                <w:b/>
                <w:bCs/>
                <w:color w:val="auto"/>
                <w:sz w:val="21"/>
                <w:szCs w:val="21"/>
              </w:rPr>
              <w:t>表3-3  2022年2月赣州市梅江河水质评价一览表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2267"/>
              <w:gridCol w:w="2312"/>
              <w:gridCol w:w="1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Align w:val="center"/>
                </w:tcPr>
                <w:p>
                  <w:pPr>
                    <w:snapToGrid w:val="0"/>
                    <w:jc w:val="center"/>
                    <w:rPr>
                      <w:b/>
                      <w:snapToGrid w:val="0"/>
                      <w:kern w:val="0"/>
                      <w:szCs w:val="21"/>
                    </w:rPr>
                  </w:pPr>
                  <w:r>
                    <w:rPr>
                      <w:b/>
                      <w:snapToGrid w:val="0"/>
                      <w:kern w:val="0"/>
                      <w:szCs w:val="21"/>
                    </w:rPr>
                    <w:t>序号</w:t>
                  </w:r>
                </w:p>
              </w:tc>
              <w:tc>
                <w:tcPr>
                  <w:tcW w:w="1416" w:type="pct"/>
                  <w:vAlign w:val="center"/>
                </w:tcPr>
                <w:p>
                  <w:pPr>
                    <w:snapToGrid w:val="0"/>
                    <w:jc w:val="center"/>
                    <w:rPr>
                      <w:b/>
                      <w:snapToGrid w:val="0"/>
                      <w:kern w:val="0"/>
                      <w:szCs w:val="21"/>
                    </w:rPr>
                  </w:pPr>
                  <w:r>
                    <w:rPr>
                      <w:b/>
                      <w:snapToGrid w:val="0"/>
                      <w:kern w:val="0"/>
                      <w:szCs w:val="21"/>
                    </w:rPr>
                    <w:t>所在河流</w:t>
                  </w:r>
                </w:p>
              </w:tc>
              <w:tc>
                <w:tcPr>
                  <w:tcW w:w="1444" w:type="pct"/>
                  <w:vAlign w:val="center"/>
                </w:tcPr>
                <w:p>
                  <w:pPr>
                    <w:snapToGrid w:val="0"/>
                    <w:jc w:val="center"/>
                    <w:rPr>
                      <w:b/>
                      <w:snapToGrid w:val="0"/>
                      <w:kern w:val="0"/>
                      <w:szCs w:val="21"/>
                    </w:rPr>
                  </w:pPr>
                  <w:r>
                    <w:rPr>
                      <w:b/>
                      <w:snapToGrid w:val="0"/>
                      <w:kern w:val="0"/>
                      <w:szCs w:val="21"/>
                    </w:rPr>
                    <w:t>断面名称</w:t>
                  </w:r>
                </w:p>
              </w:tc>
              <w:tc>
                <w:tcPr>
                  <w:tcW w:w="1144" w:type="pct"/>
                  <w:vAlign w:val="center"/>
                </w:tcPr>
                <w:p>
                  <w:pPr>
                    <w:snapToGrid w:val="0"/>
                    <w:jc w:val="center"/>
                    <w:rPr>
                      <w:b/>
                      <w:snapToGrid w:val="0"/>
                      <w:kern w:val="0"/>
                      <w:szCs w:val="21"/>
                    </w:rPr>
                  </w:pPr>
                  <w:r>
                    <w:rPr>
                      <w:b/>
                      <w:snapToGrid w:val="0"/>
                      <w:kern w:val="0"/>
                      <w:szCs w:val="21"/>
                    </w:rPr>
                    <w:t>水质类别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Align w:val="center"/>
                </w:tcPr>
                <w:p>
                  <w:pPr>
                    <w:snapToGrid w:val="0"/>
                    <w:jc w:val="center"/>
                    <w:rPr>
                      <w:snapToGrid w:val="0"/>
                      <w:kern w:val="0"/>
                      <w:szCs w:val="21"/>
                    </w:rPr>
                  </w:pPr>
                  <w:r>
                    <w:rPr>
                      <w:snapToGrid w:val="0"/>
                      <w:kern w:val="0"/>
                      <w:szCs w:val="21"/>
                    </w:rPr>
                    <w:t>1</w:t>
                  </w:r>
                </w:p>
              </w:tc>
              <w:tc>
                <w:tcPr>
                  <w:tcW w:w="1416" w:type="pct"/>
                  <w:vAlign w:val="center"/>
                </w:tcPr>
                <w:p>
                  <w:pPr>
                    <w:snapToGrid w:val="0"/>
                    <w:jc w:val="center"/>
                    <w:rPr>
                      <w:snapToGrid w:val="0"/>
                      <w:kern w:val="0"/>
                      <w:szCs w:val="21"/>
                    </w:rPr>
                  </w:pPr>
                  <w:r>
                    <w:rPr>
                      <w:snapToGrid w:val="0"/>
                      <w:kern w:val="0"/>
                      <w:szCs w:val="21"/>
                    </w:rPr>
                    <w:t>梅江</w:t>
                  </w:r>
                </w:p>
              </w:tc>
              <w:tc>
                <w:tcPr>
                  <w:tcW w:w="1444" w:type="pct"/>
                  <w:vAlign w:val="center"/>
                </w:tcPr>
                <w:p>
                  <w:pPr>
                    <w:snapToGrid w:val="0"/>
                    <w:jc w:val="center"/>
                    <w:rPr>
                      <w:snapToGrid w:val="0"/>
                      <w:kern w:val="0"/>
                      <w:szCs w:val="21"/>
                    </w:rPr>
                  </w:pPr>
                  <w:r>
                    <w:rPr>
                      <w:snapToGrid w:val="0"/>
                      <w:kern w:val="0"/>
                      <w:szCs w:val="21"/>
                    </w:rPr>
                    <w:t>梅江江口</w:t>
                  </w:r>
                </w:p>
              </w:tc>
              <w:tc>
                <w:tcPr>
                  <w:tcW w:w="1144" w:type="pct"/>
                  <w:vAlign w:val="center"/>
                </w:tcPr>
                <w:p>
                  <w:pPr>
                    <w:snapToGrid w:val="0"/>
                    <w:jc w:val="center"/>
                    <w:rPr>
                      <w:snapToGrid w:val="0"/>
                      <w:kern w:val="0"/>
                      <w:szCs w:val="21"/>
                    </w:rPr>
                  </w:pPr>
                  <w:r>
                    <w:rPr>
                      <w:snapToGrid w:val="0"/>
                      <w:kern w:val="0"/>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Align w:val="center"/>
                </w:tcPr>
                <w:p>
                  <w:pPr>
                    <w:snapToGrid w:val="0"/>
                    <w:jc w:val="center"/>
                    <w:rPr>
                      <w:snapToGrid w:val="0"/>
                      <w:kern w:val="0"/>
                      <w:szCs w:val="21"/>
                    </w:rPr>
                  </w:pPr>
                  <w:r>
                    <w:rPr>
                      <w:snapToGrid w:val="0"/>
                      <w:kern w:val="0"/>
                      <w:szCs w:val="21"/>
                    </w:rPr>
                    <w:t>2</w:t>
                  </w:r>
                </w:p>
              </w:tc>
              <w:tc>
                <w:tcPr>
                  <w:tcW w:w="1416" w:type="pct"/>
                  <w:vAlign w:val="center"/>
                </w:tcPr>
                <w:p>
                  <w:pPr>
                    <w:snapToGrid w:val="0"/>
                    <w:jc w:val="center"/>
                    <w:rPr>
                      <w:snapToGrid w:val="0"/>
                      <w:kern w:val="0"/>
                      <w:szCs w:val="21"/>
                    </w:rPr>
                  </w:pPr>
                  <w:r>
                    <w:rPr>
                      <w:snapToGrid w:val="0"/>
                      <w:kern w:val="0"/>
                      <w:szCs w:val="21"/>
                    </w:rPr>
                    <w:t>梅江</w:t>
                  </w:r>
                </w:p>
              </w:tc>
              <w:tc>
                <w:tcPr>
                  <w:tcW w:w="1444" w:type="pct"/>
                  <w:vAlign w:val="center"/>
                </w:tcPr>
                <w:p>
                  <w:pPr>
                    <w:snapToGrid w:val="0"/>
                    <w:jc w:val="center"/>
                    <w:rPr>
                      <w:snapToGrid w:val="0"/>
                      <w:kern w:val="0"/>
                      <w:szCs w:val="21"/>
                    </w:rPr>
                  </w:pPr>
                  <w:r>
                    <w:rPr>
                      <w:snapToGrid w:val="0"/>
                      <w:kern w:val="0"/>
                      <w:szCs w:val="21"/>
                    </w:rPr>
                    <w:t>留金坝电站</w:t>
                  </w:r>
                </w:p>
              </w:tc>
              <w:tc>
                <w:tcPr>
                  <w:tcW w:w="1144" w:type="pct"/>
                  <w:vAlign w:val="center"/>
                </w:tcPr>
                <w:p>
                  <w:pPr>
                    <w:snapToGrid w:val="0"/>
                    <w:jc w:val="center"/>
                    <w:rPr>
                      <w:snapToGrid w:val="0"/>
                      <w:kern w:val="0"/>
                      <w:szCs w:val="21"/>
                    </w:rPr>
                  </w:pPr>
                  <w:r>
                    <w:rPr>
                      <w:snapToGrid w:val="0"/>
                      <w:kern w:val="0"/>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Align w:val="center"/>
                </w:tcPr>
                <w:p>
                  <w:pPr>
                    <w:snapToGrid w:val="0"/>
                    <w:jc w:val="center"/>
                    <w:rPr>
                      <w:snapToGrid w:val="0"/>
                      <w:kern w:val="0"/>
                      <w:szCs w:val="21"/>
                    </w:rPr>
                  </w:pPr>
                  <w:r>
                    <w:rPr>
                      <w:snapToGrid w:val="0"/>
                      <w:kern w:val="0"/>
                      <w:szCs w:val="21"/>
                    </w:rPr>
                    <w:t>3</w:t>
                  </w:r>
                </w:p>
              </w:tc>
              <w:tc>
                <w:tcPr>
                  <w:tcW w:w="1416" w:type="pct"/>
                  <w:vAlign w:val="center"/>
                </w:tcPr>
                <w:p>
                  <w:pPr>
                    <w:snapToGrid w:val="0"/>
                    <w:jc w:val="center"/>
                    <w:rPr>
                      <w:snapToGrid w:val="0"/>
                      <w:kern w:val="0"/>
                      <w:szCs w:val="21"/>
                    </w:rPr>
                  </w:pPr>
                  <w:r>
                    <w:rPr>
                      <w:snapToGrid w:val="0"/>
                      <w:kern w:val="0"/>
                      <w:szCs w:val="21"/>
                    </w:rPr>
                    <w:t>梅江</w:t>
                  </w:r>
                </w:p>
              </w:tc>
              <w:tc>
                <w:tcPr>
                  <w:tcW w:w="1444" w:type="pct"/>
                  <w:vAlign w:val="center"/>
                </w:tcPr>
                <w:p>
                  <w:pPr>
                    <w:snapToGrid w:val="0"/>
                    <w:jc w:val="center"/>
                    <w:rPr>
                      <w:snapToGrid w:val="0"/>
                      <w:kern w:val="0"/>
                      <w:szCs w:val="21"/>
                    </w:rPr>
                  </w:pPr>
                  <w:r>
                    <w:rPr>
                      <w:snapToGrid w:val="0"/>
                      <w:kern w:val="0"/>
                      <w:szCs w:val="21"/>
                    </w:rPr>
                    <w:t>于都王布组</w:t>
                  </w:r>
                </w:p>
              </w:tc>
              <w:tc>
                <w:tcPr>
                  <w:tcW w:w="1144" w:type="pct"/>
                  <w:vAlign w:val="center"/>
                </w:tcPr>
                <w:p>
                  <w:pPr>
                    <w:snapToGrid w:val="0"/>
                    <w:jc w:val="center"/>
                    <w:rPr>
                      <w:snapToGrid w:val="0"/>
                      <w:kern w:val="0"/>
                      <w:szCs w:val="21"/>
                    </w:rPr>
                  </w:pPr>
                  <w:r>
                    <w:rPr>
                      <w:snapToGrid w:val="0"/>
                      <w:kern w:val="0"/>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996" w:type="pct"/>
                  <w:vAlign w:val="center"/>
                </w:tcPr>
                <w:p>
                  <w:pPr>
                    <w:snapToGrid w:val="0"/>
                    <w:jc w:val="center"/>
                    <w:rPr>
                      <w:snapToGrid w:val="0"/>
                      <w:kern w:val="0"/>
                      <w:szCs w:val="21"/>
                    </w:rPr>
                  </w:pPr>
                  <w:r>
                    <w:rPr>
                      <w:snapToGrid w:val="0"/>
                      <w:kern w:val="0"/>
                      <w:szCs w:val="21"/>
                    </w:rPr>
                    <w:t>4</w:t>
                  </w:r>
                </w:p>
              </w:tc>
              <w:tc>
                <w:tcPr>
                  <w:tcW w:w="1416" w:type="pct"/>
                  <w:vAlign w:val="center"/>
                </w:tcPr>
                <w:p>
                  <w:pPr>
                    <w:snapToGrid w:val="0"/>
                    <w:jc w:val="center"/>
                    <w:rPr>
                      <w:snapToGrid w:val="0"/>
                      <w:kern w:val="0"/>
                      <w:szCs w:val="21"/>
                    </w:rPr>
                  </w:pPr>
                  <w:r>
                    <w:rPr>
                      <w:snapToGrid w:val="0"/>
                      <w:kern w:val="0"/>
                      <w:szCs w:val="21"/>
                    </w:rPr>
                    <w:t>梅江</w:t>
                  </w:r>
                </w:p>
              </w:tc>
              <w:tc>
                <w:tcPr>
                  <w:tcW w:w="1444" w:type="pct"/>
                  <w:vAlign w:val="center"/>
                </w:tcPr>
                <w:p>
                  <w:pPr>
                    <w:snapToGrid w:val="0"/>
                    <w:jc w:val="center"/>
                    <w:rPr>
                      <w:snapToGrid w:val="0"/>
                      <w:kern w:val="0"/>
                      <w:szCs w:val="21"/>
                    </w:rPr>
                  </w:pPr>
                  <w:r>
                    <w:rPr>
                      <w:snapToGrid w:val="0"/>
                      <w:kern w:val="0"/>
                      <w:szCs w:val="21"/>
                    </w:rPr>
                    <w:t>瑞金青山背</w:t>
                  </w:r>
                </w:p>
              </w:tc>
              <w:tc>
                <w:tcPr>
                  <w:tcW w:w="1144" w:type="pct"/>
                  <w:vAlign w:val="center"/>
                </w:tcPr>
                <w:p>
                  <w:pPr>
                    <w:snapToGrid w:val="0"/>
                    <w:jc w:val="center"/>
                    <w:rPr>
                      <w:snapToGrid w:val="0"/>
                      <w:kern w:val="0"/>
                      <w:szCs w:val="21"/>
                    </w:rPr>
                  </w:pPr>
                  <w:r>
                    <w:rPr>
                      <w:snapToGrid w:val="0"/>
                      <w:kern w:val="0"/>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Align w:val="center"/>
                </w:tcPr>
                <w:p>
                  <w:pPr>
                    <w:snapToGrid w:val="0"/>
                    <w:jc w:val="center"/>
                    <w:rPr>
                      <w:snapToGrid w:val="0"/>
                      <w:kern w:val="0"/>
                      <w:szCs w:val="21"/>
                    </w:rPr>
                  </w:pPr>
                  <w:r>
                    <w:rPr>
                      <w:snapToGrid w:val="0"/>
                      <w:kern w:val="0"/>
                      <w:szCs w:val="21"/>
                    </w:rPr>
                    <w:t>5</w:t>
                  </w:r>
                </w:p>
              </w:tc>
              <w:tc>
                <w:tcPr>
                  <w:tcW w:w="1416" w:type="pct"/>
                  <w:vAlign w:val="center"/>
                </w:tcPr>
                <w:p>
                  <w:pPr>
                    <w:snapToGrid w:val="0"/>
                    <w:jc w:val="center"/>
                    <w:rPr>
                      <w:snapToGrid w:val="0"/>
                      <w:kern w:val="0"/>
                      <w:szCs w:val="21"/>
                    </w:rPr>
                  </w:pPr>
                  <w:r>
                    <w:rPr>
                      <w:snapToGrid w:val="0"/>
                      <w:kern w:val="0"/>
                      <w:szCs w:val="21"/>
                    </w:rPr>
                    <w:t>梅江</w:t>
                  </w:r>
                </w:p>
              </w:tc>
              <w:tc>
                <w:tcPr>
                  <w:tcW w:w="1444" w:type="pct"/>
                  <w:vAlign w:val="center"/>
                </w:tcPr>
                <w:p>
                  <w:pPr>
                    <w:snapToGrid w:val="0"/>
                    <w:jc w:val="center"/>
                    <w:rPr>
                      <w:snapToGrid w:val="0"/>
                      <w:kern w:val="0"/>
                      <w:szCs w:val="21"/>
                    </w:rPr>
                  </w:pPr>
                  <w:r>
                    <w:rPr>
                      <w:snapToGrid w:val="0"/>
                      <w:kern w:val="0"/>
                      <w:szCs w:val="21"/>
                    </w:rPr>
                    <w:t>下员布</w:t>
                  </w:r>
                </w:p>
              </w:tc>
              <w:tc>
                <w:tcPr>
                  <w:tcW w:w="1144" w:type="pct"/>
                  <w:vAlign w:val="center"/>
                </w:tcPr>
                <w:p>
                  <w:pPr>
                    <w:snapToGrid w:val="0"/>
                    <w:jc w:val="center"/>
                    <w:rPr>
                      <w:snapToGrid w:val="0"/>
                      <w:kern w:val="0"/>
                      <w:szCs w:val="21"/>
                    </w:rPr>
                  </w:pPr>
                  <w:r>
                    <w:rPr>
                      <w:snapToGrid w:val="0"/>
                      <w:kern w:val="0"/>
                      <w:szCs w:val="21"/>
                    </w:rPr>
                    <w:t>Ⅱ类</w:t>
                  </w:r>
                </w:p>
              </w:tc>
            </w:tr>
          </w:tbl>
          <w:p>
            <w:pPr>
              <w:adjustRightInd w:val="0"/>
              <w:snapToGrid w:val="0"/>
              <w:spacing w:line="360" w:lineRule="auto"/>
              <w:ind w:firstLine="420" w:firstLineChars="200"/>
              <w:jc w:val="left"/>
              <w:rPr>
                <w:kern w:val="0"/>
                <w:szCs w:val="21"/>
              </w:rPr>
            </w:pPr>
            <w:r>
              <w:rPr>
                <w:szCs w:val="21"/>
              </w:rPr>
              <w:t>从表3-3的统计结果来看，评价的水域中各断面的水质均能够满足《地表水环境质量标准》(GB3838-2002)中III类水域水质要求。</w:t>
            </w:r>
          </w:p>
          <w:p>
            <w:pPr>
              <w:spacing w:line="360" w:lineRule="auto"/>
              <w:ind w:firstLine="422" w:firstLineChars="200"/>
              <w:jc w:val="left"/>
              <w:rPr>
                <w:b/>
                <w:szCs w:val="21"/>
              </w:rPr>
            </w:pPr>
            <w:r>
              <w:rPr>
                <w:b/>
                <w:szCs w:val="21"/>
              </w:rPr>
              <w:t>3、声环境</w:t>
            </w:r>
          </w:p>
          <w:p>
            <w:pPr>
              <w:spacing w:line="360" w:lineRule="auto"/>
              <w:ind w:firstLine="420" w:firstLineChars="200"/>
              <w:rPr>
                <w:szCs w:val="21"/>
              </w:rPr>
            </w:pPr>
            <w:r>
              <w:rPr>
                <w:szCs w:val="21"/>
              </w:rPr>
              <w:t>根据现场踏勘，本项目厂界外周边50m范围内不存在声环境保护目标，因此不需要进行声环境质量现状监测。</w:t>
            </w:r>
          </w:p>
          <w:p>
            <w:pPr>
              <w:spacing w:line="360" w:lineRule="auto"/>
              <w:ind w:firstLine="422" w:firstLineChars="200"/>
              <w:rPr>
                <w:b/>
              </w:rPr>
            </w:pPr>
            <w:r>
              <w:rPr>
                <w:b/>
              </w:rPr>
              <w:t>4、生态环境</w:t>
            </w:r>
          </w:p>
          <w:p>
            <w:pPr>
              <w:spacing w:line="360" w:lineRule="auto"/>
              <w:ind w:firstLine="420" w:firstLineChars="200"/>
            </w:pPr>
            <w:r>
              <w:t>本项目场址周围人类活动频繁，生态环境敏感程度较低，调查未发现在评价区内有需要重点保护的野生动物种群及其栖息地，周边也没有当地特有的野生动物种类。</w:t>
            </w:r>
          </w:p>
          <w:p>
            <w:pPr>
              <w:adjustRightInd w:val="0"/>
              <w:snapToGrid w:val="0"/>
              <w:spacing w:line="360" w:lineRule="auto"/>
              <w:ind w:firstLine="420" w:firstLineChars="200"/>
              <w:jc w:val="left"/>
              <w:rPr>
                <w:kern w:val="0"/>
                <w:sz w:val="18"/>
                <w:szCs w:val="21"/>
              </w:rPr>
            </w:pPr>
            <w:r>
              <w:t>项目所在地无敏感生态保护目标，为生态环境一般区域。</w:t>
            </w:r>
          </w:p>
          <w:p>
            <w:pPr>
              <w:spacing w:line="360" w:lineRule="auto"/>
              <w:ind w:firstLine="422" w:firstLineChars="200"/>
              <w:rPr>
                <w:b/>
              </w:rPr>
            </w:pPr>
            <w:r>
              <w:rPr>
                <w:b/>
              </w:rPr>
              <w:t>5、地下水环境</w:t>
            </w:r>
          </w:p>
          <w:p>
            <w:pPr>
              <w:pStyle w:val="46"/>
              <w:spacing w:line="360" w:lineRule="auto"/>
              <w:ind w:firstLine="420" w:firstLineChars="200"/>
              <w:jc w:val="left"/>
              <w:rPr>
                <w:rFonts w:eastAsia="宋体"/>
                <w:kern w:val="21"/>
              </w:rPr>
            </w:pPr>
            <w:r>
              <w:rPr>
                <w:rFonts w:eastAsia="宋体"/>
                <w:kern w:val="21"/>
              </w:rP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pPr>
              <w:pStyle w:val="46"/>
              <w:spacing w:line="360" w:lineRule="auto"/>
              <w:ind w:firstLine="420" w:firstLineChars="200"/>
              <w:jc w:val="left"/>
              <w:rPr>
                <w:rFonts w:eastAsia="宋体"/>
                <w:kern w:val="21"/>
              </w:rPr>
            </w:pPr>
            <w:r>
              <w:rPr>
                <w:rFonts w:eastAsia="宋体"/>
                <w:kern w:val="21"/>
              </w:rPr>
              <w:t>本次评价结合项目污染源、保护目标分布情况于2022年4月21日对项目周边区域地下水环境质量现状进行了监测。</w:t>
            </w:r>
          </w:p>
          <w:p>
            <w:pPr>
              <w:spacing w:line="360" w:lineRule="auto"/>
              <w:ind w:firstLine="436" w:firstLineChars="200"/>
              <w:rPr>
                <w:spacing w:val="4"/>
                <w:kern w:val="18"/>
                <w:szCs w:val="21"/>
                <w:lang w:val="en-GB"/>
              </w:rPr>
            </w:pPr>
            <w:r>
              <w:rPr>
                <w:spacing w:val="4"/>
                <w:kern w:val="18"/>
                <w:szCs w:val="21"/>
                <w:lang w:val="en-GB"/>
              </w:rPr>
              <w:t>（1）监测点位</w:t>
            </w:r>
          </w:p>
          <w:p>
            <w:pPr>
              <w:spacing w:line="360" w:lineRule="auto"/>
              <w:ind w:firstLine="420" w:firstLineChars="200"/>
              <w:rPr>
                <w:szCs w:val="21"/>
              </w:rPr>
            </w:pPr>
            <w:r>
              <w:rPr>
                <w:szCs w:val="21"/>
              </w:rPr>
              <w:t>监测点设置详见表3-4。</w:t>
            </w:r>
          </w:p>
          <w:p>
            <w:pPr>
              <w:pStyle w:val="58"/>
              <w:spacing w:before="0" w:after="0" w:line="276" w:lineRule="auto"/>
              <w:ind w:firstLine="420"/>
              <w:rPr>
                <w:sz w:val="21"/>
                <w:szCs w:val="21"/>
              </w:rPr>
            </w:pPr>
            <w:r>
              <w:rPr>
                <w:sz w:val="21"/>
                <w:szCs w:val="21"/>
              </w:rPr>
              <w:t>表3-4  地下水环境监测点位表</w:t>
            </w:r>
          </w:p>
          <w:tbl>
            <w:tblPr>
              <w:tblStyle w:val="21"/>
              <w:tblW w:w="796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1842"/>
              <w:gridCol w:w="2394"/>
              <w:gridCol w:w="825"/>
              <w:gridCol w:w="1291"/>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10" w:type="dxa"/>
                  <w:vAlign w:val="center"/>
                </w:tcPr>
                <w:p>
                  <w:pPr>
                    <w:jc w:val="center"/>
                    <w:rPr>
                      <w:szCs w:val="21"/>
                    </w:rPr>
                  </w:pPr>
                  <w:r>
                    <w:rPr>
                      <w:szCs w:val="21"/>
                    </w:rPr>
                    <w:t>编号</w:t>
                  </w:r>
                </w:p>
              </w:tc>
              <w:tc>
                <w:tcPr>
                  <w:tcW w:w="1842" w:type="dxa"/>
                  <w:vAlign w:val="center"/>
                </w:tcPr>
                <w:p>
                  <w:pPr>
                    <w:jc w:val="center"/>
                    <w:rPr>
                      <w:szCs w:val="21"/>
                    </w:rPr>
                  </w:pPr>
                  <w:r>
                    <w:rPr>
                      <w:szCs w:val="21"/>
                    </w:rPr>
                    <w:t>名称</w:t>
                  </w:r>
                </w:p>
              </w:tc>
              <w:tc>
                <w:tcPr>
                  <w:tcW w:w="2394" w:type="dxa"/>
                  <w:vAlign w:val="center"/>
                </w:tcPr>
                <w:p>
                  <w:pPr>
                    <w:jc w:val="center"/>
                    <w:rPr>
                      <w:szCs w:val="21"/>
                    </w:rPr>
                  </w:pPr>
                  <w:r>
                    <w:rPr>
                      <w:szCs w:val="21"/>
                    </w:rPr>
                    <w:t>具体位置</w:t>
                  </w:r>
                </w:p>
              </w:tc>
              <w:tc>
                <w:tcPr>
                  <w:tcW w:w="825" w:type="dxa"/>
                  <w:vAlign w:val="center"/>
                </w:tcPr>
                <w:p>
                  <w:pPr>
                    <w:jc w:val="center"/>
                    <w:rPr>
                      <w:szCs w:val="21"/>
                    </w:rPr>
                  </w:pPr>
                  <w:r>
                    <w:rPr>
                      <w:szCs w:val="21"/>
                    </w:rPr>
                    <w:t>水位</w:t>
                  </w:r>
                </w:p>
              </w:tc>
              <w:tc>
                <w:tcPr>
                  <w:tcW w:w="1291" w:type="dxa"/>
                  <w:vAlign w:val="center"/>
                </w:tcPr>
                <w:p>
                  <w:pPr>
                    <w:jc w:val="center"/>
                    <w:rPr>
                      <w:szCs w:val="21"/>
                    </w:rPr>
                  </w:pPr>
                  <w:r>
                    <w:rPr>
                      <w:szCs w:val="21"/>
                    </w:rPr>
                    <w:t>距厂界方位</w:t>
                  </w:r>
                </w:p>
              </w:tc>
              <w:tc>
                <w:tcPr>
                  <w:tcW w:w="907" w:type="dxa"/>
                  <w:vAlign w:val="center"/>
                </w:tcPr>
                <w:p>
                  <w:pPr>
                    <w:jc w:val="center"/>
                    <w:rPr>
                      <w:szCs w:val="21"/>
                    </w:rPr>
                  </w:pPr>
                  <w:r>
                    <w:rPr>
                      <w:szCs w:val="21"/>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10" w:type="dxa"/>
                  <w:vAlign w:val="center"/>
                </w:tcPr>
                <w:p>
                  <w:pPr>
                    <w:adjustRightInd w:val="0"/>
                    <w:snapToGrid w:val="0"/>
                    <w:jc w:val="center"/>
                    <w:rPr>
                      <w:szCs w:val="21"/>
                    </w:rPr>
                  </w:pPr>
                  <w:r>
                    <w:rPr>
                      <w:szCs w:val="21"/>
                    </w:rPr>
                    <w:t>GW1</w:t>
                  </w:r>
                </w:p>
              </w:tc>
              <w:tc>
                <w:tcPr>
                  <w:tcW w:w="1842" w:type="dxa"/>
                  <w:vAlign w:val="center"/>
                </w:tcPr>
                <w:p>
                  <w:pPr>
                    <w:adjustRightInd w:val="0"/>
                    <w:snapToGrid w:val="0"/>
                    <w:jc w:val="center"/>
                    <w:rPr>
                      <w:szCs w:val="21"/>
                    </w:rPr>
                  </w:pPr>
                  <w:r>
                    <w:rPr>
                      <w:rFonts w:hint="eastAsia"/>
                      <w:szCs w:val="21"/>
                    </w:rPr>
                    <w:t>土围村水井</w:t>
                  </w:r>
                </w:p>
              </w:tc>
              <w:tc>
                <w:tcPr>
                  <w:tcW w:w="2394" w:type="dxa"/>
                  <w:vAlign w:val="center"/>
                </w:tcPr>
                <w:p>
                  <w:pPr>
                    <w:jc w:val="center"/>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434975</wp:posOffset>
                            </wp:positionH>
                            <wp:positionV relativeFrom="paragraph">
                              <wp:posOffset>125730</wp:posOffset>
                            </wp:positionV>
                            <wp:extent cx="520700" cy="368300"/>
                            <wp:effectExtent l="9525" t="9525" r="22225" b="22225"/>
                            <wp:wrapNone/>
                            <wp:docPr id="2" name="矩形 172"/>
                            <wp:cNvGraphicFramePr/>
                            <a:graphic xmlns:a="http://schemas.openxmlformats.org/drawingml/2006/main">
                              <a:graphicData uri="http://schemas.microsoft.com/office/word/2010/wordprocessingShape">
                                <wps:wsp>
                                  <wps:cNvSpPr/>
                                  <wps:spPr>
                                    <a:xfrm>
                                      <a:off x="0" y="0"/>
                                      <a:ext cx="520700" cy="36830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172" o:spid="_x0000_s1026" o:spt="1" style="position:absolute;left:0pt;margin-left:34.25pt;margin-top:9.9pt;height:29pt;width:41pt;z-index:251659264;mso-width-relative:page;mso-height-relative:page;" filled="f" stroked="t" coordsize="21600,21600" o:gfxdata="UEsDBAoAAAAAAIdO4kAAAAAAAAAAAAAAAAAEAAAAZHJzL1BLAwQUAAAACACHTuJAg+fdtNYAAAAI&#10;AQAADwAAAGRycy9kb3ducmV2LnhtbE2PUUvEMBCE3wX/Q1jBF/GSCtertelBheNAQbD6A/aatSk2&#10;SWlyvfPfu/ekjzszzH5Tbc9uFAvNcQheQ7ZSIMh3wQy+1/D5sbsvQMSE3uAYPGn4oQjb+vqqwtKE&#10;k3+npU294BIfS9RgU5pKKWNnyWFchYk8e19hdpj4nHtpZjxxuRvlg1K5dDh4/mBxomdL3Xd7dBqW&#10;rNnt+wb3TRteX95mirm9i1rf3mTqCUSic/oLwwWf0aFmpkM4ehPFqCEv1pxk/ZEXXPy1YuGgYbMp&#10;QNaV/D+g/gVQSwMEFAAAAAgAh07iQLGzyvf4AQAA9wMAAA4AAABkcnMvZTJvRG9jLnhtbK1TS44T&#10;MRDdI3EHy3vSnYzmQyudWRDCBsFIAweo2O5uS/7J5aST0yCx4xAcB3ENyu6QgWGTBb1wl13Pz/We&#10;y8v7gzVsryJq71o+n9WcKSe81K5v+edPm1d3nGECJ8F4p1p+VMjvVy9fLMfQqIUfvJEqMiJx2Iyh&#10;5UNKoakqFIOygDMflKNk56OFRNPYVzLCSOzWVIu6vqlGH2WIXihEWl1PSX5ijJcQ+q7TQq292Fnl&#10;0sQalYFEknDQAfmqVNt1SqSPXYcqMdNyUprKSIdQvM1jtVpC00cIgxanEuCSEp5psqAdHXqmWkMC&#10;tov6HyqrRfTouzQT3laTkOIIqZjXz7x5HCCoooWsxnA2Hf8frfiwf4hMy5YvOHNg6cJ/fvn24/tX&#10;Nr9dZHfGgA2BHsNDPM2Qwiz10EWb/ySCHYqjx7Oj6pCYoMXrRX1bk9eCUlc3d1cUE0v1tDlETO+U&#10;tywHLY90YcVH2L/HNEF/Q/JZzm+0MbQOjXFspP59XV9nfqBO7KgDKLSB1KDrCw96o2Xek7dg7Ldv&#10;TGR7oG7YbGr6TuX8BcsHrgGHCVdSGQaN1UllF6AZFMi3TrJ0DOSYo4fCczVWSc6MoneVo4JMoM0l&#10;SPLEOLIm+z05nKOtl0e6n12Iuh/In3mpN2eoH4qRp97NDffnvDA9vdf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Pn3bTWAAAACAEAAA8AAAAAAAAAAQAgAAAAIgAAAGRycy9kb3ducmV2LnhtbFBL&#10;AQIUABQAAAAIAIdO4kCxs8r3+AEAAPcDAAAOAAAAAAAAAAEAIAAAACUBAABkcnMvZTJvRG9jLnht&#10;bFBLBQYAAAAABgAGAFkBAACPBQAAAAA=&#10;">
                            <v:fill on="f" focussize="0,0"/>
                            <v:stroke weight="1.5pt" color="#FF0000" joinstyle="miter"/>
                            <v:imagedata o:title=""/>
                            <o:lock v:ext="edit" aspectratio="f"/>
                          </v:rect>
                        </w:pict>
                      </mc:Fallback>
                    </mc:AlternateContent>
                  </w:r>
                  <w:r>
                    <w:rPr>
                      <w:szCs w:val="21"/>
                    </w:rPr>
                    <w:drawing>
                      <wp:inline distT="0" distB="0" distL="114300" distR="114300">
                        <wp:extent cx="951230" cy="716915"/>
                        <wp:effectExtent l="0" t="0" r="1270" b="6985"/>
                        <wp:docPr id="38" name="图片 6" descr="IMG_20220421_165908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0220421_165908_src"/>
                                <pic:cNvPicPr>
                                  <a:picLocks noChangeAspect="1"/>
                                </pic:cNvPicPr>
                              </pic:nvPicPr>
                              <pic:blipFill>
                                <a:blip r:embed="rId14"/>
                                <a:stretch>
                                  <a:fillRect/>
                                </a:stretch>
                              </pic:blipFill>
                              <pic:spPr>
                                <a:xfrm>
                                  <a:off x="0" y="0"/>
                                  <a:ext cx="951230" cy="716915"/>
                                </a:xfrm>
                                <a:prstGeom prst="rect">
                                  <a:avLst/>
                                </a:prstGeom>
                                <a:noFill/>
                                <a:ln>
                                  <a:noFill/>
                                </a:ln>
                              </pic:spPr>
                            </pic:pic>
                          </a:graphicData>
                        </a:graphic>
                      </wp:inline>
                    </w:drawing>
                  </w:r>
                </w:p>
                <w:p>
                  <w:pPr>
                    <w:jc w:val="center"/>
                    <w:rPr>
                      <w:szCs w:val="21"/>
                    </w:rPr>
                  </w:pPr>
                  <w:r>
                    <w:rPr>
                      <w:rFonts w:hint="eastAsia"/>
                      <w:szCs w:val="21"/>
                    </w:rPr>
                    <w:t>E</w:t>
                  </w:r>
                  <w:r>
                    <w:rPr>
                      <w:szCs w:val="21"/>
                    </w:rPr>
                    <w:t>115</w:t>
                  </w:r>
                  <w:r>
                    <w:rPr>
                      <w:rFonts w:hint="eastAsia"/>
                      <w:szCs w:val="21"/>
                    </w:rPr>
                    <w:t>°</w:t>
                  </w:r>
                  <w:r>
                    <w:rPr>
                      <w:szCs w:val="21"/>
                    </w:rPr>
                    <w:t>59</w:t>
                  </w:r>
                  <w:r>
                    <w:rPr>
                      <w:rFonts w:hint="eastAsia"/>
                      <w:szCs w:val="21"/>
                    </w:rPr>
                    <w:t>′</w:t>
                  </w:r>
                  <w:r>
                    <w:rPr>
                      <w:szCs w:val="21"/>
                    </w:rPr>
                    <w:t>27.9510</w:t>
                  </w:r>
                  <w:r>
                    <w:rPr>
                      <w:rFonts w:hint="eastAsia"/>
                      <w:szCs w:val="21"/>
                    </w:rPr>
                    <w:t>″</w:t>
                  </w:r>
                </w:p>
                <w:p>
                  <w:pPr>
                    <w:jc w:val="center"/>
                    <w:rPr>
                      <w:szCs w:val="21"/>
                    </w:rPr>
                  </w:pPr>
                  <w:r>
                    <w:rPr>
                      <w:rFonts w:hint="eastAsia"/>
                      <w:szCs w:val="21"/>
                    </w:rPr>
                    <w:t>N</w:t>
                  </w:r>
                  <w:r>
                    <w:rPr>
                      <w:szCs w:val="21"/>
                    </w:rPr>
                    <w:t>26</w:t>
                  </w:r>
                  <w:r>
                    <w:rPr>
                      <w:rFonts w:hint="eastAsia"/>
                      <w:szCs w:val="21"/>
                    </w:rPr>
                    <w:t>°</w:t>
                  </w:r>
                  <w:r>
                    <w:rPr>
                      <w:szCs w:val="21"/>
                    </w:rPr>
                    <w:t>27</w:t>
                  </w:r>
                  <w:r>
                    <w:rPr>
                      <w:rFonts w:hint="eastAsia"/>
                      <w:szCs w:val="21"/>
                    </w:rPr>
                    <w:t>′</w:t>
                  </w:r>
                  <w:r>
                    <w:rPr>
                      <w:szCs w:val="21"/>
                    </w:rPr>
                    <w:t>56.9988</w:t>
                  </w:r>
                  <w:r>
                    <w:rPr>
                      <w:rFonts w:hint="eastAsia"/>
                      <w:szCs w:val="21"/>
                    </w:rPr>
                    <w:t>″</w:t>
                  </w:r>
                </w:p>
              </w:tc>
              <w:tc>
                <w:tcPr>
                  <w:tcW w:w="825" w:type="dxa"/>
                  <w:vAlign w:val="center"/>
                </w:tcPr>
                <w:p>
                  <w:pPr>
                    <w:jc w:val="center"/>
                    <w:rPr>
                      <w:szCs w:val="21"/>
                    </w:rPr>
                  </w:pPr>
                  <w:r>
                    <w:rPr>
                      <w:rFonts w:hint="eastAsia"/>
                      <w:szCs w:val="21"/>
                    </w:rPr>
                    <w:t>6</w:t>
                  </w:r>
                  <w:r>
                    <w:rPr>
                      <w:szCs w:val="21"/>
                    </w:rPr>
                    <w:t>m</w:t>
                  </w:r>
                </w:p>
              </w:tc>
              <w:tc>
                <w:tcPr>
                  <w:tcW w:w="1291" w:type="dxa"/>
                  <w:vAlign w:val="center"/>
                </w:tcPr>
                <w:p>
                  <w:pPr>
                    <w:jc w:val="center"/>
                    <w:rPr>
                      <w:szCs w:val="21"/>
                    </w:rPr>
                  </w:pPr>
                  <w:r>
                    <w:rPr>
                      <w:rFonts w:hint="eastAsia"/>
                      <w:szCs w:val="21"/>
                    </w:rPr>
                    <w:t>厂区南侧村庄</w:t>
                  </w:r>
                </w:p>
              </w:tc>
              <w:tc>
                <w:tcPr>
                  <w:tcW w:w="907" w:type="dxa"/>
                  <w:vAlign w:val="center"/>
                </w:tcPr>
                <w:p>
                  <w:pPr>
                    <w:jc w:val="center"/>
                    <w:rPr>
                      <w:szCs w:val="21"/>
                    </w:rPr>
                  </w:pPr>
                  <w:r>
                    <w:rPr>
                      <w:rFonts w:hint="eastAsia"/>
                      <w:szCs w:val="21"/>
                    </w:rPr>
                    <w:t>4</w:t>
                  </w:r>
                  <w:r>
                    <w:rPr>
                      <w:szCs w:val="21"/>
                    </w:rPr>
                    <w:t>30m</w:t>
                  </w:r>
                </w:p>
              </w:tc>
            </w:tr>
          </w:tbl>
          <w:p>
            <w:pPr>
              <w:pStyle w:val="54"/>
              <w:spacing w:line="240" w:lineRule="auto"/>
              <w:ind w:firstLine="420"/>
              <w:rPr>
                <w:color w:val="FF0000"/>
                <w:sz w:val="21"/>
                <w:szCs w:val="21"/>
              </w:rPr>
            </w:pPr>
          </w:p>
          <w:p>
            <w:pPr>
              <w:spacing w:line="360" w:lineRule="auto"/>
              <w:ind w:firstLine="436" w:firstLineChars="200"/>
              <w:rPr>
                <w:spacing w:val="4"/>
                <w:kern w:val="18"/>
                <w:szCs w:val="21"/>
                <w:lang w:val="en-GB"/>
              </w:rPr>
            </w:pPr>
            <w:r>
              <w:rPr>
                <w:spacing w:val="4"/>
                <w:kern w:val="18"/>
                <w:szCs w:val="21"/>
                <w:lang w:val="en-GB"/>
              </w:rPr>
              <w:t>（2）监测项目</w:t>
            </w:r>
          </w:p>
          <w:p>
            <w:pPr>
              <w:spacing w:line="360" w:lineRule="auto"/>
              <w:ind w:firstLine="420" w:firstLineChars="200"/>
              <w:rPr>
                <w:szCs w:val="21"/>
              </w:rPr>
            </w:pPr>
            <w:r>
              <w:rPr>
                <w:szCs w:val="21"/>
              </w:rPr>
              <w:t>监测项目：</w:t>
            </w:r>
            <w:r>
              <w:rPr>
                <w:bCs/>
                <w:szCs w:val="21"/>
              </w:rPr>
              <w:t>pH、萘、苯、甲苯、乙苯、铅、二氯乙烷、总硬度、溶解性总固体、耗氧量、氨氮、亚硝酸盐、硝酸盐、铁、锰、汞、砷、镉、铬（六价）、氟化物、挥发性酚类、石油类、K</w:t>
            </w:r>
            <w:r>
              <w:rPr>
                <w:bCs/>
                <w:szCs w:val="21"/>
                <w:vertAlign w:val="superscript"/>
              </w:rPr>
              <w:t>+</w:t>
            </w:r>
            <w:r>
              <w:rPr>
                <w:bCs/>
                <w:szCs w:val="21"/>
              </w:rPr>
              <w:t>、Na</w:t>
            </w:r>
            <w:r>
              <w:rPr>
                <w:bCs/>
                <w:szCs w:val="21"/>
                <w:vertAlign w:val="superscript"/>
              </w:rPr>
              <w:t>+</w:t>
            </w:r>
            <w:r>
              <w:rPr>
                <w:bCs/>
                <w:szCs w:val="21"/>
              </w:rPr>
              <w:t>、Ca</w:t>
            </w:r>
            <w:r>
              <w:rPr>
                <w:bCs/>
                <w:szCs w:val="21"/>
                <w:vertAlign w:val="superscript"/>
              </w:rPr>
              <w:t>2+</w:t>
            </w:r>
            <w:r>
              <w:rPr>
                <w:bCs/>
                <w:szCs w:val="21"/>
              </w:rPr>
              <w:t>、Mg</w:t>
            </w:r>
            <w:r>
              <w:rPr>
                <w:bCs/>
                <w:szCs w:val="21"/>
                <w:vertAlign w:val="superscript"/>
              </w:rPr>
              <w:t>2+</w:t>
            </w:r>
            <w:r>
              <w:rPr>
                <w:bCs/>
                <w:szCs w:val="21"/>
              </w:rPr>
              <w:t>、Cl</w:t>
            </w:r>
            <w:r>
              <w:rPr>
                <w:bCs/>
                <w:szCs w:val="21"/>
                <w:vertAlign w:val="superscript"/>
              </w:rPr>
              <w:t>-</w:t>
            </w:r>
            <w:r>
              <w:rPr>
                <w:bCs/>
                <w:szCs w:val="21"/>
              </w:rPr>
              <w:t>、SO</w:t>
            </w:r>
            <w:r>
              <w:rPr>
                <w:bCs/>
                <w:szCs w:val="21"/>
                <w:vertAlign w:val="subscript"/>
              </w:rPr>
              <w:t>4</w:t>
            </w:r>
            <w:r>
              <w:rPr>
                <w:bCs/>
                <w:szCs w:val="21"/>
                <w:vertAlign w:val="superscript"/>
              </w:rPr>
              <w:t>2-</w:t>
            </w:r>
            <w:r>
              <w:rPr>
                <w:szCs w:val="21"/>
              </w:rPr>
              <w:t>，并监测水井水位。</w:t>
            </w:r>
          </w:p>
          <w:p>
            <w:pPr>
              <w:spacing w:line="360" w:lineRule="auto"/>
              <w:ind w:firstLine="436" w:firstLineChars="200"/>
              <w:rPr>
                <w:spacing w:val="4"/>
                <w:kern w:val="18"/>
                <w:szCs w:val="21"/>
                <w:lang w:val="en-GB"/>
              </w:rPr>
            </w:pPr>
            <w:r>
              <w:rPr>
                <w:spacing w:val="4"/>
                <w:kern w:val="18"/>
                <w:szCs w:val="21"/>
                <w:lang w:val="en-GB"/>
              </w:rPr>
              <w:t>（3）监测结果</w:t>
            </w:r>
          </w:p>
          <w:p>
            <w:pPr>
              <w:spacing w:line="360" w:lineRule="auto"/>
              <w:ind w:firstLine="436" w:firstLineChars="200"/>
              <w:rPr>
                <w:spacing w:val="4"/>
                <w:kern w:val="18"/>
                <w:szCs w:val="21"/>
                <w:lang w:val="en-GB"/>
              </w:rPr>
            </w:pPr>
            <w:r>
              <w:rPr>
                <w:spacing w:val="4"/>
                <w:kern w:val="18"/>
                <w:szCs w:val="21"/>
                <w:lang w:val="en-GB"/>
              </w:rPr>
              <w:t>地下水监测结果统计见表3-5。</w:t>
            </w:r>
          </w:p>
          <w:p>
            <w:pPr>
              <w:spacing w:line="276" w:lineRule="auto"/>
              <w:ind w:firstLine="438" w:firstLineChars="200"/>
              <w:jc w:val="center"/>
              <w:rPr>
                <w:b/>
                <w:spacing w:val="4"/>
                <w:kern w:val="18"/>
                <w:szCs w:val="21"/>
                <w:lang w:val="en-GB"/>
              </w:rPr>
            </w:pPr>
            <w:r>
              <w:rPr>
                <w:b/>
                <w:spacing w:val="4"/>
                <w:kern w:val="18"/>
                <w:szCs w:val="21"/>
                <w:lang w:val="en-GB"/>
              </w:rPr>
              <w:t>表3-5  地下水质监测结果统计表</w:t>
            </w:r>
          </w:p>
          <w:tbl>
            <w:tblPr>
              <w:tblStyle w:val="21"/>
              <w:tblW w:w="793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1135"/>
              <w:gridCol w:w="2184"/>
              <w:gridCol w:w="1643"/>
              <w:gridCol w:w="1559"/>
              <w:gridCol w:w="141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Align w:val="center"/>
                </w:tcPr>
                <w:p>
                  <w:pPr>
                    <w:jc w:val="center"/>
                    <w:rPr>
                      <w:szCs w:val="21"/>
                    </w:rPr>
                  </w:pPr>
                  <w:r>
                    <w:rPr>
                      <w:szCs w:val="21"/>
                    </w:rPr>
                    <w:t>监测点位</w:t>
                  </w:r>
                </w:p>
              </w:tc>
              <w:tc>
                <w:tcPr>
                  <w:tcW w:w="2184" w:type="dxa"/>
                  <w:vAlign w:val="center"/>
                </w:tcPr>
                <w:p>
                  <w:pPr>
                    <w:jc w:val="center"/>
                    <w:rPr>
                      <w:szCs w:val="21"/>
                    </w:rPr>
                  </w:pPr>
                  <w:r>
                    <w:rPr>
                      <w:szCs w:val="21"/>
                    </w:rPr>
                    <w:t>项目</w:t>
                  </w:r>
                </w:p>
              </w:tc>
              <w:tc>
                <w:tcPr>
                  <w:tcW w:w="1643" w:type="dxa"/>
                  <w:vAlign w:val="center"/>
                </w:tcPr>
                <w:p>
                  <w:pPr>
                    <w:jc w:val="center"/>
                    <w:rPr>
                      <w:szCs w:val="21"/>
                    </w:rPr>
                  </w:pPr>
                  <w:r>
                    <w:rPr>
                      <w:szCs w:val="21"/>
                    </w:rPr>
                    <w:t>监测结果</w:t>
                  </w:r>
                </w:p>
              </w:tc>
              <w:tc>
                <w:tcPr>
                  <w:tcW w:w="1559" w:type="dxa"/>
                  <w:vAlign w:val="center"/>
                </w:tcPr>
                <w:p>
                  <w:pPr>
                    <w:jc w:val="center"/>
                    <w:rPr>
                      <w:szCs w:val="21"/>
                    </w:rPr>
                  </w:pPr>
                  <w:r>
                    <w:rPr>
                      <w:szCs w:val="21"/>
                    </w:rPr>
                    <w:t>标准限值</w:t>
                  </w:r>
                </w:p>
              </w:tc>
              <w:tc>
                <w:tcPr>
                  <w:tcW w:w="1418" w:type="dxa"/>
                  <w:vAlign w:val="center"/>
                </w:tcPr>
                <w:p>
                  <w:pPr>
                    <w:jc w:val="center"/>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restart"/>
                  <w:vAlign w:val="center"/>
                </w:tcPr>
                <w:p>
                  <w:pPr>
                    <w:jc w:val="center"/>
                    <w:rPr>
                      <w:szCs w:val="21"/>
                    </w:rPr>
                  </w:pPr>
                  <w:r>
                    <w:rPr>
                      <w:szCs w:val="21"/>
                    </w:rPr>
                    <w:t>GW1</w:t>
                  </w:r>
                </w:p>
              </w:tc>
              <w:tc>
                <w:tcPr>
                  <w:tcW w:w="2184" w:type="dxa"/>
                  <w:vAlign w:val="center"/>
                </w:tcPr>
                <w:p>
                  <w:pPr>
                    <w:jc w:val="center"/>
                    <w:rPr>
                      <w:szCs w:val="21"/>
                    </w:rPr>
                  </w:pPr>
                  <w:r>
                    <w:rPr>
                      <w:szCs w:val="21"/>
                    </w:rPr>
                    <w:t>pH（无量纲）</w:t>
                  </w:r>
                </w:p>
              </w:tc>
              <w:tc>
                <w:tcPr>
                  <w:tcW w:w="1643" w:type="dxa"/>
                  <w:vAlign w:val="center"/>
                </w:tcPr>
                <w:p>
                  <w:pPr>
                    <w:jc w:val="center"/>
                    <w:rPr>
                      <w:szCs w:val="21"/>
                    </w:rPr>
                  </w:pPr>
                  <w:r>
                    <w:rPr>
                      <w:rFonts w:hint="eastAsia"/>
                      <w:szCs w:val="21"/>
                    </w:rPr>
                    <w:t>6</w:t>
                  </w:r>
                  <w:r>
                    <w:rPr>
                      <w:szCs w:val="21"/>
                    </w:rPr>
                    <w:t>.8</w:t>
                  </w:r>
                </w:p>
              </w:tc>
              <w:tc>
                <w:tcPr>
                  <w:tcW w:w="1559" w:type="dxa"/>
                  <w:vAlign w:val="center"/>
                </w:tcPr>
                <w:p>
                  <w:pPr>
                    <w:jc w:val="center"/>
                    <w:rPr>
                      <w:szCs w:val="21"/>
                    </w:rPr>
                  </w:pPr>
                  <w:r>
                    <w:rPr>
                      <w:szCs w:val="21"/>
                    </w:rPr>
                    <w:t>6.5~8.5</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萘</w:t>
                  </w:r>
                  <w:r>
                    <w:rPr>
                      <w:szCs w:val="21"/>
                    </w:rPr>
                    <w:t>(mg/L)</w:t>
                  </w:r>
                </w:p>
              </w:tc>
              <w:tc>
                <w:tcPr>
                  <w:tcW w:w="1643" w:type="dxa"/>
                  <w:vAlign w:val="center"/>
                </w:tcPr>
                <w:p>
                  <w:pPr>
                    <w:jc w:val="center"/>
                    <w:rPr>
                      <w:szCs w:val="21"/>
                    </w:rPr>
                  </w:pPr>
                  <w:r>
                    <w:rPr>
                      <w:szCs w:val="21"/>
                    </w:rPr>
                    <w:t>ND</w:t>
                  </w:r>
                </w:p>
              </w:tc>
              <w:tc>
                <w:tcPr>
                  <w:tcW w:w="1559" w:type="dxa"/>
                  <w:vAlign w:val="center"/>
                </w:tcPr>
                <w:p>
                  <w:pPr>
                    <w:snapToGrid w:val="0"/>
                    <w:jc w:val="center"/>
                    <w:rPr>
                      <w:szCs w:val="21"/>
                    </w:rPr>
                  </w:pPr>
                  <w:r>
                    <w:rPr>
                      <w:szCs w:val="21"/>
                    </w:rPr>
                    <w:t>≤100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苯</w:t>
                  </w:r>
                  <w:r>
                    <w:rPr>
                      <w:szCs w:val="21"/>
                    </w:rPr>
                    <w:t>(mg/L)</w:t>
                  </w:r>
                </w:p>
              </w:tc>
              <w:tc>
                <w:tcPr>
                  <w:tcW w:w="1643" w:type="dxa"/>
                  <w:vAlign w:val="center"/>
                </w:tcPr>
                <w:p>
                  <w:pPr>
                    <w:jc w:val="center"/>
                    <w:rPr>
                      <w:szCs w:val="21"/>
                    </w:rPr>
                  </w:pPr>
                  <w:r>
                    <w:rPr>
                      <w:szCs w:val="21"/>
                    </w:rPr>
                    <w:t>ND</w:t>
                  </w:r>
                </w:p>
              </w:tc>
              <w:tc>
                <w:tcPr>
                  <w:tcW w:w="1559" w:type="dxa"/>
                  <w:vAlign w:val="center"/>
                </w:tcPr>
                <w:p>
                  <w:pPr>
                    <w:snapToGrid w:val="0"/>
                    <w:jc w:val="center"/>
                    <w:rPr>
                      <w:szCs w:val="21"/>
                    </w:rPr>
                  </w:pPr>
                  <w:r>
                    <w:rPr>
                      <w:szCs w:val="21"/>
                    </w:rPr>
                    <w:t>≤10.0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1135" w:type="dxa"/>
                  <w:vMerge w:val="continue"/>
                  <w:vAlign w:val="center"/>
                </w:tcPr>
                <w:p>
                  <w:pPr>
                    <w:spacing w:line="300" w:lineRule="exact"/>
                    <w:jc w:val="center"/>
                    <w:rPr>
                      <w:bCs/>
                      <w:szCs w:val="21"/>
                    </w:rPr>
                  </w:pPr>
                </w:p>
              </w:tc>
              <w:tc>
                <w:tcPr>
                  <w:tcW w:w="2184" w:type="dxa"/>
                  <w:vAlign w:val="center"/>
                </w:tcPr>
                <w:p>
                  <w:pPr>
                    <w:spacing w:line="300" w:lineRule="exact"/>
                    <w:jc w:val="center"/>
                    <w:rPr>
                      <w:szCs w:val="21"/>
                    </w:rPr>
                  </w:pPr>
                  <w:r>
                    <w:rPr>
                      <w:bCs/>
                      <w:szCs w:val="21"/>
                    </w:rPr>
                    <w:t>甲苯</w:t>
                  </w:r>
                  <w:r>
                    <w:rPr>
                      <w:szCs w:val="21"/>
                    </w:rPr>
                    <w:t>(mg/L)</w:t>
                  </w:r>
                </w:p>
              </w:tc>
              <w:tc>
                <w:tcPr>
                  <w:tcW w:w="1643" w:type="dxa"/>
                  <w:vAlign w:val="center"/>
                </w:tcPr>
                <w:p>
                  <w:pPr>
                    <w:jc w:val="center"/>
                    <w:rPr>
                      <w:szCs w:val="21"/>
                    </w:rPr>
                  </w:pPr>
                  <w:r>
                    <w:rPr>
                      <w:szCs w:val="21"/>
                    </w:rPr>
                    <w:t>ND</w:t>
                  </w:r>
                </w:p>
              </w:tc>
              <w:tc>
                <w:tcPr>
                  <w:tcW w:w="1559" w:type="dxa"/>
                  <w:vAlign w:val="center"/>
                </w:tcPr>
                <w:p>
                  <w:pPr>
                    <w:snapToGrid w:val="0"/>
                    <w:jc w:val="center"/>
                    <w:rPr>
                      <w:szCs w:val="21"/>
                    </w:rPr>
                  </w:pPr>
                  <w:r>
                    <w:rPr>
                      <w:szCs w:val="21"/>
                    </w:rPr>
                    <w:t>≤700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乙苯</w:t>
                  </w:r>
                  <w:r>
                    <w:rPr>
                      <w:szCs w:val="21"/>
                    </w:rPr>
                    <w:t>(mg/L)</w:t>
                  </w:r>
                </w:p>
              </w:tc>
              <w:tc>
                <w:tcPr>
                  <w:tcW w:w="1643" w:type="dxa"/>
                  <w:vAlign w:val="center"/>
                </w:tcPr>
                <w:p>
                  <w:pPr>
                    <w:jc w:val="center"/>
                    <w:rPr>
                      <w:szCs w:val="21"/>
                    </w:rPr>
                  </w:pPr>
                  <w:r>
                    <w:rPr>
                      <w:szCs w:val="21"/>
                    </w:rPr>
                    <w:t>ND</w:t>
                  </w:r>
                </w:p>
              </w:tc>
              <w:tc>
                <w:tcPr>
                  <w:tcW w:w="1559" w:type="dxa"/>
                  <w:vAlign w:val="center"/>
                </w:tcPr>
                <w:p>
                  <w:pPr>
                    <w:snapToGrid w:val="0"/>
                    <w:jc w:val="center"/>
                    <w:rPr>
                      <w:szCs w:val="21"/>
                    </w:rPr>
                  </w:pPr>
                  <w:r>
                    <w:rPr>
                      <w:szCs w:val="21"/>
                    </w:rPr>
                    <w:t>≤300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二氯乙烷</w:t>
                  </w:r>
                  <w:r>
                    <w:rPr>
                      <w:szCs w:val="21"/>
                    </w:rPr>
                    <w:t>(mg/L)</w:t>
                  </w:r>
                </w:p>
              </w:tc>
              <w:tc>
                <w:tcPr>
                  <w:tcW w:w="1643" w:type="dxa"/>
                  <w:vAlign w:val="center"/>
                </w:tcPr>
                <w:p>
                  <w:pPr>
                    <w:jc w:val="center"/>
                    <w:rPr>
                      <w:szCs w:val="21"/>
                    </w:rPr>
                  </w:pPr>
                  <w:r>
                    <w:rPr>
                      <w:szCs w:val="21"/>
                    </w:rPr>
                    <w:t>ND</w:t>
                  </w:r>
                </w:p>
              </w:tc>
              <w:tc>
                <w:tcPr>
                  <w:tcW w:w="1559" w:type="dxa"/>
                  <w:vAlign w:val="center"/>
                </w:tcPr>
                <w:p>
                  <w:pPr>
                    <w:ind w:left="349" w:hanging="348" w:hangingChars="166"/>
                    <w:jc w:val="center"/>
                    <w:rPr>
                      <w:szCs w:val="21"/>
                    </w:rPr>
                  </w:pPr>
                  <w:r>
                    <w:rPr>
                      <w:szCs w:val="21"/>
                    </w:rPr>
                    <w:t>≤30.0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铁</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≤0.3</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锰</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≤0.10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砷</w:t>
                  </w:r>
                  <w:r>
                    <w:rPr>
                      <w:szCs w:val="21"/>
                    </w:rPr>
                    <w:t>(mg/L)</w:t>
                  </w:r>
                </w:p>
              </w:tc>
              <w:tc>
                <w:tcPr>
                  <w:tcW w:w="1643" w:type="dxa"/>
                  <w:vAlign w:val="center"/>
                </w:tcPr>
                <w:p>
                  <w:pPr>
                    <w:jc w:val="center"/>
                    <w:rPr>
                      <w:szCs w:val="21"/>
                    </w:rPr>
                  </w:pPr>
                  <w:r>
                    <w:rPr>
                      <w:rFonts w:hint="eastAsia"/>
                      <w:szCs w:val="21"/>
                    </w:rPr>
                    <w:t>0</w:t>
                  </w:r>
                  <w:r>
                    <w:rPr>
                      <w:szCs w:val="21"/>
                    </w:rPr>
                    <w:t>.00034</w:t>
                  </w:r>
                </w:p>
              </w:tc>
              <w:tc>
                <w:tcPr>
                  <w:tcW w:w="1559" w:type="dxa"/>
                  <w:vAlign w:val="center"/>
                </w:tcPr>
                <w:p>
                  <w:pPr>
                    <w:jc w:val="center"/>
                    <w:rPr>
                      <w:szCs w:val="21"/>
                    </w:rPr>
                  </w:pPr>
                  <w:r>
                    <w:rPr>
                      <w:szCs w:val="21"/>
                    </w:rPr>
                    <w:t>≤0.01</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铅</w:t>
                  </w:r>
                  <w:r>
                    <w:rPr>
                      <w:szCs w:val="21"/>
                    </w:rPr>
                    <w:t>(mg/L)</w:t>
                  </w:r>
                </w:p>
              </w:tc>
              <w:tc>
                <w:tcPr>
                  <w:tcW w:w="1643" w:type="dxa"/>
                  <w:vAlign w:val="center"/>
                </w:tcPr>
                <w:p>
                  <w:pPr>
                    <w:jc w:val="center"/>
                    <w:rPr>
                      <w:szCs w:val="21"/>
                    </w:rPr>
                  </w:pPr>
                  <w:r>
                    <w:rPr>
                      <w:rFonts w:hint="eastAsia"/>
                      <w:szCs w:val="21"/>
                    </w:rPr>
                    <w:t>0</w:t>
                  </w:r>
                  <w:r>
                    <w:rPr>
                      <w:szCs w:val="21"/>
                    </w:rPr>
                    <w:t>.00402</w:t>
                  </w:r>
                </w:p>
              </w:tc>
              <w:tc>
                <w:tcPr>
                  <w:tcW w:w="1559" w:type="dxa"/>
                  <w:vAlign w:val="center"/>
                </w:tcPr>
                <w:p>
                  <w:pPr>
                    <w:jc w:val="center"/>
                    <w:rPr>
                      <w:szCs w:val="21"/>
                    </w:rPr>
                  </w:pPr>
                  <w:r>
                    <w:rPr>
                      <w:szCs w:val="21"/>
                    </w:rPr>
                    <w:t>≤0.01</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szCs w:val="21"/>
                    </w:rPr>
                  </w:pPr>
                </w:p>
              </w:tc>
              <w:tc>
                <w:tcPr>
                  <w:tcW w:w="2184" w:type="dxa"/>
                  <w:vAlign w:val="center"/>
                </w:tcPr>
                <w:p>
                  <w:pPr>
                    <w:jc w:val="center"/>
                    <w:rPr>
                      <w:szCs w:val="21"/>
                    </w:rPr>
                  </w:pPr>
                  <w:r>
                    <w:rPr>
                      <w:szCs w:val="21"/>
                    </w:rPr>
                    <w:t>镉(mg/L)</w:t>
                  </w:r>
                </w:p>
              </w:tc>
              <w:tc>
                <w:tcPr>
                  <w:tcW w:w="1643" w:type="dxa"/>
                  <w:vAlign w:val="center"/>
                </w:tcPr>
                <w:p>
                  <w:pPr>
                    <w:jc w:val="center"/>
                    <w:rPr>
                      <w:szCs w:val="21"/>
                    </w:rPr>
                  </w:pPr>
                  <w:r>
                    <w:rPr>
                      <w:rFonts w:hint="eastAsia"/>
                      <w:szCs w:val="21"/>
                    </w:rPr>
                    <w:t>0</w:t>
                  </w:r>
                  <w:r>
                    <w:rPr>
                      <w:szCs w:val="21"/>
                    </w:rPr>
                    <w:t>.00008</w:t>
                  </w:r>
                </w:p>
              </w:tc>
              <w:tc>
                <w:tcPr>
                  <w:tcW w:w="1559" w:type="dxa"/>
                  <w:vAlign w:val="center"/>
                </w:tcPr>
                <w:p>
                  <w:pPr>
                    <w:jc w:val="center"/>
                    <w:rPr>
                      <w:szCs w:val="21"/>
                    </w:rPr>
                  </w:pPr>
                  <w:r>
                    <w:rPr>
                      <w:szCs w:val="21"/>
                    </w:rPr>
                    <w:t>≤0.005</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钾</w:t>
                  </w:r>
                  <w:r>
                    <w:rPr>
                      <w:szCs w:val="21"/>
                    </w:rPr>
                    <w:t>(mg/L)</w:t>
                  </w:r>
                </w:p>
              </w:tc>
              <w:tc>
                <w:tcPr>
                  <w:tcW w:w="1643" w:type="dxa"/>
                  <w:vAlign w:val="center"/>
                </w:tcPr>
                <w:p>
                  <w:pPr>
                    <w:jc w:val="center"/>
                    <w:rPr>
                      <w:szCs w:val="21"/>
                    </w:rPr>
                  </w:pPr>
                  <w:r>
                    <w:rPr>
                      <w:szCs w:val="21"/>
                    </w:rPr>
                    <w:t>1.21</w:t>
                  </w:r>
                </w:p>
              </w:tc>
              <w:tc>
                <w:tcPr>
                  <w:tcW w:w="1559" w:type="dxa"/>
                  <w:vAlign w:val="center"/>
                </w:tcPr>
                <w:p>
                  <w:pPr>
                    <w:jc w:val="center"/>
                    <w:rPr>
                      <w:szCs w:val="21"/>
                    </w:rPr>
                  </w:pPr>
                  <w:r>
                    <w:rPr>
                      <w:szCs w:val="21"/>
                    </w:rPr>
                    <w:t>/</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钠</w:t>
                  </w:r>
                  <w:r>
                    <w:rPr>
                      <w:szCs w:val="21"/>
                    </w:rPr>
                    <w:t>(mg/L)</w:t>
                  </w:r>
                </w:p>
              </w:tc>
              <w:tc>
                <w:tcPr>
                  <w:tcW w:w="1643" w:type="dxa"/>
                  <w:vAlign w:val="center"/>
                </w:tcPr>
                <w:p>
                  <w:pPr>
                    <w:jc w:val="center"/>
                    <w:rPr>
                      <w:szCs w:val="21"/>
                    </w:rPr>
                  </w:pPr>
                  <w:r>
                    <w:rPr>
                      <w:szCs w:val="21"/>
                    </w:rPr>
                    <w:t>2.63</w:t>
                  </w:r>
                </w:p>
              </w:tc>
              <w:tc>
                <w:tcPr>
                  <w:tcW w:w="1559" w:type="dxa"/>
                  <w:vAlign w:val="center"/>
                </w:tcPr>
                <w:p>
                  <w:pPr>
                    <w:jc w:val="center"/>
                    <w:rPr>
                      <w:szCs w:val="21"/>
                    </w:rPr>
                  </w:pPr>
                  <w:r>
                    <w:rPr>
                      <w:szCs w:val="21"/>
                    </w:rPr>
                    <w:t>≤200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钙</w:t>
                  </w:r>
                  <w:r>
                    <w:rPr>
                      <w:szCs w:val="21"/>
                    </w:rPr>
                    <w:t>(mg/L)</w:t>
                  </w:r>
                </w:p>
              </w:tc>
              <w:tc>
                <w:tcPr>
                  <w:tcW w:w="1643" w:type="dxa"/>
                  <w:vAlign w:val="center"/>
                </w:tcPr>
                <w:p>
                  <w:pPr>
                    <w:jc w:val="center"/>
                    <w:rPr>
                      <w:szCs w:val="21"/>
                    </w:rPr>
                  </w:pPr>
                  <w:r>
                    <w:rPr>
                      <w:szCs w:val="21"/>
                    </w:rPr>
                    <w:t>36.69</w:t>
                  </w:r>
                </w:p>
              </w:tc>
              <w:tc>
                <w:tcPr>
                  <w:tcW w:w="1559" w:type="dxa"/>
                  <w:vAlign w:val="center"/>
                </w:tcPr>
                <w:p>
                  <w:pPr>
                    <w:jc w:val="center"/>
                    <w:rPr>
                      <w:szCs w:val="21"/>
                    </w:rPr>
                  </w:pPr>
                  <w:r>
                    <w:rPr>
                      <w:szCs w:val="21"/>
                    </w:rPr>
                    <w:t>/</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镁</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汞</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≤0.001</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szCs w:val="21"/>
                    </w:rPr>
                  </w:pPr>
                </w:p>
              </w:tc>
              <w:tc>
                <w:tcPr>
                  <w:tcW w:w="2184" w:type="dxa"/>
                  <w:vAlign w:val="center"/>
                </w:tcPr>
                <w:p>
                  <w:pPr>
                    <w:jc w:val="center"/>
                    <w:rPr>
                      <w:szCs w:val="21"/>
                    </w:rPr>
                  </w:pPr>
                  <w:r>
                    <w:rPr>
                      <w:szCs w:val="21"/>
                    </w:rPr>
                    <w:t>六价铬(mg/L)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≤0.05</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spacing w:line="300" w:lineRule="exact"/>
                    <w:jc w:val="center"/>
                    <w:rPr>
                      <w:bCs/>
                      <w:szCs w:val="21"/>
                    </w:rPr>
                  </w:pPr>
                </w:p>
              </w:tc>
              <w:tc>
                <w:tcPr>
                  <w:tcW w:w="2184" w:type="dxa"/>
                  <w:vAlign w:val="center"/>
                </w:tcPr>
                <w:p>
                  <w:pPr>
                    <w:spacing w:line="300" w:lineRule="exact"/>
                    <w:jc w:val="center"/>
                    <w:rPr>
                      <w:szCs w:val="21"/>
                    </w:rPr>
                  </w:pPr>
                  <w:r>
                    <w:rPr>
                      <w:bCs/>
                      <w:szCs w:val="21"/>
                    </w:rPr>
                    <w:t>总硬度</w:t>
                  </w:r>
                  <w:r>
                    <w:rPr>
                      <w:szCs w:val="21"/>
                    </w:rPr>
                    <w:t>(mg/L)</w:t>
                  </w:r>
                </w:p>
              </w:tc>
              <w:tc>
                <w:tcPr>
                  <w:tcW w:w="1643" w:type="dxa"/>
                  <w:vAlign w:val="center"/>
                </w:tcPr>
                <w:p>
                  <w:pPr>
                    <w:jc w:val="center"/>
                    <w:rPr>
                      <w:szCs w:val="21"/>
                    </w:rPr>
                  </w:pPr>
                  <w:r>
                    <w:rPr>
                      <w:rFonts w:hint="eastAsia"/>
                      <w:szCs w:val="21"/>
                    </w:rPr>
                    <w:t>2</w:t>
                  </w:r>
                  <w:r>
                    <w:rPr>
                      <w:szCs w:val="21"/>
                    </w:rPr>
                    <w:t>1</w:t>
                  </w:r>
                </w:p>
              </w:tc>
              <w:tc>
                <w:tcPr>
                  <w:tcW w:w="1559" w:type="dxa"/>
                  <w:vAlign w:val="center"/>
                </w:tcPr>
                <w:p>
                  <w:pPr>
                    <w:ind w:left="349" w:hanging="348" w:hangingChars="166"/>
                    <w:jc w:val="center"/>
                    <w:rPr>
                      <w:szCs w:val="21"/>
                    </w:rPr>
                  </w:pPr>
                  <w:r>
                    <w:rPr>
                      <w:szCs w:val="21"/>
                    </w:rPr>
                    <w:t>≤</w:t>
                  </w:r>
                  <w:r>
                    <w:rPr>
                      <w:kern w:val="0"/>
                      <w:szCs w:val="21"/>
                    </w:rPr>
                    <w:t>450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溶解性总固体</w:t>
                  </w:r>
                  <w:r>
                    <w:rPr>
                      <w:szCs w:val="21"/>
                    </w:rPr>
                    <w:t>(mg/L)</w:t>
                  </w:r>
                </w:p>
              </w:tc>
              <w:tc>
                <w:tcPr>
                  <w:tcW w:w="1643" w:type="dxa"/>
                  <w:vAlign w:val="center"/>
                </w:tcPr>
                <w:p>
                  <w:pPr>
                    <w:jc w:val="center"/>
                    <w:rPr>
                      <w:szCs w:val="21"/>
                    </w:rPr>
                  </w:pPr>
                  <w:r>
                    <w:rPr>
                      <w:rFonts w:hint="eastAsia"/>
                      <w:szCs w:val="21"/>
                    </w:rPr>
                    <w:t>3</w:t>
                  </w:r>
                  <w:r>
                    <w:rPr>
                      <w:szCs w:val="21"/>
                    </w:rPr>
                    <w:t>5</w:t>
                  </w:r>
                </w:p>
              </w:tc>
              <w:tc>
                <w:tcPr>
                  <w:tcW w:w="1559" w:type="dxa"/>
                  <w:vAlign w:val="center"/>
                </w:tcPr>
                <w:p>
                  <w:pPr>
                    <w:jc w:val="center"/>
                    <w:rPr>
                      <w:szCs w:val="21"/>
                    </w:rPr>
                  </w:pPr>
                  <w:r>
                    <w:rPr>
                      <w:szCs w:val="21"/>
                    </w:rPr>
                    <w:t>≤1000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耗氧量</w:t>
                  </w:r>
                  <w:r>
                    <w:rPr>
                      <w:szCs w:val="21"/>
                    </w:rPr>
                    <w:t>(mg/L)</w:t>
                  </w:r>
                </w:p>
              </w:tc>
              <w:tc>
                <w:tcPr>
                  <w:tcW w:w="1643" w:type="dxa"/>
                  <w:vAlign w:val="center"/>
                </w:tcPr>
                <w:p>
                  <w:pPr>
                    <w:jc w:val="center"/>
                    <w:rPr>
                      <w:szCs w:val="21"/>
                    </w:rPr>
                  </w:pPr>
                  <w:r>
                    <w:rPr>
                      <w:rFonts w:hint="eastAsia"/>
                      <w:szCs w:val="21"/>
                    </w:rPr>
                    <w:t>1</w:t>
                  </w:r>
                  <w:r>
                    <w:rPr>
                      <w:szCs w:val="21"/>
                    </w:rPr>
                    <w:t>.11</w:t>
                  </w:r>
                </w:p>
              </w:tc>
              <w:tc>
                <w:tcPr>
                  <w:tcW w:w="1559" w:type="dxa"/>
                  <w:vAlign w:val="center"/>
                </w:tcPr>
                <w:p>
                  <w:pPr>
                    <w:jc w:val="center"/>
                    <w:rPr>
                      <w:szCs w:val="21"/>
                    </w:rPr>
                  </w:pPr>
                  <w:r>
                    <w:rPr>
                      <w:szCs w:val="21"/>
                    </w:rPr>
                    <w:t>≤3.0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氨氮</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≤0.50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spacing w:line="300" w:lineRule="exact"/>
                    <w:jc w:val="center"/>
                    <w:rPr>
                      <w:bCs/>
                      <w:szCs w:val="21"/>
                    </w:rPr>
                  </w:pPr>
                </w:p>
              </w:tc>
              <w:tc>
                <w:tcPr>
                  <w:tcW w:w="2184" w:type="dxa"/>
                  <w:vAlign w:val="center"/>
                </w:tcPr>
                <w:p>
                  <w:pPr>
                    <w:spacing w:line="300" w:lineRule="exact"/>
                    <w:jc w:val="center"/>
                    <w:rPr>
                      <w:szCs w:val="21"/>
                    </w:rPr>
                  </w:pPr>
                  <w:r>
                    <w:rPr>
                      <w:bCs/>
                      <w:szCs w:val="21"/>
                    </w:rPr>
                    <w:t>挥发性酚类</w:t>
                  </w:r>
                  <w:r>
                    <w:rPr>
                      <w:szCs w:val="21"/>
                    </w:rPr>
                    <w:t>(mg/L)</w:t>
                  </w:r>
                </w:p>
              </w:tc>
              <w:tc>
                <w:tcPr>
                  <w:tcW w:w="1643" w:type="dxa"/>
                  <w:vAlign w:val="center"/>
                </w:tcPr>
                <w:p>
                  <w:pPr>
                    <w:jc w:val="center"/>
                    <w:rPr>
                      <w:szCs w:val="21"/>
                    </w:rPr>
                  </w:pPr>
                  <w:r>
                    <w:rPr>
                      <w:rFonts w:hint="eastAsia"/>
                      <w:szCs w:val="21"/>
                    </w:rPr>
                    <w:t>0</w:t>
                  </w:r>
                  <w:r>
                    <w:rPr>
                      <w:szCs w:val="21"/>
                    </w:rPr>
                    <w:t>.0017</w:t>
                  </w:r>
                </w:p>
              </w:tc>
              <w:tc>
                <w:tcPr>
                  <w:tcW w:w="1559" w:type="dxa"/>
                  <w:vAlign w:val="center"/>
                </w:tcPr>
                <w:p>
                  <w:pPr>
                    <w:jc w:val="center"/>
                    <w:rPr>
                      <w:szCs w:val="21"/>
                    </w:rPr>
                  </w:pPr>
                  <w:r>
                    <w:rPr>
                      <w:szCs w:val="21"/>
                    </w:rPr>
                    <w:t>≤0.002</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石油类</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≤0.05</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亚硝酸盐</w:t>
                  </w:r>
                  <w:r>
                    <w:rPr>
                      <w:szCs w:val="21"/>
                    </w:rPr>
                    <w:t>(mg/L)</w:t>
                  </w:r>
                </w:p>
              </w:tc>
              <w:tc>
                <w:tcPr>
                  <w:tcW w:w="1643" w:type="dxa"/>
                  <w:vAlign w:val="center"/>
                </w:tcPr>
                <w:p>
                  <w:pPr>
                    <w:jc w:val="center"/>
                    <w:rPr>
                      <w:szCs w:val="21"/>
                    </w:rPr>
                  </w:pPr>
                  <w:r>
                    <w:rPr>
                      <w:szCs w:val="21"/>
                    </w:rPr>
                    <w:t>ND</w:t>
                  </w:r>
                </w:p>
              </w:tc>
              <w:tc>
                <w:tcPr>
                  <w:tcW w:w="1559" w:type="dxa"/>
                  <w:vAlign w:val="center"/>
                </w:tcPr>
                <w:p>
                  <w:pPr>
                    <w:jc w:val="center"/>
                    <w:rPr>
                      <w:szCs w:val="21"/>
                    </w:rPr>
                  </w:pPr>
                  <w:r>
                    <w:rPr>
                      <w:szCs w:val="21"/>
                    </w:rPr>
                    <w:t>≤1.00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szCs w:val="21"/>
                    </w:rPr>
                  </w:pPr>
                  <w:r>
                    <w:rPr>
                      <w:bCs/>
                      <w:szCs w:val="21"/>
                    </w:rPr>
                    <w:t>硝酸盐</w:t>
                  </w:r>
                  <w:r>
                    <w:rPr>
                      <w:szCs w:val="21"/>
                    </w:rPr>
                    <w:t>(mg/L)</w:t>
                  </w:r>
                </w:p>
              </w:tc>
              <w:tc>
                <w:tcPr>
                  <w:tcW w:w="1643" w:type="dxa"/>
                  <w:vAlign w:val="center"/>
                </w:tcPr>
                <w:p>
                  <w:pPr>
                    <w:jc w:val="center"/>
                    <w:rPr>
                      <w:szCs w:val="21"/>
                    </w:rPr>
                  </w:pPr>
                  <w:r>
                    <w:rPr>
                      <w:rFonts w:hint="eastAsia"/>
                      <w:szCs w:val="21"/>
                    </w:rPr>
                    <w:t>3</w:t>
                  </w:r>
                  <w:r>
                    <w:rPr>
                      <w:szCs w:val="21"/>
                    </w:rPr>
                    <w:t>.92</w:t>
                  </w:r>
                </w:p>
              </w:tc>
              <w:tc>
                <w:tcPr>
                  <w:tcW w:w="1559" w:type="dxa"/>
                  <w:vAlign w:val="center"/>
                </w:tcPr>
                <w:p>
                  <w:pPr>
                    <w:jc w:val="center"/>
                    <w:rPr>
                      <w:szCs w:val="21"/>
                    </w:rPr>
                  </w:pPr>
                  <w:r>
                    <w:rPr>
                      <w:kern w:val="0"/>
                      <w:szCs w:val="21"/>
                    </w:rPr>
                    <w:t>≤20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spacing w:line="300" w:lineRule="exact"/>
                    <w:jc w:val="center"/>
                    <w:rPr>
                      <w:bCs/>
                      <w:szCs w:val="21"/>
                    </w:rPr>
                  </w:pPr>
                </w:p>
              </w:tc>
              <w:tc>
                <w:tcPr>
                  <w:tcW w:w="2184" w:type="dxa"/>
                  <w:vAlign w:val="center"/>
                </w:tcPr>
                <w:p>
                  <w:pPr>
                    <w:spacing w:line="300" w:lineRule="exact"/>
                    <w:jc w:val="center"/>
                    <w:rPr>
                      <w:szCs w:val="21"/>
                    </w:rPr>
                  </w:pPr>
                  <w:r>
                    <w:rPr>
                      <w:bCs/>
                      <w:szCs w:val="21"/>
                    </w:rPr>
                    <w:t>氟化物</w:t>
                  </w:r>
                  <w:r>
                    <w:rPr>
                      <w:szCs w:val="21"/>
                    </w:rPr>
                    <w:t>(mg/L)</w:t>
                  </w:r>
                </w:p>
              </w:tc>
              <w:tc>
                <w:tcPr>
                  <w:tcW w:w="1643" w:type="dxa"/>
                  <w:vAlign w:val="center"/>
                </w:tcPr>
                <w:p>
                  <w:pPr>
                    <w:jc w:val="center"/>
                    <w:rPr>
                      <w:szCs w:val="21"/>
                    </w:rPr>
                  </w:pPr>
                  <w:r>
                    <w:rPr>
                      <w:rFonts w:hint="eastAsia"/>
                      <w:szCs w:val="21"/>
                    </w:rPr>
                    <w:t>0</w:t>
                  </w:r>
                  <w:r>
                    <w:rPr>
                      <w:szCs w:val="21"/>
                    </w:rPr>
                    <w:t>.043</w:t>
                  </w:r>
                </w:p>
              </w:tc>
              <w:tc>
                <w:tcPr>
                  <w:tcW w:w="1559" w:type="dxa"/>
                  <w:vAlign w:val="center"/>
                </w:tcPr>
                <w:p>
                  <w:pPr>
                    <w:jc w:val="center"/>
                    <w:rPr>
                      <w:szCs w:val="21"/>
                    </w:rPr>
                  </w:pPr>
                  <w:r>
                    <w:rPr>
                      <w:szCs w:val="21"/>
                    </w:rPr>
                    <w:t>≤1.0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氯化物</w:t>
                  </w:r>
                  <w:r>
                    <w:rPr>
                      <w:szCs w:val="21"/>
                    </w:rPr>
                    <w:t>(mg/L)</w:t>
                  </w:r>
                </w:p>
              </w:tc>
              <w:tc>
                <w:tcPr>
                  <w:tcW w:w="1643" w:type="dxa"/>
                  <w:vAlign w:val="center"/>
                </w:tcPr>
                <w:p>
                  <w:pPr>
                    <w:jc w:val="center"/>
                    <w:rPr>
                      <w:szCs w:val="21"/>
                    </w:rPr>
                  </w:pPr>
                  <w:r>
                    <w:rPr>
                      <w:rFonts w:hint="eastAsia"/>
                      <w:szCs w:val="21"/>
                    </w:rPr>
                    <w:t>2</w:t>
                  </w:r>
                  <w:r>
                    <w:rPr>
                      <w:szCs w:val="21"/>
                    </w:rPr>
                    <w:t>6.72</w:t>
                  </w:r>
                </w:p>
              </w:tc>
              <w:tc>
                <w:tcPr>
                  <w:tcW w:w="1559" w:type="dxa"/>
                  <w:vAlign w:val="center"/>
                </w:tcPr>
                <w:p>
                  <w:pPr>
                    <w:jc w:val="center"/>
                    <w:rPr>
                      <w:szCs w:val="21"/>
                    </w:rPr>
                  </w:pPr>
                  <w:r>
                    <w:rPr>
                      <w:szCs w:val="21"/>
                    </w:rPr>
                    <w:t>≤250</w:t>
                  </w:r>
                </w:p>
              </w:tc>
              <w:tc>
                <w:tcPr>
                  <w:tcW w:w="1418"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4" w:hRule="atLeast"/>
              </w:trPr>
              <w:tc>
                <w:tcPr>
                  <w:tcW w:w="1135" w:type="dxa"/>
                  <w:vMerge w:val="continue"/>
                  <w:vAlign w:val="center"/>
                </w:tcPr>
                <w:p>
                  <w:pPr>
                    <w:jc w:val="center"/>
                    <w:rPr>
                      <w:bCs/>
                      <w:szCs w:val="21"/>
                    </w:rPr>
                  </w:pPr>
                </w:p>
              </w:tc>
              <w:tc>
                <w:tcPr>
                  <w:tcW w:w="2184" w:type="dxa"/>
                  <w:vAlign w:val="center"/>
                </w:tcPr>
                <w:p>
                  <w:pPr>
                    <w:jc w:val="center"/>
                    <w:rPr>
                      <w:bCs/>
                      <w:szCs w:val="21"/>
                    </w:rPr>
                  </w:pPr>
                  <w:r>
                    <w:rPr>
                      <w:bCs/>
                      <w:szCs w:val="21"/>
                    </w:rPr>
                    <w:t>硫酸盐</w:t>
                  </w:r>
                  <w:r>
                    <w:rPr>
                      <w:szCs w:val="21"/>
                    </w:rPr>
                    <w:t>(mg/L)</w:t>
                  </w:r>
                </w:p>
              </w:tc>
              <w:tc>
                <w:tcPr>
                  <w:tcW w:w="1643" w:type="dxa"/>
                  <w:vAlign w:val="center"/>
                </w:tcPr>
                <w:p>
                  <w:pPr>
                    <w:jc w:val="center"/>
                    <w:rPr>
                      <w:szCs w:val="21"/>
                    </w:rPr>
                  </w:pPr>
                  <w:r>
                    <w:rPr>
                      <w:rFonts w:hint="eastAsia"/>
                      <w:szCs w:val="21"/>
                    </w:rPr>
                    <w:t>5</w:t>
                  </w:r>
                  <w:r>
                    <w:rPr>
                      <w:szCs w:val="21"/>
                    </w:rPr>
                    <w:t>9.48</w:t>
                  </w:r>
                </w:p>
              </w:tc>
              <w:tc>
                <w:tcPr>
                  <w:tcW w:w="1559" w:type="dxa"/>
                  <w:vAlign w:val="center"/>
                </w:tcPr>
                <w:p>
                  <w:pPr>
                    <w:jc w:val="center"/>
                    <w:rPr>
                      <w:szCs w:val="21"/>
                    </w:rPr>
                  </w:pPr>
                  <w:r>
                    <w:rPr>
                      <w:szCs w:val="21"/>
                    </w:rPr>
                    <w:t>≤250</w:t>
                  </w:r>
                </w:p>
              </w:tc>
              <w:tc>
                <w:tcPr>
                  <w:tcW w:w="1418" w:type="dxa"/>
                  <w:vAlign w:val="center"/>
                </w:tcPr>
                <w:p>
                  <w:pPr>
                    <w:jc w:val="center"/>
                    <w:rPr>
                      <w:szCs w:val="21"/>
                    </w:rPr>
                  </w:pPr>
                  <w:r>
                    <w:rPr>
                      <w:szCs w:val="21"/>
                    </w:rPr>
                    <w:t>达标</w:t>
                  </w:r>
                </w:p>
              </w:tc>
            </w:tr>
          </w:tbl>
          <w:p>
            <w:pPr>
              <w:ind w:firstLine="420" w:firstLineChars="200"/>
              <w:rPr>
                <w:szCs w:val="21"/>
              </w:rPr>
            </w:pPr>
            <w:r>
              <w:rPr>
                <w:szCs w:val="21"/>
              </w:rPr>
              <w:t>备注：“ND”表示检测数据低于方法检出限，石油类参照《地表水环境质量标准》（GB3838-2002）中Ⅲ类标准。</w:t>
            </w:r>
          </w:p>
          <w:p>
            <w:pPr>
              <w:pStyle w:val="54"/>
              <w:spacing w:line="240" w:lineRule="auto"/>
              <w:ind w:firstLine="420"/>
              <w:rPr>
                <w:color w:val="FF0000"/>
                <w:sz w:val="21"/>
                <w:szCs w:val="21"/>
              </w:rPr>
            </w:pPr>
          </w:p>
          <w:p>
            <w:pPr>
              <w:pStyle w:val="46"/>
              <w:spacing w:line="360" w:lineRule="auto"/>
              <w:ind w:firstLine="436" w:firstLineChars="200"/>
              <w:jc w:val="left"/>
              <w:rPr>
                <w:rFonts w:eastAsia="宋体"/>
                <w:spacing w:val="4"/>
                <w:kern w:val="18"/>
                <w:lang w:val="en-GB"/>
              </w:rPr>
            </w:pPr>
            <w:r>
              <w:rPr>
                <w:rFonts w:eastAsia="宋体"/>
                <w:spacing w:val="4"/>
                <w:kern w:val="18"/>
                <w:lang w:val="en-GB"/>
              </w:rPr>
              <w:t>由上表可知，本项目各监测点的</w:t>
            </w:r>
            <w:r>
              <w:rPr>
                <w:rFonts w:eastAsia="宋体"/>
                <w:bCs/>
              </w:rPr>
              <w:t>萘、苯、甲苯、乙苯、铅、二氯乙烷、总硬度、溶解性总固体、耗氧量、氨氮、亚硝酸盐、硝酸盐、铁、锰、汞、砷、镉、铬（六价）、氟化物、挥发性酚类、石油类、K</w:t>
            </w:r>
            <w:r>
              <w:rPr>
                <w:rFonts w:eastAsia="宋体"/>
                <w:bCs/>
                <w:vertAlign w:val="superscript"/>
              </w:rPr>
              <w:t>+</w:t>
            </w:r>
            <w:r>
              <w:rPr>
                <w:rFonts w:eastAsia="宋体"/>
                <w:bCs/>
              </w:rPr>
              <w:t>、Na</w:t>
            </w:r>
            <w:r>
              <w:rPr>
                <w:rFonts w:eastAsia="宋体"/>
                <w:bCs/>
                <w:vertAlign w:val="superscript"/>
              </w:rPr>
              <w:t>+</w:t>
            </w:r>
            <w:r>
              <w:rPr>
                <w:rFonts w:eastAsia="宋体"/>
                <w:bCs/>
              </w:rPr>
              <w:t>、Ca</w:t>
            </w:r>
            <w:r>
              <w:rPr>
                <w:rFonts w:eastAsia="宋体"/>
                <w:bCs/>
                <w:vertAlign w:val="superscript"/>
              </w:rPr>
              <w:t>2+</w:t>
            </w:r>
            <w:r>
              <w:rPr>
                <w:rFonts w:eastAsia="宋体"/>
                <w:bCs/>
              </w:rPr>
              <w:t>、Mg</w:t>
            </w:r>
            <w:r>
              <w:rPr>
                <w:rFonts w:eastAsia="宋体"/>
                <w:bCs/>
                <w:vertAlign w:val="superscript"/>
              </w:rPr>
              <w:t>2+</w:t>
            </w:r>
            <w:r>
              <w:rPr>
                <w:rFonts w:eastAsia="宋体"/>
                <w:bCs/>
              </w:rPr>
              <w:t>、Cl</w:t>
            </w:r>
            <w:r>
              <w:rPr>
                <w:rFonts w:eastAsia="宋体"/>
                <w:bCs/>
                <w:vertAlign w:val="superscript"/>
              </w:rPr>
              <w:t>-</w:t>
            </w:r>
            <w:r>
              <w:rPr>
                <w:rFonts w:eastAsia="宋体"/>
                <w:bCs/>
              </w:rPr>
              <w:t>、SO</w:t>
            </w:r>
            <w:r>
              <w:rPr>
                <w:rFonts w:eastAsia="宋体"/>
                <w:bCs/>
                <w:vertAlign w:val="subscript"/>
              </w:rPr>
              <w:t>4</w:t>
            </w:r>
            <w:r>
              <w:rPr>
                <w:rFonts w:eastAsia="宋体"/>
                <w:bCs/>
                <w:vertAlign w:val="superscript"/>
              </w:rPr>
              <w:t>2-</w:t>
            </w:r>
            <w:r>
              <w:rPr>
                <w:rFonts w:eastAsia="宋体"/>
              </w:rPr>
              <w:t>均</w:t>
            </w:r>
            <w:r>
              <w:rPr>
                <w:rFonts w:eastAsia="宋体"/>
                <w:spacing w:val="4"/>
                <w:kern w:val="18"/>
                <w:lang w:val="en-GB"/>
              </w:rPr>
              <w:t>达到</w:t>
            </w:r>
            <w:r>
              <w:rPr>
                <w:rFonts w:eastAsia="宋体"/>
              </w:rPr>
              <w:t>《地下水质量标准》（GB/T14848-2017）中</w:t>
            </w:r>
            <w:r>
              <w:rPr>
                <w:rFonts w:eastAsia="宋体"/>
                <w:spacing w:val="4"/>
                <w:kern w:val="18"/>
                <w:lang w:val="en-GB"/>
              </w:rPr>
              <w:t>Ⅲ类水质标准要求。</w:t>
            </w:r>
          </w:p>
          <w:p>
            <w:pPr>
              <w:spacing w:line="360" w:lineRule="auto"/>
              <w:ind w:firstLine="422" w:firstLineChars="200"/>
              <w:rPr>
                <w:b/>
                <w:szCs w:val="21"/>
              </w:rPr>
            </w:pPr>
            <w:r>
              <w:rPr>
                <w:b/>
                <w:szCs w:val="21"/>
              </w:rPr>
              <w:t>5、土壤环境</w:t>
            </w:r>
          </w:p>
          <w:p>
            <w:pPr>
              <w:pStyle w:val="46"/>
              <w:spacing w:line="360" w:lineRule="auto"/>
              <w:ind w:firstLine="420" w:firstLineChars="200"/>
              <w:jc w:val="left"/>
              <w:rPr>
                <w:rFonts w:eastAsia="宋体"/>
              </w:rPr>
            </w:pPr>
            <w:r>
              <w:rPr>
                <w:rFonts w:eastAsia="宋体"/>
                <w:kern w:val="21"/>
              </w:rP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pPr>
              <w:pStyle w:val="46"/>
              <w:spacing w:line="360" w:lineRule="auto"/>
              <w:ind w:firstLine="420" w:firstLineChars="200"/>
              <w:jc w:val="left"/>
              <w:rPr>
                <w:rFonts w:eastAsia="宋体"/>
                <w:kern w:val="21"/>
              </w:rPr>
            </w:pPr>
            <w:r>
              <w:rPr>
                <w:rFonts w:eastAsia="宋体"/>
                <w:kern w:val="21"/>
              </w:rPr>
              <w:t>本次评价于2022年4月21日对项目场内土壤环境质量现状进行了监测。</w:t>
            </w:r>
          </w:p>
          <w:p>
            <w:pPr>
              <w:spacing w:line="360" w:lineRule="auto"/>
              <w:ind w:firstLine="420" w:firstLineChars="200"/>
              <w:rPr>
                <w:szCs w:val="21"/>
              </w:rPr>
            </w:pPr>
            <w:r>
              <w:rPr>
                <w:szCs w:val="21"/>
              </w:rPr>
              <w:t>（1）监测点位及监测项目</w:t>
            </w:r>
          </w:p>
          <w:p>
            <w:pPr>
              <w:spacing w:line="360" w:lineRule="auto"/>
              <w:ind w:firstLine="420" w:firstLineChars="200"/>
              <w:rPr>
                <w:szCs w:val="21"/>
              </w:rPr>
            </w:pPr>
            <w:r>
              <w:rPr>
                <w:szCs w:val="21"/>
              </w:rPr>
              <w:t>监测点位及监测项目具体见表3-6。</w:t>
            </w:r>
          </w:p>
          <w:p>
            <w:pPr>
              <w:spacing w:line="276" w:lineRule="auto"/>
              <w:ind w:firstLine="422" w:firstLineChars="200"/>
              <w:jc w:val="center"/>
              <w:rPr>
                <w:b/>
                <w:szCs w:val="21"/>
              </w:rPr>
            </w:pPr>
            <w:r>
              <w:rPr>
                <w:b/>
                <w:szCs w:val="21"/>
              </w:rPr>
              <w:t>表3-6  本项目土壤监测项目</w:t>
            </w:r>
          </w:p>
          <w:tbl>
            <w:tblPr>
              <w:tblStyle w:val="21"/>
              <w:tblpPr w:leftFromText="180" w:rightFromText="180" w:vertAnchor="text" w:horzAnchor="page" w:tblpXSpec="center" w:tblpY="11"/>
              <w:tblOverlap w:val="never"/>
              <w:tblW w:w="79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9"/>
              <w:gridCol w:w="1276"/>
              <w:gridCol w:w="5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1119" w:type="dxa"/>
                  <w:vAlign w:val="center"/>
                </w:tcPr>
                <w:p>
                  <w:pPr>
                    <w:jc w:val="center"/>
                    <w:rPr>
                      <w:szCs w:val="21"/>
                    </w:rPr>
                  </w:pPr>
                  <w:r>
                    <w:rPr>
                      <w:szCs w:val="21"/>
                    </w:rPr>
                    <w:t>监测点位</w:t>
                  </w:r>
                </w:p>
              </w:tc>
              <w:tc>
                <w:tcPr>
                  <w:tcW w:w="1276" w:type="dxa"/>
                  <w:vAlign w:val="center"/>
                </w:tcPr>
                <w:p>
                  <w:pPr>
                    <w:jc w:val="center"/>
                    <w:rPr>
                      <w:szCs w:val="21"/>
                    </w:rPr>
                  </w:pPr>
                  <w:r>
                    <w:rPr>
                      <w:szCs w:val="21"/>
                    </w:rPr>
                    <w:t>具体位置</w:t>
                  </w:r>
                </w:p>
              </w:tc>
              <w:tc>
                <w:tcPr>
                  <w:tcW w:w="5513" w:type="dxa"/>
                  <w:vAlign w:val="center"/>
                </w:tcPr>
                <w:p>
                  <w:pPr>
                    <w:jc w:val="center"/>
                    <w:rPr>
                      <w:szCs w:val="21"/>
                    </w:rPr>
                  </w:pPr>
                  <w:r>
                    <w:rPr>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119" w:type="dxa"/>
                  <w:vAlign w:val="center"/>
                </w:tcPr>
                <w:p>
                  <w:pPr>
                    <w:jc w:val="center"/>
                  </w:pPr>
                  <w:r>
                    <w:t>S1</w:t>
                  </w:r>
                </w:p>
              </w:tc>
              <w:tc>
                <w:tcPr>
                  <w:tcW w:w="1276" w:type="dxa"/>
                  <w:vAlign w:val="center"/>
                </w:tcPr>
                <w:p>
                  <w:pPr>
                    <w:jc w:val="center"/>
                  </w:pPr>
                  <w:r>
                    <w:t>厂址范围内（油罐区）</w:t>
                  </w:r>
                </w:p>
              </w:tc>
              <w:tc>
                <w:tcPr>
                  <w:tcW w:w="5513" w:type="dxa"/>
                  <w:vAlign w:val="center"/>
                </w:tcPr>
                <w:p>
                  <w:pPr>
                    <w:jc w:val="left"/>
                    <w:rPr>
                      <w:szCs w:val="21"/>
                    </w:rPr>
                  </w:pPr>
                  <w:r>
                    <w:rPr>
                      <w:szCs w:val="21"/>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w:t>
                  </w:r>
                </w:p>
              </w:tc>
            </w:tr>
          </w:tbl>
          <w:p>
            <w:pPr>
              <w:pStyle w:val="54"/>
              <w:spacing w:line="240" w:lineRule="auto"/>
              <w:ind w:firstLine="420"/>
              <w:rPr>
                <w:sz w:val="21"/>
                <w:szCs w:val="21"/>
              </w:rPr>
            </w:pPr>
          </w:p>
          <w:p>
            <w:pPr>
              <w:spacing w:line="360" w:lineRule="auto"/>
              <w:ind w:firstLine="420" w:firstLineChars="200"/>
              <w:rPr>
                <w:szCs w:val="21"/>
              </w:rPr>
            </w:pPr>
            <w:r>
              <w:rPr>
                <w:szCs w:val="21"/>
              </w:rPr>
              <w:t>（2）监测时间和频率</w:t>
            </w:r>
          </w:p>
          <w:p>
            <w:pPr>
              <w:spacing w:line="360" w:lineRule="auto"/>
              <w:ind w:firstLine="420" w:firstLineChars="200"/>
              <w:rPr>
                <w:szCs w:val="21"/>
              </w:rPr>
            </w:pPr>
            <w:r>
              <w:rPr>
                <w:szCs w:val="21"/>
              </w:rPr>
              <w:t>2022年4月21日，监测 1 天，采样 1 次。</w:t>
            </w:r>
          </w:p>
          <w:p>
            <w:pPr>
              <w:spacing w:line="360" w:lineRule="auto"/>
              <w:ind w:firstLine="420" w:firstLineChars="200"/>
              <w:rPr>
                <w:szCs w:val="21"/>
              </w:rPr>
            </w:pPr>
            <w:r>
              <w:rPr>
                <w:szCs w:val="21"/>
              </w:rPr>
              <w:t>（3）监测方法</w:t>
            </w:r>
          </w:p>
          <w:p>
            <w:pPr>
              <w:spacing w:line="360" w:lineRule="auto"/>
              <w:ind w:firstLine="420" w:firstLineChars="200"/>
              <w:rPr>
                <w:szCs w:val="21"/>
              </w:rPr>
            </w:pPr>
            <w:r>
              <w:rPr>
                <w:szCs w:val="21"/>
              </w:rPr>
              <w:t>监测方法和仪器详见监测报告。</w:t>
            </w:r>
          </w:p>
          <w:p>
            <w:pPr>
              <w:spacing w:line="360" w:lineRule="auto"/>
              <w:ind w:firstLine="420" w:firstLineChars="200"/>
              <w:rPr>
                <w:szCs w:val="21"/>
              </w:rPr>
            </w:pPr>
            <w:r>
              <w:rPr>
                <w:szCs w:val="21"/>
              </w:rPr>
              <w:t>（4）监测与评价结果</w:t>
            </w:r>
          </w:p>
          <w:p>
            <w:pPr>
              <w:spacing w:line="360" w:lineRule="auto"/>
              <w:ind w:firstLine="420" w:firstLineChars="200"/>
              <w:rPr>
                <w:szCs w:val="21"/>
              </w:rPr>
            </w:pPr>
            <w:r>
              <w:rPr>
                <w:szCs w:val="21"/>
              </w:rPr>
              <w:t>土壤现状监测结果见表3-7。</w:t>
            </w:r>
          </w:p>
          <w:p>
            <w:pPr>
              <w:spacing w:line="276" w:lineRule="auto"/>
              <w:ind w:firstLine="422" w:firstLineChars="200"/>
              <w:jc w:val="center"/>
              <w:rPr>
                <w:b/>
                <w:szCs w:val="21"/>
              </w:rPr>
            </w:pPr>
            <w:r>
              <w:rPr>
                <w:b/>
                <w:szCs w:val="21"/>
              </w:rPr>
              <w:t>表3-7  土壤现状监测结果值  单位：mg/kg</w:t>
            </w:r>
          </w:p>
          <w:tbl>
            <w:tblPr>
              <w:tblStyle w:val="21"/>
              <w:tblW w:w="793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60"/>
              <w:gridCol w:w="2693"/>
              <w:gridCol w:w="1275"/>
              <w:gridCol w:w="1276"/>
              <w:gridCol w:w="113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Align w:val="center"/>
                </w:tcPr>
                <w:p>
                  <w:pPr>
                    <w:jc w:val="center"/>
                    <w:rPr>
                      <w:szCs w:val="21"/>
                    </w:rPr>
                  </w:pPr>
                  <w:r>
                    <w:rPr>
                      <w:szCs w:val="21"/>
                    </w:rPr>
                    <w:t>监测点位</w:t>
                  </w:r>
                </w:p>
              </w:tc>
              <w:tc>
                <w:tcPr>
                  <w:tcW w:w="2693" w:type="dxa"/>
                  <w:vAlign w:val="center"/>
                </w:tcPr>
                <w:p>
                  <w:pPr>
                    <w:jc w:val="center"/>
                    <w:rPr>
                      <w:szCs w:val="21"/>
                    </w:rPr>
                  </w:pPr>
                  <w:r>
                    <w:rPr>
                      <w:szCs w:val="21"/>
                    </w:rPr>
                    <w:t>监测项目</w:t>
                  </w:r>
                </w:p>
              </w:tc>
              <w:tc>
                <w:tcPr>
                  <w:tcW w:w="1275" w:type="dxa"/>
                  <w:vAlign w:val="center"/>
                </w:tcPr>
                <w:p>
                  <w:pPr>
                    <w:jc w:val="center"/>
                    <w:rPr>
                      <w:szCs w:val="21"/>
                    </w:rPr>
                  </w:pPr>
                  <w:r>
                    <w:rPr>
                      <w:szCs w:val="21"/>
                    </w:rPr>
                    <w:t>监测结果</w:t>
                  </w:r>
                </w:p>
              </w:tc>
              <w:tc>
                <w:tcPr>
                  <w:tcW w:w="1276" w:type="dxa"/>
                  <w:vAlign w:val="center"/>
                </w:tcPr>
                <w:p>
                  <w:pPr>
                    <w:jc w:val="center"/>
                    <w:rPr>
                      <w:szCs w:val="21"/>
                    </w:rPr>
                  </w:pPr>
                  <w:r>
                    <w:rPr>
                      <w:szCs w:val="21"/>
                    </w:rPr>
                    <w:t>筛选值</w:t>
                  </w:r>
                </w:p>
              </w:tc>
              <w:tc>
                <w:tcPr>
                  <w:tcW w:w="1135" w:type="dxa"/>
                  <w:vAlign w:val="center"/>
                </w:tcPr>
                <w:p>
                  <w:pPr>
                    <w:jc w:val="center"/>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restart"/>
                  <w:vAlign w:val="center"/>
                </w:tcPr>
                <w:p>
                  <w:pPr>
                    <w:jc w:val="center"/>
                    <w:rPr>
                      <w:szCs w:val="21"/>
                    </w:rPr>
                  </w:pPr>
                  <w:r>
                    <w:rPr>
                      <w:szCs w:val="21"/>
                    </w:rPr>
                    <w:t>S1</w:t>
                  </w:r>
                </w:p>
              </w:tc>
              <w:tc>
                <w:tcPr>
                  <w:tcW w:w="2693" w:type="dxa"/>
                  <w:vAlign w:val="center"/>
                </w:tcPr>
                <w:p>
                  <w:pPr>
                    <w:jc w:val="center"/>
                    <w:rPr>
                      <w:szCs w:val="21"/>
                    </w:rPr>
                  </w:pPr>
                  <w:r>
                    <w:rPr>
                      <w:szCs w:val="21"/>
                    </w:rPr>
                    <w:t>四氯化碳（mg/kg）</w:t>
                  </w:r>
                </w:p>
              </w:tc>
              <w:tc>
                <w:tcPr>
                  <w:tcW w:w="1275" w:type="dxa"/>
                  <w:vAlign w:val="center"/>
                </w:tcPr>
                <w:p>
                  <w:pPr>
                    <w:jc w:val="center"/>
                    <w:rPr>
                      <w:szCs w:val="21"/>
                    </w:rPr>
                  </w:pPr>
                  <w:r>
                    <w:rPr>
                      <w:szCs w:val="21"/>
                    </w:rPr>
                    <w:t>ND</w:t>
                  </w:r>
                </w:p>
              </w:tc>
              <w:tc>
                <w:tcPr>
                  <w:tcW w:w="1276" w:type="dxa"/>
                  <w:vAlign w:val="center"/>
                </w:tcPr>
                <w:p>
                  <w:pPr>
                    <w:jc w:val="center"/>
                    <w:rPr>
                      <w:szCs w:val="21"/>
                    </w:rPr>
                  </w:pPr>
                  <w:r>
                    <w:rPr>
                      <w:szCs w:val="21"/>
                    </w:rPr>
                    <w:t>2.8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氯仿（mg/kg）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0.9</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pPr>
                </w:p>
              </w:tc>
              <w:tc>
                <w:tcPr>
                  <w:tcW w:w="2693" w:type="dxa"/>
                  <w:vAlign w:val="center"/>
                </w:tcPr>
                <w:p>
                  <w:pPr>
                    <w:jc w:val="center"/>
                  </w:pPr>
                  <w:r>
                    <w:t>氯甲烷（mg/kg）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37</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1，1-二氯乙烷（ug/kg）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9</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1，2-二氯乙烷（ug/kg）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1,1-二氯乙烯（ug/kg）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66</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顺1,2-二氯乙烯（ug/kg）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596</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反1,2-二氯乙烯（ug/kg）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54</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二氯甲烷（ug/kg）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616</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1，2-二氯丙烷（ug/kg）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1,1,1,2-四氯乙烷（ug/kg）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1,1,2,2-四氯乙烷（ug/kg）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6.8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四氯乙烯（ug/kg）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53</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1,1,1-三氯乙烷（ug/kg）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840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1,1,2-三氯乙烷（ug/kg）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三氯乙烯（ug/kg）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1,2,3-三氯丙烷（ug/kg）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0.5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0.43</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4</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氯苯（ug/kg）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270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1，2-二氯苯（ug/kg）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560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1，4-二氯苯（ug/kg）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乙苯（ug/kg）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苯乙烯（ug/kg）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1290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甲苯（ug/kg）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1200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邻二甲苯（ug/kg）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570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间二甲苯（ug/kg）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570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对二甲苯（ug/kg）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640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苯胺（mg/kg）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260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萘（mg/kg）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70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苯并[a]蒽（mg/kg）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䓛（mg/kg）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1293</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苯并[b]荧蒽（mg/kg）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苯并[k]荧蒽（mg/kg）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151</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苯并[a]芘（mg/kg）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茚并[1,2,3-cd]芘（mg/kg）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二苯并[a,h]蒽（mg/kg）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1.5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硝基苯（mg/kg）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76</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2-氯酚（mg/kg）</w:t>
                  </w:r>
                </w:p>
              </w:tc>
              <w:tc>
                <w:tcPr>
                  <w:tcW w:w="1275" w:type="dxa"/>
                </w:tcPr>
                <w:p>
                  <w:pPr>
                    <w:jc w:val="center"/>
                    <w:rPr>
                      <w:szCs w:val="21"/>
                    </w:rPr>
                  </w:pPr>
                  <w:r>
                    <w:rPr>
                      <w:szCs w:val="21"/>
                    </w:rPr>
                    <w:t>ND</w:t>
                  </w:r>
                </w:p>
              </w:tc>
              <w:tc>
                <w:tcPr>
                  <w:tcW w:w="1276" w:type="dxa"/>
                  <w:vAlign w:val="center"/>
                </w:tcPr>
                <w:p>
                  <w:pPr>
                    <w:jc w:val="center"/>
                    <w:rPr>
                      <w:szCs w:val="21"/>
                    </w:rPr>
                  </w:pPr>
                  <w:r>
                    <w:rPr>
                      <w:szCs w:val="21"/>
                    </w:rPr>
                    <w:t>2256</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汞（mg/kg）</w:t>
                  </w:r>
                </w:p>
              </w:tc>
              <w:tc>
                <w:tcPr>
                  <w:tcW w:w="1275" w:type="dxa"/>
                  <w:vAlign w:val="center"/>
                </w:tcPr>
                <w:p>
                  <w:pPr>
                    <w:jc w:val="center"/>
                    <w:rPr>
                      <w:szCs w:val="21"/>
                    </w:rPr>
                  </w:pPr>
                  <w:r>
                    <w:rPr>
                      <w:rFonts w:hint="eastAsia"/>
                      <w:szCs w:val="21"/>
                    </w:rPr>
                    <w:t>0</w:t>
                  </w:r>
                  <w:r>
                    <w:rPr>
                      <w:szCs w:val="21"/>
                    </w:rPr>
                    <w:t>.036</w:t>
                  </w:r>
                </w:p>
              </w:tc>
              <w:tc>
                <w:tcPr>
                  <w:tcW w:w="1276" w:type="dxa"/>
                  <w:vAlign w:val="center"/>
                </w:tcPr>
                <w:p>
                  <w:pPr>
                    <w:jc w:val="center"/>
                    <w:rPr>
                      <w:szCs w:val="21"/>
                    </w:rPr>
                  </w:pPr>
                  <w:r>
                    <w:rPr>
                      <w:szCs w:val="21"/>
                    </w:rPr>
                    <w:t>38</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砷（mg/kg）</w:t>
                  </w:r>
                </w:p>
              </w:tc>
              <w:tc>
                <w:tcPr>
                  <w:tcW w:w="1275" w:type="dxa"/>
                  <w:vAlign w:val="center"/>
                </w:tcPr>
                <w:p>
                  <w:pPr>
                    <w:jc w:val="center"/>
                    <w:rPr>
                      <w:szCs w:val="21"/>
                    </w:rPr>
                  </w:pPr>
                  <w:r>
                    <w:rPr>
                      <w:rFonts w:hint="eastAsia"/>
                      <w:szCs w:val="21"/>
                    </w:rPr>
                    <w:t>8</w:t>
                  </w:r>
                  <w:r>
                    <w:rPr>
                      <w:szCs w:val="21"/>
                    </w:rPr>
                    <w:t>.29</w:t>
                  </w:r>
                </w:p>
              </w:tc>
              <w:tc>
                <w:tcPr>
                  <w:tcW w:w="1276" w:type="dxa"/>
                  <w:vAlign w:val="center"/>
                </w:tcPr>
                <w:p>
                  <w:pPr>
                    <w:jc w:val="center"/>
                    <w:rPr>
                      <w:szCs w:val="21"/>
                    </w:rPr>
                  </w:pPr>
                  <w:r>
                    <w:rPr>
                      <w:szCs w:val="21"/>
                    </w:rPr>
                    <w:t>60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铅（mg/kg）</w:t>
                  </w:r>
                </w:p>
              </w:tc>
              <w:tc>
                <w:tcPr>
                  <w:tcW w:w="1275" w:type="dxa"/>
                  <w:vAlign w:val="center"/>
                </w:tcPr>
                <w:p>
                  <w:pPr>
                    <w:jc w:val="center"/>
                    <w:rPr>
                      <w:szCs w:val="21"/>
                    </w:rPr>
                  </w:pPr>
                  <w:r>
                    <w:rPr>
                      <w:rFonts w:hint="eastAsia"/>
                      <w:szCs w:val="21"/>
                    </w:rPr>
                    <w:t>5</w:t>
                  </w:r>
                  <w:r>
                    <w:rPr>
                      <w:szCs w:val="21"/>
                    </w:rPr>
                    <w:t>7.2</w:t>
                  </w:r>
                </w:p>
              </w:tc>
              <w:tc>
                <w:tcPr>
                  <w:tcW w:w="1276" w:type="dxa"/>
                  <w:vAlign w:val="center"/>
                </w:tcPr>
                <w:p>
                  <w:pPr>
                    <w:jc w:val="center"/>
                    <w:rPr>
                      <w:szCs w:val="21"/>
                    </w:rPr>
                  </w:pPr>
                  <w:r>
                    <w:rPr>
                      <w:szCs w:val="21"/>
                    </w:rPr>
                    <w:t>800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镉（mg/kg）</w:t>
                  </w:r>
                </w:p>
              </w:tc>
              <w:tc>
                <w:tcPr>
                  <w:tcW w:w="1275" w:type="dxa"/>
                  <w:vAlign w:val="center"/>
                </w:tcPr>
                <w:p>
                  <w:pPr>
                    <w:jc w:val="center"/>
                    <w:rPr>
                      <w:szCs w:val="21"/>
                    </w:rPr>
                  </w:pPr>
                  <w:r>
                    <w:rPr>
                      <w:szCs w:val="21"/>
                    </w:rPr>
                    <w:t>0.05</w:t>
                  </w:r>
                </w:p>
              </w:tc>
              <w:tc>
                <w:tcPr>
                  <w:tcW w:w="1276" w:type="dxa"/>
                  <w:vAlign w:val="center"/>
                </w:tcPr>
                <w:p>
                  <w:pPr>
                    <w:jc w:val="center"/>
                    <w:rPr>
                      <w:szCs w:val="21"/>
                    </w:rPr>
                  </w:pPr>
                  <w:r>
                    <w:rPr>
                      <w:szCs w:val="21"/>
                    </w:rPr>
                    <w:t>65</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铜（mg/kg）</w:t>
                  </w:r>
                </w:p>
              </w:tc>
              <w:tc>
                <w:tcPr>
                  <w:tcW w:w="1275" w:type="dxa"/>
                  <w:vAlign w:val="center"/>
                </w:tcPr>
                <w:p>
                  <w:pPr>
                    <w:jc w:val="center"/>
                    <w:rPr>
                      <w:szCs w:val="21"/>
                    </w:rPr>
                  </w:pPr>
                  <w:r>
                    <w:rPr>
                      <w:rFonts w:hint="eastAsia"/>
                      <w:szCs w:val="21"/>
                    </w:rPr>
                    <w:t>4</w:t>
                  </w:r>
                  <w:r>
                    <w:rPr>
                      <w:szCs w:val="21"/>
                    </w:rPr>
                    <w:t>.4</w:t>
                  </w:r>
                </w:p>
              </w:tc>
              <w:tc>
                <w:tcPr>
                  <w:tcW w:w="1276" w:type="dxa"/>
                  <w:vAlign w:val="center"/>
                </w:tcPr>
                <w:p>
                  <w:pPr>
                    <w:jc w:val="center"/>
                    <w:rPr>
                      <w:szCs w:val="21"/>
                    </w:rPr>
                  </w:pPr>
                  <w:r>
                    <w:rPr>
                      <w:szCs w:val="21"/>
                    </w:rPr>
                    <w:t>18000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镍（mg/kg）</w:t>
                  </w:r>
                </w:p>
              </w:tc>
              <w:tc>
                <w:tcPr>
                  <w:tcW w:w="1275" w:type="dxa"/>
                  <w:vAlign w:val="center"/>
                </w:tcPr>
                <w:p>
                  <w:pPr>
                    <w:jc w:val="center"/>
                    <w:rPr>
                      <w:szCs w:val="21"/>
                    </w:rPr>
                  </w:pPr>
                  <w:r>
                    <w:rPr>
                      <w:rFonts w:hint="eastAsia"/>
                      <w:szCs w:val="21"/>
                    </w:rPr>
                    <w:t>1</w:t>
                  </w:r>
                  <w:r>
                    <w:rPr>
                      <w:szCs w:val="21"/>
                    </w:rPr>
                    <w:t>3.0</w:t>
                  </w:r>
                </w:p>
              </w:tc>
              <w:tc>
                <w:tcPr>
                  <w:tcW w:w="1276" w:type="dxa"/>
                  <w:vAlign w:val="center"/>
                </w:tcPr>
                <w:p>
                  <w:pPr>
                    <w:jc w:val="center"/>
                    <w:rPr>
                      <w:szCs w:val="21"/>
                    </w:rPr>
                  </w:pPr>
                  <w:r>
                    <w:rPr>
                      <w:szCs w:val="21"/>
                    </w:rPr>
                    <w:t>900</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六价铬（mg/kg）</w:t>
                  </w:r>
                </w:p>
              </w:tc>
              <w:tc>
                <w:tcPr>
                  <w:tcW w:w="1275" w:type="dxa"/>
                  <w:vAlign w:val="center"/>
                </w:tcPr>
                <w:p>
                  <w:pPr>
                    <w:jc w:val="center"/>
                    <w:rPr>
                      <w:szCs w:val="21"/>
                    </w:rPr>
                  </w:pPr>
                  <w:r>
                    <w:rPr>
                      <w:rFonts w:hint="eastAsia"/>
                      <w:szCs w:val="21"/>
                    </w:rPr>
                    <w:t>N</w:t>
                  </w:r>
                  <w:r>
                    <w:rPr>
                      <w:szCs w:val="21"/>
                    </w:rPr>
                    <w:t>D</w:t>
                  </w:r>
                </w:p>
              </w:tc>
              <w:tc>
                <w:tcPr>
                  <w:tcW w:w="1276" w:type="dxa"/>
                  <w:vAlign w:val="center"/>
                </w:tcPr>
                <w:p>
                  <w:pPr>
                    <w:jc w:val="center"/>
                    <w:rPr>
                      <w:szCs w:val="21"/>
                    </w:rPr>
                  </w:pPr>
                  <w:r>
                    <w:rPr>
                      <w:szCs w:val="21"/>
                    </w:rPr>
                    <w:t>5.7</w:t>
                  </w:r>
                </w:p>
              </w:tc>
              <w:tc>
                <w:tcPr>
                  <w:tcW w:w="1135"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60" w:type="dxa"/>
                  <w:vMerge w:val="continue"/>
                  <w:vAlign w:val="center"/>
                </w:tcPr>
                <w:p>
                  <w:pPr>
                    <w:jc w:val="center"/>
                    <w:rPr>
                      <w:szCs w:val="21"/>
                    </w:rPr>
                  </w:pPr>
                </w:p>
              </w:tc>
              <w:tc>
                <w:tcPr>
                  <w:tcW w:w="2693" w:type="dxa"/>
                  <w:vAlign w:val="center"/>
                </w:tcPr>
                <w:p>
                  <w:pPr>
                    <w:jc w:val="center"/>
                    <w:rPr>
                      <w:szCs w:val="21"/>
                    </w:rPr>
                  </w:pPr>
                  <w:r>
                    <w:rPr>
                      <w:szCs w:val="21"/>
                    </w:rPr>
                    <w:t>石油烃（mg/kg）</w:t>
                  </w:r>
                </w:p>
              </w:tc>
              <w:tc>
                <w:tcPr>
                  <w:tcW w:w="1275" w:type="dxa"/>
                  <w:vAlign w:val="center"/>
                </w:tcPr>
                <w:p>
                  <w:pPr>
                    <w:jc w:val="center"/>
                    <w:rPr>
                      <w:szCs w:val="21"/>
                    </w:rPr>
                  </w:pPr>
                  <w:r>
                    <w:rPr>
                      <w:rFonts w:hint="eastAsia"/>
                      <w:szCs w:val="21"/>
                    </w:rPr>
                    <w:t>1</w:t>
                  </w:r>
                  <w:r>
                    <w:rPr>
                      <w:szCs w:val="21"/>
                    </w:rPr>
                    <w:t>8</w:t>
                  </w:r>
                </w:p>
              </w:tc>
              <w:tc>
                <w:tcPr>
                  <w:tcW w:w="1276" w:type="dxa"/>
                  <w:vAlign w:val="center"/>
                </w:tcPr>
                <w:p>
                  <w:pPr>
                    <w:jc w:val="center"/>
                    <w:rPr>
                      <w:szCs w:val="21"/>
                    </w:rPr>
                  </w:pPr>
                  <w:r>
                    <w:rPr>
                      <w:szCs w:val="21"/>
                    </w:rPr>
                    <w:t>4500</w:t>
                  </w:r>
                </w:p>
              </w:tc>
              <w:tc>
                <w:tcPr>
                  <w:tcW w:w="1135" w:type="dxa"/>
                  <w:vAlign w:val="center"/>
                </w:tcPr>
                <w:p>
                  <w:pPr>
                    <w:jc w:val="center"/>
                    <w:rPr>
                      <w:szCs w:val="21"/>
                    </w:rPr>
                  </w:pPr>
                  <w:r>
                    <w:rPr>
                      <w:szCs w:val="21"/>
                    </w:rPr>
                    <w:t>达标</w:t>
                  </w:r>
                </w:p>
              </w:tc>
            </w:tr>
          </w:tbl>
          <w:p>
            <w:pPr>
              <w:adjustRightInd w:val="0"/>
              <w:snapToGrid w:val="0"/>
              <w:spacing w:line="360" w:lineRule="auto"/>
              <w:ind w:firstLine="420" w:firstLineChars="200"/>
              <w:jc w:val="left"/>
              <w:rPr>
                <w:szCs w:val="21"/>
              </w:rPr>
            </w:pPr>
            <w:r>
              <w:rPr>
                <w:szCs w:val="21"/>
              </w:rPr>
              <w:t>监测结果表明，本项目土壤不涉及盐化、酸化、碱化。本项目所在区域土壤环境现状能够满足《建设用地土壤污染风险管控标准（试行）》（DB36 1282-2020）表1第二类用地风险筛选值要求。</w:t>
            </w:r>
          </w:p>
          <w:p>
            <w:pPr>
              <w:adjustRightInd w:val="0"/>
              <w:snapToGrid w:val="0"/>
              <w:spacing w:line="360" w:lineRule="auto"/>
              <w:ind w:firstLine="420" w:firstLineChars="200"/>
              <w:jc w:val="left"/>
              <w:rPr>
                <w:color w:val="FF0000"/>
                <w:kern w:val="0"/>
                <w:szCs w:val="21"/>
              </w:rPr>
            </w:pPr>
          </w:p>
          <w:p>
            <w:pPr>
              <w:adjustRightInd w:val="0"/>
              <w:snapToGrid w:val="0"/>
              <w:spacing w:line="360" w:lineRule="auto"/>
              <w:ind w:firstLine="420" w:firstLineChars="200"/>
              <w:jc w:val="left"/>
              <w:rPr>
                <w:color w:val="FF0000"/>
                <w:kern w:val="0"/>
                <w:szCs w:val="21"/>
              </w:rPr>
            </w:pPr>
          </w:p>
          <w:p>
            <w:pPr>
              <w:adjustRightInd w:val="0"/>
              <w:snapToGrid w:val="0"/>
              <w:spacing w:line="360" w:lineRule="auto"/>
              <w:ind w:firstLine="420" w:firstLineChars="200"/>
              <w:jc w:val="left"/>
              <w:rPr>
                <w:color w:val="FF0000"/>
                <w:kern w:val="0"/>
                <w:szCs w:val="21"/>
              </w:rPr>
            </w:pPr>
          </w:p>
          <w:p>
            <w:pPr>
              <w:adjustRightInd w:val="0"/>
              <w:snapToGrid w:val="0"/>
              <w:spacing w:line="360" w:lineRule="auto"/>
              <w:ind w:firstLine="420" w:firstLineChars="200"/>
              <w:jc w:val="left"/>
              <w:rPr>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6" w:hRule="atLeast"/>
          <w:jc w:val="center"/>
        </w:trPr>
        <w:tc>
          <w:tcPr>
            <w:tcW w:w="800"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90" w:type="dxa"/>
            <w:vAlign w:val="center"/>
          </w:tcPr>
          <w:p>
            <w:pPr>
              <w:pStyle w:val="57"/>
              <w:spacing w:line="360" w:lineRule="auto"/>
              <w:ind w:firstLine="420" w:firstLineChars="200"/>
              <w:rPr>
                <w:rFonts w:ascii="Times New Roman" w:cs="Times New Roman"/>
                <w:color w:val="auto"/>
                <w:sz w:val="21"/>
                <w:szCs w:val="21"/>
              </w:rPr>
            </w:pPr>
            <w:r>
              <w:rPr>
                <w:rFonts w:ascii="Times New Roman" w:cs="Times New Roman"/>
                <w:color w:val="auto"/>
                <w:sz w:val="21"/>
                <w:szCs w:val="21"/>
              </w:rPr>
              <w:t>（</w:t>
            </w:r>
            <w:r>
              <w:rPr>
                <w:rFonts w:ascii="Times New Roman" w:cs="Times New Roman"/>
                <w:b/>
                <w:bCs/>
                <w:color w:val="auto"/>
                <w:sz w:val="21"/>
                <w:szCs w:val="21"/>
              </w:rPr>
              <w:t>1</w:t>
            </w:r>
            <w:r>
              <w:rPr>
                <w:rFonts w:ascii="Times New Roman" w:cs="Times New Roman"/>
                <w:color w:val="auto"/>
                <w:sz w:val="21"/>
                <w:szCs w:val="21"/>
              </w:rPr>
              <w:t xml:space="preserve">）大气环境 </w:t>
            </w:r>
          </w:p>
          <w:p>
            <w:pPr>
              <w:pStyle w:val="57"/>
              <w:spacing w:line="360" w:lineRule="auto"/>
              <w:ind w:firstLine="420" w:firstLineChars="200"/>
              <w:rPr>
                <w:rFonts w:ascii="Times New Roman" w:cs="Times New Roman"/>
                <w:color w:val="auto"/>
                <w:sz w:val="21"/>
                <w:szCs w:val="21"/>
              </w:rPr>
            </w:pPr>
            <w:r>
              <w:rPr>
                <w:rFonts w:ascii="Times New Roman" w:cs="Times New Roman"/>
                <w:color w:val="auto"/>
                <w:sz w:val="21"/>
                <w:szCs w:val="21"/>
              </w:rPr>
              <w:t>本项目厂界外500米范围内无自然保护区、风景名胜区、幼儿园等环境保护目标，项目周边主要环境保护目标见表3-8。</w:t>
            </w:r>
          </w:p>
          <w:p>
            <w:pPr>
              <w:pStyle w:val="60"/>
              <w:spacing w:line="276" w:lineRule="auto"/>
              <w:rPr>
                <w:rFonts w:ascii="Times New Roman"/>
                <w:b/>
                <w:bCs/>
                <w:sz w:val="21"/>
                <w:szCs w:val="21"/>
              </w:rPr>
            </w:pPr>
            <w:r>
              <w:rPr>
                <w:rFonts w:ascii="Times New Roman"/>
                <w:b/>
                <w:bCs/>
                <w:sz w:val="21"/>
                <w:szCs w:val="21"/>
              </w:rPr>
              <w:t xml:space="preserve">表3-8  </w:t>
            </w:r>
            <w:r>
              <w:rPr>
                <w:rFonts w:ascii="Times New Roman"/>
                <w:b/>
                <w:bCs/>
                <w:sz w:val="21"/>
                <w:szCs w:val="21"/>
                <w:shd w:val="clear" w:color="auto" w:fill="FFFFFF"/>
              </w:rPr>
              <w:t>大气环境保护目标一览表</w:t>
            </w:r>
          </w:p>
          <w:tbl>
            <w:tblPr>
              <w:tblStyle w:val="21"/>
              <w:tblW w:w="7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24"/>
              <w:gridCol w:w="1363"/>
              <w:gridCol w:w="537"/>
              <w:gridCol w:w="547"/>
              <w:gridCol w:w="880"/>
              <w:gridCol w:w="542"/>
              <w:gridCol w:w="1050"/>
              <w:gridCol w:w="818"/>
              <w:gridCol w:w="16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24" w:type="dxa"/>
                  <w:vMerge w:val="restart"/>
                  <w:vAlign w:val="center"/>
                </w:tcPr>
                <w:p>
                  <w:pPr>
                    <w:pStyle w:val="61"/>
                    <w:adjustRightInd w:val="0"/>
                    <w:rPr>
                      <w:sz w:val="21"/>
                      <w:szCs w:val="21"/>
                    </w:rPr>
                  </w:pPr>
                  <w:r>
                    <w:rPr>
                      <w:sz w:val="21"/>
                      <w:szCs w:val="21"/>
                    </w:rPr>
                    <w:t>环境要素</w:t>
                  </w:r>
                </w:p>
              </w:tc>
              <w:tc>
                <w:tcPr>
                  <w:tcW w:w="1363" w:type="dxa"/>
                  <w:vMerge w:val="restart"/>
                  <w:vAlign w:val="center"/>
                </w:tcPr>
                <w:p>
                  <w:pPr>
                    <w:pStyle w:val="61"/>
                    <w:adjustRightInd w:val="0"/>
                    <w:rPr>
                      <w:sz w:val="21"/>
                      <w:szCs w:val="21"/>
                    </w:rPr>
                  </w:pPr>
                  <w:r>
                    <w:rPr>
                      <w:sz w:val="21"/>
                      <w:szCs w:val="21"/>
                    </w:rPr>
                    <w:t>名称</w:t>
                  </w:r>
                </w:p>
              </w:tc>
              <w:tc>
                <w:tcPr>
                  <w:tcW w:w="1084" w:type="dxa"/>
                  <w:gridSpan w:val="2"/>
                  <w:vAlign w:val="center"/>
                </w:tcPr>
                <w:p>
                  <w:pPr>
                    <w:pStyle w:val="61"/>
                    <w:wordWrap w:val="0"/>
                    <w:adjustRightInd w:val="0"/>
                    <w:rPr>
                      <w:sz w:val="21"/>
                      <w:szCs w:val="21"/>
                    </w:rPr>
                  </w:pPr>
                  <w:r>
                    <w:rPr>
                      <w:sz w:val="21"/>
                      <w:szCs w:val="21"/>
                    </w:rPr>
                    <w:t>相对坐标/m</w:t>
                  </w:r>
                </w:p>
              </w:tc>
              <w:tc>
                <w:tcPr>
                  <w:tcW w:w="880" w:type="dxa"/>
                  <w:vMerge w:val="restart"/>
                  <w:vAlign w:val="center"/>
                </w:tcPr>
                <w:p>
                  <w:pPr>
                    <w:pStyle w:val="61"/>
                    <w:wordWrap w:val="0"/>
                    <w:adjustRightInd w:val="0"/>
                    <w:rPr>
                      <w:sz w:val="21"/>
                      <w:szCs w:val="21"/>
                    </w:rPr>
                  </w:pPr>
                  <w:r>
                    <w:rPr>
                      <w:sz w:val="21"/>
                      <w:szCs w:val="21"/>
                    </w:rPr>
                    <w:t>保护对象</w:t>
                  </w:r>
                </w:p>
              </w:tc>
              <w:tc>
                <w:tcPr>
                  <w:tcW w:w="542" w:type="dxa"/>
                  <w:vMerge w:val="restart"/>
                  <w:vAlign w:val="center"/>
                </w:tcPr>
                <w:p>
                  <w:pPr>
                    <w:pStyle w:val="61"/>
                    <w:wordWrap w:val="0"/>
                    <w:adjustRightInd w:val="0"/>
                    <w:rPr>
                      <w:sz w:val="21"/>
                      <w:szCs w:val="21"/>
                    </w:rPr>
                  </w:pPr>
                  <w:r>
                    <w:rPr>
                      <w:sz w:val="21"/>
                      <w:szCs w:val="21"/>
                    </w:rPr>
                    <w:t>相对方位</w:t>
                  </w:r>
                </w:p>
              </w:tc>
              <w:tc>
                <w:tcPr>
                  <w:tcW w:w="1050" w:type="dxa"/>
                  <w:vMerge w:val="restart"/>
                  <w:vAlign w:val="center"/>
                </w:tcPr>
                <w:p>
                  <w:pPr>
                    <w:pStyle w:val="61"/>
                    <w:wordWrap w:val="0"/>
                    <w:adjustRightInd w:val="0"/>
                    <w:rPr>
                      <w:sz w:val="21"/>
                      <w:szCs w:val="21"/>
                    </w:rPr>
                  </w:pPr>
                  <w:r>
                    <w:rPr>
                      <w:sz w:val="21"/>
                      <w:szCs w:val="21"/>
                    </w:rPr>
                    <w:t>敏感建筑相对厂界距离（m）</w:t>
                  </w:r>
                </w:p>
              </w:tc>
              <w:tc>
                <w:tcPr>
                  <w:tcW w:w="818" w:type="dxa"/>
                  <w:vMerge w:val="restart"/>
                  <w:vAlign w:val="center"/>
                </w:tcPr>
                <w:p>
                  <w:pPr>
                    <w:pStyle w:val="61"/>
                    <w:wordWrap w:val="0"/>
                    <w:adjustRightInd w:val="0"/>
                    <w:rPr>
                      <w:sz w:val="21"/>
                      <w:szCs w:val="21"/>
                    </w:rPr>
                  </w:pPr>
                  <w:r>
                    <w:rPr>
                      <w:sz w:val="21"/>
                      <w:szCs w:val="21"/>
                    </w:rPr>
                    <w:t>规模（人）</w:t>
                  </w:r>
                </w:p>
              </w:tc>
              <w:tc>
                <w:tcPr>
                  <w:tcW w:w="1678" w:type="dxa"/>
                  <w:vMerge w:val="restart"/>
                  <w:vAlign w:val="center"/>
                </w:tcPr>
                <w:p>
                  <w:pPr>
                    <w:pStyle w:val="61"/>
                    <w:wordWrap w:val="0"/>
                    <w:adjustRightInd w:val="0"/>
                    <w:rPr>
                      <w:sz w:val="21"/>
                      <w:szCs w:val="21"/>
                    </w:rPr>
                  </w:pPr>
                  <w:r>
                    <w:rPr>
                      <w:sz w:val="21"/>
                      <w:szCs w:val="21"/>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24" w:type="dxa"/>
                  <w:vMerge w:val="continue"/>
                  <w:vAlign w:val="center"/>
                </w:tcPr>
                <w:p>
                  <w:pPr>
                    <w:pStyle w:val="61"/>
                    <w:wordWrap w:val="0"/>
                    <w:adjustRightInd w:val="0"/>
                    <w:rPr>
                      <w:sz w:val="21"/>
                      <w:szCs w:val="21"/>
                    </w:rPr>
                  </w:pPr>
                </w:p>
              </w:tc>
              <w:tc>
                <w:tcPr>
                  <w:tcW w:w="1363" w:type="dxa"/>
                  <w:vMerge w:val="continue"/>
                  <w:vAlign w:val="center"/>
                </w:tcPr>
                <w:p>
                  <w:pPr>
                    <w:pStyle w:val="61"/>
                    <w:wordWrap w:val="0"/>
                    <w:adjustRightInd w:val="0"/>
                    <w:rPr>
                      <w:sz w:val="21"/>
                      <w:szCs w:val="21"/>
                    </w:rPr>
                  </w:pPr>
                </w:p>
              </w:tc>
              <w:tc>
                <w:tcPr>
                  <w:tcW w:w="537" w:type="dxa"/>
                  <w:vAlign w:val="center"/>
                </w:tcPr>
                <w:p>
                  <w:pPr>
                    <w:pStyle w:val="61"/>
                    <w:wordWrap w:val="0"/>
                    <w:adjustRightInd w:val="0"/>
                    <w:rPr>
                      <w:sz w:val="21"/>
                      <w:szCs w:val="21"/>
                    </w:rPr>
                  </w:pPr>
                  <w:r>
                    <w:rPr>
                      <w:sz w:val="21"/>
                      <w:szCs w:val="21"/>
                    </w:rPr>
                    <w:t>X</w:t>
                  </w:r>
                </w:p>
              </w:tc>
              <w:tc>
                <w:tcPr>
                  <w:tcW w:w="547" w:type="dxa"/>
                  <w:vAlign w:val="center"/>
                </w:tcPr>
                <w:p>
                  <w:pPr>
                    <w:pStyle w:val="61"/>
                    <w:wordWrap w:val="0"/>
                    <w:adjustRightInd w:val="0"/>
                    <w:rPr>
                      <w:sz w:val="21"/>
                      <w:szCs w:val="21"/>
                    </w:rPr>
                  </w:pPr>
                  <w:r>
                    <w:rPr>
                      <w:sz w:val="21"/>
                      <w:szCs w:val="21"/>
                    </w:rPr>
                    <w:t>Y</w:t>
                  </w:r>
                </w:p>
              </w:tc>
              <w:tc>
                <w:tcPr>
                  <w:tcW w:w="880" w:type="dxa"/>
                  <w:vMerge w:val="continue"/>
                  <w:vAlign w:val="center"/>
                </w:tcPr>
                <w:p>
                  <w:pPr>
                    <w:pStyle w:val="61"/>
                    <w:wordWrap w:val="0"/>
                    <w:adjustRightInd w:val="0"/>
                    <w:rPr>
                      <w:sz w:val="21"/>
                      <w:szCs w:val="21"/>
                    </w:rPr>
                  </w:pPr>
                </w:p>
              </w:tc>
              <w:tc>
                <w:tcPr>
                  <w:tcW w:w="542" w:type="dxa"/>
                  <w:vMerge w:val="continue"/>
                  <w:vAlign w:val="center"/>
                </w:tcPr>
                <w:p>
                  <w:pPr>
                    <w:pStyle w:val="61"/>
                    <w:wordWrap w:val="0"/>
                    <w:adjustRightInd w:val="0"/>
                    <w:rPr>
                      <w:sz w:val="21"/>
                      <w:szCs w:val="21"/>
                    </w:rPr>
                  </w:pPr>
                </w:p>
              </w:tc>
              <w:tc>
                <w:tcPr>
                  <w:tcW w:w="1050" w:type="dxa"/>
                  <w:vMerge w:val="continue"/>
                  <w:vAlign w:val="center"/>
                </w:tcPr>
                <w:p>
                  <w:pPr>
                    <w:pStyle w:val="61"/>
                    <w:wordWrap w:val="0"/>
                    <w:adjustRightInd w:val="0"/>
                    <w:rPr>
                      <w:sz w:val="21"/>
                      <w:szCs w:val="21"/>
                    </w:rPr>
                  </w:pPr>
                </w:p>
              </w:tc>
              <w:tc>
                <w:tcPr>
                  <w:tcW w:w="818" w:type="dxa"/>
                  <w:vMerge w:val="continue"/>
                  <w:vAlign w:val="center"/>
                </w:tcPr>
                <w:p>
                  <w:pPr>
                    <w:pStyle w:val="61"/>
                    <w:wordWrap w:val="0"/>
                    <w:adjustRightInd w:val="0"/>
                    <w:rPr>
                      <w:sz w:val="21"/>
                      <w:szCs w:val="21"/>
                    </w:rPr>
                  </w:pPr>
                </w:p>
              </w:tc>
              <w:tc>
                <w:tcPr>
                  <w:tcW w:w="1678" w:type="dxa"/>
                  <w:vMerge w:val="continue"/>
                  <w:vAlign w:val="center"/>
                </w:tcPr>
                <w:p>
                  <w:pPr>
                    <w:pStyle w:val="61"/>
                    <w:wordWrap w:val="0"/>
                    <w:adjustRightInd w:val="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524" w:type="dxa"/>
                  <w:vMerge w:val="restart"/>
                  <w:vAlign w:val="center"/>
                </w:tcPr>
                <w:p>
                  <w:pPr>
                    <w:pStyle w:val="61"/>
                    <w:adjustRightInd w:val="0"/>
                    <w:rPr>
                      <w:sz w:val="21"/>
                      <w:szCs w:val="21"/>
                    </w:rPr>
                  </w:pPr>
                  <w:r>
                    <w:rPr>
                      <w:sz w:val="21"/>
                      <w:szCs w:val="21"/>
                    </w:rPr>
                    <w:t>大气环境</w:t>
                  </w:r>
                </w:p>
              </w:tc>
              <w:tc>
                <w:tcPr>
                  <w:tcW w:w="1363" w:type="dxa"/>
                  <w:vAlign w:val="center"/>
                </w:tcPr>
                <w:p>
                  <w:pPr>
                    <w:widowControl/>
                    <w:jc w:val="center"/>
                    <w:rPr>
                      <w:kern w:val="0"/>
                      <w:szCs w:val="21"/>
                    </w:rPr>
                  </w:pPr>
                  <w:r>
                    <w:rPr>
                      <w:kern w:val="0"/>
                      <w:szCs w:val="21"/>
                    </w:rPr>
                    <w:t>西北侧民房</w:t>
                  </w:r>
                </w:p>
              </w:tc>
              <w:tc>
                <w:tcPr>
                  <w:tcW w:w="537" w:type="dxa"/>
                  <w:vAlign w:val="center"/>
                </w:tcPr>
                <w:p>
                  <w:pPr>
                    <w:widowControl/>
                    <w:jc w:val="center"/>
                    <w:rPr>
                      <w:kern w:val="0"/>
                      <w:szCs w:val="21"/>
                    </w:rPr>
                  </w:pPr>
                  <w:r>
                    <w:rPr>
                      <w:kern w:val="0"/>
                      <w:szCs w:val="21"/>
                    </w:rPr>
                    <w:t>-65</w:t>
                  </w:r>
                </w:p>
              </w:tc>
              <w:tc>
                <w:tcPr>
                  <w:tcW w:w="547" w:type="dxa"/>
                  <w:vAlign w:val="center"/>
                </w:tcPr>
                <w:p>
                  <w:pPr>
                    <w:jc w:val="center"/>
                    <w:rPr>
                      <w:szCs w:val="21"/>
                    </w:rPr>
                  </w:pPr>
                  <w:r>
                    <w:rPr>
                      <w:szCs w:val="21"/>
                    </w:rPr>
                    <w:t>385</w:t>
                  </w:r>
                </w:p>
              </w:tc>
              <w:tc>
                <w:tcPr>
                  <w:tcW w:w="880" w:type="dxa"/>
                  <w:vAlign w:val="center"/>
                </w:tcPr>
                <w:p>
                  <w:pPr>
                    <w:wordWrap w:val="0"/>
                    <w:adjustRightInd w:val="0"/>
                    <w:jc w:val="center"/>
                    <w:rPr>
                      <w:szCs w:val="21"/>
                    </w:rPr>
                  </w:pPr>
                  <w:r>
                    <w:rPr>
                      <w:szCs w:val="21"/>
                    </w:rPr>
                    <w:t>独栋居民楼</w:t>
                  </w:r>
                </w:p>
              </w:tc>
              <w:tc>
                <w:tcPr>
                  <w:tcW w:w="542" w:type="dxa"/>
                  <w:vAlign w:val="center"/>
                </w:tcPr>
                <w:p>
                  <w:pPr>
                    <w:widowControl/>
                    <w:jc w:val="center"/>
                    <w:rPr>
                      <w:kern w:val="0"/>
                      <w:szCs w:val="21"/>
                    </w:rPr>
                  </w:pPr>
                  <w:r>
                    <w:rPr>
                      <w:kern w:val="0"/>
                      <w:szCs w:val="21"/>
                    </w:rPr>
                    <w:t>WN</w:t>
                  </w:r>
                </w:p>
              </w:tc>
              <w:tc>
                <w:tcPr>
                  <w:tcW w:w="1050" w:type="dxa"/>
                  <w:vAlign w:val="center"/>
                </w:tcPr>
                <w:p>
                  <w:pPr>
                    <w:jc w:val="center"/>
                    <w:rPr>
                      <w:szCs w:val="21"/>
                    </w:rPr>
                  </w:pPr>
                  <w:r>
                    <w:rPr>
                      <w:szCs w:val="21"/>
                    </w:rPr>
                    <w:t>420</w:t>
                  </w:r>
                </w:p>
              </w:tc>
              <w:tc>
                <w:tcPr>
                  <w:tcW w:w="818" w:type="dxa"/>
                  <w:vAlign w:val="center"/>
                </w:tcPr>
                <w:p>
                  <w:pPr>
                    <w:wordWrap w:val="0"/>
                    <w:adjustRightInd w:val="0"/>
                    <w:jc w:val="center"/>
                    <w:rPr>
                      <w:szCs w:val="21"/>
                    </w:rPr>
                  </w:pPr>
                  <w:r>
                    <w:rPr>
                      <w:szCs w:val="21"/>
                    </w:rPr>
                    <w:t>约5</w:t>
                  </w:r>
                </w:p>
              </w:tc>
              <w:tc>
                <w:tcPr>
                  <w:tcW w:w="1678" w:type="dxa"/>
                  <w:vMerge w:val="restart"/>
                  <w:vAlign w:val="center"/>
                </w:tcPr>
                <w:p>
                  <w:pPr>
                    <w:pStyle w:val="61"/>
                    <w:adjustRightInd w:val="0"/>
                    <w:rPr>
                      <w:sz w:val="21"/>
                      <w:szCs w:val="21"/>
                    </w:rPr>
                  </w:pPr>
                  <w:r>
                    <w:rPr>
                      <w:sz w:val="21"/>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524" w:type="dxa"/>
                  <w:vMerge w:val="continue"/>
                  <w:vAlign w:val="center"/>
                </w:tcPr>
                <w:p>
                  <w:pPr>
                    <w:pStyle w:val="61"/>
                    <w:adjustRightInd w:val="0"/>
                    <w:rPr>
                      <w:sz w:val="21"/>
                      <w:szCs w:val="21"/>
                    </w:rPr>
                  </w:pPr>
                </w:p>
              </w:tc>
              <w:tc>
                <w:tcPr>
                  <w:tcW w:w="1363" w:type="dxa"/>
                  <w:vAlign w:val="center"/>
                </w:tcPr>
                <w:p>
                  <w:pPr>
                    <w:jc w:val="center"/>
                    <w:rPr>
                      <w:szCs w:val="21"/>
                    </w:rPr>
                  </w:pPr>
                  <w:r>
                    <w:rPr>
                      <w:szCs w:val="21"/>
                    </w:rPr>
                    <w:t>宁都碧桂园</w:t>
                  </w:r>
                </w:p>
              </w:tc>
              <w:tc>
                <w:tcPr>
                  <w:tcW w:w="537" w:type="dxa"/>
                  <w:vAlign w:val="center"/>
                </w:tcPr>
                <w:p>
                  <w:pPr>
                    <w:jc w:val="center"/>
                    <w:rPr>
                      <w:szCs w:val="21"/>
                    </w:rPr>
                  </w:pPr>
                  <w:r>
                    <w:rPr>
                      <w:szCs w:val="21"/>
                    </w:rPr>
                    <w:t>400</w:t>
                  </w:r>
                </w:p>
              </w:tc>
              <w:tc>
                <w:tcPr>
                  <w:tcW w:w="547" w:type="dxa"/>
                  <w:vAlign w:val="center"/>
                </w:tcPr>
                <w:p>
                  <w:pPr>
                    <w:jc w:val="center"/>
                    <w:rPr>
                      <w:szCs w:val="21"/>
                    </w:rPr>
                  </w:pPr>
                  <w:r>
                    <w:rPr>
                      <w:szCs w:val="21"/>
                    </w:rPr>
                    <w:t>25</w:t>
                  </w:r>
                </w:p>
              </w:tc>
              <w:tc>
                <w:tcPr>
                  <w:tcW w:w="880" w:type="dxa"/>
                  <w:vAlign w:val="center"/>
                </w:tcPr>
                <w:p>
                  <w:pPr>
                    <w:wordWrap w:val="0"/>
                    <w:adjustRightInd w:val="0"/>
                    <w:jc w:val="center"/>
                    <w:rPr>
                      <w:szCs w:val="21"/>
                    </w:rPr>
                  </w:pPr>
                  <w:r>
                    <w:rPr>
                      <w:szCs w:val="21"/>
                    </w:rPr>
                    <w:t>居民区</w:t>
                  </w:r>
                </w:p>
              </w:tc>
              <w:tc>
                <w:tcPr>
                  <w:tcW w:w="542" w:type="dxa"/>
                  <w:vAlign w:val="center"/>
                </w:tcPr>
                <w:p>
                  <w:pPr>
                    <w:jc w:val="center"/>
                    <w:rPr>
                      <w:szCs w:val="21"/>
                    </w:rPr>
                  </w:pPr>
                  <w:r>
                    <w:rPr>
                      <w:szCs w:val="21"/>
                    </w:rPr>
                    <w:t>N</w:t>
                  </w:r>
                </w:p>
              </w:tc>
              <w:tc>
                <w:tcPr>
                  <w:tcW w:w="1050" w:type="dxa"/>
                  <w:vAlign w:val="center"/>
                </w:tcPr>
                <w:p>
                  <w:pPr>
                    <w:jc w:val="center"/>
                    <w:rPr>
                      <w:szCs w:val="21"/>
                    </w:rPr>
                  </w:pPr>
                  <w:r>
                    <w:rPr>
                      <w:szCs w:val="21"/>
                    </w:rPr>
                    <w:t>380</w:t>
                  </w:r>
                </w:p>
              </w:tc>
              <w:tc>
                <w:tcPr>
                  <w:tcW w:w="818" w:type="dxa"/>
                  <w:vAlign w:val="center"/>
                </w:tcPr>
                <w:p>
                  <w:pPr>
                    <w:wordWrap w:val="0"/>
                    <w:adjustRightInd w:val="0"/>
                    <w:jc w:val="center"/>
                    <w:rPr>
                      <w:szCs w:val="21"/>
                    </w:rPr>
                  </w:pPr>
                  <w:r>
                    <w:rPr>
                      <w:szCs w:val="21"/>
                    </w:rPr>
                    <w:t>在建</w:t>
                  </w:r>
                </w:p>
              </w:tc>
              <w:tc>
                <w:tcPr>
                  <w:tcW w:w="1678" w:type="dxa"/>
                  <w:vMerge w:val="continue"/>
                  <w:vAlign w:val="center"/>
                </w:tcPr>
                <w:p>
                  <w:pPr>
                    <w:pStyle w:val="61"/>
                    <w:wordWrap w:val="0"/>
                    <w:adjustRightInd w:val="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524" w:type="dxa"/>
                  <w:vMerge w:val="continue"/>
                  <w:vAlign w:val="center"/>
                </w:tcPr>
                <w:p>
                  <w:pPr>
                    <w:pStyle w:val="61"/>
                    <w:adjustRightInd w:val="0"/>
                    <w:rPr>
                      <w:sz w:val="21"/>
                      <w:szCs w:val="21"/>
                    </w:rPr>
                  </w:pPr>
                </w:p>
              </w:tc>
              <w:tc>
                <w:tcPr>
                  <w:tcW w:w="1363" w:type="dxa"/>
                  <w:vAlign w:val="center"/>
                </w:tcPr>
                <w:p>
                  <w:pPr>
                    <w:jc w:val="center"/>
                    <w:rPr>
                      <w:szCs w:val="21"/>
                    </w:rPr>
                  </w:pPr>
                  <w:r>
                    <w:rPr>
                      <w:szCs w:val="21"/>
                    </w:rPr>
                    <w:t>土围</w:t>
                  </w:r>
                </w:p>
              </w:tc>
              <w:tc>
                <w:tcPr>
                  <w:tcW w:w="537" w:type="dxa"/>
                  <w:vAlign w:val="center"/>
                </w:tcPr>
                <w:p>
                  <w:pPr>
                    <w:jc w:val="center"/>
                    <w:rPr>
                      <w:szCs w:val="21"/>
                    </w:rPr>
                  </w:pPr>
                  <w:r>
                    <w:rPr>
                      <w:szCs w:val="21"/>
                    </w:rPr>
                    <w:t>30</w:t>
                  </w:r>
                </w:p>
              </w:tc>
              <w:tc>
                <w:tcPr>
                  <w:tcW w:w="547" w:type="dxa"/>
                  <w:vAlign w:val="center"/>
                </w:tcPr>
                <w:p>
                  <w:pPr>
                    <w:jc w:val="center"/>
                    <w:rPr>
                      <w:szCs w:val="21"/>
                    </w:rPr>
                  </w:pPr>
                  <w:r>
                    <w:rPr>
                      <w:szCs w:val="21"/>
                    </w:rPr>
                    <w:t>-450</w:t>
                  </w:r>
                </w:p>
              </w:tc>
              <w:tc>
                <w:tcPr>
                  <w:tcW w:w="880" w:type="dxa"/>
                  <w:vAlign w:val="center"/>
                </w:tcPr>
                <w:p>
                  <w:pPr>
                    <w:wordWrap w:val="0"/>
                    <w:adjustRightInd w:val="0"/>
                    <w:jc w:val="center"/>
                    <w:rPr>
                      <w:szCs w:val="21"/>
                    </w:rPr>
                  </w:pPr>
                  <w:r>
                    <w:rPr>
                      <w:szCs w:val="21"/>
                    </w:rPr>
                    <w:t>居民区</w:t>
                  </w:r>
                </w:p>
              </w:tc>
              <w:tc>
                <w:tcPr>
                  <w:tcW w:w="542" w:type="dxa"/>
                  <w:vAlign w:val="center"/>
                </w:tcPr>
                <w:p>
                  <w:pPr>
                    <w:jc w:val="center"/>
                    <w:rPr>
                      <w:szCs w:val="21"/>
                    </w:rPr>
                  </w:pPr>
                  <w:r>
                    <w:rPr>
                      <w:szCs w:val="21"/>
                    </w:rPr>
                    <w:t>S</w:t>
                  </w:r>
                </w:p>
              </w:tc>
              <w:tc>
                <w:tcPr>
                  <w:tcW w:w="1050" w:type="dxa"/>
                  <w:vAlign w:val="center"/>
                </w:tcPr>
                <w:p>
                  <w:pPr>
                    <w:jc w:val="center"/>
                    <w:rPr>
                      <w:szCs w:val="21"/>
                    </w:rPr>
                  </w:pPr>
                  <w:r>
                    <w:rPr>
                      <w:szCs w:val="21"/>
                    </w:rPr>
                    <w:t>460</w:t>
                  </w:r>
                </w:p>
              </w:tc>
              <w:tc>
                <w:tcPr>
                  <w:tcW w:w="818" w:type="dxa"/>
                  <w:vAlign w:val="center"/>
                </w:tcPr>
                <w:p>
                  <w:pPr>
                    <w:wordWrap w:val="0"/>
                    <w:adjustRightInd w:val="0"/>
                    <w:jc w:val="center"/>
                    <w:rPr>
                      <w:szCs w:val="21"/>
                    </w:rPr>
                  </w:pPr>
                  <w:r>
                    <w:rPr>
                      <w:szCs w:val="21"/>
                    </w:rPr>
                    <w:t>约200</w:t>
                  </w:r>
                </w:p>
              </w:tc>
              <w:tc>
                <w:tcPr>
                  <w:tcW w:w="1678" w:type="dxa"/>
                  <w:vMerge w:val="continue"/>
                  <w:vAlign w:val="center"/>
                </w:tcPr>
                <w:p>
                  <w:pPr>
                    <w:pStyle w:val="61"/>
                    <w:wordWrap w:val="0"/>
                    <w:adjustRightInd w:val="0"/>
                    <w:rPr>
                      <w:sz w:val="21"/>
                      <w:szCs w:val="21"/>
                    </w:rPr>
                  </w:pPr>
                </w:p>
              </w:tc>
            </w:tr>
          </w:tbl>
          <w:p>
            <w:pPr>
              <w:pStyle w:val="57"/>
              <w:ind w:firstLine="420" w:firstLineChars="200"/>
              <w:rPr>
                <w:rFonts w:ascii="Times New Roman" w:cs="Times New Roman"/>
                <w:color w:val="auto"/>
                <w:sz w:val="21"/>
                <w:szCs w:val="21"/>
              </w:rPr>
            </w:pPr>
            <w:r>
              <w:rPr>
                <w:rFonts w:ascii="Times New Roman" w:cs="Times New Roman"/>
                <w:color w:val="auto"/>
                <w:sz w:val="21"/>
                <w:szCs w:val="21"/>
              </w:rPr>
              <w:t>注：以项目中心坐标为原点（0,0）。</w:t>
            </w:r>
          </w:p>
          <w:p>
            <w:pPr>
              <w:pStyle w:val="57"/>
              <w:ind w:firstLine="420" w:firstLineChars="200"/>
              <w:rPr>
                <w:rFonts w:ascii="Times New Roman" w:cs="Times New Roman"/>
                <w:color w:val="auto"/>
                <w:sz w:val="21"/>
                <w:szCs w:val="21"/>
              </w:rPr>
            </w:pPr>
          </w:p>
          <w:p>
            <w:pPr>
              <w:pStyle w:val="57"/>
              <w:spacing w:line="360" w:lineRule="auto"/>
              <w:ind w:firstLine="420" w:firstLineChars="200"/>
              <w:rPr>
                <w:rFonts w:ascii="Times New Roman" w:cs="Times New Roman"/>
                <w:color w:val="auto"/>
                <w:sz w:val="21"/>
                <w:szCs w:val="21"/>
              </w:rPr>
            </w:pPr>
            <w:r>
              <w:rPr>
                <w:rFonts w:ascii="Times New Roman" w:cs="Times New Roman"/>
                <w:color w:val="auto"/>
                <w:sz w:val="21"/>
                <w:szCs w:val="21"/>
              </w:rPr>
              <w:t>（2）地表水环境</w:t>
            </w:r>
          </w:p>
          <w:p>
            <w:pPr>
              <w:pStyle w:val="57"/>
              <w:spacing w:line="360" w:lineRule="auto"/>
              <w:ind w:firstLine="420" w:firstLineChars="200"/>
              <w:jc w:val="both"/>
              <w:rPr>
                <w:rFonts w:ascii="Times New Roman" w:cs="Times New Roman"/>
                <w:color w:val="auto"/>
                <w:sz w:val="21"/>
                <w:szCs w:val="21"/>
              </w:rPr>
            </w:pPr>
            <w:r>
              <w:rPr>
                <w:rFonts w:ascii="Times New Roman" w:cs="Times New Roman"/>
                <w:color w:val="auto"/>
                <w:sz w:val="21"/>
                <w:szCs w:val="21"/>
              </w:rPr>
              <w:t>项目用地范围不涉及饮用水水源保护区、饮用水取水口、自然保护区、风景名胜区，重要湿地、永久基本农田、重点保护与珍稀水生生物的栖息地、重要水生生物的自然产卵场及索饵场、越冬场和洄游通道，天然渔场等渔业水体，以及水产种质资源保护区等敏感目标。</w:t>
            </w:r>
          </w:p>
          <w:p>
            <w:pPr>
              <w:pStyle w:val="57"/>
              <w:spacing w:line="360" w:lineRule="auto"/>
              <w:ind w:firstLine="420" w:firstLineChars="200"/>
              <w:rPr>
                <w:rFonts w:ascii="Times New Roman" w:cs="Times New Roman"/>
                <w:color w:val="auto"/>
                <w:sz w:val="21"/>
                <w:szCs w:val="21"/>
              </w:rPr>
            </w:pPr>
            <w:r>
              <w:rPr>
                <w:rFonts w:ascii="Times New Roman" w:cs="Times New Roman"/>
                <w:color w:val="auto"/>
                <w:sz w:val="21"/>
                <w:szCs w:val="21"/>
              </w:rPr>
              <w:t>（</w:t>
            </w:r>
            <w:r>
              <w:rPr>
                <w:rFonts w:ascii="Times New Roman" w:cs="Times New Roman"/>
                <w:b/>
                <w:bCs/>
                <w:color w:val="auto"/>
                <w:sz w:val="21"/>
                <w:szCs w:val="21"/>
              </w:rPr>
              <w:t>3</w:t>
            </w:r>
            <w:r>
              <w:rPr>
                <w:rFonts w:ascii="Times New Roman" w:cs="Times New Roman"/>
                <w:color w:val="auto"/>
                <w:sz w:val="21"/>
                <w:szCs w:val="21"/>
              </w:rPr>
              <w:t xml:space="preserve">）声环境 </w:t>
            </w:r>
          </w:p>
          <w:p>
            <w:pPr>
              <w:pStyle w:val="60"/>
              <w:spacing w:line="360" w:lineRule="auto"/>
              <w:ind w:firstLine="436" w:firstLineChars="200"/>
              <w:jc w:val="both"/>
              <w:rPr>
                <w:rFonts w:ascii="Times New Roman"/>
                <w:b/>
                <w:bCs/>
                <w:sz w:val="21"/>
                <w:szCs w:val="21"/>
              </w:rPr>
            </w:pPr>
            <w:r>
              <w:rPr>
                <w:rFonts w:ascii="Times New Roman"/>
                <w:sz w:val="21"/>
                <w:szCs w:val="21"/>
              </w:rPr>
              <w:t>本项目厂界外50m范围内不存在声环境保护目标。</w:t>
            </w:r>
          </w:p>
          <w:p>
            <w:pPr>
              <w:pStyle w:val="57"/>
              <w:spacing w:line="360" w:lineRule="auto"/>
              <w:ind w:firstLine="420" w:firstLineChars="200"/>
              <w:rPr>
                <w:rFonts w:ascii="Times New Roman" w:cs="Times New Roman"/>
                <w:color w:val="auto"/>
                <w:sz w:val="21"/>
                <w:szCs w:val="21"/>
              </w:rPr>
            </w:pPr>
            <w:r>
              <w:rPr>
                <w:rFonts w:ascii="Times New Roman" w:cs="Times New Roman"/>
                <w:color w:val="auto"/>
                <w:sz w:val="21"/>
                <w:szCs w:val="21"/>
              </w:rPr>
              <w:t>（</w:t>
            </w:r>
            <w:r>
              <w:rPr>
                <w:rFonts w:ascii="Times New Roman" w:cs="Times New Roman"/>
                <w:b/>
                <w:bCs/>
                <w:color w:val="auto"/>
                <w:sz w:val="21"/>
                <w:szCs w:val="21"/>
              </w:rPr>
              <w:t>4</w:t>
            </w:r>
            <w:r>
              <w:rPr>
                <w:rFonts w:ascii="Times New Roman" w:cs="Times New Roman"/>
                <w:color w:val="auto"/>
                <w:sz w:val="21"/>
                <w:szCs w:val="21"/>
              </w:rPr>
              <w:t xml:space="preserve">）地下水环境 </w:t>
            </w:r>
          </w:p>
          <w:p>
            <w:pPr>
              <w:adjustRightInd w:val="0"/>
              <w:snapToGrid w:val="0"/>
              <w:spacing w:line="360" w:lineRule="auto"/>
              <w:ind w:firstLine="420" w:firstLineChars="200"/>
              <w:jc w:val="left"/>
              <w:rPr>
                <w:kern w:val="0"/>
                <w:szCs w:val="21"/>
              </w:rPr>
            </w:pPr>
            <w:r>
              <w:rPr>
                <w:szCs w:val="21"/>
              </w:rPr>
              <w:t>本项目厂界外500m范围内无地下水集中式饮用水水源和热水、矿泉水、温泉等特殊地下水资源。</w:t>
            </w:r>
            <w:r>
              <w:rPr>
                <w:rFonts w:hint="eastAsia"/>
                <w:szCs w:val="21"/>
              </w:rPr>
              <w:t>项目附近村庄土围村居民用水已接通自来水，村庄内分布少量水井，地下水主要用于洗衣、拖地和灌溉等。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0"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90" w:type="dxa"/>
            <w:vAlign w:val="center"/>
          </w:tcPr>
          <w:p>
            <w:pPr>
              <w:snapToGrid w:val="0"/>
              <w:spacing w:before="120" w:beforeLines="50" w:line="360" w:lineRule="auto"/>
              <w:ind w:firstLine="422" w:firstLineChars="200"/>
              <w:rPr>
                <w:b/>
                <w:szCs w:val="21"/>
              </w:rPr>
            </w:pPr>
            <w:r>
              <w:rPr>
                <w:b/>
                <w:szCs w:val="21"/>
              </w:rPr>
              <w:t>1、废气排放标准</w:t>
            </w:r>
          </w:p>
          <w:p>
            <w:pPr>
              <w:spacing w:line="360" w:lineRule="auto"/>
              <w:ind w:firstLine="420" w:firstLineChars="200"/>
              <w:rPr>
                <w:szCs w:val="21"/>
              </w:rPr>
            </w:pPr>
            <w:r>
              <w:rPr>
                <w:szCs w:val="21"/>
              </w:rPr>
              <w:t>施工期扬尘执行《大气污染物综合排放标准》（GB16297-1996）表2中无组织排放标准；项目生产过程中产生的废气排放厂界浓度执行《加油站大气污染物排放标准》（GB20952-2020）表3中无组织排放限值，厂区内无组织排放监控点浓度执行《挥发性有机物无组织排放控制标准》（GB37822-2019），具体标准限值见表3-9、表3-10。</w:t>
            </w:r>
          </w:p>
          <w:p>
            <w:pPr>
              <w:spacing w:line="276" w:lineRule="auto"/>
              <w:jc w:val="center"/>
              <w:rPr>
                <w:b/>
                <w:bCs/>
                <w:szCs w:val="21"/>
              </w:rPr>
            </w:pPr>
            <w:r>
              <w:rPr>
                <w:b/>
                <w:bCs/>
                <w:szCs w:val="21"/>
              </w:rPr>
              <w:t>表3-9  大气污染物排放标准</w:t>
            </w:r>
          </w:p>
          <w:tbl>
            <w:tblPr>
              <w:tblStyle w:val="21"/>
              <w:tblW w:w="796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268"/>
              <w:gridCol w:w="1418"/>
              <w:gridCol w:w="1368"/>
              <w:gridCol w:w="2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1" w:type="dxa"/>
                  <w:vAlign w:val="center"/>
                </w:tcPr>
                <w:p>
                  <w:pPr>
                    <w:jc w:val="center"/>
                    <w:rPr>
                      <w:szCs w:val="21"/>
                    </w:rPr>
                  </w:pPr>
                  <w:r>
                    <w:rPr>
                      <w:szCs w:val="21"/>
                    </w:rPr>
                    <w:t>污染源</w:t>
                  </w:r>
                </w:p>
              </w:tc>
              <w:tc>
                <w:tcPr>
                  <w:tcW w:w="2268" w:type="dxa"/>
                  <w:vAlign w:val="center"/>
                </w:tcPr>
                <w:p>
                  <w:pPr>
                    <w:jc w:val="center"/>
                    <w:rPr>
                      <w:szCs w:val="21"/>
                    </w:rPr>
                  </w:pPr>
                  <w:r>
                    <w:rPr>
                      <w:szCs w:val="21"/>
                    </w:rPr>
                    <w:t>标准来源</w:t>
                  </w:r>
                </w:p>
              </w:tc>
              <w:tc>
                <w:tcPr>
                  <w:tcW w:w="1418" w:type="dxa"/>
                  <w:vAlign w:val="center"/>
                </w:tcPr>
                <w:p>
                  <w:pPr>
                    <w:jc w:val="center"/>
                    <w:rPr>
                      <w:szCs w:val="21"/>
                    </w:rPr>
                  </w:pPr>
                  <w:r>
                    <w:rPr>
                      <w:szCs w:val="21"/>
                    </w:rPr>
                    <w:t>污染项目</w:t>
                  </w:r>
                </w:p>
              </w:tc>
              <w:tc>
                <w:tcPr>
                  <w:tcW w:w="1368" w:type="dxa"/>
                  <w:vAlign w:val="center"/>
                </w:tcPr>
                <w:p>
                  <w:pPr>
                    <w:jc w:val="center"/>
                    <w:rPr>
                      <w:szCs w:val="21"/>
                    </w:rPr>
                  </w:pPr>
                  <w:r>
                    <w:rPr>
                      <w:szCs w:val="21"/>
                    </w:rPr>
                    <w:t>排放限值</w:t>
                  </w:r>
                </w:p>
              </w:tc>
              <w:tc>
                <w:tcPr>
                  <w:tcW w:w="2064" w:type="dxa"/>
                  <w:vAlign w:val="center"/>
                </w:tcPr>
                <w:p>
                  <w:pPr>
                    <w:jc w:val="center"/>
                    <w:rPr>
                      <w:szCs w:val="21"/>
                    </w:rPr>
                  </w:pPr>
                  <w:r>
                    <w:rPr>
                      <w:szCs w:val="21"/>
                    </w:rPr>
                    <w:t>限值含义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851" w:type="dxa"/>
                  <w:vAlign w:val="center"/>
                </w:tcPr>
                <w:p>
                  <w:pPr>
                    <w:jc w:val="center"/>
                    <w:rPr>
                      <w:szCs w:val="21"/>
                    </w:rPr>
                  </w:pPr>
                  <w:r>
                    <w:rPr>
                      <w:szCs w:val="21"/>
                    </w:rPr>
                    <w:t>施工期扬尘</w:t>
                  </w:r>
                </w:p>
              </w:tc>
              <w:tc>
                <w:tcPr>
                  <w:tcW w:w="2268" w:type="dxa"/>
                  <w:vAlign w:val="center"/>
                </w:tcPr>
                <w:p>
                  <w:pPr>
                    <w:jc w:val="center"/>
                    <w:rPr>
                      <w:szCs w:val="21"/>
                    </w:rPr>
                  </w:pPr>
                  <w:r>
                    <w:rPr>
                      <w:szCs w:val="21"/>
                    </w:rPr>
                    <w:t>《大气污染物综合排放标准》（GB16297-1996）</w:t>
                  </w:r>
                </w:p>
              </w:tc>
              <w:tc>
                <w:tcPr>
                  <w:tcW w:w="1418" w:type="dxa"/>
                  <w:vAlign w:val="center"/>
                </w:tcPr>
                <w:p>
                  <w:pPr>
                    <w:jc w:val="center"/>
                    <w:rPr>
                      <w:szCs w:val="21"/>
                    </w:rPr>
                  </w:pPr>
                  <w:r>
                    <w:rPr>
                      <w:szCs w:val="21"/>
                    </w:rPr>
                    <w:t>颗粒物</w:t>
                  </w:r>
                </w:p>
              </w:tc>
              <w:tc>
                <w:tcPr>
                  <w:tcW w:w="1368" w:type="dxa"/>
                  <w:vAlign w:val="center"/>
                </w:tcPr>
                <w:p>
                  <w:pPr>
                    <w:jc w:val="center"/>
                    <w:rPr>
                      <w:szCs w:val="21"/>
                    </w:rPr>
                  </w:pPr>
                  <w:r>
                    <w:rPr>
                      <w:szCs w:val="21"/>
                    </w:rPr>
                    <w:t>1.0mg/m</w:t>
                  </w:r>
                  <w:r>
                    <w:rPr>
                      <w:szCs w:val="21"/>
                      <w:vertAlign w:val="superscript"/>
                    </w:rPr>
                    <w:t>3</w:t>
                  </w:r>
                </w:p>
              </w:tc>
              <w:tc>
                <w:tcPr>
                  <w:tcW w:w="2064" w:type="dxa"/>
                  <w:vAlign w:val="center"/>
                </w:tcPr>
                <w:p>
                  <w:pPr>
                    <w:jc w:val="center"/>
                    <w:rPr>
                      <w:szCs w:val="21"/>
                    </w:rPr>
                  </w:pPr>
                  <w:r>
                    <w:t>无组织排放监控浓度限值周界外浓度最高点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851" w:type="dxa"/>
                  <w:vMerge w:val="restart"/>
                  <w:vAlign w:val="center"/>
                </w:tcPr>
                <w:p>
                  <w:pPr>
                    <w:jc w:val="center"/>
                    <w:rPr>
                      <w:szCs w:val="21"/>
                    </w:rPr>
                  </w:pPr>
                  <w:r>
                    <w:rPr>
                      <w:szCs w:val="21"/>
                    </w:rPr>
                    <w:t>加油站废气</w:t>
                  </w:r>
                </w:p>
              </w:tc>
              <w:tc>
                <w:tcPr>
                  <w:tcW w:w="2268" w:type="dxa"/>
                  <w:vMerge w:val="restart"/>
                  <w:vAlign w:val="center"/>
                </w:tcPr>
                <w:p>
                  <w:pPr>
                    <w:jc w:val="center"/>
                    <w:rPr>
                      <w:szCs w:val="21"/>
                    </w:rPr>
                  </w:pPr>
                  <w:r>
                    <w:rPr>
                      <w:szCs w:val="21"/>
                    </w:rPr>
                    <w:t>《加油站大气污染物排放标准》（GB20952-2020）</w:t>
                  </w:r>
                </w:p>
              </w:tc>
              <w:tc>
                <w:tcPr>
                  <w:tcW w:w="1418" w:type="dxa"/>
                  <w:vAlign w:val="center"/>
                </w:tcPr>
                <w:p>
                  <w:pPr>
                    <w:jc w:val="center"/>
                    <w:rPr>
                      <w:szCs w:val="21"/>
                    </w:rPr>
                  </w:pPr>
                  <w:r>
                    <w:rPr>
                      <w:szCs w:val="21"/>
                    </w:rPr>
                    <w:t>非甲烷总烃</w:t>
                  </w:r>
                </w:p>
              </w:tc>
              <w:tc>
                <w:tcPr>
                  <w:tcW w:w="1368" w:type="dxa"/>
                  <w:vAlign w:val="center"/>
                </w:tcPr>
                <w:p>
                  <w:pPr>
                    <w:jc w:val="center"/>
                    <w:rPr>
                      <w:szCs w:val="21"/>
                    </w:rPr>
                  </w:pPr>
                  <w:r>
                    <w:rPr>
                      <w:szCs w:val="21"/>
                    </w:rPr>
                    <w:t>4.0mg/m</w:t>
                  </w:r>
                  <w:r>
                    <w:rPr>
                      <w:szCs w:val="21"/>
                      <w:vertAlign w:val="superscript"/>
                    </w:rPr>
                    <w:t>3</w:t>
                  </w:r>
                </w:p>
              </w:tc>
              <w:tc>
                <w:tcPr>
                  <w:tcW w:w="2064" w:type="dxa"/>
                  <w:vAlign w:val="center"/>
                </w:tcPr>
                <w:p>
                  <w:pPr>
                    <w:jc w:val="center"/>
                    <w:rPr>
                      <w:szCs w:val="21"/>
                    </w:rPr>
                  </w:pPr>
                  <w:r>
                    <w:rPr>
                      <w:szCs w:val="21"/>
                    </w:rPr>
                    <w:t>监控点处1小时平均浓度值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1" w:type="dxa"/>
                  <w:vMerge w:val="continue"/>
                  <w:vAlign w:val="center"/>
                </w:tcPr>
                <w:p>
                  <w:pPr>
                    <w:jc w:val="center"/>
                    <w:rPr>
                      <w:szCs w:val="21"/>
                    </w:rPr>
                  </w:pPr>
                </w:p>
              </w:tc>
              <w:tc>
                <w:tcPr>
                  <w:tcW w:w="2268" w:type="dxa"/>
                  <w:vMerge w:val="continue"/>
                  <w:vAlign w:val="center"/>
                </w:tcPr>
                <w:p>
                  <w:pPr>
                    <w:jc w:val="center"/>
                    <w:rPr>
                      <w:szCs w:val="21"/>
                    </w:rPr>
                  </w:pPr>
                </w:p>
              </w:tc>
              <w:tc>
                <w:tcPr>
                  <w:tcW w:w="4850" w:type="dxa"/>
                  <w:gridSpan w:val="3"/>
                  <w:vAlign w:val="center"/>
                </w:tcPr>
                <w:p>
                  <w:pPr>
                    <w:jc w:val="left"/>
                    <w:rPr>
                      <w:szCs w:val="21"/>
                    </w:rPr>
                  </w:pPr>
                  <w:r>
                    <w:rPr>
                      <w:szCs w:val="21"/>
                    </w:rPr>
                    <w:t>排放口距地面高度不应小于4m、油气处理装置的油气排放浓度应小于等于25g/m</w:t>
                  </w:r>
                  <w:r>
                    <w:rPr>
                      <w:szCs w:val="21"/>
                      <w:vertAlign w:val="superscript"/>
                    </w:rPr>
                    <w:t>3</w:t>
                  </w:r>
                </w:p>
              </w:tc>
            </w:tr>
          </w:tbl>
          <w:p>
            <w:pPr>
              <w:pStyle w:val="60"/>
              <w:spacing w:before="120" w:beforeLines="50" w:line="276" w:lineRule="auto"/>
              <w:rPr>
                <w:rFonts w:ascii="Times New Roman"/>
                <w:b/>
                <w:bCs/>
                <w:sz w:val="21"/>
                <w:szCs w:val="21"/>
              </w:rPr>
            </w:pPr>
            <w:r>
              <w:rPr>
                <w:rFonts w:ascii="Times New Roman"/>
                <w:b/>
                <w:bCs/>
                <w:sz w:val="21"/>
                <w:szCs w:val="21"/>
              </w:rPr>
              <w:t>表3-10  厂区内挥发性有机物无组织排放限值</w:t>
            </w:r>
          </w:p>
          <w:tbl>
            <w:tblPr>
              <w:tblStyle w:val="21"/>
              <w:tblW w:w="796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418"/>
              <w:gridCol w:w="2142"/>
              <w:gridCol w:w="2855"/>
              <w:gridCol w:w="155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18" w:type="dxa"/>
                  <w:vAlign w:val="center"/>
                </w:tcPr>
                <w:p>
                  <w:pPr>
                    <w:pStyle w:val="60"/>
                    <w:rPr>
                      <w:rFonts w:ascii="Times New Roman"/>
                      <w:bCs/>
                      <w:sz w:val="21"/>
                      <w:szCs w:val="21"/>
                    </w:rPr>
                  </w:pPr>
                  <w:r>
                    <w:rPr>
                      <w:rFonts w:ascii="Times New Roman"/>
                      <w:bCs/>
                      <w:sz w:val="21"/>
                      <w:szCs w:val="21"/>
                    </w:rPr>
                    <w:t>污染物项目</w:t>
                  </w:r>
                </w:p>
              </w:tc>
              <w:tc>
                <w:tcPr>
                  <w:tcW w:w="2142" w:type="dxa"/>
                  <w:vAlign w:val="center"/>
                </w:tcPr>
                <w:p>
                  <w:pPr>
                    <w:pStyle w:val="60"/>
                    <w:rPr>
                      <w:rFonts w:ascii="Times New Roman"/>
                      <w:bCs/>
                      <w:sz w:val="21"/>
                      <w:szCs w:val="21"/>
                    </w:rPr>
                  </w:pPr>
                  <w:r>
                    <w:rPr>
                      <w:rFonts w:ascii="Times New Roman"/>
                      <w:bCs/>
                      <w:sz w:val="21"/>
                      <w:szCs w:val="21"/>
                    </w:rPr>
                    <w:t>排放限值</w:t>
                  </w:r>
                </w:p>
              </w:tc>
              <w:tc>
                <w:tcPr>
                  <w:tcW w:w="2855" w:type="dxa"/>
                  <w:vAlign w:val="center"/>
                </w:tcPr>
                <w:p>
                  <w:pPr>
                    <w:pStyle w:val="60"/>
                    <w:rPr>
                      <w:rFonts w:ascii="Times New Roman"/>
                      <w:bCs/>
                      <w:sz w:val="21"/>
                      <w:szCs w:val="21"/>
                    </w:rPr>
                  </w:pPr>
                  <w:r>
                    <w:rPr>
                      <w:rFonts w:ascii="Times New Roman"/>
                      <w:bCs/>
                      <w:sz w:val="21"/>
                      <w:szCs w:val="21"/>
                    </w:rPr>
                    <w:t>限值含义</w:t>
                  </w:r>
                </w:p>
              </w:tc>
              <w:tc>
                <w:tcPr>
                  <w:tcW w:w="1554" w:type="dxa"/>
                  <w:vAlign w:val="center"/>
                </w:tcPr>
                <w:p>
                  <w:pPr>
                    <w:pStyle w:val="60"/>
                    <w:rPr>
                      <w:rFonts w:ascii="Times New Roman"/>
                      <w:bCs/>
                      <w:sz w:val="21"/>
                      <w:szCs w:val="21"/>
                    </w:rPr>
                  </w:pPr>
                  <w:r>
                    <w:rPr>
                      <w:rFonts w:ascii="Times New Roman"/>
                      <w:bCs/>
                      <w:sz w:val="21"/>
                      <w:szCs w:val="21"/>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18" w:type="dxa"/>
                  <w:vMerge w:val="restart"/>
                  <w:vAlign w:val="center"/>
                </w:tcPr>
                <w:p>
                  <w:pPr>
                    <w:pStyle w:val="60"/>
                    <w:rPr>
                      <w:rFonts w:ascii="Times New Roman"/>
                      <w:bCs/>
                      <w:sz w:val="21"/>
                      <w:szCs w:val="21"/>
                    </w:rPr>
                  </w:pPr>
                  <w:r>
                    <w:rPr>
                      <w:rFonts w:ascii="Times New Roman"/>
                      <w:bCs/>
                      <w:sz w:val="21"/>
                      <w:szCs w:val="21"/>
                    </w:rPr>
                    <w:t>NMHC</w:t>
                  </w:r>
                </w:p>
              </w:tc>
              <w:tc>
                <w:tcPr>
                  <w:tcW w:w="2142" w:type="dxa"/>
                  <w:vAlign w:val="center"/>
                </w:tcPr>
                <w:p>
                  <w:pPr>
                    <w:pStyle w:val="60"/>
                    <w:rPr>
                      <w:rFonts w:ascii="Times New Roman"/>
                      <w:bCs/>
                      <w:sz w:val="21"/>
                      <w:szCs w:val="21"/>
                    </w:rPr>
                  </w:pPr>
                  <w:r>
                    <w:rPr>
                      <w:rFonts w:ascii="Times New Roman"/>
                      <w:bCs/>
                      <w:sz w:val="21"/>
                      <w:szCs w:val="21"/>
                    </w:rPr>
                    <w:t>10 mg/m</w:t>
                  </w:r>
                  <w:r>
                    <w:rPr>
                      <w:rFonts w:ascii="Times New Roman"/>
                      <w:bCs/>
                      <w:sz w:val="21"/>
                      <w:szCs w:val="21"/>
                      <w:vertAlign w:val="superscript"/>
                    </w:rPr>
                    <w:t>3</w:t>
                  </w:r>
                </w:p>
              </w:tc>
              <w:tc>
                <w:tcPr>
                  <w:tcW w:w="2855" w:type="dxa"/>
                  <w:vAlign w:val="center"/>
                </w:tcPr>
                <w:p>
                  <w:pPr>
                    <w:pStyle w:val="60"/>
                    <w:rPr>
                      <w:rFonts w:ascii="Times New Roman"/>
                      <w:bCs/>
                      <w:sz w:val="21"/>
                      <w:szCs w:val="21"/>
                    </w:rPr>
                  </w:pPr>
                  <w:r>
                    <w:rPr>
                      <w:rFonts w:ascii="Times New Roman"/>
                      <w:bCs/>
                      <w:sz w:val="21"/>
                      <w:szCs w:val="21"/>
                    </w:rPr>
                    <w:t>监控点处1h平均浓度值</w:t>
                  </w:r>
                </w:p>
              </w:tc>
              <w:tc>
                <w:tcPr>
                  <w:tcW w:w="1554" w:type="dxa"/>
                  <w:vMerge w:val="restart"/>
                  <w:vAlign w:val="center"/>
                </w:tcPr>
                <w:p>
                  <w:pPr>
                    <w:pStyle w:val="60"/>
                    <w:rPr>
                      <w:rFonts w:ascii="Times New Roman"/>
                      <w:bCs/>
                      <w:sz w:val="21"/>
                      <w:szCs w:val="21"/>
                    </w:rPr>
                  </w:pPr>
                  <w:r>
                    <w:rPr>
                      <w:rFonts w:ascii="Times New Roman"/>
                      <w:bCs/>
                      <w:sz w:val="21"/>
                      <w:szCs w:val="21"/>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18" w:type="dxa"/>
                  <w:vMerge w:val="continue"/>
                  <w:vAlign w:val="center"/>
                </w:tcPr>
                <w:p>
                  <w:pPr>
                    <w:pStyle w:val="60"/>
                    <w:rPr>
                      <w:rFonts w:ascii="Times New Roman"/>
                      <w:bCs/>
                      <w:sz w:val="21"/>
                      <w:szCs w:val="21"/>
                    </w:rPr>
                  </w:pPr>
                </w:p>
              </w:tc>
              <w:tc>
                <w:tcPr>
                  <w:tcW w:w="2142" w:type="dxa"/>
                  <w:vAlign w:val="center"/>
                </w:tcPr>
                <w:p>
                  <w:pPr>
                    <w:pStyle w:val="60"/>
                    <w:rPr>
                      <w:rFonts w:ascii="Times New Roman"/>
                      <w:bCs/>
                      <w:sz w:val="21"/>
                      <w:szCs w:val="21"/>
                    </w:rPr>
                  </w:pPr>
                  <w:r>
                    <w:rPr>
                      <w:rFonts w:ascii="Times New Roman"/>
                      <w:bCs/>
                      <w:sz w:val="21"/>
                      <w:szCs w:val="21"/>
                    </w:rPr>
                    <w:t>30 mg/m</w:t>
                  </w:r>
                  <w:r>
                    <w:rPr>
                      <w:rFonts w:ascii="Times New Roman"/>
                      <w:bCs/>
                      <w:sz w:val="21"/>
                      <w:szCs w:val="21"/>
                      <w:vertAlign w:val="superscript"/>
                    </w:rPr>
                    <w:t>3</w:t>
                  </w:r>
                </w:p>
              </w:tc>
              <w:tc>
                <w:tcPr>
                  <w:tcW w:w="2855" w:type="dxa"/>
                  <w:vAlign w:val="center"/>
                </w:tcPr>
                <w:p>
                  <w:pPr>
                    <w:pStyle w:val="60"/>
                    <w:rPr>
                      <w:rFonts w:ascii="Times New Roman"/>
                      <w:bCs/>
                      <w:sz w:val="21"/>
                      <w:szCs w:val="21"/>
                    </w:rPr>
                  </w:pPr>
                  <w:r>
                    <w:rPr>
                      <w:rFonts w:ascii="Times New Roman"/>
                      <w:bCs/>
                      <w:sz w:val="21"/>
                      <w:szCs w:val="21"/>
                    </w:rPr>
                    <w:t>监控点处任意一次浓度值</w:t>
                  </w:r>
                </w:p>
              </w:tc>
              <w:tc>
                <w:tcPr>
                  <w:tcW w:w="1554" w:type="dxa"/>
                  <w:vMerge w:val="continue"/>
                  <w:vAlign w:val="center"/>
                </w:tcPr>
                <w:p>
                  <w:pPr>
                    <w:pStyle w:val="60"/>
                    <w:rPr>
                      <w:rFonts w:ascii="Times New Roman"/>
                      <w:bCs/>
                      <w:sz w:val="21"/>
                      <w:szCs w:val="21"/>
                    </w:rPr>
                  </w:pPr>
                </w:p>
              </w:tc>
            </w:tr>
          </w:tbl>
          <w:p>
            <w:pPr>
              <w:snapToGrid w:val="0"/>
              <w:ind w:firstLine="422" w:firstLineChars="200"/>
              <w:rPr>
                <w:b/>
                <w:szCs w:val="21"/>
              </w:rPr>
            </w:pPr>
          </w:p>
          <w:p>
            <w:pPr>
              <w:snapToGrid w:val="0"/>
              <w:spacing w:before="120" w:beforeLines="50" w:line="360" w:lineRule="auto"/>
              <w:ind w:firstLine="422" w:firstLineChars="200"/>
              <w:rPr>
                <w:b/>
                <w:szCs w:val="21"/>
              </w:rPr>
            </w:pPr>
            <w:r>
              <w:rPr>
                <w:b/>
                <w:szCs w:val="21"/>
              </w:rPr>
              <w:t>2、废水排放标准</w:t>
            </w:r>
          </w:p>
          <w:p>
            <w:pPr>
              <w:pStyle w:val="63"/>
              <w:adjustRightInd w:val="0"/>
              <w:snapToGrid w:val="0"/>
              <w:ind w:firstLine="420" w:firstLineChars="200"/>
              <w:jc w:val="left"/>
              <w:rPr>
                <w:rFonts w:ascii="Times New Roman" w:hAnsi="Times New Roman"/>
                <w:kern w:val="2"/>
                <w:sz w:val="21"/>
                <w:szCs w:val="21"/>
              </w:rPr>
            </w:pPr>
            <w:r>
              <w:rPr>
                <w:rFonts w:ascii="Times New Roman" w:hAnsi="Times New Roman"/>
                <w:kern w:val="2"/>
                <w:sz w:val="21"/>
                <w:szCs w:val="21"/>
              </w:rPr>
              <w:t>项目运营期产生的废水为生活污水和地面冲洗废水。生活污水拟采用化粪池处理后与地面冲洗废水经隔油沉淀池处理达到宁都县污水处理厂接管标准后，即《污水综合排放标准》（GB8978-1996）三级标准，经市政管网排入宁都县污水处理厂进行处理，经其处理达到《城镇污水处理厂污染物排放标准》（GB18918-2002）一级A标准后</w:t>
            </w:r>
            <w:r>
              <w:rPr>
                <w:rFonts w:ascii="Times New Roman" w:hAnsi="Times New Roman"/>
                <w:sz w:val="21"/>
                <w:szCs w:val="21"/>
              </w:rPr>
              <w:t>排入梅江河</w:t>
            </w:r>
            <w:r>
              <w:rPr>
                <w:rFonts w:ascii="Times New Roman" w:hAnsi="Times New Roman"/>
                <w:kern w:val="2"/>
                <w:sz w:val="21"/>
                <w:szCs w:val="21"/>
              </w:rPr>
              <w:t>。本项目废水排放执行宁都县污水处理厂</w:t>
            </w:r>
            <w:r>
              <w:rPr>
                <w:rFonts w:ascii="Times New Roman" w:hAnsi="Times New Roman"/>
                <w:sz w:val="21"/>
                <w:szCs w:val="21"/>
              </w:rPr>
              <w:t>接管标准</w:t>
            </w:r>
            <w:r>
              <w:rPr>
                <w:rFonts w:ascii="Times New Roman" w:hAnsi="Times New Roman"/>
                <w:kern w:val="2"/>
                <w:sz w:val="21"/>
                <w:szCs w:val="21"/>
              </w:rPr>
              <w:t>，具体标准限值见表3-11。</w:t>
            </w:r>
          </w:p>
          <w:p>
            <w:pPr>
              <w:pStyle w:val="64"/>
              <w:adjustRightInd w:val="0"/>
              <w:snapToGrid w:val="0"/>
              <w:spacing w:beforeLines="50" w:after="0" w:line="276" w:lineRule="auto"/>
              <w:rPr>
                <w:kern w:val="0"/>
                <w:sz w:val="21"/>
                <w:szCs w:val="21"/>
              </w:rPr>
            </w:pPr>
            <w:r>
              <w:rPr>
                <w:kern w:val="0"/>
                <w:sz w:val="21"/>
                <w:szCs w:val="21"/>
              </w:rPr>
              <w:t>表3-11  项目废水排放执行标准单位：mg/L(pH除外)</w:t>
            </w:r>
          </w:p>
          <w:tbl>
            <w:tblPr>
              <w:tblStyle w:val="21"/>
              <w:tblW w:w="79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44"/>
              <w:gridCol w:w="761"/>
              <w:gridCol w:w="762"/>
              <w:gridCol w:w="762"/>
              <w:gridCol w:w="762"/>
              <w:gridCol w:w="762"/>
              <w:gridCol w:w="762"/>
              <w:gridCol w:w="762"/>
              <w:gridCol w:w="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44" w:type="dxa"/>
                  <w:vAlign w:val="center"/>
                </w:tcPr>
                <w:p>
                  <w:pPr>
                    <w:pStyle w:val="75"/>
                    <w:adjustRightInd w:val="0"/>
                    <w:snapToGrid w:val="0"/>
                    <w:spacing w:before="0" w:after="0"/>
                    <w:rPr>
                      <w:bCs/>
                    </w:rPr>
                  </w:pPr>
                  <w:r>
                    <w:rPr>
                      <w:bCs/>
                    </w:rPr>
                    <w:t>标准</w:t>
                  </w:r>
                </w:p>
              </w:tc>
              <w:tc>
                <w:tcPr>
                  <w:tcW w:w="761" w:type="dxa"/>
                  <w:vAlign w:val="center"/>
                </w:tcPr>
                <w:p>
                  <w:pPr>
                    <w:pStyle w:val="75"/>
                    <w:adjustRightInd w:val="0"/>
                    <w:snapToGrid w:val="0"/>
                    <w:spacing w:before="0" w:after="0"/>
                    <w:rPr>
                      <w:bCs/>
                    </w:rPr>
                  </w:pPr>
                  <w:r>
                    <w:rPr>
                      <w:bCs/>
                    </w:rPr>
                    <w:t>pH</w:t>
                  </w:r>
                </w:p>
              </w:tc>
              <w:tc>
                <w:tcPr>
                  <w:tcW w:w="762" w:type="dxa"/>
                  <w:vAlign w:val="center"/>
                </w:tcPr>
                <w:p>
                  <w:pPr>
                    <w:pStyle w:val="75"/>
                    <w:adjustRightInd w:val="0"/>
                    <w:snapToGrid w:val="0"/>
                    <w:spacing w:before="0" w:after="0"/>
                    <w:rPr>
                      <w:bCs/>
                    </w:rPr>
                  </w:pPr>
                  <w:r>
                    <w:rPr>
                      <w:bCs/>
                    </w:rPr>
                    <w:t>CODcr</w:t>
                  </w:r>
                </w:p>
              </w:tc>
              <w:tc>
                <w:tcPr>
                  <w:tcW w:w="762" w:type="dxa"/>
                  <w:vAlign w:val="center"/>
                </w:tcPr>
                <w:p>
                  <w:pPr>
                    <w:pStyle w:val="75"/>
                    <w:adjustRightInd w:val="0"/>
                    <w:snapToGrid w:val="0"/>
                    <w:spacing w:before="0" w:after="0"/>
                    <w:rPr>
                      <w:bCs/>
                    </w:rPr>
                  </w:pPr>
                  <w:r>
                    <w:rPr>
                      <w:bCs/>
                    </w:rPr>
                    <w:t>BOD</w:t>
                  </w:r>
                  <w:r>
                    <w:rPr>
                      <w:bCs/>
                      <w:vertAlign w:val="subscript"/>
                    </w:rPr>
                    <w:t>5</w:t>
                  </w:r>
                </w:p>
              </w:tc>
              <w:tc>
                <w:tcPr>
                  <w:tcW w:w="762" w:type="dxa"/>
                  <w:vAlign w:val="center"/>
                </w:tcPr>
                <w:p>
                  <w:pPr>
                    <w:pStyle w:val="75"/>
                    <w:adjustRightInd w:val="0"/>
                    <w:snapToGrid w:val="0"/>
                    <w:spacing w:before="0" w:after="0"/>
                    <w:rPr>
                      <w:bCs/>
                    </w:rPr>
                  </w:pPr>
                  <w:r>
                    <w:rPr>
                      <w:bCs/>
                    </w:rPr>
                    <w:t>SS</w:t>
                  </w:r>
                </w:p>
              </w:tc>
              <w:tc>
                <w:tcPr>
                  <w:tcW w:w="762" w:type="dxa"/>
                  <w:vAlign w:val="center"/>
                </w:tcPr>
                <w:p>
                  <w:pPr>
                    <w:pStyle w:val="75"/>
                    <w:adjustRightInd w:val="0"/>
                    <w:snapToGrid w:val="0"/>
                    <w:spacing w:before="0" w:after="0"/>
                    <w:rPr>
                      <w:bCs/>
                    </w:rPr>
                  </w:pPr>
                  <w:r>
                    <w:rPr>
                      <w:bCs/>
                    </w:rPr>
                    <w:t>氨氮</w:t>
                  </w:r>
                </w:p>
              </w:tc>
              <w:tc>
                <w:tcPr>
                  <w:tcW w:w="762" w:type="dxa"/>
                  <w:vAlign w:val="center"/>
                </w:tcPr>
                <w:p>
                  <w:pPr>
                    <w:pStyle w:val="75"/>
                    <w:adjustRightInd w:val="0"/>
                    <w:snapToGrid w:val="0"/>
                    <w:spacing w:before="0" w:after="0"/>
                    <w:rPr>
                      <w:bCs/>
                    </w:rPr>
                  </w:pPr>
                  <w:r>
                    <w:rPr>
                      <w:bCs/>
                    </w:rPr>
                    <w:t>石油类</w:t>
                  </w:r>
                </w:p>
              </w:tc>
              <w:tc>
                <w:tcPr>
                  <w:tcW w:w="762" w:type="dxa"/>
                  <w:vAlign w:val="center"/>
                </w:tcPr>
                <w:p>
                  <w:pPr>
                    <w:pStyle w:val="75"/>
                    <w:adjustRightInd w:val="0"/>
                    <w:snapToGrid w:val="0"/>
                    <w:spacing w:before="0" w:after="0"/>
                    <w:rPr>
                      <w:bCs/>
                    </w:rPr>
                  </w:pPr>
                  <w:r>
                    <w:rPr>
                      <w:bCs/>
                    </w:rPr>
                    <w:t>总氮</w:t>
                  </w:r>
                </w:p>
              </w:tc>
              <w:tc>
                <w:tcPr>
                  <w:tcW w:w="762" w:type="dxa"/>
                  <w:vAlign w:val="center"/>
                </w:tcPr>
                <w:p>
                  <w:pPr>
                    <w:pStyle w:val="75"/>
                    <w:adjustRightInd w:val="0"/>
                    <w:snapToGrid w:val="0"/>
                    <w:spacing w:before="0" w:after="0"/>
                    <w:rPr>
                      <w:bCs/>
                    </w:rPr>
                  </w:pPr>
                  <w:r>
                    <w:rPr>
                      <w:bCs/>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44" w:type="dxa"/>
                  <w:vAlign w:val="center"/>
                </w:tcPr>
                <w:p>
                  <w:pPr>
                    <w:pStyle w:val="75"/>
                    <w:adjustRightInd w:val="0"/>
                    <w:snapToGrid w:val="0"/>
                    <w:spacing w:before="0" w:after="0"/>
                    <w:rPr>
                      <w:bCs/>
                    </w:rPr>
                  </w:pPr>
                  <w:r>
                    <w:t>宁都县污水处理厂接管标准</w:t>
                  </w:r>
                </w:p>
              </w:tc>
              <w:tc>
                <w:tcPr>
                  <w:tcW w:w="761" w:type="dxa"/>
                  <w:vAlign w:val="center"/>
                </w:tcPr>
                <w:p>
                  <w:pPr>
                    <w:pStyle w:val="75"/>
                    <w:adjustRightInd w:val="0"/>
                    <w:snapToGrid w:val="0"/>
                    <w:spacing w:before="0" w:after="0"/>
                    <w:rPr>
                      <w:bCs/>
                    </w:rPr>
                  </w:pPr>
                  <w:r>
                    <w:rPr>
                      <w:bCs/>
                    </w:rPr>
                    <w:t>6~9</w:t>
                  </w:r>
                </w:p>
              </w:tc>
              <w:tc>
                <w:tcPr>
                  <w:tcW w:w="762" w:type="dxa"/>
                  <w:vAlign w:val="center"/>
                </w:tcPr>
                <w:p>
                  <w:pPr>
                    <w:pStyle w:val="75"/>
                    <w:adjustRightInd w:val="0"/>
                    <w:snapToGrid w:val="0"/>
                    <w:spacing w:before="0" w:after="0"/>
                    <w:rPr>
                      <w:bCs/>
                    </w:rPr>
                  </w:pPr>
                  <w:r>
                    <w:rPr>
                      <w:bCs/>
                    </w:rPr>
                    <w:t>500</w:t>
                  </w:r>
                </w:p>
              </w:tc>
              <w:tc>
                <w:tcPr>
                  <w:tcW w:w="762" w:type="dxa"/>
                  <w:vAlign w:val="center"/>
                </w:tcPr>
                <w:p>
                  <w:pPr>
                    <w:pStyle w:val="75"/>
                    <w:adjustRightInd w:val="0"/>
                    <w:snapToGrid w:val="0"/>
                    <w:spacing w:before="0" w:after="0"/>
                    <w:rPr>
                      <w:bCs/>
                    </w:rPr>
                  </w:pPr>
                  <w:r>
                    <w:rPr>
                      <w:bCs/>
                    </w:rPr>
                    <w:t>300</w:t>
                  </w:r>
                </w:p>
              </w:tc>
              <w:tc>
                <w:tcPr>
                  <w:tcW w:w="762" w:type="dxa"/>
                  <w:vAlign w:val="center"/>
                </w:tcPr>
                <w:p>
                  <w:pPr>
                    <w:pStyle w:val="75"/>
                    <w:adjustRightInd w:val="0"/>
                    <w:snapToGrid w:val="0"/>
                    <w:spacing w:before="0" w:after="0"/>
                    <w:rPr>
                      <w:bCs/>
                    </w:rPr>
                  </w:pPr>
                  <w:r>
                    <w:rPr>
                      <w:bCs/>
                    </w:rPr>
                    <w:t>400</w:t>
                  </w:r>
                </w:p>
              </w:tc>
              <w:tc>
                <w:tcPr>
                  <w:tcW w:w="762" w:type="dxa"/>
                  <w:vAlign w:val="center"/>
                </w:tcPr>
                <w:p>
                  <w:pPr>
                    <w:pStyle w:val="75"/>
                    <w:adjustRightInd w:val="0"/>
                    <w:snapToGrid w:val="0"/>
                    <w:spacing w:before="0" w:after="0"/>
                    <w:rPr>
                      <w:bCs/>
                    </w:rPr>
                  </w:pPr>
                  <w:r>
                    <w:rPr>
                      <w:bCs/>
                    </w:rPr>
                    <w:t>/</w:t>
                  </w:r>
                </w:p>
              </w:tc>
              <w:tc>
                <w:tcPr>
                  <w:tcW w:w="762" w:type="dxa"/>
                  <w:vAlign w:val="center"/>
                </w:tcPr>
                <w:p>
                  <w:pPr>
                    <w:pStyle w:val="75"/>
                    <w:adjustRightInd w:val="0"/>
                    <w:snapToGrid w:val="0"/>
                    <w:spacing w:before="0" w:after="0"/>
                    <w:rPr>
                      <w:kern w:val="18"/>
                    </w:rPr>
                  </w:pPr>
                  <w:r>
                    <w:rPr>
                      <w:kern w:val="18"/>
                    </w:rPr>
                    <w:t>20</w:t>
                  </w:r>
                </w:p>
              </w:tc>
              <w:tc>
                <w:tcPr>
                  <w:tcW w:w="762" w:type="dxa"/>
                  <w:vAlign w:val="center"/>
                </w:tcPr>
                <w:p>
                  <w:pPr>
                    <w:pStyle w:val="75"/>
                    <w:adjustRightInd w:val="0"/>
                    <w:snapToGrid w:val="0"/>
                    <w:spacing w:before="0" w:after="0"/>
                    <w:rPr>
                      <w:kern w:val="18"/>
                    </w:rPr>
                  </w:pPr>
                  <w:r>
                    <w:rPr>
                      <w:kern w:val="18"/>
                    </w:rPr>
                    <w:t>/</w:t>
                  </w:r>
                </w:p>
              </w:tc>
              <w:tc>
                <w:tcPr>
                  <w:tcW w:w="762" w:type="dxa"/>
                  <w:vAlign w:val="center"/>
                </w:tcPr>
                <w:p>
                  <w:pPr>
                    <w:pStyle w:val="75"/>
                    <w:adjustRightInd w:val="0"/>
                    <w:snapToGrid w:val="0"/>
                    <w:spacing w:before="0" w:after="0"/>
                    <w:rPr>
                      <w:kern w:val="18"/>
                    </w:rPr>
                  </w:pPr>
                  <w:r>
                    <w:rPr>
                      <w:kern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44" w:type="dxa"/>
                  <w:vAlign w:val="center"/>
                </w:tcPr>
                <w:p>
                  <w:pPr>
                    <w:pStyle w:val="75"/>
                    <w:adjustRightInd w:val="0"/>
                    <w:snapToGrid w:val="0"/>
                    <w:spacing w:before="0" w:after="0"/>
                    <w:rPr>
                      <w:bCs/>
                    </w:rPr>
                  </w:pPr>
                  <w:r>
                    <w:rPr>
                      <w:bCs/>
                    </w:rPr>
                    <w:t>城镇污水处理厂排放标准一级A标准</w:t>
                  </w:r>
                </w:p>
              </w:tc>
              <w:tc>
                <w:tcPr>
                  <w:tcW w:w="761" w:type="dxa"/>
                  <w:vAlign w:val="center"/>
                </w:tcPr>
                <w:p>
                  <w:pPr>
                    <w:pStyle w:val="75"/>
                    <w:adjustRightInd w:val="0"/>
                    <w:snapToGrid w:val="0"/>
                    <w:spacing w:before="0" w:after="0"/>
                    <w:rPr>
                      <w:bCs/>
                    </w:rPr>
                  </w:pPr>
                  <w:r>
                    <w:rPr>
                      <w:bCs/>
                    </w:rPr>
                    <w:t>6~9</w:t>
                  </w:r>
                </w:p>
              </w:tc>
              <w:tc>
                <w:tcPr>
                  <w:tcW w:w="762" w:type="dxa"/>
                  <w:vAlign w:val="center"/>
                </w:tcPr>
                <w:p>
                  <w:pPr>
                    <w:pStyle w:val="75"/>
                    <w:adjustRightInd w:val="0"/>
                    <w:snapToGrid w:val="0"/>
                    <w:spacing w:before="0" w:after="0"/>
                    <w:rPr>
                      <w:bCs/>
                    </w:rPr>
                  </w:pPr>
                  <w:r>
                    <w:rPr>
                      <w:bCs/>
                    </w:rPr>
                    <w:t>50</w:t>
                  </w:r>
                </w:p>
              </w:tc>
              <w:tc>
                <w:tcPr>
                  <w:tcW w:w="762" w:type="dxa"/>
                  <w:vAlign w:val="center"/>
                </w:tcPr>
                <w:p>
                  <w:pPr>
                    <w:pStyle w:val="75"/>
                    <w:adjustRightInd w:val="0"/>
                    <w:snapToGrid w:val="0"/>
                    <w:spacing w:before="0" w:after="0"/>
                    <w:rPr>
                      <w:bCs/>
                    </w:rPr>
                  </w:pPr>
                  <w:r>
                    <w:rPr>
                      <w:bCs/>
                    </w:rPr>
                    <w:t>10</w:t>
                  </w:r>
                </w:p>
              </w:tc>
              <w:tc>
                <w:tcPr>
                  <w:tcW w:w="762" w:type="dxa"/>
                  <w:vAlign w:val="center"/>
                </w:tcPr>
                <w:p>
                  <w:pPr>
                    <w:pStyle w:val="75"/>
                    <w:adjustRightInd w:val="0"/>
                    <w:snapToGrid w:val="0"/>
                    <w:spacing w:before="0" w:after="0"/>
                    <w:rPr>
                      <w:bCs/>
                    </w:rPr>
                  </w:pPr>
                  <w:r>
                    <w:rPr>
                      <w:bCs/>
                    </w:rPr>
                    <w:t>10</w:t>
                  </w:r>
                </w:p>
              </w:tc>
              <w:tc>
                <w:tcPr>
                  <w:tcW w:w="762" w:type="dxa"/>
                  <w:vAlign w:val="center"/>
                </w:tcPr>
                <w:p>
                  <w:pPr>
                    <w:pStyle w:val="75"/>
                    <w:adjustRightInd w:val="0"/>
                    <w:snapToGrid w:val="0"/>
                    <w:spacing w:before="0" w:after="0"/>
                    <w:rPr>
                      <w:bCs/>
                    </w:rPr>
                  </w:pPr>
                  <w:r>
                    <w:rPr>
                      <w:bCs/>
                    </w:rPr>
                    <w:t>5</w:t>
                  </w:r>
                </w:p>
              </w:tc>
              <w:tc>
                <w:tcPr>
                  <w:tcW w:w="762" w:type="dxa"/>
                  <w:vAlign w:val="center"/>
                </w:tcPr>
                <w:p>
                  <w:pPr>
                    <w:pStyle w:val="75"/>
                    <w:adjustRightInd w:val="0"/>
                    <w:snapToGrid w:val="0"/>
                    <w:spacing w:before="0" w:after="0"/>
                    <w:rPr>
                      <w:bCs/>
                    </w:rPr>
                  </w:pPr>
                  <w:r>
                    <w:rPr>
                      <w:bCs/>
                    </w:rPr>
                    <w:t>1</w:t>
                  </w:r>
                </w:p>
              </w:tc>
              <w:tc>
                <w:tcPr>
                  <w:tcW w:w="762" w:type="dxa"/>
                  <w:vAlign w:val="center"/>
                </w:tcPr>
                <w:p>
                  <w:pPr>
                    <w:pStyle w:val="75"/>
                    <w:adjustRightInd w:val="0"/>
                    <w:snapToGrid w:val="0"/>
                    <w:spacing w:before="0" w:after="0"/>
                    <w:rPr>
                      <w:bCs/>
                    </w:rPr>
                  </w:pPr>
                  <w:r>
                    <w:rPr>
                      <w:bCs/>
                    </w:rPr>
                    <w:t>15</w:t>
                  </w:r>
                </w:p>
              </w:tc>
              <w:tc>
                <w:tcPr>
                  <w:tcW w:w="762" w:type="dxa"/>
                  <w:vAlign w:val="center"/>
                </w:tcPr>
                <w:p>
                  <w:pPr>
                    <w:pStyle w:val="75"/>
                    <w:adjustRightInd w:val="0"/>
                    <w:snapToGrid w:val="0"/>
                    <w:spacing w:before="0" w:after="0"/>
                    <w:rPr>
                      <w:bCs/>
                    </w:rPr>
                  </w:pPr>
                  <w:r>
                    <w:rPr>
                      <w:bCs/>
                    </w:rPr>
                    <w:t>0.5</w:t>
                  </w:r>
                </w:p>
              </w:tc>
            </w:tr>
          </w:tbl>
          <w:p>
            <w:pPr>
              <w:snapToGrid w:val="0"/>
              <w:rPr>
                <w:b/>
                <w:szCs w:val="21"/>
              </w:rPr>
            </w:pPr>
          </w:p>
          <w:p>
            <w:pPr>
              <w:snapToGrid w:val="0"/>
              <w:spacing w:before="120" w:beforeLines="50" w:line="360" w:lineRule="auto"/>
              <w:ind w:firstLine="422" w:firstLineChars="200"/>
              <w:rPr>
                <w:b/>
                <w:szCs w:val="21"/>
              </w:rPr>
            </w:pPr>
            <w:r>
              <w:rPr>
                <w:b/>
                <w:szCs w:val="21"/>
              </w:rPr>
              <w:t>3、噪声排放标准</w:t>
            </w:r>
          </w:p>
          <w:p>
            <w:pPr>
              <w:snapToGrid w:val="0"/>
              <w:spacing w:line="360" w:lineRule="auto"/>
              <w:ind w:firstLine="420" w:firstLineChars="200"/>
              <w:rPr>
                <w:bCs/>
                <w:szCs w:val="21"/>
              </w:rPr>
            </w:pPr>
            <w:r>
              <w:rPr>
                <w:bCs/>
                <w:szCs w:val="21"/>
              </w:rPr>
              <w:t>项目施工期噪声排放执行《建筑施工场界环境噪声排放标准》（GB12523－2011）标准；营运期噪声西侧临近G236道路厂界执行《工业企业厂界环境噪声排放标准》（GB12348-2008）4类标准，其余三侧执行2类标准，详见表3-12、表3-13。</w:t>
            </w:r>
          </w:p>
          <w:p>
            <w:pPr>
              <w:pStyle w:val="17"/>
              <w:spacing w:before="0" w:beforeAutospacing="0" w:after="0" w:afterAutospacing="0"/>
              <w:jc w:val="center"/>
              <w:rPr>
                <w:rFonts w:ascii="Times New Roman" w:hAnsi="Times New Roman"/>
                <w:b/>
                <w:bCs/>
                <w:sz w:val="21"/>
                <w:szCs w:val="21"/>
                <w:lang w:bidi="ar"/>
              </w:rPr>
            </w:pPr>
            <w:r>
              <w:rPr>
                <w:rFonts w:ascii="Times New Roman" w:hAnsi="Times New Roman"/>
                <w:b/>
                <w:bCs/>
                <w:sz w:val="21"/>
                <w:szCs w:val="21"/>
                <w:lang w:bidi="ar"/>
              </w:rPr>
              <w:t>表3-12  建筑施工场界环境噪声排放标准 等效声级LAeq：dB（A）</w:t>
            </w:r>
          </w:p>
          <w:tbl>
            <w:tblPr>
              <w:tblStyle w:val="21"/>
              <w:tblW w:w="79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58"/>
              <w:gridCol w:w="989"/>
              <w:gridCol w:w="1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8" w:type="dxa"/>
                  <w:vAlign w:val="center"/>
                </w:tcPr>
                <w:p>
                  <w:pPr>
                    <w:adjustRightInd w:val="0"/>
                    <w:jc w:val="center"/>
                    <w:textAlignment w:val="baseline"/>
                    <w:rPr>
                      <w:b/>
                      <w:bCs/>
                      <w:szCs w:val="21"/>
                    </w:rPr>
                  </w:pPr>
                  <w:r>
                    <w:rPr>
                      <w:b/>
                      <w:bCs/>
                      <w:szCs w:val="21"/>
                    </w:rPr>
                    <w:t>标准</w:t>
                  </w:r>
                </w:p>
              </w:tc>
              <w:tc>
                <w:tcPr>
                  <w:tcW w:w="989" w:type="dxa"/>
                  <w:vAlign w:val="center"/>
                </w:tcPr>
                <w:p>
                  <w:pPr>
                    <w:adjustRightInd w:val="0"/>
                    <w:jc w:val="center"/>
                    <w:textAlignment w:val="baseline"/>
                    <w:rPr>
                      <w:b/>
                      <w:bCs/>
                      <w:szCs w:val="21"/>
                    </w:rPr>
                  </w:pPr>
                  <w:r>
                    <w:rPr>
                      <w:b/>
                      <w:bCs/>
                      <w:szCs w:val="21"/>
                    </w:rPr>
                    <w:t>昼间</w:t>
                  </w:r>
                </w:p>
              </w:tc>
              <w:tc>
                <w:tcPr>
                  <w:tcW w:w="1254" w:type="dxa"/>
                  <w:vAlign w:val="center"/>
                </w:tcPr>
                <w:p>
                  <w:pPr>
                    <w:adjustRightInd w:val="0"/>
                    <w:jc w:val="center"/>
                    <w:textAlignment w:val="baseline"/>
                    <w:rPr>
                      <w:b/>
                      <w:bCs/>
                      <w:szCs w:val="21"/>
                    </w:rPr>
                  </w:pPr>
                  <w:r>
                    <w:rPr>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8" w:type="dxa"/>
                  <w:vAlign w:val="center"/>
                </w:tcPr>
                <w:p>
                  <w:pPr>
                    <w:adjustRightInd w:val="0"/>
                    <w:jc w:val="center"/>
                    <w:textAlignment w:val="baseline"/>
                    <w:rPr>
                      <w:szCs w:val="21"/>
                    </w:rPr>
                  </w:pPr>
                  <w:r>
                    <w:rPr>
                      <w:szCs w:val="21"/>
                    </w:rPr>
                    <w:t>《建筑施工场界环境噪声排放标准》（GB12523－2011）</w:t>
                  </w:r>
                </w:p>
              </w:tc>
              <w:tc>
                <w:tcPr>
                  <w:tcW w:w="989" w:type="dxa"/>
                  <w:vAlign w:val="center"/>
                </w:tcPr>
                <w:p>
                  <w:pPr>
                    <w:adjustRightInd w:val="0"/>
                    <w:jc w:val="center"/>
                    <w:textAlignment w:val="baseline"/>
                    <w:rPr>
                      <w:szCs w:val="21"/>
                    </w:rPr>
                  </w:pPr>
                  <w:r>
                    <w:rPr>
                      <w:szCs w:val="21"/>
                    </w:rPr>
                    <w:t>70</w:t>
                  </w:r>
                </w:p>
              </w:tc>
              <w:tc>
                <w:tcPr>
                  <w:tcW w:w="1254" w:type="dxa"/>
                  <w:vAlign w:val="center"/>
                </w:tcPr>
                <w:p>
                  <w:pPr>
                    <w:adjustRightInd w:val="0"/>
                    <w:jc w:val="center"/>
                    <w:textAlignment w:val="baseline"/>
                    <w:rPr>
                      <w:szCs w:val="21"/>
                    </w:rPr>
                  </w:pPr>
                  <w:r>
                    <w:rPr>
                      <w:szCs w:val="21"/>
                    </w:rPr>
                    <w:t>55</w:t>
                  </w:r>
                </w:p>
              </w:tc>
            </w:tr>
          </w:tbl>
          <w:p>
            <w:pPr>
              <w:spacing w:line="276" w:lineRule="auto"/>
              <w:rPr>
                <w:b/>
                <w:bCs/>
                <w:szCs w:val="21"/>
              </w:rPr>
            </w:pPr>
          </w:p>
          <w:p>
            <w:pPr>
              <w:spacing w:line="276" w:lineRule="auto"/>
              <w:rPr>
                <w:b/>
                <w:bCs/>
                <w:szCs w:val="21"/>
              </w:rPr>
            </w:pPr>
          </w:p>
          <w:p>
            <w:pPr>
              <w:spacing w:line="276" w:lineRule="auto"/>
              <w:jc w:val="center"/>
              <w:rPr>
                <w:b/>
                <w:bCs/>
                <w:szCs w:val="21"/>
              </w:rPr>
            </w:pPr>
            <w:r>
              <w:rPr>
                <w:b/>
                <w:bCs/>
                <w:szCs w:val="21"/>
              </w:rPr>
              <w:t xml:space="preserve">表3-13  《工业企业厂界环境噪声排放标准》（GB12348-2008） </w:t>
            </w:r>
          </w:p>
          <w:tbl>
            <w:tblPr>
              <w:tblStyle w:val="21"/>
              <w:tblW w:w="794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048"/>
              <w:gridCol w:w="2949"/>
              <w:gridCol w:w="294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048" w:type="dxa"/>
                  <w:vAlign w:val="center"/>
                </w:tcPr>
                <w:p>
                  <w:pPr>
                    <w:jc w:val="center"/>
                    <w:rPr>
                      <w:bCs/>
                      <w:szCs w:val="21"/>
                    </w:rPr>
                  </w:pPr>
                  <w:r>
                    <w:rPr>
                      <w:bCs/>
                      <w:szCs w:val="21"/>
                    </w:rPr>
                    <w:t>类别</w:t>
                  </w:r>
                </w:p>
              </w:tc>
              <w:tc>
                <w:tcPr>
                  <w:tcW w:w="2949" w:type="dxa"/>
                  <w:vAlign w:val="center"/>
                </w:tcPr>
                <w:p>
                  <w:pPr>
                    <w:jc w:val="center"/>
                    <w:rPr>
                      <w:bCs/>
                      <w:szCs w:val="21"/>
                    </w:rPr>
                  </w:pPr>
                  <w:r>
                    <w:rPr>
                      <w:bCs/>
                      <w:szCs w:val="21"/>
                    </w:rPr>
                    <w:t>昼间</w:t>
                  </w:r>
                </w:p>
              </w:tc>
              <w:tc>
                <w:tcPr>
                  <w:tcW w:w="2946" w:type="dxa"/>
                  <w:vAlign w:val="center"/>
                </w:tcPr>
                <w:p>
                  <w:pPr>
                    <w:jc w:val="center"/>
                    <w:rPr>
                      <w:bCs/>
                      <w:szCs w:val="21"/>
                    </w:rPr>
                  </w:pPr>
                  <w:r>
                    <w:rPr>
                      <w:bCs/>
                      <w:szCs w:val="21"/>
                    </w:rPr>
                    <w:t>夜间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048" w:type="dxa"/>
                  <w:vAlign w:val="center"/>
                </w:tcPr>
                <w:p>
                  <w:pPr>
                    <w:jc w:val="center"/>
                    <w:rPr>
                      <w:szCs w:val="21"/>
                    </w:rPr>
                  </w:pPr>
                  <w:r>
                    <w:rPr>
                      <w:szCs w:val="21"/>
                    </w:rPr>
                    <w:t>2类</w:t>
                  </w:r>
                </w:p>
              </w:tc>
              <w:tc>
                <w:tcPr>
                  <w:tcW w:w="2949" w:type="dxa"/>
                  <w:vAlign w:val="center"/>
                </w:tcPr>
                <w:p>
                  <w:pPr>
                    <w:jc w:val="center"/>
                    <w:rPr>
                      <w:szCs w:val="21"/>
                    </w:rPr>
                  </w:pPr>
                  <w:r>
                    <w:rPr>
                      <w:szCs w:val="21"/>
                    </w:rPr>
                    <w:t>60</w:t>
                  </w:r>
                  <w:r>
                    <w:rPr>
                      <w:bCs/>
                      <w:szCs w:val="21"/>
                    </w:rPr>
                    <w:t xml:space="preserve"> dB（A）</w:t>
                  </w:r>
                </w:p>
              </w:tc>
              <w:tc>
                <w:tcPr>
                  <w:tcW w:w="2946" w:type="dxa"/>
                  <w:vAlign w:val="center"/>
                </w:tcPr>
                <w:p>
                  <w:pPr>
                    <w:jc w:val="center"/>
                    <w:rPr>
                      <w:bCs/>
                      <w:szCs w:val="21"/>
                    </w:rPr>
                  </w:pPr>
                  <w:r>
                    <w:rPr>
                      <w:bCs/>
                      <w:szCs w:val="21"/>
                    </w:rPr>
                    <w:t>50dB（A）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048" w:type="dxa"/>
                  <w:vAlign w:val="center"/>
                </w:tcPr>
                <w:p>
                  <w:pPr>
                    <w:jc w:val="center"/>
                    <w:rPr>
                      <w:szCs w:val="21"/>
                    </w:rPr>
                  </w:pPr>
                  <w:r>
                    <w:rPr>
                      <w:szCs w:val="21"/>
                    </w:rPr>
                    <w:t>4类</w:t>
                  </w:r>
                </w:p>
              </w:tc>
              <w:tc>
                <w:tcPr>
                  <w:tcW w:w="2949" w:type="dxa"/>
                  <w:vAlign w:val="center"/>
                </w:tcPr>
                <w:p>
                  <w:pPr>
                    <w:jc w:val="center"/>
                    <w:rPr>
                      <w:szCs w:val="21"/>
                    </w:rPr>
                  </w:pPr>
                  <w:r>
                    <w:rPr>
                      <w:szCs w:val="21"/>
                    </w:rPr>
                    <w:t>70</w:t>
                  </w:r>
                  <w:r>
                    <w:rPr>
                      <w:bCs/>
                      <w:szCs w:val="21"/>
                    </w:rPr>
                    <w:t xml:space="preserve"> dB（A）</w:t>
                  </w:r>
                </w:p>
              </w:tc>
              <w:tc>
                <w:tcPr>
                  <w:tcW w:w="2946" w:type="dxa"/>
                  <w:vAlign w:val="center"/>
                </w:tcPr>
                <w:p>
                  <w:pPr>
                    <w:jc w:val="center"/>
                    <w:rPr>
                      <w:bCs/>
                      <w:szCs w:val="21"/>
                    </w:rPr>
                  </w:pPr>
                  <w:r>
                    <w:rPr>
                      <w:bCs/>
                      <w:szCs w:val="21"/>
                    </w:rPr>
                    <w:t>55dB（A）</w:t>
                  </w:r>
                </w:p>
              </w:tc>
            </w:tr>
          </w:tbl>
          <w:p>
            <w:pPr>
              <w:spacing w:line="360" w:lineRule="auto"/>
              <w:ind w:firstLine="527" w:firstLineChars="250"/>
              <w:rPr>
                <w:b/>
                <w:szCs w:val="21"/>
              </w:rPr>
            </w:pPr>
          </w:p>
          <w:p>
            <w:pPr>
              <w:spacing w:line="360" w:lineRule="auto"/>
              <w:ind w:firstLine="527" w:firstLineChars="250"/>
              <w:rPr>
                <w:b/>
                <w:szCs w:val="21"/>
              </w:rPr>
            </w:pPr>
          </w:p>
          <w:p>
            <w:pPr>
              <w:spacing w:line="360" w:lineRule="auto"/>
              <w:ind w:firstLine="527" w:firstLineChars="250"/>
              <w:rPr>
                <w:b/>
                <w:szCs w:val="21"/>
              </w:rPr>
            </w:pPr>
            <w:r>
              <w:rPr>
                <w:b/>
                <w:szCs w:val="21"/>
              </w:rPr>
              <w:t>4、固体废物存储、处置标准</w:t>
            </w:r>
          </w:p>
          <w:p>
            <w:pPr>
              <w:pStyle w:val="96"/>
              <w:spacing w:line="360" w:lineRule="auto"/>
              <w:ind w:firstLine="420" w:firstLineChars="200"/>
            </w:pPr>
            <w:r>
              <w:t>项目营运期产生的一般工业固体废物贮存过程中应满足相应的防渗漏、防雨淋、防扬尘等环境保护要求</w:t>
            </w:r>
            <w:r>
              <w:rPr>
                <w:rFonts w:hint="eastAsia"/>
              </w:rPr>
              <w:t>，执行《一般工业固体废物贮存和填埋污染控制标准》(GB18599-2020)中的有关标准</w:t>
            </w:r>
            <w:r>
              <w:t>；危险废物执行《危险废物贮存污染控制标准》（GB18597-2001）及其修改单。</w:t>
            </w: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190" w:type="dxa"/>
            <w:vAlign w:val="center"/>
          </w:tcPr>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r>
              <w:rPr>
                <w:szCs w:val="21"/>
              </w:rPr>
              <w:t>根据《国务院关于印发“十三五”生态环境保护规划的通知》以及《江西省人民政府关于印发江西省“十三五”节能减排综合工作方案的通知》，国家对COD</w:t>
            </w:r>
            <w:r>
              <w:rPr>
                <w:szCs w:val="21"/>
                <w:vertAlign w:val="subscript"/>
              </w:rPr>
              <w:t>Cr</w:t>
            </w:r>
            <w:r>
              <w:rPr>
                <w:szCs w:val="21"/>
              </w:rPr>
              <w:t>、NH</w:t>
            </w:r>
            <w:r>
              <w:rPr>
                <w:szCs w:val="21"/>
                <w:vertAlign w:val="subscript"/>
              </w:rPr>
              <w:t>3</w:t>
            </w:r>
            <w:r>
              <w:rPr>
                <w:szCs w:val="21"/>
              </w:rPr>
              <w:t>-N、SO</w:t>
            </w:r>
            <w:r>
              <w:rPr>
                <w:szCs w:val="21"/>
                <w:vertAlign w:val="subscript"/>
              </w:rPr>
              <w:t>2</w:t>
            </w:r>
            <w:r>
              <w:rPr>
                <w:szCs w:val="21"/>
              </w:rPr>
              <w:t>及NO</w:t>
            </w:r>
            <w:r>
              <w:rPr>
                <w:szCs w:val="21"/>
                <w:vertAlign w:val="subscript"/>
              </w:rPr>
              <w:t>X</w:t>
            </w:r>
            <w:r>
              <w:rPr>
                <w:szCs w:val="21"/>
              </w:rPr>
              <w:t>四种污染物排放实行总量控制和计划管理。</w:t>
            </w:r>
          </w:p>
          <w:p>
            <w:pPr>
              <w:spacing w:line="360" w:lineRule="auto"/>
              <w:ind w:firstLine="420" w:firstLineChars="200"/>
              <w:rPr>
                <w:szCs w:val="21"/>
              </w:rPr>
            </w:pPr>
            <w:r>
              <w:rPr>
                <w:szCs w:val="21"/>
              </w:rPr>
              <w:t>项目不产生SO</w:t>
            </w:r>
            <w:r>
              <w:rPr>
                <w:szCs w:val="21"/>
                <w:vertAlign w:val="subscript"/>
              </w:rPr>
              <w:t>2</w:t>
            </w:r>
            <w:r>
              <w:rPr>
                <w:szCs w:val="21"/>
              </w:rPr>
              <w:t>及NO</w:t>
            </w:r>
            <w:r>
              <w:rPr>
                <w:szCs w:val="21"/>
                <w:vertAlign w:val="subscript"/>
              </w:rPr>
              <w:t>X</w:t>
            </w:r>
            <w:r>
              <w:rPr>
                <w:szCs w:val="21"/>
              </w:rPr>
              <w:t>；项目废水排入宁都县污水处理厂进行处理，COD</w:t>
            </w:r>
            <w:r>
              <w:rPr>
                <w:szCs w:val="21"/>
                <w:vertAlign w:val="subscript"/>
              </w:rPr>
              <w:t>Cr</w:t>
            </w:r>
            <w:r>
              <w:rPr>
                <w:szCs w:val="21"/>
              </w:rPr>
              <w:t>及NH</w:t>
            </w:r>
            <w:r>
              <w:rPr>
                <w:szCs w:val="21"/>
                <w:vertAlign w:val="subscript"/>
              </w:rPr>
              <w:t>3</w:t>
            </w:r>
            <w:r>
              <w:rPr>
                <w:szCs w:val="21"/>
              </w:rPr>
              <w:t>-N总量控制指标由宁都县污水处理厂进行调剂，不再另行申请。</w:t>
            </w:r>
          </w:p>
          <w:p>
            <w:pPr>
              <w:spacing w:line="360" w:lineRule="auto"/>
              <w:ind w:firstLine="420" w:firstLineChars="200"/>
              <w:rPr>
                <w:szCs w:val="21"/>
              </w:rPr>
            </w:pPr>
            <w:r>
              <w:rPr>
                <w:szCs w:val="21"/>
              </w:rPr>
              <w:t>根据工程分析，项目废水排放量为1032.95m</w:t>
            </w:r>
            <w:r>
              <w:rPr>
                <w:szCs w:val="21"/>
                <w:vertAlign w:val="superscript"/>
              </w:rPr>
              <w:t>3</w:t>
            </w:r>
            <w:r>
              <w:rPr>
                <w:szCs w:val="21"/>
              </w:rPr>
              <w:t>/a，宁都县污水处理厂COD</w:t>
            </w:r>
            <w:r>
              <w:rPr>
                <w:szCs w:val="21"/>
                <w:vertAlign w:val="subscript"/>
              </w:rPr>
              <w:t>Cr</w:t>
            </w:r>
            <w:r>
              <w:rPr>
                <w:szCs w:val="21"/>
              </w:rPr>
              <w:t>出水浓度为50mg/L，NH</w:t>
            </w:r>
            <w:r>
              <w:rPr>
                <w:szCs w:val="21"/>
                <w:vertAlign w:val="subscript"/>
              </w:rPr>
              <w:t>3</w:t>
            </w:r>
            <w:r>
              <w:rPr>
                <w:szCs w:val="21"/>
              </w:rPr>
              <w:t>-N出水浓度为5mg/L，则污染物总量控制指标为：</w:t>
            </w:r>
          </w:p>
          <w:p>
            <w:pPr>
              <w:spacing w:line="360" w:lineRule="auto"/>
              <w:ind w:firstLine="420" w:firstLineChars="200"/>
              <w:rPr>
                <w:szCs w:val="21"/>
              </w:rPr>
            </w:pPr>
            <w:r>
              <w:rPr>
                <w:szCs w:val="21"/>
              </w:rPr>
              <w:t>COD</w:t>
            </w:r>
            <w:r>
              <w:rPr>
                <w:szCs w:val="21"/>
                <w:vertAlign w:val="subscript"/>
              </w:rPr>
              <w:t>Cr</w:t>
            </w:r>
            <w:r>
              <w:rPr>
                <w:szCs w:val="21"/>
              </w:rPr>
              <w:t>总量控制指标：1032.95×50×10</w:t>
            </w:r>
            <w:r>
              <w:rPr>
                <w:szCs w:val="21"/>
                <w:vertAlign w:val="superscript"/>
              </w:rPr>
              <w:t>-6</w:t>
            </w:r>
            <w:r>
              <w:rPr>
                <w:szCs w:val="21"/>
              </w:rPr>
              <w:t>＝0.052t/a</w:t>
            </w:r>
          </w:p>
          <w:p>
            <w:pPr>
              <w:spacing w:line="360" w:lineRule="auto"/>
              <w:ind w:firstLine="420" w:firstLineChars="200"/>
              <w:rPr>
                <w:szCs w:val="21"/>
              </w:rPr>
            </w:pPr>
            <w:r>
              <w:rPr>
                <w:szCs w:val="21"/>
              </w:rPr>
              <w:t>NH</w:t>
            </w:r>
            <w:r>
              <w:rPr>
                <w:szCs w:val="21"/>
                <w:vertAlign w:val="subscript"/>
              </w:rPr>
              <w:t>3</w:t>
            </w:r>
            <w:r>
              <w:rPr>
                <w:szCs w:val="21"/>
              </w:rPr>
              <w:t>-N总量控制指标：1032.95×5×10</w:t>
            </w:r>
            <w:r>
              <w:rPr>
                <w:szCs w:val="21"/>
                <w:vertAlign w:val="superscript"/>
              </w:rPr>
              <w:t>-6</w:t>
            </w:r>
            <w:r>
              <w:rPr>
                <w:szCs w:val="21"/>
              </w:rPr>
              <w:t>＝0.005t/a</w:t>
            </w:r>
          </w:p>
          <w:p>
            <w:pPr>
              <w:spacing w:line="360" w:lineRule="auto"/>
              <w:ind w:firstLine="420" w:firstLineChars="200"/>
              <w:rPr>
                <w:szCs w:val="21"/>
              </w:rPr>
            </w:pPr>
            <w:r>
              <w:rPr>
                <w:szCs w:val="21"/>
              </w:rPr>
              <w:t>因此，本项目总量控制量为COD</w:t>
            </w:r>
            <w:r>
              <w:rPr>
                <w:szCs w:val="21"/>
                <w:vertAlign w:val="subscript"/>
              </w:rPr>
              <w:t>Cr</w:t>
            </w:r>
            <w:r>
              <w:rPr>
                <w:szCs w:val="21"/>
              </w:rPr>
              <w:t>：0.052t/a、氨氮：0.005t/a、VOC：0.823t/a。</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kern w:val="0"/>
                <w:szCs w:val="21"/>
              </w:rPr>
            </w:pPr>
          </w:p>
        </w:tc>
      </w:tr>
    </w:tbl>
    <w:p>
      <w:pPr>
        <w:pStyle w:val="17"/>
        <w:jc w:val="center"/>
        <w:outlineLvl w:val="0"/>
        <w:rPr>
          <w:rFonts w:ascii="Times New Roman" w:hAnsi="Times New Roman"/>
          <w:snapToGrid w:val="0"/>
          <w:color w:val="FF0000"/>
          <w:sz w:val="36"/>
          <w:szCs w:val="36"/>
        </w:rPr>
        <w:sectPr>
          <w:pgSz w:w="11907" w:h="16840"/>
          <w:pgMar w:top="1701" w:right="1531" w:bottom="2127" w:left="1531" w:header="851" w:footer="851" w:gutter="0"/>
          <w:cols w:space="720" w:num="1"/>
          <w:docGrid w:linePitch="312" w:charSpace="0"/>
        </w:sectPr>
      </w:pPr>
    </w:p>
    <w:p>
      <w:pPr>
        <w:pStyle w:val="17"/>
        <w:jc w:val="center"/>
        <w:outlineLvl w:val="0"/>
        <w:rPr>
          <w:rFonts w:ascii="Times New Roman" w:hAnsi="Times New Roman"/>
          <w:snapToGrid w:val="0"/>
          <w:sz w:val="30"/>
          <w:szCs w:val="30"/>
        </w:rPr>
      </w:pPr>
      <w:r>
        <w:rPr>
          <w:rFonts w:ascii="Times New Roman" w:hAnsi="Times New Roman"/>
          <w:snapToGrid w:val="0"/>
          <w:sz w:val="30"/>
          <w:szCs w:val="30"/>
        </w:rPr>
        <w:t>四、主要环境影响和保护措施</w:t>
      </w:r>
    </w:p>
    <w:tbl>
      <w:tblPr>
        <w:tblStyle w:val="21"/>
        <w:tblW w:w="136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29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17"/>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12890" w:type="dxa"/>
            <w:vAlign w:val="center"/>
          </w:tcPr>
          <w:p>
            <w:pPr>
              <w:adjustRightInd w:val="0"/>
              <w:snapToGrid w:val="0"/>
              <w:spacing w:line="360" w:lineRule="auto"/>
              <w:ind w:firstLine="422" w:firstLineChars="200"/>
              <w:rPr>
                <w:b/>
                <w:bCs/>
                <w:szCs w:val="21"/>
              </w:rPr>
            </w:pPr>
            <w:r>
              <w:rPr>
                <w:b/>
                <w:bCs/>
                <w:szCs w:val="21"/>
              </w:rPr>
              <w:t>1、施工期大气环境保护措施</w:t>
            </w:r>
          </w:p>
          <w:p>
            <w:pPr>
              <w:adjustRightInd w:val="0"/>
              <w:snapToGrid w:val="0"/>
              <w:spacing w:line="360" w:lineRule="auto"/>
              <w:ind w:firstLine="420" w:firstLineChars="200"/>
              <w:rPr>
                <w:bCs/>
                <w:szCs w:val="21"/>
              </w:rPr>
            </w:pPr>
            <w:r>
              <w:rPr>
                <w:bCs/>
                <w:szCs w:val="21"/>
              </w:rPr>
              <w:t>（1）施工扬尘</w:t>
            </w:r>
          </w:p>
          <w:p>
            <w:pPr>
              <w:adjustRightInd w:val="0"/>
              <w:snapToGrid w:val="0"/>
              <w:spacing w:line="360" w:lineRule="auto"/>
              <w:ind w:firstLine="420" w:firstLineChars="200"/>
              <w:rPr>
                <w:bCs/>
                <w:szCs w:val="21"/>
              </w:rPr>
            </w:pPr>
            <w:r>
              <w:rPr>
                <w:bCs/>
                <w:szCs w:val="21"/>
              </w:rPr>
              <w:t>为了减轻施工期扬尘对周边敏感点生活环境产生污染影响，针对施工期扬尘境问题，在施工期拟采取如下控制措施：</w:t>
            </w:r>
          </w:p>
          <w:p>
            <w:pPr>
              <w:adjustRightInd w:val="0"/>
              <w:snapToGrid w:val="0"/>
              <w:spacing w:line="360" w:lineRule="auto"/>
              <w:ind w:firstLine="420" w:firstLineChars="200"/>
              <w:rPr>
                <w:bCs/>
                <w:szCs w:val="21"/>
              </w:rPr>
            </w:pPr>
            <w:r>
              <w:rPr>
                <w:rFonts w:hint="eastAsia" w:ascii="宋体" w:hAnsi="宋体" w:cs="宋体"/>
                <w:bCs/>
                <w:szCs w:val="21"/>
              </w:rPr>
              <w:t>①</w:t>
            </w:r>
            <w:r>
              <w:rPr>
                <w:bCs/>
                <w:szCs w:val="21"/>
              </w:rPr>
              <w:t>在场地平整、地基开挖等施工过程中，作业场地四周设置1.8～2.5m高围挡，以减少扬尘扩散；围挡对减少扬尘对环境的污染有明显作用，当风速为2.5m/s时可使影响距离缩短40%。</w:t>
            </w:r>
          </w:p>
          <w:p>
            <w:pPr>
              <w:adjustRightInd w:val="0"/>
              <w:snapToGrid w:val="0"/>
              <w:spacing w:line="360" w:lineRule="auto"/>
              <w:ind w:firstLine="420" w:firstLineChars="200"/>
              <w:rPr>
                <w:bCs/>
                <w:szCs w:val="21"/>
              </w:rPr>
            </w:pPr>
            <w:r>
              <w:rPr>
                <w:rFonts w:hint="eastAsia" w:ascii="宋体" w:hAnsi="宋体" w:cs="宋体"/>
                <w:bCs/>
                <w:szCs w:val="21"/>
              </w:rPr>
              <w:t>②</w:t>
            </w:r>
            <w:r>
              <w:rPr>
                <w:bCs/>
                <w:szCs w:val="21"/>
              </w:rPr>
              <w:t>安排专职员工对施工场地进行洒水，采取随挖随洒水，保持一定湿度，最大限度减少扬尘量，洒水次数根据天气状况而定，一般每天早、午、晚各洒水1次，若遇大风或干燥天气可适当增加洒水次数。施工场地洒水与否对扬尘的影响很大，场地洒水后，扬尘量将降低75%以上，可大大减少其对环境的影响。</w:t>
            </w:r>
          </w:p>
          <w:p>
            <w:pPr>
              <w:adjustRightInd w:val="0"/>
              <w:snapToGrid w:val="0"/>
              <w:spacing w:line="360" w:lineRule="auto"/>
              <w:ind w:firstLine="420" w:firstLineChars="200"/>
              <w:rPr>
                <w:bCs/>
                <w:szCs w:val="21"/>
              </w:rPr>
            </w:pPr>
            <w:r>
              <w:rPr>
                <w:rFonts w:hint="eastAsia" w:ascii="宋体" w:hAnsi="宋体" w:cs="宋体"/>
                <w:bCs/>
                <w:szCs w:val="21"/>
              </w:rPr>
              <w:t>③</w:t>
            </w:r>
            <w:r>
              <w:rPr>
                <w:bCs/>
                <w:szCs w:val="21"/>
              </w:rPr>
              <w:t>对运载建筑材料及建筑垃圾的车辆加盖蓬布以减少洒落，车辆行驶线路应避开居民区及中心区。施工场地出口设一座车辆清洗池，车辆驶出施工场地前，应将车厢外和轮胎冲洗干净，避免车辆将泥土带到道路上产生二次扬尘，冲洗水沉淀后循环使用。</w:t>
            </w:r>
          </w:p>
          <w:p>
            <w:pPr>
              <w:adjustRightInd w:val="0"/>
              <w:snapToGrid w:val="0"/>
              <w:spacing w:line="360" w:lineRule="auto"/>
              <w:ind w:firstLine="420" w:firstLineChars="200"/>
              <w:rPr>
                <w:bCs/>
                <w:szCs w:val="21"/>
              </w:rPr>
            </w:pPr>
            <w:r>
              <w:rPr>
                <w:rFonts w:hint="eastAsia" w:ascii="宋体" w:hAnsi="宋体" w:cs="宋体"/>
                <w:bCs/>
                <w:szCs w:val="21"/>
              </w:rPr>
              <w:t>④</w:t>
            </w:r>
            <w:r>
              <w:rPr>
                <w:bCs/>
                <w:szCs w:val="21"/>
              </w:rPr>
              <w:t>在施工场地设置专人监管建筑垃圾、建筑材料的堆放、清运和处置，必要时加盖蓬布或洒水，防止二次扬尘污染。</w:t>
            </w:r>
          </w:p>
          <w:p>
            <w:pPr>
              <w:adjustRightInd w:val="0"/>
              <w:snapToGrid w:val="0"/>
              <w:spacing w:line="360" w:lineRule="auto"/>
              <w:ind w:firstLine="420" w:firstLineChars="200"/>
              <w:rPr>
                <w:bCs/>
                <w:szCs w:val="21"/>
              </w:rPr>
            </w:pPr>
            <w:r>
              <w:rPr>
                <w:rFonts w:hint="eastAsia" w:ascii="宋体" w:hAnsi="宋体" w:cs="宋体"/>
                <w:bCs/>
                <w:szCs w:val="21"/>
              </w:rPr>
              <w:t>⑤</w:t>
            </w:r>
            <w:r>
              <w:rPr>
                <w:bCs/>
                <w:szCs w:val="21"/>
              </w:rPr>
              <w:t>对建筑垃圾及时处理、清运，以减少占地，防止扬尘污染，改善施工场地的环境。</w:t>
            </w:r>
          </w:p>
          <w:p>
            <w:pPr>
              <w:adjustRightInd w:val="0"/>
              <w:snapToGrid w:val="0"/>
              <w:spacing w:line="360" w:lineRule="auto"/>
              <w:ind w:firstLine="420" w:firstLineChars="200"/>
              <w:rPr>
                <w:bCs/>
                <w:szCs w:val="21"/>
              </w:rPr>
            </w:pPr>
            <w:r>
              <w:rPr>
                <w:rFonts w:hint="eastAsia" w:ascii="宋体" w:hAnsi="宋体" w:cs="宋体"/>
                <w:bCs/>
                <w:szCs w:val="21"/>
              </w:rPr>
              <w:t>⑥</w:t>
            </w:r>
            <w:r>
              <w:rPr>
                <w:bCs/>
                <w:szCs w:val="21"/>
              </w:rPr>
              <w:t>施工现场禁止烧煤、沥青、油毡、橡胶、塑料、皮革、垃圾及其它产生有毒、有害烟尘或恶臭气体的物质。</w:t>
            </w:r>
          </w:p>
          <w:p>
            <w:pPr>
              <w:adjustRightInd w:val="0"/>
              <w:snapToGrid w:val="0"/>
              <w:spacing w:line="360" w:lineRule="auto"/>
              <w:ind w:firstLine="420" w:firstLineChars="200"/>
              <w:rPr>
                <w:bCs/>
                <w:szCs w:val="21"/>
              </w:rPr>
            </w:pPr>
            <w:r>
              <w:rPr>
                <w:rFonts w:hint="eastAsia" w:ascii="宋体" w:hAnsi="宋体" w:cs="宋体"/>
                <w:bCs/>
                <w:szCs w:val="21"/>
              </w:rPr>
              <w:t>⑦</w:t>
            </w:r>
            <w:r>
              <w:rPr>
                <w:bCs/>
                <w:szCs w:val="21"/>
              </w:rPr>
              <w:t>坚决查处超载行为，防止路面受损。同时尽量选择对周围环境影响较小的运输路线，并限制施工区内运输车辆的车速，将卡车在施工场地的车速减至10km/h，其他区域减至30km/h。</w:t>
            </w:r>
          </w:p>
          <w:p>
            <w:pPr>
              <w:adjustRightInd w:val="0"/>
              <w:snapToGrid w:val="0"/>
              <w:spacing w:line="360" w:lineRule="auto"/>
              <w:ind w:firstLine="420" w:firstLineChars="200"/>
              <w:rPr>
                <w:bCs/>
                <w:szCs w:val="21"/>
              </w:rPr>
            </w:pPr>
            <w:r>
              <w:rPr>
                <w:bCs/>
                <w:szCs w:val="21"/>
              </w:rPr>
              <w:t>（2）施工机械废气</w:t>
            </w:r>
          </w:p>
          <w:p>
            <w:pPr>
              <w:adjustRightInd w:val="0"/>
              <w:snapToGrid w:val="0"/>
              <w:spacing w:line="360" w:lineRule="auto"/>
              <w:ind w:firstLine="420" w:firstLineChars="200"/>
              <w:rPr>
                <w:bCs/>
                <w:szCs w:val="21"/>
              </w:rPr>
            </w:pPr>
            <w:r>
              <w:rPr>
                <w:bCs/>
                <w:szCs w:val="21"/>
              </w:rPr>
              <w:t>以燃油为动力的施工机械、运输车辆等在施工场地附近排放一定量的废气，因施工点较为分散，且施工场地周围空旷，施工机械废气易扩散，很难积累。因此，只要加强设备维护，控制排放未完全燃烧的黑烟，对周围环境空气将不会有较大的影响。</w:t>
            </w:r>
          </w:p>
          <w:p>
            <w:pPr>
              <w:adjustRightInd w:val="0"/>
              <w:snapToGrid w:val="0"/>
              <w:spacing w:line="360" w:lineRule="auto"/>
              <w:ind w:firstLine="420" w:firstLineChars="200"/>
              <w:rPr>
                <w:bCs/>
                <w:szCs w:val="21"/>
              </w:rPr>
            </w:pPr>
            <w:r>
              <w:rPr>
                <w:bCs/>
                <w:szCs w:val="21"/>
              </w:rPr>
              <w:t>（3）有机废气</w:t>
            </w:r>
          </w:p>
          <w:p>
            <w:pPr>
              <w:adjustRightInd w:val="0"/>
              <w:snapToGrid w:val="0"/>
              <w:spacing w:line="360" w:lineRule="auto"/>
              <w:ind w:firstLine="420" w:firstLineChars="200"/>
              <w:rPr>
                <w:bCs/>
                <w:szCs w:val="21"/>
              </w:rPr>
            </w:pPr>
            <w:r>
              <w:rPr>
                <w:bCs/>
                <w:szCs w:val="21"/>
              </w:rPr>
              <w:t>项目设计中未涉及到建筑及装修材料的具体细节，而正确选择建筑及装修材料可有效防止日益突出的环境空气污染现象的发生。建设单位应合理选择建筑及装修材料，以避免环境空气污染现象的发生。</w:t>
            </w:r>
          </w:p>
          <w:p>
            <w:pPr>
              <w:adjustRightInd w:val="0"/>
              <w:snapToGrid w:val="0"/>
              <w:spacing w:line="360" w:lineRule="auto"/>
              <w:ind w:firstLine="422" w:firstLineChars="200"/>
              <w:rPr>
                <w:b/>
                <w:bCs/>
                <w:szCs w:val="21"/>
              </w:rPr>
            </w:pPr>
            <w:r>
              <w:rPr>
                <w:b/>
                <w:bCs/>
                <w:szCs w:val="21"/>
              </w:rPr>
              <w:t>2、施工期水环境保护措施</w:t>
            </w:r>
          </w:p>
          <w:p>
            <w:pPr>
              <w:adjustRightInd w:val="0"/>
              <w:snapToGrid w:val="0"/>
              <w:spacing w:line="360" w:lineRule="auto"/>
              <w:ind w:firstLine="420" w:firstLineChars="200"/>
              <w:rPr>
                <w:bCs/>
                <w:szCs w:val="21"/>
              </w:rPr>
            </w:pPr>
            <w:r>
              <w:rPr>
                <w:bCs/>
                <w:szCs w:val="21"/>
              </w:rPr>
              <w:t>项目施工期间产生的废水主要包括施工人员的生活污水、建筑施工废水。</w:t>
            </w:r>
          </w:p>
          <w:p>
            <w:pPr>
              <w:adjustRightInd w:val="0"/>
              <w:snapToGrid w:val="0"/>
              <w:spacing w:line="360" w:lineRule="auto"/>
              <w:ind w:firstLine="420" w:firstLineChars="200"/>
              <w:rPr>
                <w:bCs/>
                <w:szCs w:val="21"/>
              </w:rPr>
            </w:pPr>
            <w:r>
              <w:rPr>
                <w:bCs/>
                <w:szCs w:val="21"/>
              </w:rPr>
              <w:t>（1）施工人员生活污水</w:t>
            </w:r>
          </w:p>
          <w:p>
            <w:pPr>
              <w:adjustRightInd w:val="0"/>
              <w:snapToGrid w:val="0"/>
              <w:spacing w:line="360" w:lineRule="auto"/>
              <w:ind w:firstLine="420" w:firstLineChars="200"/>
              <w:rPr>
                <w:bCs/>
                <w:szCs w:val="21"/>
              </w:rPr>
            </w:pPr>
            <w:r>
              <w:rPr>
                <w:bCs/>
                <w:szCs w:val="21"/>
              </w:rPr>
              <w:t>项目现场不设施工营地，大部分为周边居民，施工人员产生的生活污水依托租房现有的生活污水处理设施进行处理，不会产生明显的影响。</w:t>
            </w:r>
          </w:p>
          <w:p>
            <w:pPr>
              <w:adjustRightInd w:val="0"/>
              <w:snapToGrid w:val="0"/>
              <w:spacing w:line="360" w:lineRule="auto"/>
              <w:ind w:firstLine="420" w:firstLineChars="200"/>
              <w:rPr>
                <w:bCs/>
                <w:szCs w:val="21"/>
              </w:rPr>
            </w:pPr>
            <w:r>
              <w:rPr>
                <w:bCs/>
                <w:szCs w:val="21"/>
              </w:rPr>
              <w:t>（2）施工废水</w:t>
            </w:r>
          </w:p>
          <w:p>
            <w:pPr>
              <w:adjustRightInd w:val="0"/>
              <w:snapToGrid w:val="0"/>
              <w:spacing w:line="360" w:lineRule="auto"/>
              <w:ind w:firstLine="420" w:firstLineChars="200"/>
              <w:rPr>
                <w:bCs/>
                <w:szCs w:val="21"/>
              </w:rPr>
            </w:pPr>
            <w:r>
              <w:rPr>
                <w:bCs/>
                <w:szCs w:val="21"/>
              </w:rPr>
              <w:t>根据项目设计，项目方拟购买商品混凝土，可以大大减少施工废水的产生，因此，施工废水主要来自于施工机械的冲刷、楼地及墙面的冲洗、构件与建筑材料的保潮、墙体的浸润、材料的洗刷以及桩基础施工中排出的泥浆等。由于施工期施工废水排放不易收集和管理，废水的排放方式和排放时间具有一定的随意性，往往不受重视而随意排放，施工废水还包括少量含油废水。含油废水主要为机械维修及车辆冲洗废水，对这部分废水，施工单位采用将废水多级沉淀池沉淀处理，去除SS，少量的废油被隔沉淀池内，定期收集池内水面上的油污，排水则用于场地洒水。从而减轻周边水体造成影响。</w:t>
            </w:r>
          </w:p>
          <w:p>
            <w:pPr>
              <w:adjustRightInd w:val="0"/>
              <w:snapToGrid w:val="0"/>
              <w:spacing w:line="360" w:lineRule="auto"/>
              <w:ind w:firstLine="422" w:firstLineChars="200"/>
              <w:rPr>
                <w:b/>
                <w:bCs/>
                <w:szCs w:val="21"/>
              </w:rPr>
            </w:pPr>
            <w:r>
              <w:rPr>
                <w:b/>
                <w:bCs/>
                <w:szCs w:val="21"/>
              </w:rPr>
              <w:t>3、施工期声环境保护措施</w:t>
            </w:r>
          </w:p>
          <w:p>
            <w:pPr>
              <w:adjustRightInd w:val="0"/>
              <w:snapToGrid w:val="0"/>
              <w:spacing w:line="360" w:lineRule="auto"/>
              <w:ind w:firstLine="420" w:firstLineChars="200"/>
              <w:rPr>
                <w:bCs/>
                <w:szCs w:val="21"/>
              </w:rPr>
            </w:pPr>
            <w:r>
              <w:rPr>
                <w:bCs/>
                <w:szCs w:val="21"/>
              </w:rPr>
              <w:t xml:space="preserve">为了降低本项目施工噪声影响，建设单位在施工过程还应采取如下措施： </w:t>
            </w:r>
          </w:p>
          <w:p>
            <w:pPr>
              <w:adjustRightInd w:val="0"/>
              <w:snapToGrid w:val="0"/>
              <w:spacing w:line="360" w:lineRule="auto"/>
              <w:ind w:firstLine="420" w:firstLineChars="200"/>
              <w:rPr>
                <w:bCs/>
                <w:szCs w:val="21"/>
              </w:rPr>
            </w:pPr>
            <w:r>
              <w:rPr>
                <w:rFonts w:hint="eastAsia" w:ascii="宋体" w:hAnsi="宋体" w:cs="宋体"/>
                <w:bCs/>
                <w:szCs w:val="21"/>
              </w:rPr>
              <w:t>①</w:t>
            </w:r>
            <w:r>
              <w:rPr>
                <w:bCs/>
                <w:szCs w:val="21"/>
              </w:rPr>
              <w:t>鉴于施工期噪声对环境产生的影响，建设单位必须对施工时段作统筹安排，尽量避免高噪源同时进行施工；</w:t>
            </w:r>
          </w:p>
          <w:p>
            <w:pPr>
              <w:adjustRightInd w:val="0"/>
              <w:snapToGrid w:val="0"/>
              <w:spacing w:line="360" w:lineRule="auto"/>
              <w:ind w:firstLine="420" w:firstLineChars="200"/>
              <w:rPr>
                <w:bCs/>
                <w:szCs w:val="21"/>
              </w:rPr>
            </w:pPr>
            <w:r>
              <w:rPr>
                <w:rFonts w:hint="eastAsia" w:ascii="宋体" w:hAnsi="宋体" w:cs="宋体"/>
                <w:bCs/>
                <w:szCs w:val="21"/>
              </w:rPr>
              <w:t>②</w:t>
            </w:r>
            <w:r>
              <w:rPr>
                <w:bCs/>
                <w:szCs w:val="21"/>
              </w:rPr>
              <w:t>施工期间必须按《建筑施工场界环境噪声排放标准》(GB12523-2011)进行施工时间、施工噪声的控制，夜间禁止施工。如根据工况要求必须连续作业，必须得到当地生态环境部门的许可方可施工，并可在必要时采用柔性吸声屏替代目前通用的尼龙质地的围挡；</w:t>
            </w:r>
          </w:p>
          <w:p>
            <w:pPr>
              <w:adjustRightInd w:val="0"/>
              <w:snapToGrid w:val="0"/>
              <w:spacing w:line="360" w:lineRule="auto"/>
              <w:ind w:firstLine="420" w:firstLineChars="200"/>
              <w:rPr>
                <w:bCs/>
                <w:szCs w:val="21"/>
              </w:rPr>
            </w:pPr>
            <w:r>
              <w:rPr>
                <w:rFonts w:hint="eastAsia" w:ascii="宋体" w:hAnsi="宋体" w:cs="宋体"/>
                <w:bCs/>
                <w:szCs w:val="21"/>
              </w:rPr>
              <w:t>③</w:t>
            </w:r>
            <w:r>
              <w:rPr>
                <w:bCs/>
                <w:szCs w:val="21"/>
              </w:rPr>
              <w:t>根据《江西省环境污染防治条例》，本项目建设应从规范施工秩序着手，高噪声设备应安排在白天（除中午12:00~14:00）使用，夜间禁止使用高噪声设备（20:00~次日8:00）；</w:t>
            </w:r>
          </w:p>
          <w:p>
            <w:pPr>
              <w:adjustRightInd w:val="0"/>
              <w:snapToGrid w:val="0"/>
              <w:spacing w:line="360" w:lineRule="auto"/>
              <w:ind w:firstLine="420" w:firstLineChars="200"/>
              <w:rPr>
                <w:bCs/>
                <w:szCs w:val="21"/>
              </w:rPr>
            </w:pPr>
            <w:r>
              <w:rPr>
                <w:rFonts w:hint="eastAsia" w:ascii="宋体" w:hAnsi="宋体" w:cs="宋体"/>
                <w:bCs/>
                <w:szCs w:val="21"/>
              </w:rPr>
              <w:t>④</w:t>
            </w:r>
            <w:r>
              <w:rPr>
                <w:bCs/>
                <w:szCs w:val="21"/>
              </w:rPr>
              <w:t>选用施工设备时将设备噪声作为一项重要的选取指标，尽量选用低噪声设备，并对产生噪声的施工设备加强维护和维修工作，以减少机械故障噪声的产生；</w:t>
            </w:r>
          </w:p>
          <w:p>
            <w:pPr>
              <w:adjustRightInd w:val="0"/>
              <w:snapToGrid w:val="0"/>
              <w:spacing w:line="360" w:lineRule="auto"/>
              <w:ind w:firstLine="420" w:firstLineChars="200"/>
              <w:rPr>
                <w:bCs/>
                <w:szCs w:val="21"/>
              </w:rPr>
            </w:pPr>
            <w:r>
              <w:rPr>
                <w:rFonts w:hint="eastAsia" w:ascii="宋体" w:hAnsi="宋体" w:cs="宋体"/>
                <w:bCs/>
                <w:szCs w:val="21"/>
              </w:rPr>
              <w:t>⑤</w:t>
            </w:r>
            <w:r>
              <w:rPr>
                <w:bCs/>
                <w:szCs w:val="21"/>
              </w:rPr>
              <w:t>制定合理的运输线路，车辆运输应尽量避开居民区。结合本项目周边敏感点的分布情况，在施工期安排合理的运输路线以避开居住区，汽车途径居住区时应减速慢行，晚间运输用灯光示警，禁鸣喇叭；</w:t>
            </w:r>
          </w:p>
          <w:p>
            <w:pPr>
              <w:adjustRightInd w:val="0"/>
              <w:snapToGrid w:val="0"/>
              <w:spacing w:line="360" w:lineRule="auto"/>
              <w:ind w:firstLine="420" w:firstLineChars="200"/>
              <w:rPr>
                <w:bCs/>
                <w:szCs w:val="21"/>
              </w:rPr>
            </w:pPr>
            <w:r>
              <w:rPr>
                <w:rFonts w:hint="eastAsia" w:ascii="宋体" w:hAnsi="宋体" w:cs="宋体"/>
                <w:bCs/>
                <w:szCs w:val="21"/>
              </w:rPr>
              <w:t>⑥</w:t>
            </w:r>
            <w:r>
              <w:rPr>
                <w:bCs/>
                <w:szCs w:val="21"/>
              </w:rPr>
              <w:t>与施工单位签订控噪协议，督促和监督其施工控噪工作的有效实施；</w:t>
            </w:r>
          </w:p>
          <w:p>
            <w:pPr>
              <w:adjustRightInd w:val="0"/>
              <w:snapToGrid w:val="0"/>
              <w:spacing w:line="360" w:lineRule="auto"/>
              <w:ind w:firstLine="420" w:firstLineChars="200"/>
              <w:rPr>
                <w:bCs/>
                <w:szCs w:val="21"/>
              </w:rPr>
            </w:pPr>
            <w:r>
              <w:rPr>
                <w:rFonts w:hint="eastAsia" w:ascii="宋体" w:hAnsi="宋体" w:cs="宋体"/>
                <w:bCs/>
                <w:szCs w:val="21"/>
              </w:rPr>
              <w:t>⑦</w:t>
            </w:r>
            <w:r>
              <w:rPr>
                <w:bCs/>
                <w:szCs w:val="21"/>
              </w:rPr>
              <w:t>夜间施工作业必需向周边居民公布施工的时间，并征求附近易受影响居民对工程建设的意见和建议，协调好与周边居民及单位之间的关系，取得民众的理解，避免引起噪声投诉。</w:t>
            </w:r>
          </w:p>
          <w:p>
            <w:pPr>
              <w:adjustRightInd w:val="0"/>
              <w:snapToGrid w:val="0"/>
              <w:spacing w:line="360" w:lineRule="auto"/>
              <w:ind w:firstLine="420" w:firstLineChars="200"/>
              <w:rPr>
                <w:bCs/>
                <w:szCs w:val="21"/>
              </w:rPr>
            </w:pPr>
            <w:r>
              <w:rPr>
                <w:bCs/>
                <w:szCs w:val="21"/>
              </w:rPr>
              <w:t>建设单位落实以上防治措施后，可使噪声对项目周围敏感点环境保护目标的影响降至最小。施工结束，影响即消失，不会对周边环境造成大的影响。</w:t>
            </w:r>
          </w:p>
          <w:p>
            <w:pPr>
              <w:adjustRightInd w:val="0"/>
              <w:snapToGrid w:val="0"/>
              <w:spacing w:line="360" w:lineRule="auto"/>
              <w:ind w:firstLine="422" w:firstLineChars="200"/>
              <w:rPr>
                <w:b/>
                <w:bCs/>
                <w:szCs w:val="21"/>
              </w:rPr>
            </w:pPr>
            <w:r>
              <w:rPr>
                <w:b/>
                <w:bCs/>
                <w:szCs w:val="21"/>
              </w:rPr>
              <w:t>4、施工期固体废物环境保护措施</w:t>
            </w:r>
          </w:p>
          <w:p>
            <w:pPr>
              <w:adjustRightInd w:val="0"/>
              <w:snapToGrid w:val="0"/>
              <w:spacing w:line="360" w:lineRule="auto"/>
              <w:ind w:firstLine="420" w:firstLineChars="200"/>
              <w:rPr>
                <w:bCs/>
                <w:szCs w:val="21"/>
              </w:rPr>
            </w:pPr>
            <w:r>
              <w:rPr>
                <w:szCs w:val="21"/>
              </w:rPr>
              <w:t>本项目施工期固体废物主要为少量建筑垃圾、施工弃土、</w:t>
            </w:r>
            <w:r>
              <w:rPr>
                <w:bCs/>
                <w:szCs w:val="21"/>
              </w:rPr>
              <w:t>施工人员产生的生活垃圾。</w:t>
            </w:r>
          </w:p>
          <w:p>
            <w:pPr>
              <w:adjustRightInd w:val="0"/>
              <w:snapToGrid w:val="0"/>
              <w:spacing w:line="360" w:lineRule="auto"/>
              <w:ind w:firstLine="420" w:firstLineChars="200"/>
              <w:rPr>
                <w:bCs/>
                <w:szCs w:val="21"/>
              </w:rPr>
            </w:pPr>
            <w:r>
              <w:rPr>
                <w:bCs/>
                <w:szCs w:val="21"/>
              </w:rPr>
              <w:t>建筑垃圾主要为施工期建设过程中产生的碎砖等。对施工期产生的固体废弃物如不及时清理和清运，或在运输时产生遗洒现象，这些都将对市容卫生、公众健康及道路交通产生不利影响。生活垃圾主要为施工人员的日常生活将产生一定数量的生活垃圾。本工程生活垃圾、建筑垃圾和弃土堆场均在项目施工红线内，若不经及时收集处理和合理措施将会对施工现场及周边环境产生一定的影响。</w:t>
            </w:r>
          </w:p>
          <w:p>
            <w:pPr>
              <w:adjustRightInd w:val="0"/>
              <w:snapToGrid w:val="0"/>
              <w:spacing w:line="360" w:lineRule="auto"/>
              <w:ind w:firstLine="420" w:firstLineChars="200"/>
              <w:rPr>
                <w:bCs/>
                <w:szCs w:val="21"/>
              </w:rPr>
            </w:pPr>
            <w:r>
              <w:rPr>
                <w:bCs/>
                <w:szCs w:val="21"/>
              </w:rPr>
              <w:t>为降低施工固体废物的环境影响，建设单位应采取如下措施：</w:t>
            </w:r>
          </w:p>
          <w:p>
            <w:pPr>
              <w:adjustRightInd w:val="0"/>
              <w:snapToGrid w:val="0"/>
              <w:spacing w:line="360" w:lineRule="auto"/>
              <w:ind w:firstLine="420" w:firstLineChars="200"/>
              <w:rPr>
                <w:bCs/>
                <w:szCs w:val="21"/>
              </w:rPr>
            </w:pPr>
            <w:r>
              <w:rPr>
                <w:bCs/>
                <w:szCs w:val="21"/>
              </w:rPr>
              <w:t>（1）施工单位配备管理人员对渣土垃圾的处置实施现场管理；</w:t>
            </w:r>
          </w:p>
          <w:p>
            <w:pPr>
              <w:adjustRightInd w:val="0"/>
              <w:snapToGrid w:val="0"/>
              <w:spacing w:line="360" w:lineRule="auto"/>
              <w:ind w:firstLine="420" w:firstLineChars="200"/>
              <w:rPr>
                <w:bCs/>
                <w:szCs w:val="21"/>
              </w:rPr>
            </w:pPr>
            <w:r>
              <w:rPr>
                <w:bCs/>
                <w:szCs w:val="21"/>
              </w:rPr>
              <w:t>（2）施工开挖产生的泥浆经沉淀池沉淀后作为建筑垃圾送至消纳场；</w:t>
            </w:r>
          </w:p>
          <w:p>
            <w:pPr>
              <w:adjustRightInd w:val="0"/>
              <w:snapToGrid w:val="0"/>
              <w:spacing w:line="360" w:lineRule="auto"/>
              <w:ind w:firstLine="420" w:firstLineChars="200"/>
              <w:rPr>
                <w:bCs/>
                <w:szCs w:val="21"/>
              </w:rPr>
            </w:pPr>
            <w:r>
              <w:rPr>
                <w:bCs/>
                <w:szCs w:val="21"/>
              </w:rPr>
              <w:t>（3）施工现场采取封闭式管理，场内设置洗车槽，保证车辆外皮、轮胎冲洗干净；</w:t>
            </w:r>
          </w:p>
          <w:p>
            <w:pPr>
              <w:adjustRightInd w:val="0"/>
              <w:snapToGrid w:val="0"/>
              <w:spacing w:line="360" w:lineRule="auto"/>
              <w:ind w:firstLine="420" w:firstLineChars="200"/>
              <w:rPr>
                <w:bCs/>
                <w:szCs w:val="21"/>
              </w:rPr>
            </w:pPr>
            <w:r>
              <w:rPr>
                <w:bCs/>
                <w:szCs w:val="21"/>
              </w:rPr>
              <w:t>（4）及时清理工地的生活垃圾和剩余建筑垃圾，生活垃圾及建筑垃圾应分别收集，其中生活垃圾交由市政环卫部门统一收集后处理，建筑垃圾根据其分类和用途由市政渣土部门统一调配至清运或利用。</w:t>
            </w:r>
          </w:p>
          <w:p>
            <w:pPr>
              <w:adjustRightInd w:val="0"/>
              <w:snapToGrid w:val="0"/>
              <w:spacing w:line="360" w:lineRule="auto"/>
              <w:ind w:firstLine="420" w:firstLineChars="200"/>
              <w:rPr>
                <w:bCs/>
                <w:szCs w:val="21"/>
              </w:rPr>
            </w:pPr>
            <w:r>
              <w:rPr>
                <w:bCs/>
                <w:szCs w:val="21"/>
              </w:rPr>
              <w:t>（5）项目不设专门的取弃土场，在项目建设红线内设临时堆土场。</w:t>
            </w:r>
          </w:p>
          <w:p>
            <w:pPr>
              <w:adjustRightInd w:val="0"/>
              <w:snapToGrid w:val="0"/>
              <w:spacing w:line="360" w:lineRule="auto"/>
              <w:ind w:firstLine="420" w:firstLineChars="200"/>
              <w:rPr>
                <w:bCs/>
                <w:szCs w:val="21"/>
              </w:rPr>
            </w:pPr>
            <w:r>
              <w:rPr>
                <w:bCs/>
                <w:szCs w:val="21"/>
              </w:rPr>
              <w:t>（6）为防止运输车辆在运输渣土过程中产生的影响，本次评价要求建设单位应明确要求运输车辆应在夜间进行渣土运输作业，运输车辆尽量避绕敏感点多的路段。同时做好车辆覆盖工作，控制运输车辆时速，同时在大风、大雨天气做好车辆运输密闭工作，减少运输渣土过程中对沿线道路产生的环境影响。</w:t>
            </w:r>
          </w:p>
          <w:p>
            <w:pPr>
              <w:adjustRightInd w:val="0"/>
              <w:snapToGrid w:val="0"/>
              <w:spacing w:line="360" w:lineRule="auto"/>
              <w:ind w:firstLine="420" w:firstLineChars="200"/>
              <w:rPr>
                <w:bCs/>
                <w:szCs w:val="21"/>
              </w:rPr>
            </w:pPr>
            <w:r>
              <w:rPr>
                <w:bCs/>
                <w:szCs w:val="21"/>
              </w:rPr>
              <w:t>在采取上述有效技术和管理措施后，生活垃圾、施工垃圾对环境的影响可以降至最低。</w:t>
            </w: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color w:val="FF0000"/>
                <w:szCs w:val="21"/>
              </w:rPr>
            </w:pPr>
            <w:r>
              <w:rPr>
                <w:bCs/>
                <w:szCs w:val="21"/>
              </w:rPr>
              <w:t>措施</w:t>
            </w:r>
          </w:p>
        </w:tc>
        <w:tc>
          <w:tcPr>
            <w:tcW w:w="12890" w:type="dxa"/>
            <w:vAlign w:val="center"/>
          </w:tcPr>
          <w:p>
            <w:pPr>
              <w:adjustRightInd w:val="0"/>
              <w:snapToGrid w:val="0"/>
              <w:spacing w:line="360" w:lineRule="auto"/>
              <w:ind w:firstLine="422" w:firstLineChars="200"/>
              <w:rPr>
                <w:b/>
                <w:bCs/>
                <w:szCs w:val="21"/>
              </w:rPr>
            </w:pPr>
            <w:r>
              <w:rPr>
                <w:b/>
                <w:bCs/>
                <w:szCs w:val="21"/>
              </w:rPr>
              <w:t>1、废气</w:t>
            </w:r>
          </w:p>
          <w:p>
            <w:pPr>
              <w:adjustRightInd w:val="0"/>
              <w:snapToGrid w:val="0"/>
              <w:spacing w:line="360" w:lineRule="auto"/>
              <w:ind w:firstLine="420" w:firstLineChars="200"/>
              <w:rPr>
                <w:szCs w:val="21"/>
              </w:rPr>
            </w:pPr>
            <w:r>
              <w:rPr>
                <w:szCs w:val="21"/>
              </w:rPr>
              <w:t>本项目运营期废气主要为汽油和柴油的储存、车辆卸油和车辆加油产生的非甲烷总烃废气和汽车尾气。</w:t>
            </w:r>
          </w:p>
          <w:p>
            <w:pPr>
              <w:pStyle w:val="7"/>
              <w:spacing w:before="0" w:after="0" w:line="360" w:lineRule="auto"/>
              <w:ind w:firstLine="482"/>
              <w:rPr>
                <w:b/>
                <w:sz w:val="21"/>
                <w:szCs w:val="21"/>
              </w:rPr>
            </w:pPr>
            <w:r>
              <w:rPr>
                <w:b/>
                <w:sz w:val="21"/>
                <w:szCs w:val="21"/>
              </w:rPr>
              <w:t>1.1、废气污染源情况</w:t>
            </w:r>
          </w:p>
          <w:p>
            <w:pPr>
              <w:pStyle w:val="7"/>
              <w:spacing w:before="0" w:after="0" w:line="360" w:lineRule="auto"/>
              <w:ind w:firstLine="482"/>
              <w:rPr>
                <w:sz w:val="21"/>
                <w:szCs w:val="21"/>
              </w:rPr>
            </w:pPr>
            <w:r>
              <w:rPr>
                <w:sz w:val="21"/>
                <w:szCs w:val="21"/>
              </w:rPr>
              <w:t>（1）非甲烷总烃</w:t>
            </w:r>
          </w:p>
          <w:p>
            <w:pPr>
              <w:autoSpaceDE w:val="0"/>
              <w:autoSpaceDN w:val="0"/>
              <w:adjustRightInd w:val="0"/>
              <w:spacing w:line="360" w:lineRule="auto"/>
              <w:ind w:firstLine="420" w:firstLineChars="200"/>
              <w:jc w:val="left"/>
              <w:rPr>
                <w:kern w:val="0"/>
                <w:szCs w:val="21"/>
              </w:rPr>
            </w:pPr>
            <w:r>
              <w:rPr>
                <w:kern w:val="0"/>
                <w:szCs w:val="21"/>
              </w:rPr>
              <w:t>本项目废气污染物排放源情况见表4-1。</w:t>
            </w:r>
          </w:p>
          <w:p>
            <w:pPr>
              <w:autoSpaceDE w:val="0"/>
              <w:autoSpaceDN w:val="0"/>
              <w:adjustRightInd w:val="0"/>
              <w:spacing w:line="276" w:lineRule="auto"/>
              <w:ind w:firstLine="422" w:firstLineChars="200"/>
              <w:jc w:val="center"/>
              <w:rPr>
                <w:b/>
                <w:kern w:val="0"/>
                <w:szCs w:val="21"/>
              </w:rPr>
            </w:pPr>
            <w:r>
              <w:rPr>
                <w:b/>
                <w:kern w:val="0"/>
                <w:szCs w:val="21"/>
              </w:rPr>
              <w:t>表4-1  项目废气污染物排放源一览表</w:t>
            </w:r>
          </w:p>
          <w:tbl>
            <w:tblPr>
              <w:tblStyle w:val="21"/>
              <w:tblW w:w="1264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658"/>
              <w:gridCol w:w="350"/>
              <w:gridCol w:w="696"/>
              <w:gridCol w:w="602"/>
              <w:gridCol w:w="633"/>
              <w:gridCol w:w="647"/>
              <w:gridCol w:w="474"/>
              <w:gridCol w:w="523"/>
              <w:gridCol w:w="523"/>
              <w:gridCol w:w="540"/>
              <w:gridCol w:w="576"/>
              <w:gridCol w:w="593"/>
              <w:gridCol w:w="728"/>
              <w:gridCol w:w="668"/>
              <w:gridCol w:w="535"/>
              <w:gridCol w:w="397"/>
              <w:gridCol w:w="385"/>
              <w:gridCol w:w="340"/>
              <w:gridCol w:w="310"/>
              <w:gridCol w:w="485"/>
              <w:gridCol w:w="653"/>
              <w:gridCol w:w="132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Pr>
              <w:tc>
                <w:tcPr>
                  <w:tcW w:w="719" w:type="dxa"/>
                  <w:vMerge w:val="restart"/>
                  <w:vAlign w:val="center"/>
                </w:tcPr>
                <w:p>
                  <w:pPr>
                    <w:adjustRightInd w:val="0"/>
                    <w:snapToGrid w:val="0"/>
                    <w:jc w:val="center"/>
                    <w:rPr>
                      <w:b/>
                      <w:bCs/>
                      <w:szCs w:val="21"/>
                    </w:rPr>
                  </w:pPr>
                  <w:r>
                    <w:rPr>
                      <w:b/>
                      <w:bCs/>
                      <w:szCs w:val="21"/>
                    </w:rPr>
                    <w:t>产排污环节</w:t>
                  </w:r>
                </w:p>
              </w:tc>
              <w:tc>
                <w:tcPr>
                  <w:tcW w:w="369" w:type="dxa"/>
                  <w:vMerge w:val="restart"/>
                  <w:vAlign w:val="center"/>
                </w:tcPr>
                <w:p>
                  <w:pPr>
                    <w:adjustRightInd w:val="0"/>
                    <w:snapToGrid w:val="0"/>
                    <w:jc w:val="center"/>
                    <w:rPr>
                      <w:b/>
                      <w:bCs/>
                      <w:szCs w:val="21"/>
                    </w:rPr>
                  </w:pPr>
                  <w:r>
                    <w:rPr>
                      <w:b/>
                      <w:bCs/>
                      <w:szCs w:val="21"/>
                    </w:rPr>
                    <w:t>排放形式</w:t>
                  </w:r>
                </w:p>
              </w:tc>
              <w:tc>
                <w:tcPr>
                  <w:tcW w:w="765" w:type="dxa"/>
                  <w:vMerge w:val="restart"/>
                  <w:vAlign w:val="center"/>
                </w:tcPr>
                <w:p>
                  <w:pPr>
                    <w:adjustRightInd w:val="0"/>
                    <w:snapToGrid w:val="0"/>
                    <w:jc w:val="center"/>
                    <w:rPr>
                      <w:b/>
                      <w:bCs/>
                      <w:szCs w:val="21"/>
                    </w:rPr>
                  </w:pPr>
                  <w:r>
                    <w:rPr>
                      <w:b/>
                      <w:bCs/>
                      <w:szCs w:val="21"/>
                    </w:rPr>
                    <w:t>污染物</w:t>
                  </w:r>
                </w:p>
                <w:p>
                  <w:pPr>
                    <w:adjustRightInd w:val="0"/>
                    <w:snapToGrid w:val="0"/>
                    <w:jc w:val="center"/>
                    <w:rPr>
                      <w:b/>
                      <w:bCs/>
                      <w:szCs w:val="21"/>
                    </w:rPr>
                  </w:pPr>
                  <w:r>
                    <w:rPr>
                      <w:b/>
                      <w:bCs/>
                      <w:szCs w:val="21"/>
                    </w:rPr>
                    <w:t>种类</w:t>
                  </w:r>
                </w:p>
              </w:tc>
              <w:tc>
                <w:tcPr>
                  <w:tcW w:w="1930" w:type="dxa"/>
                  <w:gridSpan w:val="3"/>
                  <w:vAlign w:val="center"/>
                </w:tcPr>
                <w:p>
                  <w:pPr>
                    <w:adjustRightInd w:val="0"/>
                    <w:snapToGrid w:val="0"/>
                    <w:jc w:val="center"/>
                    <w:rPr>
                      <w:b/>
                      <w:bCs/>
                      <w:szCs w:val="21"/>
                    </w:rPr>
                  </w:pPr>
                  <w:r>
                    <w:rPr>
                      <w:b/>
                      <w:bCs/>
                      <w:szCs w:val="21"/>
                    </w:rPr>
                    <w:t>污染物产生量和浓度</w:t>
                  </w:r>
                </w:p>
              </w:tc>
              <w:tc>
                <w:tcPr>
                  <w:tcW w:w="2829" w:type="dxa"/>
                  <w:gridSpan w:val="5"/>
                  <w:vAlign w:val="center"/>
                </w:tcPr>
                <w:p>
                  <w:pPr>
                    <w:adjustRightInd w:val="0"/>
                    <w:snapToGrid w:val="0"/>
                    <w:jc w:val="center"/>
                    <w:rPr>
                      <w:b/>
                      <w:bCs/>
                      <w:szCs w:val="21"/>
                    </w:rPr>
                  </w:pPr>
                  <w:r>
                    <w:rPr>
                      <w:b/>
                      <w:bCs/>
                      <w:szCs w:val="21"/>
                    </w:rPr>
                    <w:t>污染治理设施</w:t>
                  </w:r>
                </w:p>
              </w:tc>
              <w:tc>
                <w:tcPr>
                  <w:tcW w:w="2053" w:type="dxa"/>
                  <w:gridSpan w:val="3"/>
                  <w:vAlign w:val="center"/>
                </w:tcPr>
                <w:p>
                  <w:pPr>
                    <w:adjustRightInd w:val="0"/>
                    <w:snapToGrid w:val="0"/>
                    <w:jc w:val="center"/>
                    <w:rPr>
                      <w:b/>
                      <w:bCs/>
                      <w:szCs w:val="21"/>
                    </w:rPr>
                  </w:pPr>
                  <w:r>
                    <w:rPr>
                      <w:b/>
                      <w:bCs/>
                      <w:szCs w:val="21"/>
                    </w:rPr>
                    <w:t>污染物排放量和浓度</w:t>
                  </w:r>
                </w:p>
              </w:tc>
              <w:tc>
                <w:tcPr>
                  <w:tcW w:w="2618" w:type="dxa"/>
                  <w:gridSpan w:val="6"/>
                  <w:vAlign w:val="center"/>
                </w:tcPr>
                <w:p>
                  <w:pPr>
                    <w:adjustRightInd w:val="0"/>
                    <w:snapToGrid w:val="0"/>
                    <w:jc w:val="center"/>
                    <w:rPr>
                      <w:b/>
                      <w:bCs/>
                      <w:szCs w:val="21"/>
                    </w:rPr>
                  </w:pPr>
                  <w:r>
                    <w:rPr>
                      <w:b/>
                      <w:bCs/>
                      <w:szCs w:val="21"/>
                    </w:rPr>
                    <w:t>排放口基本情况</w:t>
                  </w:r>
                </w:p>
              </w:tc>
              <w:tc>
                <w:tcPr>
                  <w:tcW w:w="1358" w:type="dxa"/>
                  <w:gridSpan w:val="2"/>
                  <w:vAlign w:val="center"/>
                </w:tcPr>
                <w:p>
                  <w:pPr>
                    <w:adjustRightInd w:val="0"/>
                    <w:snapToGrid w:val="0"/>
                    <w:jc w:val="center"/>
                    <w:rPr>
                      <w:b/>
                      <w:bCs/>
                      <w:szCs w:val="21"/>
                    </w:rPr>
                  </w:pPr>
                  <w:r>
                    <w:rPr>
                      <w:b/>
                      <w:bCs/>
                      <w:szCs w:val="21"/>
                    </w:rPr>
                    <w:t>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Pr>
              <w:tc>
                <w:tcPr>
                  <w:tcW w:w="719" w:type="dxa"/>
                  <w:vMerge w:val="continue"/>
                  <w:vAlign w:val="center"/>
                </w:tcPr>
                <w:p>
                  <w:pPr>
                    <w:adjustRightInd w:val="0"/>
                    <w:snapToGrid w:val="0"/>
                    <w:jc w:val="center"/>
                    <w:rPr>
                      <w:b/>
                      <w:bCs/>
                      <w:szCs w:val="21"/>
                    </w:rPr>
                  </w:pPr>
                </w:p>
              </w:tc>
              <w:tc>
                <w:tcPr>
                  <w:tcW w:w="369" w:type="dxa"/>
                  <w:vMerge w:val="continue"/>
                  <w:vAlign w:val="center"/>
                </w:tcPr>
                <w:p>
                  <w:pPr>
                    <w:adjustRightInd w:val="0"/>
                    <w:snapToGrid w:val="0"/>
                    <w:jc w:val="center"/>
                    <w:rPr>
                      <w:b/>
                      <w:bCs/>
                      <w:szCs w:val="21"/>
                    </w:rPr>
                  </w:pPr>
                </w:p>
              </w:tc>
              <w:tc>
                <w:tcPr>
                  <w:tcW w:w="765" w:type="dxa"/>
                  <w:vMerge w:val="continue"/>
                  <w:vAlign w:val="center"/>
                </w:tcPr>
                <w:p>
                  <w:pPr>
                    <w:adjustRightInd w:val="0"/>
                    <w:snapToGrid w:val="0"/>
                    <w:jc w:val="center"/>
                    <w:rPr>
                      <w:b/>
                      <w:bCs/>
                      <w:szCs w:val="21"/>
                    </w:rPr>
                  </w:pPr>
                </w:p>
              </w:tc>
              <w:tc>
                <w:tcPr>
                  <w:tcW w:w="604" w:type="dxa"/>
                  <w:vMerge w:val="restart"/>
                  <w:vAlign w:val="center"/>
                </w:tcPr>
                <w:p>
                  <w:pPr>
                    <w:adjustRightInd w:val="0"/>
                    <w:snapToGrid w:val="0"/>
                    <w:jc w:val="center"/>
                    <w:rPr>
                      <w:b/>
                      <w:bCs/>
                      <w:szCs w:val="21"/>
                    </w:rPr>
                  </w:pPr>
                  <w:r>
                    <w:rPr>
                      <w:b/>
                      <w:bCs/>
                      <w:szCs w:val="21"/>
                    </w:rPr>
                    <w:t>产生浓度</w:t>
                  </w:r>
                </w:p>
                <w:p>
                  <w:pPr>
                    <w:adjustRightInd w:val="0"/>
                    <w:snapToGrid w:val="0"/>
                    <w:jc w:val="center"/>
                    <w:rPr>
                      <w:b/>
                      <w:bCs/>
                      <w:szCs w:val="21"/>
                    </w:rPr>
                  </w:pPr>
                  <w:r>
                    <w:rPr>
                      <w:b/>
                      <w:bCs/>
                      <w:szCs w:val="21"/>
                    </w:rPr>
                    <w:t>mg/m</w:t>
                  </w:r>
                  <w:r>
                    <w:rPr>
                      <w:b/>
                      <w:bCs/>
                      <w:szCs w:val="21"/>
                      <w:vertAlign w:val="superscript"/>
                    </w:rPr>
                    <w:t>3</w:t>
                  </w:r>
                </w:p>
              </w:tc>
              <w:tc>
                <w:tcPr>
                  <w:tcW w:w="1326" w:type="dxa"/>
                  <w:gridSpan w:val="2"/>
                  <w:vAlign w:val="center"/>
                </w:tcPr>
                <w:p>
                  <w:pPr>
                    <w:adjustRightInd w:val="0"/>
                    <w:snapToGrid w:val="0"/>
                    <w:jc w:val="center"/>
                    <w:rPr>
                      <w:b/>
                      <w:bCs/>
                      <w:szCs w:val="21"/>
                    </w:rPr>
                  </w:pPr>
                  <w:r>
                    <w:rPr>
                      <w:b/>
                      <w:bCs/>
                      <w:szCs w:val="21"/>
                    </w:rPr>
                    <w:t>产生量</w:t>
                  </w:r>
                </w:p>
              </w:tc>
              <w:tc>
                <w:tcPr>
                  <w:tcW w:w="481" w:type="dxa"/>
                  <w:vAlign w:val="center"/>
                </w:tcPr>
                <w:p>
                  <w:pPr>
                    <w:adjustRightInd w:val="0"/>
                    <w:snapToGrid w:val="0"/>
                    <w:jc w:val="center"/>
                    <w:rPr>
                      <w:b/>
                      <w:bCs/>
                      <w:szCs w:val="21"/>
                    </w:rPr>
                  </w:pPr>
                  <w:r>
                    <w:rPr>
                      <w:b/>
                      <w:bCs/>
                      <w:szCs w:val="21"/>
                    </w:rPr>
                    <w:t>处理能力</w:t>
                  </w:r>
                </w:p>
              </w:tc>
              <w:tc>
                <w:tcPr>
                  <w:tcW w:w="567" w:type="dxa"/>
                  <w:vAlign w:val="center"/>
                </w:tcPr>
                <w:p>
                  <w:pPr>
                    <w:adjustRightInd w:val="0"/>
                    <w:snapToGrid w:val="0"/>
                    <w:jc w:val="center"/>
                    <w:rPr>
                      <w:b/>
                      <w:bCs/>
                      <w:szCs w:val="21"/>
                    </w:rPr>
                  </w:pPr>
                  <w:r>
                    <w:rPr>
                      <w:b/>
                      <w:bCs/>
                      <w:szCs w:val="21"/>
                    </w:rPr>
                    <w:t>收集效率</w:t>
                  </w:r>
                </w:p>
              </w:tc>
              <w:tc>
                <w:tcPr>
                  <w:tcW w:w="567" w:type="dxa"/>
                  <w:vAlign w:val="center"/>
                </w:tcPr>
                <w:p>
                  <w:pPr>
                    <w:adjustRightInd w:val="0"/>
                    <w:snapToGrid w:val="0"/>
                    <w:jc w:val="center"/>
                    <w:rPr>
                      <w:b/>
                      <w:bCs/>
                      <w:szCs w:val="21"/>
                    </w:rPr>
                  </w:pPr>
                  <w:r>
                    <w:rPr>
                      <w:b/>
                      <w:bCs/>
                      <w:szCs w:val="21"/>
                    </w:rPr>
                    <w:t>去除效率</w:t>
                  </w:r>
                </w:p>
              </w:tc>
              <w:tc>
                <w:tcPr>
                  <w:tcW w:w="586" w:type="dxa"/>
                  <w:vMerge w:val="restart"/>
                  <w:vAlign w:val="center"/>
                </w:tcPr>
                <w:p>
                  <w:pPr>
                    <w:adjustRightInd w:val="0"/>
                    <w:snapToGrid w:val="0"/>
                    <w:jc w:val="center"/>
                    <w:rPr>
                      <w:b/>
                      <w:bCs/>
                      <w:szCs w:val="21"/>
                    </w:rPr>
                  </w:pPr>
                  <w:r>
                    <w:rPr>
                      <w:b/>
                      <w:bCs/>
                      <w:szCs w:val="21"/>
                    </w:rPr>
                    <w:t>是否可行技术</w:t>
                  </w:r>
                </w:p>
              </w:tc>
              <w:tc>
                <w:tcPr>
                  <w:tcW w:w="628" w:type="dxa"/>
                  <w:vMerge w:val="restart"/>
                  <w:vAlign w:val="center"/>
                </w:tcPr>
                <w:p>
                  <w:pPr>
                    <w:adjustRightInd w:val="0"/>
                    <w:snapToGrid w:val="0"/>
                    <w:jc w:val="center"/>
                    <w:rPr>
                      <w:b/>
                      <w:bCs/>
                      <w:szCs w:val="21"/>
                    </w:rPr>
                  </w:pPr>
                  <w:r>
                    <w:rPr>
                      <w:b/>
                      <w:bCs/>
                      <w:szCs w:val="21"/>
                    </w:rPr>
                    <w:t>处理工艺</w:t>
                  </w:r>
                </w:p>
              </w:tc>
              <w:tc>
                <w:tcPr>
                  <w:tcW w:w="594" w:type="dxa"/>
                  <w:vMerge w:val="restart"/>
                  <w:vAlign w:val="center"/>
                </w:tcPr>
                <w:p>
                  <w:pPr>
                    <w:adjustRightInd w:val="0"/>
                    <w:snapToGrid w:val="0"/>
                    <w:jc w:val="center"/>
                    <w:rPr>
                      <w:b/>
                      <w:bCs/>
                      <w:szCs w:val="21"/>
                    </w:rPr>
                  </w:pPr>
                  <w:r>
                    <w:rPr>
                      <w:b/>
                      <w:bCs/>
                      <w:szCs w:val="21"/>
                    </w:rPr>
                    <w:t>排放浓度</w:t>
                  </w:r>
                </w:p>
                <w:p>
                  <w:pPr>
                    <w:adjustRightInd w:val="0"/>
                    <w:snapToGrid w:val="0"/>
                    <w:jc w:val="center"/>
                    <w:rPr>
                      <w:b/>
                      <w:bCs/>
                      <w:szCs w:val="21"/>
                    </w:rPr>
                  </w:pPr>
                  <w:r>
                    <w:rPr>
                      <w:b/>
                      <w:bCs/>
                      <w:szCs w:val="21"/>
                    </w:rPr>
                    <w:t>mg/m</w:t>
                  </w:r>
                  <w:r>
                    <w:rPr>
                      <w:b/>
                      <w:bCs/>
                      <w:szCs w:val="21"/>
                      <w:vertAlign w:val="superscript"/>
                    </w:rPr>
                    <w:t>3</w:t>
                  </w:r>
                </w:p>
              </w:tc>
              <w:tc>
                <w:tcPr>
                  <w:tcW w:w="1459" w:type="dxa"/>
                  <w:gridSpan w:val="2"/>
                  <w:vAlign w:val="center"/>
                </w:tcPr>
                <w:p>
                  <w:pPr>
                    <w:adjustRightInd w:val="0"/>
                    <w:snapToGrid w:val="0"/>
                    <w:jc w:val="center"/>
                    <w:rPr>
                      <w:b/>
                      <w:bCs/>
                      <w:szCs w:val="21"/>
                    </w:rPr>
                  </w:pPr>
                  <w:r>
                    <w:rPr>
                      <w:b/>
                      <w:bCs/>
                      <w:szCs w:val="21"/>
                    </w:rPr>
                    <w:t>排放量</w:t>
                  </w:r>
                </w:p>
              </w:tc>
              <w:tc>
                <w:tcPr>
                  <w:tcW w:w="583" w:type="dxa"/>
                  <w:vMerge w:val="restart"/>
                  <w:vAlign w:val="center"/>
                </w:tcPr>
                <w:p>
                  <w:pPr>
                    <w:adjustRightInd w:val="0"/>
                    <w:snapToGrid w:val="0"/>
                    <w:jc w:val="center"/>
                    <w:rPr>
                      <w:b/>
                      <w:bCs/>
                      <w:spacing w:val="-10"/>
                      <w:szCs w:val="21"/>
                    </w:rPr>
                  </w:pPr>
                  <w:r>
                    <w:rPr>
                      <w:b/>
                      <w:bCs/>
                      <w:spacing w:val="-10"/>
                      <w:szCs w:val="21"/>
                    </w:rPr>
                    <w:t>编号及名称</w:t>
                  </w:r>
                </w:p>
              </w:tc>
              <w:tc>
                <w:tcPr>
                  <w:tcW w:w="423" w:type="dxa"/>
                  <w:vAlign w:val="center"/>
                </w:tcPr>
                <w:p>
                  <w:pPr>
                    <w:adjustRightInd w:val="0"/>
                    <w:snapToGrid w:val="0"/>
                    <w:jc w:val="center"/>
                    <w:rPr>
                      <w:b/>
                      <w:bCs/>
                      <w:szCs w:val="21"/>
                    </w:rPr>
                  </w:pPr>
                  <w:r>
                    <w:rPr>
                      <w:b/>
                      <w:bCs/>
                      <w:szCs w:val="21"/>
                    </w:rPr>
                    <w:t>高度</w:t>
                  </w:r>
                </w:p>
              </w:tc>
              <w:tc>
                <w:tcPr>
                  <w:tcW w:w="409" w:type="dxa"/>
                  <w:vAlign w:val="center"/>
                </w:tcPr>
                <w:p>
                  <w:pPr>
                    <w:adjustRightInd w:val="0"/>
                    <w:snapToGrid w:val="0"/>
                    <w:jc w:val="center"/>
                    <w:rPr>
                      <w:b/>
                      <w:bCs/>
                      <w:szCs w:val="21"/>
                    </w:rPr>
                  </w:pPr>
                  <w:r>
                    <w:rPr>
                      <w:b/>
                      <w:bCs/>
                      <w:szCs w:val="21"/>
                    </w:rPr>
                    <w:t>内径</w:t>
                  </w:r>
                </w:p>
              </w:tc>
              <w:tc>
                <w:tcPr>
                  <w:tcW w:w="355" w:type="dxa"/>
                  <w:vAlign w:val="center"/>
                </w:tcPr>
                <w:p>
                  <w:pPr>
                    <w:adjustRightInd w:val="0"/>
                    <w:snapToGrid w:val="0"/>
                    <w:jc w:val="center"/>
                    <w:rPr>
                      <w:b/>
                      <w:bCs/>
                      <w:szCs w:val="21"/>
                    </w:rPr>
                  </w:pPr>
                  <w:r>
                    <w:rPr>
                      <w:b/>
                      <w:bCs/>
                      <w:szCs w:val="21"/>
                    </w:rPr>
                    <w:t>温度</w:t>
                  </w:r>
                </w:p>
              </w:tc>
              <w:tc>
                <w:tcPr>
                  <w:tcW w:w="324" w:type="dxa"/>
                  <w:vMerge w:val="restart"/>
                  <w:vAlign w:val="center"/>
                </w:tcPr>
                <w:p>
                  <w:pPr>
                    <w:adjustRightInd w:val="0"/>
                    <w:snapToGrid w:val="0"/>
                    <w:jc w:val="center"/>
                    <w:rPr>
                      <w:b/>
                      <w:bCs/>
                      <w:szCs w:val="21"/>
                    </w:rPr>
                  </w:pPr>
                  <w:r>
                    <w:rPr>
                      <w:b/>
                      <w:bCs/>
                      <w:szCs w:val="21"/>
                    </w:rPr>
                    <w:t>类型</w:t>
                  </w:r>
                </w:p>
              </w:tc>
              <w:tc>
                <w:tcPr>
                  <w:tcW w:w="524" w:type="dxa"/>
                  <w:vMerge w:val="restart"/>
                  <w:vAlign w:val="center"/>
                </w:tcPr>
                <w:p>
                  <w:pPr>
                    <w:adjustRightInd w:val="0"/>
                    <w:snapToGrid w:val="0"/>
                    <w:jc w:val="center"/>
                    <w:rPr>
                      <w:b/>
                      <w:bCs/>
                      <w:szCs w:val="21"/>
                    </w:rPr>
                  </w:pPr>
                  <w:r>
                    <w:rPr>
                      <w:b/>
                      <w:bCs/>
                      <w:szCs w:val="21"/>
                    </w:rPr>
                    <w:t>地理</w:t>
                  </w:r>
                </w:p>
                <w:p>
                  <w:pPr>
                    <w:adjustRightInd w:val="0"/>
                    <w:snapToGrid w:val="0"/>
                    <w:jc w:val="center"/>
                    <w:rPr>
                      <w:b/>
                      <w:bCs/>
                      <w:szCs w:val="21"/>
                    </w:rPr>
                  </w:pPr>
                  <w:r>
                    <w:rPr>
                      <w:b/>
                      <w:bCs/>
                      <w:szCs w:val="21"/>
                    </w:rPr>
                    <w:t>坐标</w:t>
                  </w:r>
                </w:p>
              </w:tc>
              <w:tc>
                <w:tcPr>
                  <w:tcW w:w="662" w:type="dxa"/>
                  <w:vMerge w:val="restart"/>
                  <w:vAlign w:val="center"/>
                </w:tcPr>
                <w:p>
                  <w:pPr>
                    <w:adjustRightInd w:val="0"/>
                    <w:snapToGrid w:val="0"/>
                    <w:jc w:val="center"/>
                    <w:rPr>
                      <w:b/>
                      <w:bCs/>
                      <w:szCs w:val="21"/>
                    </w:rPr>
                  </w:pPr>
                  <w:r>
                    <w:rPr>
                      <w:b/>
                      <w:bCs/>
                      <w:szCs w:val="21"/>
                    </w:rPr>
                    <w:t>浓度</w:t>
                  </w:r>
                </w:p>
                <w:p>
                  <w:pPr>
                    <w:adjustRightInd w:val="0"/>
                    <w:snapToGrid w:val="0"/>
                    <w:jc w:val="center"/>
                    <w:rPr>
                      <w:b/>
                      <w:bCs/>
                      <w:szCs w:val="21"/>
                    </w:rPr>
                  </w:pPr>
                  <w:r>
                    <w:rPr>
                      <w:b/>
                      <w:bCs/>
                      <w:szCs w:val="21"/>
                    </w:rPr>
                    <w:t>mg/m</w:t>
                  </w:r>
                  <w:r>
                    <w:rPr>
                      <w:b/>
                      <w:bCs/>
                      <w:szCs w:val="21"/>
                      <w:vertAlign w:val="superscript"/>
                    </w:rPr>
                    <w:t>3</w:t>
                  </w:r>
                </w:p>
              </w:tc>
              <w:tc>
                <w:tcPr>
                  <w:tcW w:w="696" w:type="dxa"/>
                  <w:vMerge w:val="restart"/>
                  <w:vAlign w:val="center"/>
                </w:tcPr>
                <w:p>
                  <w:pPr>
                    <w:adjustRightInd w:val="0"/>
                    <w:snapToGrid w:val="0"/>
                    <w:jc w:val="center"/>
                    <w:rPr>
                      <w:b/>
                      <w:bCs/>
                      <w:szCs w:val="21"/>
                    </w:rPr>
                  </w:pPr>
                  <w:r>
                    <w:rPr>
                      <w:b/>
                      <w:bCs/>
                      <w:szCs w:val="21"/>
                    </w:rPr>
                    <w:t>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75" w:hRule="atLeast"/>
              </w:trPr>
              <w:tc>
                <w:tcPr>
                  <w:tcW w:w="719" w:type="dxa"/>
                  <w:vMerge w:val="continue"/>
                  <w:vAlign w:val="center"/>
                </w:tcPr>
                <w:p>
                  <w:pPr>
                    <w:adjustRightInd w:val="0"/>
                    <w:snapToGrid w:val="0"/>
                    <w:jc w:val="center"/>
                    <w:rPr>
                      <w:bCs/>
                      <w:szCs w:val="21"/>
                    </w:rPr>
                  </w:pPr>
                </w:p>
              </w:tc>
              <w:tc>
                <w:tcPr>
                  <w:tcW w:w="369" w:type="dxa"/>
                  <w:vMerge w:val="continue"/>
                  <w:vAlign w:val="center"/>
                </w:tcPr>
                <w:p>
                  <w:pPr>
                    <w:adjustRightInd w:val="0"/>
                    <w:snapToGrid w:val="0"/>
                    <w:jc w:val="center"/>
                    <w:rPr>
                      <w:bCs/>
                      <w:szCs w:val="21"/>
                    </w:rPr>
                  </w:pPr>
                </w:p>
              </w:tc>
              <w:tc>
                <w:tcPr>
                  <w:tcW w:w="765" w:type="dxa"/>
                  <w:vMerge w:val="continue"/>
                  <w:vAlign w:val="center"/>
                </w:tcPr>
                <w:p>
                  <w:pPr>
                    <w:adjustRightInd w:val="0"/>
                    <w:snapToGrid w:val="0"/>
                    <w:jc w:val="center"/>
                    <w:rPr>
                      <w:bCs/>
                      <w:szCs w:val="21"/>
                    </w:rPr>
                  </w:pPr>
                </w:p>
              </w:tc>
              <w:tc>
                <w:tcPr>
                  <w:tcW w:w="604" w:type="dxa"/>
                  <w:vMerge w:val="continue"/>
                  <w:vAlign w:val="center"/>
                </w:tcPr>
                <w:p>
                  <w:pPr>
                    <w:adjustRightInd w:val="0"/>
                    <w:snapToGrid w:val="0"/>
                    <w:jc w:val="center"/>
                    <w:rPr>
                      <w:bCs/>
                      <w:szCs w:val="21"/>
                    </w:rPr>
                  </w:pPr>
                </w:p>
              </w:tc>
              <w:tc>
                <w:tcPr>
                  <w:tcW w:w="655" w:type="dxa"/>
                  <w:vAlign w:val="center"/>
                </w:tcPr>
                <w:p>
                  <w:pPr>
                    <w:adjustRightInd w:val="0"/>
                    <w:snapToGrid w:val="0"/>
                    <w:jc w:val="center"/>
                    <w:rPr>
                      <w:b/>
                      <w:bCs/>
                      <w:szCs w:val="21"/>
                    </w:rPr>
                  </w:pPr>
                  <w:r>
                    <w:rPr>
                      <w:b/>
                      <w:bCs/>
                      <w:szCs w:val="21"/>
                    </w:rPr>
                    <w:t>kg/h</w:t>
                  </w:r>
                </w:p>
              </w:tc>
              <w:tc>
                <w:tcPr>
                  <w:tcW w:w="671" w:type="dxa"/>
                  <w:vAlign w:val="center"/>
                </w:tcPr>
                <w:p>
                  <w:pPr>
                    <w:adjustRightInd w:val="0"/>
                    <w:snapToGrid w:val="0"/>
                    <w:jc w:val="center"/>
                    <w:rPr>
                      <w:b/>
                      <w:bCs/>
                      <w:szCs w:val="21"/>
                    </w:rPr>
                  </w:pPr>
                  <w:r>
                    <w:rPr>
                      <w:b/>
                      <w:bCs/>
                      <w:szCs w:val="21"/>
                    </w:rPr>
                    <w:t>t/a</w:t>
                  </w:r>
                </w:p>
              </w:tc>
              <w:tc>
                <w:tcPr>
                  <w:tcW w:w="481" w:type="dxa"/>
                  <w:vAlign w:val="center"/>
                </w:tcPr>
                <w:p>
                  <w:pPr>
                    <w:adjustRightInd w:val="0"/>
                    <w:snapToGrid w:val="0"/>
                    <w:jc w:val="center"/>
                    <w:rPr>
                      <w:b/>
                      <w:bCs/>
                      <w:szCs w:val="21"/>
                    </w:rPr>
                  </w:pPr>
                  <w:r>
                    <w:rPr>
                      <w:b/>
                      <w:bCs/>
                      <w:szCs w:val="21"/>
                    </w:rPr>
                    <w:t>m</w:t>
                  </w:r>
                  <w:r>
                    <w:rPr>
                      <w:b/>
                      <w:bCs/>
                      <w:szCs w:val="21"/>
                      <w:vertAlign w:val="superscript"/>
                    </w:rPr>
                    <w:t>3</w:t>
                  </w:r>
                  <w:r>
                    <w:rPr>
                      <w:b/>
                      <w:bCs/>
                      <w:szCs w:val="21"/>
                    </w:rPr>
                    <w:t>/h</w:t>
                  </w:r>
                </w:p>
              </w:tc>
              <w:tc>
                <w:tcPr>
                  <w:tcW w:w="567" w:type="dxa"/>
                  <w:vAlign w:val="center"/>
                </w:tcPr>
                <w:p>
                  <w:pPr>
                    <w:adjustRightInd w:val="0"/>
                    <w:snapToGrid w:val="0"/>
                    <w:jc w:val="center"/>
                    <w:rPr>
                      <w:b/>
                      <w:bCs/>
                      <w:szCs w:val="21"/>
                    </w:rPr>
                  </w:pPr>
                  <w:r>
                    <w:rPr>
                      <w:b/>
                      <w:bCs/>
                      <w:szCs w:val="21"/>
                    </w:rPr>
                    <w:t>%</w:t>
                  </w:r>
                </w:p>
              </w:tc>
              <w:tc>
                <w:tcPr>
                  <w:tcW w:w="567" w:type="dxa"/>
                  <w:vAlign w:val="center"/>
                </w:tcPr>
                <w:p>
                  <w:pPr>
                    <w:adjustRightInd w:val="0"/>
                    <w:snapToGrid w:val="0"/>
                    <w:jc w:val="center"/>
                    <w:rPr>
                      <w:b/>
                      <w:bCs/>
                      <w:szCs w:val="21"/>
                    </w:rPr>
                  </w:pPr>
                  <w:r>
                    <w:rPr>
                      <w:b/>
                      <w:bCs/>
                      <w:szCs w:val="21"/>
                    </w:rPr>
                    <w:t>%</w:t>
                  </w:r>
                </w:p>
              </w:tc>
              <w:tc>
                <w:tcPr>
                  <w:tcW w:w="586" w:type="dxa"/>
                  <w:vMerge w:val="continue"/>
                  <w:vAlign w:val="center"/>
                </w:tcPr>
                <w:p>
                  <w:pPr>
                    <w:adjustRightInd w:val="0"/>
                    <w:snapToGrid w:val="0"/>
                    <w:jc w:val="center"/>
                    <w:rPr>
                      <w:bCs/>
                      <w:szCs w:val="21"/>
                    </w:rPr>
                  </w:pPr>
                </w:p>
              </w:tc>
              <w:tc>
                <w:tcPr>
                  <w:tcW w:w="628" w:type="dxa"/>
                  <w:vMerge w:val="continue"/>
                  <w:vAlign w:val="center"/>
                </w:tcPr>
                <w:p>
                  <w:pPr>
                    <w:adjustRightInd w:val="0"/>
                    <w:snapToGrid w:val="0"/>
                    <w:jc w:val="center"/>
                    <w:rPr>
                      <w:bCs/>
                      <w:szCs w:val="21"/>
                    </w:rPr>
                  </w:pPr>
                </w:p>
              </w:tc>
              <w:tc>
                <w:tcPr>
                  <w:tcW w:w="594" w:type="dxa"/>
                  <w:vMerge w:val="continue"/>
                  <w:vAlign w:val="center"/>
                </w:tcPr>
                <w:p>
                  <w:pPr>
                    <w:adjustRightInd w:val="0"/>
                    <w:snapToGrid w:val="0"/>
                    <w:jc w:val="center"/>
                    <w:rPr>
                      <w:bCs/>
                      <w:szCs w:val="21"/>
                    </w:rPr>
                  </w:pPr>
                </w:p>
              </w:tc>
              <w:tc>
                <w:tcPr>
                  <w:tcW w:w="764" w:type="dxa"/>
                  <w:vAlign w:val="center"/>
                </w:tcPr>
                <w:p>
                  <w:pPr>
                    <w:adjustRightInd w:val="0"/>
                    <w:snapToGrid w:val="0"/>
                    <w:jc w:val="center"/>
                    <w:rPr>
                      <w:b/>
                      <w:bCs/>
                      <w:szCs w:val="21"/>
                    </w:rPr>
                  </w:pPr>
                  <w:r>
                    <w:rPr>
                      <w:b/>
                      <w:bCs/>
                      <w:szCs w:val="21"/>
                    </w:rPr>
                    <w:t>kg/h</w:t>
                  </w:r>
                </w:p>
              </w:tc>
              <w:tc>
                <w:tcPr>
                  <w:tcW w:w="695" w:type="dxa"/>
                  <w:vAlign w:val="center"/>
                </w:tcPr>
                <w:p>
                  <w:pPr>
                    <w:adjustRightInd w:val="0"/>
                    <w:snapToGrid w:val="0"/>
                    <w:jc w:val="center"/>
                    <w:rPr>
                      <w:b/>
                      <w:bCs/>
                      <w:szCs w:val="21"/>
                    </w:rPr>
                  </w:pPr>
                  <w:r>
                    <w:rPr>
                      <w:b/>
                      <w:bCs/>
                      <w:szCs w:val="21"/>
                    </w:rPr>
                    <w:t>t/a</w:t>
                  </w:r>
                </w:p>
              </w:tc>
              <w:tc>
                <w:tcPr>
                  <w:tcW w:w="583" w:type="dxa"/>
                  <w:vMerge w:val="continue"/>
                  <w:vAlign w:val="center"/>
                </w:tcPr>
                <w:p>
                  <w:pPr>
                    <w:adjustRightInd w:val="0"/>
                    <w:snapToGrid w:val="0"/>
                    <w:jc w:val="center"/>
                    <w:rPr>
                      <w:b/>
                      <w:bCs/>
                      <w:szCs w:val="21"/>
                    </w:rPr>
                  </w:pPr>
                </w:p>
              </w:tc>
              <w:tc>
                <w:tcPr>
                  <w:tcW w:w="423" w:type="dxa"/>
                  <w:vAlign w:val="center"/>
                </w:tcPr>
                <w:p>
                  <w:pPr>
                    <w:adjustRightInd w:val="0"/>
                    <w:snapToGrid w:val="0"/>
                    <w:jc w:val="center"/>
                    <w:rPr>
                      <w:b/>
                      <w:bCs/>
                      <w:szCs w:val="21"/>
                    </w:rPr>
                  </w:pPr>
                  <w:r>
                    <w:rPr>
                      <w:b/>
                      <w:bCs/>
                      <w:szCs w:val="21"/>
                    </w:rPr>
                    <w:t>m</w:t>
                  </w:r>
                </w:p>
              </w:tc>
              <w:tc>
                <w:tcPr>
                  <w:tcW w:w="409" w:type="dxa"/>
                  <w:vAlign w:val="center"/>
                </w:tcPr>
                <w:p>
                  <w:pPr>
                    <w:adjustRightInd w:val="0"/>
                    <w:snapToGrid w:val="0"/>
                    <w:jc w:val="center"/>
                    <w:rPr>
                      <w:b/>
                      <w:bCs/>
                      <w:szCs w:val="21"/>
                    </w:rPr>
                  </w:pPr>
                  <w:r>
                    <w:rPr>
                      <w:b/>
                      <w:bCs/>
                      <w:szCs w:val="21"/>
                    </w:rPr>
                    <w:t>m</w:t>
                  </w:r>
                </w:p>
              </w:tc>
              <w:tc>
                <w:tcPr>
                  <w:tcW w:w="355" w:type="dxa"/>
                  <w:vAlign w:val="center"/>
                </w:tcPr>
                <w:p>
                  <w:pPr>
                    <w:adjustRightInd w:val="0"/>
                    <w:snapToGrid w:val="0"/>
                    <w:jc w:val="center"/>
                    <w:rPr>
                      <w:b/>
                      <w:bCs/>
                      <w:szCs w:val="21"/>
                    </w:rPr>
                  </w:pPr>
                  <w:r>
                    <w:rPr>
                      <w:b/>
                      <w:bCs/>
                      <w:szCs w:val="21"/>
                    </w:rPr>
                    <w:t>℃</w:t>
                  </w:r>
                </w:p>
              </w:tc>
              <w:tc>
                <w:tcPr>
                  <w:tcW w:w="324" w:type="dxa"/>
                  <w:vMerge w:val="continue"/>
                  <w:vAlign w:val="center"/>
                </w:tcPr>
                <w:p>
                  <w:pPr>
                    <w:adjustRightInd w:val="0"/>
                    <w:snapToGrid w:val="0"/>
                    <w:jc w:val="center"/>
                    <w:rPr>
                      <w:b/>
                      <w:bCs/>
                      <w:szCs w:val="21"/>
                    </w:rPr>
                  </w:pPr>
                </w:p>
              </w:tc>
              <w:tc>
                <w:tcPr>
                  <w:tcW w:w="524" w:type="dxa"/>
                  <w:vMerge w:val="continue"/>
                  <w:vAlign w:val="center"/>
                </w:tcPr>
                <w:p>
                  <w:pPr>
                    <w:adjustRightInd w:val="0"/>
                    <w:snapToGrid w:val="0"/>
                    <w:jc w:val="center"/>
                    <w:rPr>
                      <w:b/>
                      <w:bCs/>
                      <w:szCs w:val="21"/>
                    </w:rPr>
                  </w:pPr>
                </w:p>
              </w:tc>
              <w:tc>
                <w:tcPr>
                  <w:tcW w:w="662" w:type="dxa"/>
                  <w:vMerge w:val="continue"/>
                  <w:vAlign w:val="center"/>
                </w:tcPr>
                <w:p>
                  <w:pPr>
                    <w:adjustRightInd w:val="0"/>
                    <w:snapToGrid w:val="0"/>
                    <w:jc w:val="center"/>
                    <w:rPr>
                      <w:bCs/>
                      <w:szCs w:val="21"/>
                    </w:rPr>
                  </w:pPr>
                </w:p>
              </w:tc>
              <w:tc>
                <w:tcPr>
                  <w:tcW w:w="696" w:type="dxa"/>
                  <w:vMerge w:val="continue"/>
                  <w:vAlign w:val="center"/>
                </w:tcPr>
                <w:p>
                  <w:pPr>
                    <w:adjustRightInd w:val="0"/>
                    <w:snapToGrid w:val="0"/>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90" w:hRule="atLeast"/>
              </w:trPr>
              <w:tc>
                <w:tcPr>
                  <w:tcW w:w="719" w:type="dxa"/>
                  <w:vAlign w:val="center"/>
                </w:tcPr>
                <w:p>
                  <w:pPr>
                    <w:jc w:val="center"/>
                    <w:rPr>
                      <w:szCs w:val="21"/>
                    </w:rPr>
                  </w:pPr>
                  <w:r>
                    <w:rPr>
                      <w:szCs w:val="21"/>
                    </w:rPr>
                    <w:t>加油</w:t>
                  </w:r>
                </w:p>
              </w:tc>
              <w:tc>
                <w:tcPr>
                  <w:tcW w:w="369" w:type="dxa"/>
                  <w:vMerge w:val="restart"/>
                  <w:vAlign w:val="center"/>
                </w:tcPr>
                <w:p>
                  <w:pPr>
                    <w:adjustRightInd w:val="0"/>
                    <w:snapToGrid w:val="0"/>
                    <w:jc w:val="center"/>
                    <w:rPr>
                      <w:bCs/>
                      <w:szCs w:val="21"/>
                    </w:rPr>
                  </w:pPr>
                  <w:r>
                    <w:rPr>
                      <w:bCs/>
                      <w:szCs w:val="21"/>
                    </w:rPr>
                    <w:t>无组织</w:t>
                  </w:r>
                </w:p>
              </w:tc>
              <w:tc>
                <w:tcPr>
                  <w:tcW w:w="765" w:type="dxa"/>
                  <w:vAlign w:val="center"/>
                </w:tcPr>
                <w:p>
                  <w:pPr>
                    <w:autoSpaceDE w:val="0"/>
                    <w:autoSpaceDN w:val="0"/>
                    <w:adjustRightInd w:val="0"/>
                    <w:jc w:val="center"/>
                    <w:rPr>
                      <w:kern w:val="0"/>
                      <w:szCs w:val="21"/>
                    </w:rPr>
                  </w:pPr>
                  <w:r>
                    <w:rPr>
                      <w:kern w:val="0"/>
                      <w:szCs w:val="21"/>
                    </w:rPr>
                    <w:t>非甲烷总烃</w:t>
                  </w:r>
                </w:p>
              </w:tc>
              <w:tc>
                <w:tcPr>
                  <w:tcW w:w="604" w:type="dxa"/>
                  <w:vAlign w:val="center"/>
                </w:tcPr>
                <w:p>
                  <w:pPr>
                    <w:adjustRightInd w:val="0"/>
                    <w:snapToGrid w:val="0"/>
                    <w:jc w:val="center"/>
                    <w:rPr>
                      <w:bCs/>
                      <w:szCs w:val="21"/>
                    </w:rPr>
                  </w:pPr>
                  <w:r>
                    <w:rPr>
                      <w:szCs w:val="21"/>
                    </w:rPr>
                    <w:t>/</w:t>
                  </w:r>
                </w:p>
              </w:tc>
              <w:tc>
                <w:tcPr>
                  <w:tcW w:w="655" w:type="dxa"/>
                  <w:vAlign w:val="center"/>
                </w:tcPr>
                <w:p>
                  <w:pPr>
                    <w:snapToGrid w:val="0"/>
                    <w:jc w:val="center"/>
                    <w:rPr>
                      <w:bCs/>
                      <w:szCs w:val="21"/>
                    </w:rPr>
                  </w:pPr>
                  <w:r>
                    <w:rPr>
                      <w:bCs/>
                      <w:szCs w:val="21"/>
                    </w:rPr>
                    <w:t>1.176</w:t>
                  </w:r>
                </w:p>
              </w:tc>
              <w:tc>
                <w:tcPr>
                  <w:tcW w:w="671" w:type="dxa"/>
                  <w:vAlign w:val="center"/>
                </w:tcPr>
                <w:p>
                  <w:pPr>
                    <w:widowControl/>
                    <w:jc w:val="center"/>
                    <w:rPr>
                      <w:kern w:val="0"/>
                      <w:szCs w:val="21"/>
                    </w:rPr>
                  </w:pPr>
                  <w:r>
                    <w:rPr>
                      <w:kern w:val="0"/>
                      <w:szCs w:val="21"/>
                    </w:rPr>
                    <w:t>6.869</w:t>
                  </w:r>
                </w:p>
              </w:tc>
              <w:tc>
                <w:tcPr>
                  <w:tcW w:w="481" w:type="dxa"/>
                  <w:vAlign w:val="center"/>
                </w:tcPr>
                <w:p>
                  <w:pPr>
                    <w:adjustRightInd w:val="0"/>
                    <w:snapToGrid w:val="0"/>
                    <w:jc w:val="center"/>
                    <w:rPr>
                      <w:bCs/>
                      <w:szCs w:val="21"/>
                    </w:rPr>
                  </w:pPr>
                  <w:r>
                    <w:rPr>
                      <w:bCs/>
                      <w:szCs w:val="21"/>
                    </w:rPr>
                    <w:t>/</w:t>
                  </w:r>
                </w:p>
              </w:tc>
              <w:tc>
                <w:tcPr>
                  <w:tcW w:w="567" w:type="dxa"/>
                  <w:vAlign w:val="center"/>
                </w:tcPr>
                <w:p>
                  <w:pPr>
                    <w:adjustRightInd w:val="0"/>
                    <w:snapToGrid w:val="0"/>
                    <w:jc w:val="center"/>
                    <w:rPr>
                      <w:bCs/>
                      <w:szCs w:val="21"/>
                    </w:rPr>
                  </w:pPr>
                  <w:r>
                    <w:rPr>
                      <w:bCs/>
                      <w:szCs w:val="21"/>
                    </w:rPr>
                    <w:t>/</w:t>
                  </w:r>
                </w:p>
              </w:tc>
              <w:tc>
                <w:tcPr>
                  <w:tcW w:w="567" w:type="dxa"/>
                  <w:vAlign w:val="center"/>
                </w:tcPr>
                <w:p>
                  <w:pPr>
                    <w:adjustRightInd w:val="0"/>
                    <w:snapToGrid w:val="0"/>
                    <w:jc w:val="center"/>
                    <w:rPr>
                      <w:bCs/>
                      <w:szCs w:val="21"/>
                    </w:rPr>
                  </w:pPr>
                  <w:r>
                    <w:rPr>
                      <w:szCs w:val="21"/>
                    </w:rPr>
                    <w:t>95</w:t>
                  </w:r>
                </w:p>
              </w:tc>
              <w:tc>
                <w:tcPr>
                  <w:tcW w:w="586" w:type="dxa"/>
                  <w:vAlign w:val="center"/>
                </w:tcPr>
                <w:p>
                  <w:pPr>
                    <w:adjustRightInd w:val="0"/>
                    <w:snapToGrid w:val="0"/>
                    <w:jc w:val="center"/>
                    <w:rPr>
                      <w:bCs/>
                      <w:szCs w:val="21"/>
                    </w:rPr>
                  </w:pPr>
                  <w:r>
                    <w:rPr>
                      <w:szCs w:val="21"/>
                    </w:rPr>
                    <w:t>是</w:t>
                  </w:r>
                </w:p>
              </w:tc>
              <w:tc>
                <w:tcPr>
                  <w:tcW w:w="628" w:type="dxa"/>
                  <w:vAlign w:val="center"/>
                </w:tcPr>
                <w:p>
                  <w:pPr>
                    <w:adjustRightInd w:val="0"/>
                    <w:snapToGrid w:val="0"/>
                    <w:jc w:val="center"/>
                    <w:rPr>
                      <w:szCs w:val="21"/>
                    </w:rPr>
                  </w:pPr>
                  <w:r>
                    <w:rPr>
                      <w:szCs w:val="21"/>
                    </w:rPr>
                    <w:t>油气回收</w:t>
                  </w:r>
                </w:p>
              </w:tc>
              <w:tc>
                <w:tcPr>
                  <w:tcW w:w="594" w:type="dxa"/>
                  <w:vAlign w:val="center"/>
                </w:tcPr>
                <w:p>
                  <w:pPr>
                    <w:snapToGrid w:val="0"/>
                    <w:jc w:val="center"/>
                    <w:rPr>
                      <w:bCs/>
                      <w:szCs w:val="21"/>
                    </w:rPr>
                  </w:pPr>
                  <w:r>
                    <w:rPr>
                      <w:szCs w:val="21"/>
                    </w:rPr>
                    <w:t>/</w:t>
                  </w:r>
                </w:p>
              </w:tc>
              <w:tc>
                <w:tcPr>
                  <w:tcW w:w="764" w:type="dxa"/>
                  <w:vAlign w:val="center"/>
                </w:tcPr>
                <w:p>
                  <w:pPr>
                    <w:snapToGrid w:val="0"/>
                    <w:jc w:val="center"/>
                    <w:rPr>
                      <w:bCs/>
                      <w:szCs w:val="21"/>
                    </w:rPr>
                  </w:pPr>
                  <w:r>
                    <w:rPr>
                      <w:bCs/>
                      <w:szCs w:val="21"/>
                    </w:rPr>
                    <w:t>0.074</w:t>
                  </w:r>
                </w:p>
              </w:tc>
              <w:tc>
                <w:tcPr>
                  <w:tcW w:w="695" w:type="dxa"/>
                  <w:vAlign w:val="center"/>
                </w:tcPr>
                <w:p>
                  <w:pPr>
                    <w:widowControl/>
                    <w:jc w:val="center"/>
                    <w:rPr>
                      <w:kern w:val="0"/>
                      <w:szCs w:val="21"/>
                    </w:rPr>
                  </w:pPr>
                  <w:r>
                    <w:rPr>
                      <w:kern w:val="0"/>
                      <w:szCs w:val="21"/>
                    </w:rPr>
                    <w:t>0.435</w:t>
                  </w:r>
                </w:p>
              </w:tc>
              <w:tc>
                <w:tcPr>
                  <w:tcW w:w="583" w:type="dxa"/>
                  <w:vAlign w:val="center"/>
                </w:tcPr>
                <w:p>
                  <w:pPr>
                    <w:adjustRightInd w:val="0"/>
                    <w:snapToGrid w:val="0"/>
                    <w:jc w:val="center"/>
                    <w:rPr>
                      <w:bCs/>
                      <w:szCs w:val="21"/>
                    </w:rPr>
                  </w:pPr>
                  <w:r>
                    <w:rPr>
                      <w:bCs/>
                      <w:szCs w:val="21"/>
                    </w:rPr>
                    <w:t>/</w:t>
                  </w:r>
                </w:p>
              </w:tc>
              <w:tc>
                <w:tcPr>
                  <w:tcW w:w="423" w:type="dxa"/>
                  <w:vAlign w:val="center"/>
                </w:tcPr>
                <w:p>
                  <w:pPr>
                    <w:adjustRightInd w:val="0"/>
                    <w:snapToGrid w:val="0"/>
                    <w:jc w:val="center"/>
                    <w:rPr>
                      <w:bCs/>
                      <w:szCs w:val="21"/>
                    </w:rPr>
                  </w:pPr>
                  <w:r>
                    <w:rPr>
                      <w:bCs/>
                      <w:szCs w:val="21"/>
                    </w:rPr>
                    <w:t>/</w:t>
                  </w:r>
                </w:p>
              </w:tc>
              <w:tc>
                <w:tcPr>
                  <w:tcW w:w="409" w:type="dxa"/>
                  <w:vAlign w:val="center"/>
                </w:tcPr>
                <w:p>
                  <w:pPr>
                    <w:adjustRightInd w:val="0"/>
                    <w:snapToGrid w:val="0"/>
                    <w:jc w:val="center"/>
                    <w:rPr>
                      <w:bCs/>
                      <w:szCs w:val="21"/>
                    </w:rPr>
                  </w:pPr>
                  <w:r>
                    <w:rPr>
                      <w:bCs/>
                      <w:szCs w:val="21"/>
                    </w:rPr>
                    <w:t>/</w:t>
                  </w:r>
                </w:p>
              </w:tc>
              <w:tc>
                <w:tcPr>
                  <w:tcW w:w="355" w:type="dxa"/>
                  <w:vAlign w:val="center"/>
                </w:tcPr>
                <w:p>
                  <w:pPr>
                    <w:adjustRightInd w:val="0"/>
                    <w:snapToGrid w:val="0"/>
                    <w:jc w:val="center"/>
                    <w:rPr>
                      <w:bCs/>
                      <w:szCs w:val="21"/>
                    </w:rPr>
                  </w:pPr>
                  <w:r>
                    <w:rPr>
                      <w:bCs/>
                      <w:szCs w:val="21"/>
                    </w:rPr>
                    <w:t>/</w:t>
                  </w:r>
                </w:p>
              </w:tc>
              <w:tc>
                <w:tcPr>
                  <w:tcW w:w="324" w:type="dxa"/>
                  <w:vAlign w:val="center"/>
                </w:tcPr>
                <w:p>
                  <w:pPr>
                    <w:adjustRightInd w:val="0"/>
                    <w:snapToGrid w:val="0"/>
                    <w:jc w:val="center"/>
                    <w:rPr>
                      <w:bCs/>
                      <w:szCs w:val="21"/>
                    </w:rPr>
                  </w:pPr>
                  <w:r>
                    <w:rPr>
                      <w:bCs/>
                      <w:szCs w:val="21"/>
                    </w:rPr>
                    <w:t>/</w:t>
                  </w:r>
                </w:p>
              </w:tc>
              <w:tc>
                <w:tcPr>
                  <w:tcW w:w="524" w:type="dxa"/>
                  <w:vAlign w:val="center"/>
                </w:tcPr>
                <w:p>
                  <w:pPr>
                    <w:adjustRightInd w:val="0"/>
                    <w:snapToGrid w:val="0"/>
                    <w:jc w:val="center"/>
                    <w:rPr>
                      <w:bCs/>
                      <w:szCs w:val="21"/>
                    </w:rPr>
                  </w:pPr>
                  <w:r>
                    <w:rPr>
                      <w:bCs/>
                      <w:szCs w:val="21"/>
                    </w:rPr>
                    <w:t>/</w:t>
                  </w:r>
                </w:p>
              </w:tc>
              <w:tc>
                <w:tcPr>
                  <w:tcW w:w="662" w:type="dxa"/>
                  <w:vAlign w:val="center"/>
                </w:tcPr>
                <w:p>
                  <w:pPr>
                    <w:adjustRightInd w:val="0"/>
                    <w:snapToGrid w:val="0"/>
                    <w:jc w:val="center"/>
                    <w:rPr>
                      <w:bCs/>
                      <w:szCs w:val="21"/>
                    </w:rPr>
                  </w:pPr>
                  <w:r>
                    <w:rPr>
                      <w:szCs w:val="21"/>
                    </w:rPr>
                    <w:t>4.0</w:t>
                  </w:r>
                </w:p>
              </w:tc>
              <w:tc>
                <w:tcPr>
                  <w:tcW w:w="696" w:type="dxa"/>
                  <w:vMerge w:val="restart"/>
                  <w:vAlign w:val="center"/>
                </w:tcPr>
                <w:p>
                  <w:pPr>
                    <w:adjustRightInd w:val="0"/>
                    <w:snapToGrid w:val="0"/>
                    <w:spacing w:line="0" w:lineRule="atLeast"/>
                    <w:jc w:val="center"/>
                    <w:rPr>
                      <w:bCs/>
                      <w:szCs w:val="21"/>
                    </w:rPr>
                  </w:pPr>
                  <w:r>
                    <w:rPr>
                      <w:szCs w:val="21"/>
                    </w:rPr>
                    <w:t>GB20952-2020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Pr>
              <w:tc>
                <w:tcPr>
                  <w:tcW w:w="719" w:type="dxa"/>
                  <w:vAlign w:val="center"/>
                </w:tcPr>
                <w:p>
                  <w:pPr>
                    <w:jc w:val="center"/>
                    <w:rPr>
                      <w:szCs w:val="21"/>
                    </w:rPr>
                  </w:pPr>
                  <w:r>
                    <w:rPr>
                      <w:szCs w:val="21"/>
                    </w:rPr>
                    <w:t>卸油及储罐挥发</w:t>
                  </w:r>
                </w:p>
              </w:tc>
              <w:tc>
                <w:tcPr>
                  <w:tcW w:w="369" w:type="dxa"/>
                  <w:vMerge w:val="continue"/>
                  <w:vAlign w:val="center"/>
                </w:tcPr>
                <w:p>
                  <w:pPr>
                    <w:adjustRightInd w:val="0"/>
                    <w:snapToGrid w:val="0"/>
                    <w:jc w:val="center"/>
                    <w:rPr>
                      <w:bCs/>
                      <w:szCs w:val="21"/>
                    </w:rPr>
                  </w:pPr>
                </w:p>
              </w:tc>
              <w:tc>
                <w:tcPr>
                  <w:tcW w:w="765" w:type="dxa"/>
                  <w:vAlign w:val="center"/>
                </w:tcPr>
                <w:p>
                  <w:pPr>
                    <w:autoSpaceDE w:val="0"/>
                    <w:autoSpaceDN w:val="0"/>
                    <w:adjustRightInd w:val="0"/>
                    <w:jc w:val="center"/>
                    <w:rPr>
                      <w:kern w:val="0"/>
                      <w:szCs w:val="21"/>
                    </w:rPr>
                  </w:pPr>
                  <w:r>
                    <w:rPr>
                      <w:kern w:val="0"/>
                      <w:szCs w:val="21"/>
                    </w:rPr>
                    <w:t>非甲烷总烃</w:t>
                  </w:r>
                </w:p>
              </w:tc>
              <w:tc>
                <w:tcPr>
                  <w:tcW w:w="604" w:type="dxa"/>
                  <w:vAlign w:val="center"/>
                </w:tcPr>
                <w:p>
                  <w:pPr>
                    <w:widowControl/>
                    <w:adjustRightInd w:val="0"/>
                    <w:snapToGrid w:val="0"/>
                    <w:jc w:val="center"/>
                    <w:textAlignment w:val="center"/>
                    <w:rPr>
                      <w:szCs w:val="21"/>
                    </w:rPr>
                  </w:pPr>
                  <w:r>
                    <w:rPr>
                      <w:szCs w:val="21"/>
                    </w:rPr>
                    <w:t>/</w:t>
                  </w:r>
                </w:p>
              </w:tc>
              <w:tc>
                <w:tcPr>
                  <w:tcW w:w="655" w:type="dxa"/>
                  <w:vAlign w:val="center"/>
                </w:tcPr>
                <w:p>
                  <w:pPr>
                    <w:adjustRightInd w:val="0"/>
                    <w:snapToGrid w:val="0"/>
                    <w:jc w:val="center"/>
                    <w:rPr>
                      <w:bCs/>
                      <w:szCs w:val="21"/>
                    </w:rPr>
                  </w:pPr>
                  <w:r>
                    <w:rPr>
                      <w:bCs/>
                      <w:szCs w:val="21"/>
                    </w:rPr>
                    <w:t>0.770</w:t>
                  </w:r>
                </w:p>
              </w:tc>
              <w:tc>
                <w:tcPr>
                  <w:tcW w:w="671" w:type="dxa"/>
                  <w:vAlign w:val="center"/>
                </w:tcPr>
                <w:p>
                  <w:pPr>
                    <w:widowControl/>
                    <w:jc w:val="center"/>
                    <w:rPr>
                      <w:kern w:val="0"/>
                      <w:szCs w:val="21"/>
                    </w:rPr>
                  </w:pPr>
                  <w:r>
                    <w:rPr>
                      <w:kern w:val="0"/>
                      <w:szCs w:val="21"/>
                    </w:rPr>
                    <w:t>6.745</w:t>
                  </w:r>
                </w:p>
              </w:tc>
              <w:tc>
                <w:tcPr>
                  <w:tcW w:w="481" w:type="dxa"/>
                  <w:vAlign w:val="center"/>
                </w:tcPr>
                <w:p>
                  <w:pPr>
                    <w:adjustRightInd w:val="0"/>
                    <w:snapToGrid w:val="0"/>
                    <w:jc w:val="center"/>
                    <w:rPr>
                      <w:bCs/>
                      <w:szCs w:val="21"/>
                    </w:rPr>
                  </w:pPr>
                  <w:r>
                    <w:rPr>
                      <w:bCs/>
                      <w:szCs w:val="21"/>
                    </w:rPr>
                    <w:t>/</w:t>
                  </w:r>
                </w:p>
              </w:tc>
              <w:tc>
                <w:tcPr>
                  <w:tcW w:w="567" w:type="dxa"/>
                  <w:vAlign w:val="center"/>
                </w:tcPr>
                <w:p>
                  <w:pPr>
                    <w:adjustRightInd w:val="0"/>
                    <w:snapToGrid w:val="0"/>
                    <w:jc w:val="center"/>
                    <w:rPr>
                      <w:bCs/>
                      <w:szCs w:val="21"/>
                    </w:rPr>
                  </w:pPr>
                  <w:r>
                    <w:rPr>
                      <w:bCs/>
                      <w:szCs w:val="21"/>
                    </w:rPr>
                    <w:t>/</w:t>
                  </w:r>
                </w:p>
              </w:tc>
              <w:tc>
                <w:tcPr>
                  <w:tcW w:w="567" w:type="dxa"/>
                  <w:vAlign w:val="center"/>
                </w:tcPr>
                <w:p>
                  <w:pPr>
                    <w:adjustRightInd w:val="0"/>
                    <w:snapToGrid w:val="0"/>
                    <w:jc w:val="center"/>
                    <w:rPr>
                      <w:bCs/>
                      <w:szCs w:val="21"/>
                    </w:rPr>
                  </w:pPr>
                  <w:r>
                    <w:rPr>
                      <w:szCs w:val="21"/>
                    </w:rPr>
                    <w:t>95</w:t>
                  </w:r>
                </w:p>
              </w:tc>
              <w:tc>
                <w:tcPr>
                  <w:tcW w:w="586" w:type="dxa"/>
                  <w:vAlign w:val="center"/>
                </w:tcPr>
                <w:p>
                  <w:pPr>
                    <w:adjustRightInd w:val="0"/>
                    <w:snapToGrid w:val="0"/>
                    <w:jc w:val="center"/>
                    <w:rPr>
                      <w:bCs/>
                      <w:szCs w:val="21"/>
                    </w:rPr>
                  </w:pPr>
                  <w:r>
                    <w:rPr>
                      <w:szCs w:val="21"/>
                    </w:rPr>
                    <w:t>是</w:t>
                  </w:r>
                </w:p>
              </w:tc>
              <w:tc>
                <w:tcPr>
                  <w:tcW w:w="628" w:type="dxa"/>
                  <w:vAlign w:val="center"/>
                </w:tcPr>
                <w:p>
                  <w:pPr>
                    <w:adjustRightInd w:val="0"/>
                    <w:snapToGrid w:val="0"/>
                    <w:jc w:val="center"/>
                    <w:rPr>
                      <w:szCs w:val="21"/>
                    </w:rPr>
                  </w:pPr>
                  <w:r>
                    <w:rPr>
                      <w:szCs w:val="21"/>
                    </w:rPr>
                    <w:t>油气平衡</w:t>
                  </w:r>
                </w:p>
              </w:tc>
              <w:tc>
                <w:tcPr>
                  <w:tcW w:w="594" w:type="dxa"/>
                  <w:vAlign w:val="center"/>
                </w:tcPr>
                <w:p>
                  <w:pPr>
                    <w:adjustRightInd w:val="0"/>
                    <w:snapToGrid w:val="0"/>
                    <w:jc w:val="center"/>
                    <w:rPr>
                      <w:bCs/>
                      <w:szCs w:val="21"/>
                    </w:rPr>
                  </w:pPr>
                  <w:r>
                    <w:rPr>
                      <w:szCs w:val="21"/>
                    </w:rPr>
                    <w:t>/</w:t>
                  </w:r>
                </w:p>
              </w:tc>
              <w:tc>
                <w:tcPr>
                  <w:tcW w:w="764" w:type="dxa"/>
                  <w:vAlign w:val="center"/>
                </w:tcPr>
                <w:p>
                  <w:pPr>
                    <w:adjustRightInd w:val="0"/>
                    <w:snapToGrid w:val="0"/>
                    <w:jc w:val="center"/>
                    <w:rPr>
                      <w:bCs/>
                      <w:szCs w:val="21"/>
                    </w:rPr>
                  </w:pPr>
                  <w:r>
                    <w:rPr>
                      <w:bCs/>
                      <w:szCs w:val="21"/>
                    </w:rPr>
                    <w:t>0.044</w:t>
                  </w:r>
                </w:p>
              </w:tc>
              <w:tc>
                <w:tcPr>
                  <w:tcW w:w="695" w:type="dxa"/>
                  <w:vAlign w:val="center"/>
                </w:tcPr>
                <w:p>
                  <w:pPr>
                    <w:widowControl/>
                    <w:jc w:val="center"/>
                    <w:rPr>
                      <w:kern w:val="0"/>
                      <w:szCs w:val="21"/>
                    </w:rPr>
                  </w:pPr>
                  <w:r>
                    <w:rPr>
                      <w:kern w:val="0"/>
                      <w:szCs w:val="21"/>
                    </w:rPr>
                    <w:t>0.389</w:t>
                  </w:r>
                </w:p>
              </w:tc>
              <w:tc>
                <w:tcPr>
                  <w:tcW w:w="583" w:type="dxa"/>
                  <w:vAlign w:val="center"/>
                </w:tcPr>
                <w:p>
                  <w:pPr>
                    <w:adjustRightInd w:val="0"/>
                    <w:snapToGrid w:val="0"/>
                    <w:jc w:val="center"/>
                    <w:rPr>
                      <w:bCs/>
                      <w:szCs w:val="21"/>
                    </w:rPr>
                  </w:pPr>
                  <w:r>
                    <w:rPr>
                      <w:bCs/>
                      <w:szCs w:val="21"/>
                    </w:rPr>
                    <w:t>/</w:t>
                  </w:r>
                </w:p>
              </w:tc>
              <w:tc>
                <w:tcPr>
                  <w:tcW w:w="423" w:type="dxa"/>
                  <w:vAlign w:val="center"/>
                </w:tcPr>
                <w:p>
                  <w:pPr>
                    <w:adjustRightInd w:val="0"/>
                    <w:snapToGrid w:val="0"/>
                    <w:jc w:val="center"/>
                    <w:rPr>
                      <w:bCs/>
                      <w:szCs w:val="21"/>
                    </w:rPr>
                  </w:pPr>
                  <w:r>
                    <w:rPr>
                      <w:bCs/>
                      <w:szCs w:val="21"/>
                    </w:rPr>
                    <w:t>/</w:t>
                  </w:r>
                </w:p>
              </w:tc>
              <w:tc>
                <w:tcPr>
                  <w:tcW w:w="409" w:type="dxa"/>
                  <w:vAlign w:val="center"/>
                </w:tcPr>
                <w:p>
                  <w:pPr>
                    <w:adjustRightInd w:val="0"/>
                    <w:snapToGrid w:val="0"/>
                    <w:jc w:val="center"/>
                    <w:rPr>
                      <w:bCs/>
                      <w:szCs w:val="21"/>
                    </w:rPr>
                  </w:pPr>
                  <w:r>
                    <w:rPr>
                      <w:bCs/>
                      <w:szCs w:val="21"/>
                    </w:rPr>
                    <w:t>/</w:t>
                  </w:r>
                </w:p>
              </w:tc>
              <w:tc>
                <w:tcPr>
                  <w:tcW w:w="355" w:type="dxa"/>
                  <w:vAlign w:val="center"/>
                </w:tcPr>
                <w:p>
                  <w:pPr>
                    <w:adjustRightInd w:val="0"/>
                    <w:snapToGrid w:val="0"/>
                    <w:jc w:val="center"/>
                    <w:rPr>
                      <w:bCs/>
                      <w:szCs w:val="21"/>
                    </w:rPr>
                  </w:pPr>
                  <w:r>
                    <w:rPr>
                      <w:bCs/>
                      <w:szCs w:val="21"/>
                    </w:rPr>
                    <w:t>/</w:t>
                  </w:r>
                </w:p>
              </w:tc>
              <w:tc>
                <w:tcPr>
                  <w:tcW w:w="324" w:type="dxa"/>
                  <w:vAlign w:val="center"/>
                </w:tcPr>
                <w:p>
                  <w:pPr>
                    <w:adjustRightInd w:val="0"/>
                    <w:snapToGrid w:val="0"/>
                    <w:jc w:val="center"/>
                    <w:rPr>
                      <w:bCs/>
                      <w:szCs w:val="21"/>
                    </w:rPr>
                  </w:pPr>
                  <w:r>
                    <w:rPr>
                      <w:bCs/>
                      <w:szCs w:val="21"/>
                    </w:rPr>
                    <w:t>/</w:t>
                  </w:r>
                </w:p>
              </w:tc>
              <w:tc>
                <w:tcPr>
                  <w:tcW w:w="524" w:type="dxa"/>
                  <w:vAlign w:val="center"/>
                </w:tcPr>
                <w:p>
                  <w:pPr>
                    <w:adjustRightInd w:val="0"/>
                    <w:snapToGrid w:val="0"/>
                    <w:jc w:val="center"/>
                    <w:rPr>
                      <w:bCs/>
                      <w:szCs w:val="21"/>
                    </w:rPr>
                  </w:pPr>
                  <w:r>
                    <w:rPr>
                      <w:bCs/>
                      <w:szCs w:val="21"/>
                    </w:rPr>
                    <w:t>/</w:t>
                  </w:r>
                </w:p>
              </w:tc>
              <w:tc>
                <w:tcPr>
                  <w:tcW w:w="662" w:type="dxa"/>
                  <w:vAlign w:val="center"/>
                </w:tcPr>
                <w:p>
                  <w:pPr>
                    <w:adjustRightInd w:val="0"/>
                    <w:snapToGrid w:val="0"/>
                    <w:jc w:val="center"/>
                    <w:rPr>
                      <w:bCs/>
                      <w:szCs w:val="21"/>
                    </w:rPr>
                  </w:pPr>
                  <w:r>
                    <w:rPr>
                      <w:szCs w:val="21"/>
                    </w:rPr>
                    <w:t>4.0</w:t>
                  </w:r>
                </w:p>
              </w:tc>
              <w:tc>
                <w:tcPr>
                  <w:tcW w:w="696" w:type="dxa"/>
                  <w:vMerge w:val="continue"/>
                  <w:vAlign w:val="center"/>
                </w:tcPr>
                <w:p>
                  <w:pPr>
                    <w:adjustRightInd w:val="0"/>
                    <w:snapToGrid w:val="0"/>
                    <w:jc w:val="center"/>
                    <w:rPr>
                      <w:bCs/>
                      <w:szCs w:val="21"/>
                    </w:rPr>
                  </w:pPr>
                </w:p>
              </w:tc>
            </w:tr>
          </w:tbl>
          <w:p>
            <w:pPr>
              <w:autoSpaceDE w:val="0"/>
              <w:autoSpaceDN w:val="0"/>
              <w:adjustRightInd w:val="0"/>
              <w:ind w:firstLine="420" w:firstLineChars="200"/>
              <w:jc w:val="left"/>
              <w:rPr>
                <w:kern w:val="0"/>
                <w:szCs w:val="21"/>
              </w:rPr>
            </w:pPr>
          </w:p>
          <w:p>
            <w:pPr>
              <w:pStyle w:val="7"/>
              <w:spacing w:before="0" w:after="0" w:line="360" w:lineRule="auto"/>
              <w:ind w:firstLine="482"/>
              <w:rPr>
                <w:b/>
                <w:sz w:val="21"/>
                <w:szCs w:val="21"/>
              </w:rPr>
            </w:pPr>
            <w:r>
              <w:rPr>
                <w:b/>
                <w:sz w:val="21"/>
                <w:szCs w:val="21"/>
              </w:rPr>
              <w:t>源强核算过程：</w:t>
            </w:r>
          </w:p>
          <w:p>
            <w:pPr>
              <w:pStyle w:val="7"/>
              <w:spacing w:before="0" w:after="0" w:line="360" w:lineRule="auto"/>
              <w:ind w:firstLine="482"/>
              <w:rPr>
                <w:sz w:val="21"/>
                <w:szCs w:val="21"/>
              </w:rPr>
            </w:pPr>
            <w:r>
              <w:rPr>
                <w:sz w:val="21"/>
                <w:szCs w:val="21"/>
              </w:rPr>
              <w:t>本项目产生的废气主要是储罐小呼吸、储罐大呼吸、机动车加油过程中跑冒滴漏造成的无组织排放的油气，以上三种废气的主要污染物是非甲烷总烃。</w:t>
            </w:r>
          </w:p>
          <w:p>
            <w:pPr>
              <w:pStyle w:val="7"/>
              <w:numPr>
                <w:ilvl w:val="0"/>
                <w:numId w:val="3"/>
              </w:numPr>
              <w:spacing w:before="0" w:after="0" w:line="360" w:lineRule="auto"/>
              <w:rPr>
                <w:sz w:val="21"/>
                <w:szCs w:val="21"/>
              </w:rPr>
            </w:pPr>
            <w:r>
              <w:rPr>
                <w:sz w:val="21"/>
                <w:szCs w:val="21"/>
              </w:rPr>
              <w:t>储罐大呼吸</w:t>
            </w:r>
          </w:p>
          <w:p>
            <w:pPr>
              <w:pStyle w:val="7"/>
              <w:spacing w:before="0" w:after="0" w:line="360" w:lineRule="auto"/>
              <w:ind w:firstLine="482"/>
              <w:rPr>
                <w:sz w:val="21"/>
                <w:szCs w:val="21"/>
              </w:rPr>
            </w:pPr>
            <w:r>
              <w:rPr>
                <w:sz w:val="21"/>
              </w:rPr>
              <w:t>进站汽（柴）油用罐车送到加油站。当卸油时，罐中的蒸汽被置换进入大气， 俗称大呼吸（大呼吸只在油罐收发作业时产生）。油罐装料时汽油蒸汽排放量与几个因素有关：装料方法及速率、油罐结构、汽油温度、蒸汽压力及组成。依据《中国加油站VOC 排放污染现状及控制》（环境科学·第 27 卷第 8 期 2006 年 8 月）， 汽油卸车过程的产污系数为2.3kg/t 通过量，柴油卸车过程的产污系数为 0.027kg/t 通过量。</w:t>
            </w:r>
          </w:p>
          <w:p>
            <w:pPr>
              <w:pStyle w:val="7"/>
              <w:numPr>
                <w:ilvl w:val="0"/>
                <w:numId w:val="3"/>
              </w:numPr>
              <w:spacing w:before="0" w:after="0" w:line="360" w:lineRule="auto"/>
              <w:rPr>
                <w:sz w:val="21"/>
                <w:szCs w:val="21"/>
              </w:rPr>
            </w:pPr>
            <w:r>
              <w:rPr>
                <w:sz w:val="21"/>
                <w:szCs w:val="21"/>
              </w:rPr>
              <w:t>储罐小呼吸</w:t>
            </w:r>
          </w:p>
          <w:p>
            <w:pPr>
              <w:pStyle w:val="7"/>
              <w:spacing w:before="0" w:after="0" w:line="360" w:lineRule="auto"/>
              <w:ind w:firstLine="482"/>
              <w:rPr>
                <w:sz w:val="24"/>
                <w:szCs w:val="21"/>
              </w:rPr>
            </w:pPr>
            <w:r>
              <w:rPr>
                <w:sz w:val="21"/>
              </w:rPr>
              <w:t>加油站的一个油品蒸汽排放源是地下储罐的小呼吸（储罐静止时产生）损耗。 呼吸损耗每天都发生，这是由于汽油蒸汽及大气压力的变化产生的。依据《中国加油站 VOC 排放污染现状及控制》（环境科学·第 27 卷第 8 期 2006 年 8 月），汽油储罐呼吸过程油气的排放系数为 0.16kg/t 通过量；柴油储罐小呼吸损失极小，不易统计，因此忽略不计。</w:t>
            </w:r>
          </w:p>
          <w:p>
            <w:pPr>
              <w:pStyle w:val="7"/>
              <w:numPr>
                <w:ilvl w:val="0"/>
                <w:numId w:val="3"/>
              </w:numPr>
              <w:spacing w:before="0" w:after="0" w:line="360" w:lineRule="auto"/>
              <w:rPr>
                <w:sz w:val="21"/>
                <w:szCs w:val="21"/>
              </w:rPr>
            </w:pPr>
            <w:r>
              <w:rPr>
                <w:sz w:val="21"/>
                <w:szCs w:val="21"/>
              </w:rPr>
              <w:t>加油作业损失</w:t>
            </w:r>
          </w:p>
          <w:p>
            <w:pPr>
              <w:pStyle w:val="7"/>
              <w:spacing w:before="0" w:after="0" w:line="360" w:lineRule="auto"/>
              <w:ind w:firstLine="482"/>
              <w:rPr>
                <w:sz w:val="21"/>
              </w:rPr>
            </w:pPr>
            <w:r>
              <w:rPr>
                <w:sz w:val="21"/>
              </w:rPr>
              <w:t>机动车加油过程中排放的油气主要来自于装入的汽油逐出汽车油箱内的蒸汽，被逐出的蒸汽随油品温度、汽车油箱温度、油品蒸气压力和装油速率而变动。 根据《中国加油站 VOC 排放污染现状及控制》（环境科学·第 27 卷第 8 期 2006年8月），汽油和柴油加油过程中油气的排放系数分别为2.49kg/t通过量和0.048kg/t 通过量。</w:t>
            </w:r>
          </w:p>
          <w:p>
            <w:pPr>
              <w:pStyle w:val="7"/>
              <w:spacing w:before="0" w:after="0" w:line="360" w:lineRule="auto"/>
              <w:ind w:firstLine="482"/>
              <w:rPr>
                <w:sz w:val="21"/>
              </w:rPr>
            </w:pPr>
            <w:r>
              <w:rPr>
                <w:sz w:val="21"/>
              </w:rPr>
              <w:t>油气回收系统针对汽油油气回收，其作用是将加油站在卸油、储油和加油过程中产生的油气，通过密闭收集、储存和送入油罐汽车的罐内，运送到储油库集中回收。该项目拟安装一次、二次油气回收设施，二次油气回收系统非甲烷总烃回收效率可达95%。</w:t>
            </w:r>
            <w:r>
              <w:rPr>
                <w:sz w:val="21"/>
                <w:szCs w:val="21"/>
              </w:rPr>
              <w:t>本项目油气回收系统只针对汽油。</w:t>
            </w:r>
          </w:p>
          <w:p>
            <w:pPr>
              <w:pStyle w:val="7"/>
              <w:spacing w:before="120" w:beforeLines="50" w:after="0" w:line="276" w:lineRule="auto"/>
              <w:ind w:firstLine="482"/>
              <w:jc w:val="center"/>
              <w:rPr>
                <w:b/>
                <w:sz w:val="21"/>
                <w:szCs w:val="21"/>
              </w:rPr>
            </w:pPr>
            <w:r>
              <w:rPr>
                <w:b/>
                <w:sz w:val="21"/>
                <w:szCs w:val="21"/>
              </w:rPr>
              <w:t>表4-2  翠微加油站挥发性有机物计算表</w:t>
            </w:r>
          </w:p>
          <w:tbl>
            <w:tblPr>
              <w:tblStyle w:val="21"/>
              <w:tblW w:w="1262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86"/>
              <w:gridCol w:w="1772"/>
              <w:gridCol w:w="1913"/>
              <w:gridCol w:w="1913"/>
              <w:gridCol w:w="1914"/>
              <w:gridCol w:w="1914"/>
              <w:gridCol w:w="191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Align w:val="center"/>
                </w:tcPr>
                <w:p>
                  <w:pPr>
                    <w:jc w:val="center"/>
                    <w:rPr>
                      <w:spacing w:val="3"/>
                      <w:szCs w:val="21"/>
                    </w:rPr>
                  </w:pPr>
                  <w:r>
                    <w:rPr>
                      <w:spacing w:val="3"/>
                      <w:szCs w:val="21"/>
                    </w:rPr>
                    <w:t>油品种类</w:t>
                  </w:r>
                </w:p>
              </w:tc>
              <w:tc>
                <w:tcPr>
                  <w:tcW w:w="1772" w:type="dxa"/>
                  <w:vAlign w:val="center"/>
                </w:tcPr>
                <w:p>
                  <w:pPr>
                    <w:jc w:val="center"/>
                    <w:rPr>
                      <w:spacing w:val="3"/>
                      <w:szCs w:val="21"/>
                    </w:rPr>
                  </w:pPr>
                  <w:r>
                    <w:rPr>
                      <w:spacing w:val="3"/>
                      <w:szCs w:val="21"/>
                    </w:rPr>
                    <w:t>项目</w:t>
                  </w:r>
                </w:p>
              </w:tc>
              <w:tc>
                <w:tcPr>
                  <w:tcW w:w="1913" w:type="dxa"/>
                  <w:vAlign w:val="center"/>
                </w:tcPr>
                <w:p>
                  <w:pPr>
                    <w:jc w:val="center"/>
                    <w:rPr>
                      <w:spacing w:val="3"/>
                      <w:szCs w:val="21"/>
                    </w:rPr>
                  </w:pPr>
                  <w:r>
                    <w:rPr>
                      <w:spacing w:val="3"/>
                      <w:szCs w:val="21"/>
                    </w:rPr>
                    <w:t>年通过量（t/a）</w:t>
                  </w:r>
                </w:p>
              </w:tc>
              <w:tc>
                <w:tcPr>
                  <w:tcW w:w="1913" w:type="dxa"/>
                  <w:vAlign w:val="center"/>
                </w:tcPr>
                <w:p>
                  <w:pPr>
                    <w:jc w:val="center"/>
                    <w:rPr>
                      <w:spacing w:val="3"/>
                      <w:szCs w:val="21"/>
                    </w:rPr>
                  </w:pPr>
                  <w:r>
                    <w:rPr>
                      <w:spacing w:val="3"/>
                      <w:szCs w:val="21"/>
                    </w:rPr>
                    <w:t>产生系数（kg/t）</w:t>
                  </w:r>
                </w:p>
              </w:tc>
              <w:tc>
                <w:tcPr>
                  <w:tcW w:w="1914" w:type="dxa"/>
                  <w:vAlign w:val="center"/>
                </w:tcPr>
                <w:p>
                  <w:pPr>
                    <w:jc w:val="center"/>
                    <w:rPr>
                      <w:spacing w:val="3"/>
                      <w:szCs w:val="21"/>
                    </w:rPr>
                  </w:pPr>
                  <w:r>
                    <w:rPr>
                      <w:spacing w:val="3"/>
                      <w:szCs w:val="21"/>
                    </w:rPr>
                    <w:t>产生量（t/a）</w:t>
                  </w:r>
                </w:p>
              </w:tc>
              <w:tc>
                <w:tcPr>
                  <w:tcW w:w="1914" w:type="dxa"/>
                  <w:vAlign w:val="center"/>
                </w:tcPr>
                <w:p>
                  <w:pPr>
                    <w:jc w:val="center"/>
                    <w:rPr>
                      <w:spacing w:val="3"/>
                      <w:szCs w:val="21"/>
                    </w:rPr>
                  </w:pPr>
                  <w:r>
                    <w:rPr>
                      <w:spacing w:val="3"/>
                      <w:szCs w:val="21"/>
                    </w:rPr>
                    <w:t>治理措施及处理效率</w:t>
                  </w:r>
                </w:p>
              </w:tc>
              <w:tc>
                <w:tcPr>
                  <w:tcW w:w="1914" w:type="dxa"/>
                  <w:vAlign w:val="center"/>
                </w:tcPr>
                <w:p>
                  <w:pPr>
                    <w:jc w:val="center"/>
                    <w:rPr>
                      <w:spacing w:val="3"/>
                      <w:szCs w:val="21"/>
                    </w:rPr>
                  </w:pPr>
                  <w:r>
                    <w:rPr>
                      <w:spacing w:val="3"/>
                      <w:szCs w:val="21"/>
                    </w:rPr>
                    <w:t>排放量（t/a）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restart"/>
                  <w:vAlign w:val="center"/>
                </w:tcPr>
                <w:p>
                  <w:pPr>
                    <w:jc w:val="center"/>
                    <w:rPr>
                      <w:spacing w:val="3"/>
                      <w:szCs w:val="21"/>
                    </w:rPr>
                  </w:pPr>
                  <w:r>
                    <w:rPr>
                      <w:spacing w:val="3"/>
                      <w:szCs w:val="21"/>
                    </w:rPr>
                    <w:t>汽油</w:t>
                  </w:r>
                </w:p>
              </w:tc>
              <w:tc>
                <w:tcPr>
                  <w:tcW w:w="1772" w:type="dxa"/>
                  <w:vAlign w:val="center"/>
                </w:tcPr>
                <w:p>
                  <w:pPr>
                    <w:jc w:val="center"/>
                    <w:rPr>
                      <w:spacing w:val="3"/>
                      <w:szCs w:val="21"/>
                    </w:rPr>
                  </w:pPr>
                  <w:r>
                    <w:rPr>
                      <w:spacing w:val="3"/>
                      <w:szCs w:val="21"/>
                    </w:rPr>
                    <w:t>储罐小呼吸</w:t>
                  </w:r>
                </w:p>
              </w:tc>
              <w:tc>
                <w:tcPr>
                  <w:tcW w:w="1913" w:type="dxa"/>
                  <w:vMerge w:val="restart"/>
                  <w:vAlign w:val="center"/>
                </w:tcPr>
                <w:p>
                  <w:pPr>
                    <w:jc w:val="center"/>
                    <w:rPr>
                      <w:spacing w:val="3"/>
                      <w:szCs w:val="21"/>
                    </w:rPr>
                  </w:pPr>
                  <w:r>
                    <w:rPr>
                      <w:spacing w:val="3"/>
                      <w:szCs w:val="21"/>
                    </w:rPr>
                    <w:t>2720</w:t>
                  </w:r>
                </w:p>
              </w:tc>
              <w:tc>
                <w:tcPr>
                  <w:tcW w:w="1913" w:type="dxa"/>
                  <w:vAlign w:val="center"/>
                </w:tcPr>
                <w:p>
                  <w:pPr>
                    <w:jc w:val="center"/>
                    <w:rPr>
                      <w:spacing w:val="3"/>
                      <w:szCs w:val="21"/>
                    </w:rPr>
                  </w:pPr>
                  <w:r>
                    <w:rPr>
                      <w:spacing w:val="3"/>
                      <w:szCs w:val="21"/>
                    </w:rPr>
                    <w:t>0.16</w:t>
                  </w:r>
                </w:p>
              </w:tc>
              <w:tc>
                <w:tcPr>
                  <w:tcW w:w="1914" w:type="dxa"/>
                  <w:vAlign w:val="center"/>
                </w:tcPr>
                <w:p>
                  <w:pPr>
                    <w:jc w:val="center"/>
                    <w:rPr>
                      <w:spacing w:val="3"/>
                      <w:szCs w:val="21"/>
                    </w:rPr>
                  </w:pPr>
                  <w:r>
                    <w:rPr>
                      <w:spacing w:val="3"/>
                      <w:szCs w:val="21"/>
                    </w:rPr>
                    <w:t>0.435</w:t>
                  </w:r>
                </w:p>
              </w:tc>
              <w:tc>
                <w:tcPr>
                  <w:tcW w:w="1914" w:type="dxa"/>
                  <w:vMerge w:val="restart"/>
                  <w:vAlign w:val="center"/>
                </w:tcPr>
                <w:p>
                  <w:pPr>
                    <w:jc w:val="center"/>
                    <w:rPr>
                      <w:spacing w:val="3"/>
                      <w:szCs w:val="21"/>
                    </w:rPr>
                  </w:pPr>
                  <w:r>
                    <w:rPr>
                      <w:spacing w:val="3"/>
                      <w:szCs w:val="21"/>
                    </w:rPr>
                    <w:t>油气回收系统回收效率95%</w:t>
                  </w:r>
                </w:p>
              </w:tc>
              <w:tc>
                <w:tcPr>
                  <w:tcW w:w="1914" w:type="dxa"/>
                  <w:vMerge w:val="restart"/>
                  <w:vAlign w:val="center"/>
                </w:tcPr>
                <w:p>
                  <w:pPr>
                    <w:jc w:val="center"/>
                    <w:rPr>
                      <w:spacing w:val="3"/>
                      <w:szCs w:val="21"/>
                    </w:rPr>
                  </w:pPr>
                  <w:r>
                    <w:rPr>
                      <w:spacing w:val="3"/>
                      <w:szCs w:val="21"/>
                    </w:rPr>
                    <w:t>0.673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continue"/>
                  <w:vAlign w:val="center"/>
                </w:tcPr>
                <w:p>
                  <w:pPr>
                    <w:jc w:val="center"/>
                    <w:rPr>
                      <w:spacing w:val="3"/>
                      <w:szCs w:val="21"/>
                    </w:rPr>
                  </w:pPr>
                </w:p>
              </w:tc>
              <w:tc>
                <w:tcPr>
                  <w:tcW w:w="1772" w:type="dxa"/>
                  <w:vAlign w:val="center"/>
                </w:tcPr>
                <w:p>
                  <w:pPr>
                    <w:jc w:val="center"/>
                    <w:rPr>
                      <w:spacing w:val="3"/>
                      <w:szCs w:val="21"/>
                    </w:rPr>
                  </w:pPr>
                  <w:r>
                    <w:rPr>
                      <w:spacing w:val="3"/>
                      <w:szCs w:val="21"/>
                    </w:rPr>
                    <w:t>储罐大呼吸</w:t>
                  </w:r>
                </w:p>
              </w:tc>
              <w:tc>
                <w:tcPr>
                  <w:tcW w:w="1913" w:type="dxa"/>
                  <w:vMerge w:val="continue"/>
                  <w:vAlign w:val="center"/>
                </w:tcPr>
                <w:p>
                  <w:pPr>
                    <w:jc w:val="center"/>
                    <w:rPr>
                      <w:spacing w:val="3"/>
                      <w:szCs w:val="21"/>
                    </w:rPr>
                  </w:pPr>
                </w:p>
              </w:tc>
              <w:tc>
                <w:tcPr>
                  <w:tcW w:w="1913" w:type="dxa"/>
                  <w:vAlign w:val="center"/>
                </w:tcPr>
                <w:p>
                  <w:pPr>
                    <w:jc w:val="center"/>
                    <w:rPr>
                      <w:spacing w:val="3"/>
                      <w:szCs w:val="21"/>
                    </w:rPr>
                  </w:pPr>
                  <w:r>
                    <w:rPr>
                      <w:spacing w:val="3"/>
                      <w:szCs w:val="21"/>
                    </w:rPr>
                    <w:t>2.3</w:t>
                  </w:r>
                </w:p>
              </w:tc>
              <w:tc>
                <w:tcPr>
                  <w:tcW w:w="1914" w:type="dxa"/>
                  <w:vAlign w:val="center"/>
                </w:tcPr>
                <w:p>
                  <w:pPr>
                    <w:jc w:val="center"/>
                    <w:rPr>
                      <w:spacing w:val="3"/>
                      <w:szCs w:val="21"/>
                    </w:rPr>
                  </w:pPr>
                  <w:r>
                    <w:rPr>
                      <w:spacing w:val="3"/>
                      <w:szCs w:val="21"/>
                    </w:rPr>
                    <w:t>6.256</w:t>
                  </w:r>
                </w:p>
              </w:tc>
              <w:tc>
                <w:tcPr>
                  <w:tcW w:w="1914" w:type="dxa"/>
                  <w:vMerge w:val="continue"/>
                  <w:vAlign w:val="center"/>
                </w:tcPr>
                <w:p>
                  <w:pPr>
                    <w:jc w:val="center"/>
                    <w:rPr>
                      <w:spacing w:val="3"/>
                      <w:szCs w:val="21"/>
                    </w:rPr>
                  </w:pPr>
                </w:p>
              </w:tc>
              <w:tc>
                <w:tcPr>
                  <w:tcW w:w="1914" w:type="dxa"/>
                  <w:vMerge w:val="continue"/>
                  <w:vAlign w:val="center"/>
                </w:tcPr>
                <w:p>
                  <w:pPr>
                    <w:jc w:val="cente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continue"/>
                  <w:vAlign w:val="center"/>
                </w:tcPr>
                <w:p>
                  <w:pPr>
                    <w:jc w:val="center"/>
                    <w:rPr>
                      <w:spacing w:val="3"/>
                      <w:szCs w:val="21"/>
                    </w:rPr>
                  </w:pPr>
                </w:p>
              </w:tc>
              <w:tc>
                <w:tcPr>
                  <w:tcW w:w="1772" w:type="dxa"/>
                  <w:vAlign w:val="center"/>
                </w:tcPr>
                <w:p>
                  <w:pPr>
                    <w:jc w:val="center"/>
                    <w:rPr>
                      <w:spacing w:val="3"/>
                      <w:szCs w:val="21"/>
                    </w:rPr>
                  </w:pPr>
                  <w:r>
                    <w:rPr>
                      <w:spacing w:val="3"/>
                      <w:szCs w:val="21"/>
                    </w:rPr>
                    <w:t>加油损失</w:t>
                  </w:r>
                </w:p>
              </w:tc>
              <w:tc>
                <w:tcPr>
                  <w:tcW w:w="1913" w:type="dxa"/>
                  <w:vMerge w:val="continue"/>
                  <w:vAlign w:val="center"/>
                </w:tcPr>
                <w:p>
                  <w:pPr>
                    <w:jc w:val="center"/>
                    <w:rPr>
                      <w:spacing w:val="3"/>
                      <w:szCs w:val="21"/>
                    </w:rPr>
                  </w:pPr>
                </w:p>
              </w:tc>
              <w:tc>
                <w:tcPr>
                  <w:tcW w:w="1913" w:type="dxa"/>
                  <w:vAlign w:val="center"/>
                </w:tcPr>
                <w:p>
                  <w:pPr>
                    <w:jc w:val="center"/>
                    <w:rPr>
                      <w:spacing w:val="3"/>
                      <w:szCs w:val="21"/>
                    </w:rPr>
                  </w:pPr>
                  <w:r>
                    <w:rPr>
                      <w:spacing w:val="3"/>
                      <w:szCs w:val="21"/>
                    </w:rPr>
                    <w:t>2.49</w:t>
                  </w:r>
                </w:p>
              </w:tc>
              <w:tc>
                <w:tcPr>
                  <w:tcW w:w="1914" w:type="dxa"/>
                  <w:vAlign w:val="center"/>
                </w:tcPr>
                <w:p>
                  <w:pPr>
                    <w:jc w:val="center"/>
                    <w:rPr>
                      <w:spacing w:val="3"/>
                      <w:szCs w:val="21"/>
                    </w:rPr>
                  </w:pPr>
                  <w:r>
                    <w:rPr>
                      <w:spacing w:val="3"/>
                      <w:szCs w:val="21"/>
                    </w:rPr>
                    <w:t>6.773</w:t>
                  </w:r>
                </w:p>
              </w:tc>
              <w:tc>
                <w:tcPr>
                  <w:tcW w:w="1914" w:type="dxa"/>
                  <w:vMerge w:val="continue"/>
                  <w:vAlign w:val="center"/>
                </w:tcPr>
                <w:p>
                  <w:pPr>
                    <w:jc w:val="center"/>
                    <w:rPr>
                      <w:spacing w:val="3"/>
                      <w:szCs w:val="21"/>
                    </w:rPr>
                  </w:pPr>
                </w:p>
              </w:tc>
              <w:tc>
                <w:tcPr>
                  <w:tcW w:w="1914" w:type="dxa"/>
                  <w:vMerge w:val="continue"/>
                  <w:vAlign w:val="center"/>
                </w:tcPr>
                <w:p>
                  <w:pPr>
                    <w:jc w:val="cente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restart"/>
                  <w:vAlign w:val="center"/>
                </w:tcPr>
                <w:p>
                  <w:pPr>
                    <w:jc w:val="center"/>
                    <w:rPr>
                      <w:spacing w:val="3"/>
                      <w:szCs w:val="21"/>
                    </w:rPr>
                  </w:pPr>
                  <w:r>
                    <w:rPr>
                      <w:spacing w:val="3"/>
                      <w:szCs w:val="21"/>
                    </w:rPr>
                    <w:t>柴油</w:t>
                  </w:r>
                </w:p>
              </w:tc>
              <w:tc>
                <w:tcPr>
                  <w:tcW w:w="1772" w:type="dxa"/>
                  <w:vAlign w:val="center"/>
                </w:tcPr>
                <w:p>
                  <w:pPr>
                    <w:jc w:val="center"/>
                    <w:rPr>
                      <w:spacing w:val="3"/>
                      <w:szCs w:val="21"/>
                    </w:rPr>
                  </w:pPr>
                  <w:r>
                    <w:rPr>
                      <w:spacing w:val="3"/>
                      <w:szCs w:val="21"/>
                    </w:rPr>
                    <w:t>储罐小呼吸</w:t>
                  </w:r>
                </w:p>
              </w:tc>
              <w:tc>
                <w:tcPr>
                  <w:tcW w:w="1913" w:type="dxa"/>
                  <w:vMerge w:val="restart"/>
                  <w:vAlign w:val="center"/>
                </w:tcPr>
                <w:p>
                  <w:pPr>
                    <w:jc w:val="center"/>
                    <w:rPr>
                      <w:spacing w:val="3"/>
                      <w:szCs w:val="21"/>
                    </w:rPr>
                  </w:pPr>
                  <w:r>
                    <w:rPr>
                      <w:spacing w:val="3"/>
                      <w:szCs w:val="21"/>
                    </w:rPr>
                    <w:t xml:space="preserve">2000 </w:t>
                  </w:r>
                </w:p>
              </w:tc>
              <w:tc>
                <w:tcPr>
                  <w:tcW w:w="1913" w:type="dxa"/>
                  <w:vAlign w:val="center"/>
                </w:tcPr>
                <w:p>
                  <w:pPr>
                    <w:jc w:val="center"/>
                    <w:rPr>
                      <w:spacing w:val="3"/>
                      <w:szCs w:val="21"/>
                    </w:rPr>
                  </w:pPr>
                  <w:r>
                    <w:rPr>
                      <w:spacing w:val="3"/>
                      <w:szCs w:val="21"/>
                    </w:rPr>
                    <w:t>/</w:t>
                  </w:r>
                </w:p>
              </w:tc>
              <w:tc>
                <w:tcPr>
                  <w:tcW w:w="1914" w:type="dxa"/>
                  <w:vAlign w:val="center"/>
                </w:tcPr>
                <w:p>
                  <w:pPr>
                    <w:jc w:val="center"/>
                    <w:rPr>
                      <w:spacing w:val="3"/>
                      <w:szCs w:val="21"/>
                    </w:rPr>
                  </w:pPr>
                  <w:r>
                    <w:rPr>
                      <w:spacing w:val="3"/>
                      <w:szCs w:val="21"/>
                    </w:rPr>
                    <w:t>/</w:t>
                  </w:r>
                </w:p>
              </w:tc>
              <w:tc>
                <w:tcPr>
                  <w:tcW w:w="1914" w:type="dxa"/>
                  <w:vMerge w:val="restart"/>
                  <w:vAlign w:val="center"/>
                </w:tcPr>
                <w:p>
                  <w:pPr>
                    <w:jc w:val="center"/>
                    <w:rPr>
                      <w:spacing w:val="3"/>
                      <w:szCs w:val="21"/>
                    </w:rPr>
                  </w:pPr>
                  <w:r>
                    <w:rPr>
                      <w:spacing w:val="3"/>
                      <w:szCs w:val="21"/>
                    </w:rPr>
                    <w:t>/</w:t>
                  </w:r>
                </w:p>
              </w:tc>
              <w:tc>
                <w:tcPr>
                  <w:tcW w:w="1914" w:type="dxa"/>
                  <w:vMerge w:val="restart"/>
                  <w:vAlign w:val="center"/>
                </w:tcPr>
                <w:p>
                  <w:pPr>
                    <w:jc w:val="center"/>
                    <w:rPr>
                      <w:spacing w:val="3"/>
                      <w:szCs w:val="21"/>
                    </w:rPr>
                  </w:pPr>
                  <w:r>
                    <w:rPr>
                      <w:spacing w:val="3"/>
                      <w:szCs w:val="21"/>
                    </w:rPr>
                    <w:t>0.15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continue"/>
                  <w:vAlign w:val="center"/>
                </w:tcPr>
                <w:p>
                  <w:pPr>
                    <w:jc w:val="center"/>
                    <w:rPr>
                      <w:spacing w:val="3"/>
                      <w:szCs w:val="21"/>
                    </w:rPr>
                  </w:pPr>
                </w:p>
              </w:tc>
              <w:tc>
                <w:tcPr>
                  <w:tcW w:w="1772" w:type="dxa"/>
                  <w:vAlign w:val="center"/>
                </w:tcPr>
                <w:p>
                  <w:pPr>
                    <w:jc w:val="center"/>
                    <w:rPr>
                      <w:spacing w:val="3"/>
                      <w:szCs w:val="21"/>
                    </w:rPr>
                  </w:pPr>
                  <w:r>
                    <w:rPr>
                      <w:spacing w:val="3"/>
                      <w:szCs w:val="21"/>
                    </w:rPr>
                    <w:t>储罐大呼吸</w:t>
                  </w:r>
                </w:p>
              </w:tc>
              <w:tc>
                <w:tcPr>
                  <w:tcW w:w="1913" w:type="dxa"/>
                  <w:vMerge w:val="continue"/>
                  <w:vAlign w:val="center"/>
                </w:tcPr>
                <w:p>
                  <w:pPr>
                    <w:jc w:val="center"/>
                    <w:rPr>
                      <w:spacing w:val="3"/>
                      <w:szCs w:val="21"/>
                    </w:rPr>
                  </w:pPr>
                </w:p>
              </w:tc>
              <w:tc>
                <w:tcPr>
                  <w:tcW w:w="1913" w:type="dxa"/>
                  <w:vAlign w:val="center"/>
                </w:tcPr>
                <w:p>
                  <w:pPr>
                    <w:jc w:val="center"/>
                    <w:rPr>
                      <w:spacing w:val="3"/>
                      <w:szCs w:val="21"/>
                    </w:rPr>
                  </w:pPr>
                  <w:r>
                    <w:rPr>
                      <w:spacing w:val="3"/>
                      <w:szCs w:val="21"/>
                    </w:rPr>
                    <w:t>0.027</w:t>
                  </w:r>
                </w:p>
              </w:tc>
              <w:tc>
                <w:tcPr>
                  <w:tcW w:w="1914" w:type="dxa"/>
                  <w:vAlign w:val="center"/>
                </w:tcPr>
                <w:p>
                  <w:pPr>
                    <w:jc w:val="center"/>
                    <w:rPr>
                      <w:spacing w:val="3"/>
                      <w:szCs w:val="21"/>
                    </w:rPr>
                  </w:pPr>
                  <w:r>
                    <w:rPr>
                      <w:spacing w:val="3"/>
                      <w:szCs w:val="21"/>
                    </w:rPr>
                    <w:t>0.054</w:t>
                  </w:r>
                </w:p>
              </w:tc>
              <w:tc>
                <w:tcPr>
                  <w:tcW w:w="1914" w:type="dxa"/>
                  <w:vMerge w:val="continue"/>
                  <w:vAlign w:val="center"/>
                </w:tcPr>
                <w:p>
                  <w:pPr>
                    <w:jc w:val="center"/>
                    <w:rPr>
                      <w:spacing w:val="3"/>
                      <w:szCs w:val="21"/>
                    </w:rPr>
                  </w:pPr>
                </w:p>
              </w:tc>
              <w:tc>
                <w:tcPr>
                  <w:tcW w:w="1914" w:type="dxa"/>
                  <w:vMerge w:val="continue"/>
                  <w:vAlign w:val="center"/>
                </w:tcPr>
                <w:p>
                  <w:pPr>
                    <w:jc w:val="cente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1286" w:type="dxa"/>
                  <w:vMerge w:val="continue"/>
                  <w:vAlign w:val="center"/>
                </w:tcPr>
                <w:p>
                  <w:pPr>
                    <w:jc w:val="center"/>
                    <w:rPr>
                      <w:spacing w:val="3"/>
                      <w:szCs w:val="21"/>
                    </w:rPr>
                  </w:pPr>
                </w:p>
              </w:tc>
              <w:tc>
                <w:tcPr>
                  <w:tcW w:w="1772" w:type="dxa"/>
                  <w:vAlign w:val="center"/>
                </w:tcPr>
                <w:p>
                  <w:pPr>
                    <w:jc w:val="center"/>
                    <w:rPr>
                      <w:spacing w:val="3"/>
                      <w:szCs w:val="21"/>
                    </w:rPr>
                  </w:pPr>
                  <w:r>
                    <w:rPr>
                      <w:spacing w:val="3"/>
                      <w:szCs w:val="21"/>
                    </w:rPr>
                    <w:t>加油损失</w:t>
                  </w:r>
                </w:p>
              </w:tc>
              <w:tc>
                <w:tcPr>
                  <w:tcW w:w="1913" w:type="dxa"/>
                  <w:vMerge w:val="continue"/>
                  <w:vAlign w:val="center"/>
                </w:tcPr>
                <w:p>
                  <w:pPr>
                    <w:jc w:val="center"/>
                    <w:rPr>
                      <w:spacing w:val="3"/>
                      <w:szCs w:val="21"/>
                    </w:rPr>
                  </w:pPr>
                </w:p>
              </w:tc>
              <w:tc>
                <w:tcPr>
                  <w:tcW w:w="1913" w:type="dxa"/>
                  <w:vAlign w:val="center"/>
                </w:tcPr>
                <w:p>
                  <w:pPr>
                    <w:jc w:val="center"/>
                    <w:rPr>
                      <w:spacing w:val="3"/>
                      <w:szCs w:val="21"/>
                    </w:rPr>
                  </w:pPr>
                  <w:r>
                    <w:rPr>
                      <w:spacing w:val="3"/>
                      <w:szCs w:val="21"/>
                    </w:rPr>
                    <w:t>0.048</w:t>
                  </w:r>
                </w:p>
              </w:tc>
              <w:tc>
                <w:tcPr>
                  <w:tcW w:w="1914" w:type="dxa"/>
                  <w:vAlign w:val="center"/>
                </w:tcPr>
                <w:p>
                  <w:pPr>
                    <w:jc w:val="center"/>
                    <w:rPr>
                      <w:spacing w:val="3"/>
                      <w:szCs w:val="21"/>
                    </w:rPr>
                  </w:pPr>
                  <w:r>
                    <w:rPr>
                      <w:spacing w:val="3"/>
                      <w:szCs w:val="21"/>
                    </w:rPr>
                    <w:t>0.096</w:t>
                  </w:r>
                </w:p>
              </w:tc>
              <w:tc>
                <w:tcPr>
                  <w:tcW w:w="1914" w:type="dxa"/>
                  <w:vMerge w:val="continue"/>
                  <w:vAlign w:val="center"/>
                </w:tcPr>
                <w:p>
                  <w:pPr>
                    <w:jc w:val="center"/>
                    <w:rPr>
                      <w:spacing w:val="3"/>
                      <w:szCs w:val="21"/>
                    </w:rPr>
                  </w:pPr>
                </w:p>
              </w:tc>
              <w:tc>
                <w:tcPr>
                  <w:tcW w:w="1914" w:type="dxa"/>
                  <w:vMerge w:val="continue"/>
                  <w:vAlign w:val="center"/>
                </w:tcPr>
                <w:p>
                  <w:pPr>
                    <w:jc w:val="cente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84" w:hRule="atLeast"/>
              </w:trPr>
              <w:tc>
                <w:tcPr>
                  <w:tcW w:w="3058" w:type="dxa"/>
                  <w:gridSpan w:val="2"/>
                  <w:vAlign w:val="center"/>
                </w:tcPr>
                <w:p>
                  <w:pPr>
                    <w:jc w:val="center"/>
                    <w:rPr>
                      <w:spacing w:val="3"/>
                      <w:szCs w:val="21"/>
                    </w:rPr>
                  </w:pPr>
                  <w:r>
                    <w:rPr>
                      <w:spacing w:val="3"/>
                      <w:szCs w:val="21"/>
                    </w:rPr>
                    <w:t>合计</w:t>
                  </w:r>
                </w:p>
              </w:tc>
              <w:tc>
                <w:tcPr>
                  <w:tcW w:w="1913" w:type="dxa"/>
                  <w:vAlign w:val="center"/>
                </w:tcPr>
                <w:p>
                  <w:pPr>
                    <w:jc w:val="center"/>
                    <w:rPr>
                      <w:spacing w:val="3"/>
                      <w:szCs w:val="21"/>
                    </w:rPr>
                  </w:pPr>
                  <w:r>
                    <w:rPr>
                      <w:spacing w:val="3"/>
                      <w:szCs w:val="21"/>
                    </w:rPr>
                    <w:t>/</w:t>
                  </w:r>
                </w:p>
              </w:tc>
              <w:tc>
                <w:tcPr>
                  <w:tcW w:w="1913" w:type="dxa"/>
                  <w:vAlign w:val="center"/>
                </w:tcPr>
                <w:p>
                  <w:pPr>
                    <w:jc w:val="center"/>
                    <w:rPr>
                      <w:spacing w:val="3"/>
                      <w:szCs w:val="21"/>
                    </w:rPr>
                  </w:pPr>
                  <w:r>
                    <w:rPr>
                      <w:spacing w:val="3"/>
                      <w:szCs w:val="21"/>
                    </w:rPr>
                    <w:t>/</w:t>
                  </w:r>
                </w:p>
              </w:tc>
              <w:tc>
                <w:tcPr>
                  <w:tcW w:w="1914" w:type="dxa"/>
                  <w:vAlign w:val="center"/>
                </w:tcPr>
                <w:p>
                  <w:pPr>
                    <w:jc w:val="center"/>
                    <w:rPr>
                      <w:spacing w:val="3"/>
                      <w:szCs w:val="21"/>
                    </w:rPr>
                  </w:pPr>
                  <w:r>
                    <w:rPr>
                      <w:spacing w:val="3"/>
                      <w:szCs w:val="21"/>
                    </w:rPr>
                    <w:t>13.614</w:t>
                  </w:r>
                </w:p>
              </w:tc>
              <w:tc>
                <w:tcPr>
                  <w:tcW w:w="1914" w:type="dxa"/>
                  <w:vAlign w:val="center"/>
                </w:tcPr>
                <w:p>
                  <w:pPr>
                    <w:jc w:val="center"/>
                    <w:rPr>
                      <w:spacing w:val="3"/>
                      <w:szCs w:val="21"/>
                    </w:rPr>
                  </w:pPr>
                  <w:r>
                    <w:rPr>
                      <w:spacing w:val="3"/>
                      <w:szCs w:val="21"/>
                    </w:rPr>
                    <w:t>/</w:t>
                  </w:r>
                </w:p>
              </w:tc>
              <w:tc>
                <w:tcPr>
                  <w:tcW w:w="1914" w:type="dxa"/>
                  <w:vAlign w:val="center"/>
                </w:tcPr>
                <w:p>
                  <w:pPr>
                    <w:jc w:val="center"/>
                    <w:rPr>
                      <w:spacing w:val="3"/>
                      <w:szCs w:val="21"/>
                    </w:rPr>
                  </w:pPr>
                  <w:r>
                    <w:rPr>
                      <w:spacing w:val="3"/>
                      <w:szCs w:val="21"/>
                    </w:rPr>
                    <w:t>0.823</w:t>
                  </w:r>
                </w:p>
              </w:tc>
            </w:tr>
          </w:tbl>
          <w:p>
            <w:pPr>
              <w:pStyle w:val="7"/>
              <w:spacing w:before="0" w:after="0" w:line="360" w:lineRule="auto"/>
              <w:ind w:firstLine="482"/>
              <w:rPr>
                <w:szCs w:val="21"/>
              </w:rPr>
            </w:pPr>
            <w:r>
              <w:rPr>
                <w:sz w:val="21"/>
              </w:rPr>
              <w:t>由上表可知，本项目产生的非甲烷总烃经二次油气回收系统处理后，排放量为0.823t/a，排放速率为0.094kg/h</w:t>
            </w:r>
            <w:r>
              <w:rPr>
                <w:sz w:val="21"/>
                <w:szCs w:val="21"/>
              </w:rPr>
              <w:t>，呈无组织排放。本项目处理装置废气排放口距离地平面高度为4m，外排油气浓度小于25g/m</w:t>
            </w:r>
            <w:r>
              <w:rPr>
                <w:sz w:val="21"/>
                <w:szCs w:val="21"/>
                <w:vertAlign w:val="superscript"/>
              </w:rPr>
              <w:t>3</w:t>
            </w:r>
            <w:r>
              <w:rPr>
                <w:sz w:val="21"/>
                <w:szCs w:val="21"/>
              </w:rPr>
              <w:t xml:space="preserve">，可满足《加油站大气污染物排放标准》（GB20952-2020）中相关要求。  </w:t>
            </w:r>
          </w:p>
          <w:p>
            <w:pPr>
              <w:autoSpaceDE w:val="0"/>
              <w:autoSpaceDN w:val="0"/>
              <w:adjustRightInd w:val="0"/>
              <w:spacing w:line="360" w:lineRule="auto"/>
              <w:ind w:firstLine="420" w:firstLineChars="200"/>
              <w:jc w:val="left"/>
              <w:rPr>
                <w:kern w:val="0"/>
                <w:szCs w:val="21"/>
              </w:rPr>
            </w:pPr>
            <w:r>
              <w:rPr>
                <w:kern w:val="0"/>
                <w:szCs w:val="21"/>
              </w:rPr>
              <w:t>同时，本项目加油站站址开阔，空气流动良好，且经油气回收系统处理后的非甲烷总烃排放量较小，可很快在大气中扩散。类比同规模加油站监测数据，非甲烷总烃的无组织排放场界浓度可满足《加油站大气污染物排放标准》（GB20952-2020）表3油气浓度无组织排放限值要求。</w:t>
            </w:r>
          </w:p>
          <w:p>
            <w:pPr>
              <w:adjustRightInd w:val="0"/>
              <w:snapToGrid w:val="0"/>
              <w:spacing w:line="360" w:lineRule="auto"/>
              <w:ind w:firstLine="420" w:firstLineChars="200"/>
              <w:jc w:val="left"/>
            </w:pPr>
            <w:r>
              <w:rPr>
                <w:szCs w:val="21"/>
              </w:rPr>
              <w:t>（2）</w:t>
            </w:r>
            <w:r>
              <w:t>汽车尾气</w:t>
            </w:r>
          </w:p>
          <w:p>
            <w:pPr>
              <w:pStyle w:val="5"/>
              <w:spacing w:line="360" w:lineRule="auto"/>
              <w:jc w:val="left"/>
              <w:rPr>
                <w:sz w:val="21"/>
              </w:rPr>
            </w:pPr>
            <w:r>
              <w:rPr>
                <w:sz w:val="21"/>
              </w:rPr>
              <w:t>本项目主要为成品油的销售及汽车充电服务，来往加油的机动车会产生少量的尾气，尾气中的主要污染物为CO、SO</w:t>
            </w:r>
            <w:r>
              <w:rPr>
                <w:sz w:val="21"/>
                <w:vertAlign w:val="subscript"/>
              </w:rPr>
              <w:t>2</w:t>
            </w:r>
            <w:r>
              <w:rPr>
                <w:sz w:val="21"/>
              </w:rPr>
              <w:t>、THC、NO</w:t>
            </w:r>
            <w:r>
              <w:rPr>
                <w:sz w:val="21"/>
                <w:vertAlign w:val="subscript"/>
              </w:rPr>
              <w:t>x</w:t>
            </w:r>
            <w:r>
              <w:rPr>
                <w:sz w:val="21"/>
              </w:rPr>
              <w:t>，呈无组织排放。由于该加油站泊车位不多，加油站四周建设绿化带。汽车停留时间短，且本项目周边场地较为平整开阔，易于汽车尾气的稀释扩散，这些污染物经过大气的稀释以及周边树林的吸附，其排放不大，对周边大气环境影响不大。</w:t>
            </w:r>
          </w:p>
          <w:p>
            <w:pPr>
              <w:pStyle w:val="7"/>
              <w:spacing w:before="120" w:beforeLines="50" w:after="0" w:line="360" w:lineRule="auto"/>
              <w:ind w:firstLine="482"/>
              <w:rPr>
                <w:b/>
                <w:sz w:val="21"/>
                <w:szCs w:val="21"/>
              </w:rPr>
            </w:pPr>
            <w:r>
              <w:rPr>
                <w:b/>
                <w:sz w:val="21"/>
                <w:szCs w:val="21"/>
              </w:rPr>
              <w:t>1.2、非正常排放情况</w:t>
            </w:r>
          </w:p>
          <w:p>
            <w:pPr>
              <w:pStyle w:val="57"/>
              <w:spacing w:line="360" w:lineRule="auto"/>
              <w:ind w:firstLine="420" w:firstLineChars="200"/>
              <w:jc w:val="both"/>
              <w:rPr>
                <w:rFonts w:ascii="Times New Roman" w:cs="Times New Roman"/>
                <w:color w:val="auto"/>
                <w:sz w:val="21"/>
                <w:szCs w:val="21"/>
              </w:rPr>
            </w:pPr>
            <w:r>
              <w:rPr>
                <w:rFonts w:ascii="Times New Roman" w:cs="Times New Roman"/>
                <w:color w:val="auto"/>
                <w:sz w:val="21"/>
                <w:szCs w:val="21"/>
              </w:rPr>
              <w:t xml:space="preserve">本项目的非正常排放情况主要是油气回收系统设施发生故障失效或达不到应有回收效率，造成加油及卸油过程中废气污染物未经回收处理直接排放，其排放情况如表4-3所示。 </w:t>
            </w:r>
          </w:p>
          <w:p>
            <w:pPr>
              <w:adjustRightInd w:val="0"/>
              <w:spacing w:line="276" w:lineRule="auto"/>
              <w:jc w:val="center"/>
              <w:textAlignment w:val="baseline"/>
              <w:rPr>
                <w:b/>
                <w:kern w:val="0"/>
                <w:szCs w:val="21"/>
              </w:rPr>
            </w:pPr>
            <w:r>
              <w:rPr>
                <w:b/>
                <w:kern w:val="0"/>
                <w:szCs w:val="21"/>
              </w:rPr>
              <w:t>表4-3 非正常排放情况项目废气排放情况表</w:t>
            </w:r>
          </w:p>
          <w:tbl>
            <w:tblPr>
              <w:tblStyle w:val="21"/>
              <w:tblW w:w="1262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28" w:type="dxa"/>
                <w:bottom w:w="0" w:type="dxa"/>
                <w:right w:w="28" w:type="dxa"/>
              </w:tblCellMar>
            </w:tblPr>
            <w:tblGrid>
              <w:gridCol w:w="1711"/>
              <w:gridCol w:w="1843"/>
              <w:gridCol w:w="2126"/>
              <w:gridCol w:w="1276"/>
              <w:gridCol w:w="1134"/>
              <w:gridCol w:w="1512"/>
              <w:gridCol w:w="1512"/>
              <w:gridCol w:w="15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PrEx>
              <w:trPr>
                <w:trHeight w:val="340" w:hRule="atLeast"/>
              </w:trPr>
              <w:tc>
                <w:tcPr>
                  <w:tcW w:w="1711" w:type="dxa"/>
                  <w:vMerge w:val="restart"/>
                  <w:vAlign w:val="center"/>
                </w:tcPr>
                <w:p>
                  <w:pPr>
                    <w:widowControl/>
                    <w:adjustRightInd w:val="0"/>
                    <w:snapToGrid w:val="0"/>
                    <w:jc w:val="center"/>
                    <w:rPr>
                      <w:b/>
                      <w:kern w:val="0"/>
                      <w:szCs w:val="21"/>
                    </w:rPr>
                  </w:pPr>
                  <w:r>
                    <w:rPr>
                      <w:b/>
                      <w:kern w:val="0"/>
                      <w:szCs w:val="21"/>
                    </w:rPr>
                    <w:t>产排污环节</w:t>
                  </w:r>
                </w:p>
              </w:tc>
              <w:tc>
                <w:tcPr>
                  <w:tcW w:w="1843" w:type="dxa"/>
                  <w:vMerge w:val="restart"/>
                  <w:vAlign w:val="center"/>
                </w:tcPr>
                <w:p>
                  <w:pPr>
                    <w:widowControl/>
                    <w:jc w:val="center"/>
                    <w:rPr>
                      <w:b/>
                      <w:bCs/>
                      <w:kern w:val="0"/>
                      <w:szCs w:val="21"/>
                    </w:rPr>
                  </w:pPr>
                  <w:r>
                    <w:rPr>
                      <w:b/>
                      <w:bCs/>
                      <w:kern w:val="0"/>
                      <w:szCs w:val="21"/>
                    </w:rPr>
                    <w:t>污染因子</w:t>
                  </w:r>
                </w:p>
              </w:tc>
              <w:tc>
                <w:tcPr>
                  <w:tcW w:w="2126" w:type="dxa"/>
                  <w:vMerge w:val="restart"/>
                  <w:vAlign w:val="center"/>
                </w:tcPr>
                <w:p>
                  <w:pPr>
                    <w:widowControl/>
                    <w:jc w:val="center"/>
                    <w:rPr>
                      <w:b/>
                      <w:bCs/>
                      <w:kern w:val="0"/>
                      <w:szCs w:val="21"/>
                    </w:rPr>
                  </w:pPr>
                  <w:r>
                    <w:rPr>
                      <w:b/>
                      <w:bCs/>
                      <w:kern w:val="0"/>
                      <w:szCs w:val="21"/>
                    </w:rPr>
                    <w:t>非正常排放原因</w:t>
                  </w:r>
                </w:p>
              </w:tc>
              <w:tc>
                <w:tcPr>
                  <w:tcW w:w="1276" w:type="dxa"/>
                  <w:vMerge w:val="restart"/>
                  <w:vAlign w:val="center"/>
                </w:tcPr>
                <w:p>
                  <w:pPr>
                    <w:widowControl/>
                    <w:jc w:val="center"/>
                    <w:rPr>
                      <w:b/>
                      <w:bCs/>
                      <w:kern w:val="0"/>
                      <w:szCs w:val="21"/>
                    </w:rPr>
                  </w:pPr>
                  <w:r>
                    <w:rPr>
                      <w:b/>
                      <w:bCs/>
                      <w:kern w:val="0"/>
                      <w:szCs w:val="21"/>
                    </w:rPr>
                    <w:t>频次</w:t>
                  </w:r>
                </w:p>
              </w:tc>
              <w:tc>
                <w:tcPr>
                  <w:tcW w:w="1134" w:type="dxa"/>
                  <w:vMerge w:val="restart"/>
                  <w:vAlign w:val="center"/>
                </w:tcPr>
                <w:p>
                  <w:pPr>
                    <w:widowControl/>
                    <w:jc w:val="center"/>
                    <w:rPr>
                      <w:b/>
                      <w:bCs/>
                      <w:kern w:val="0"/>
                      <w:szCs w:val="21"/>
                    </w:rPr>
                  </w:pPr>
                  <w:r>
                    <w:rPr>
                      <w:b/>
                      <w:bCs/>
                      <w:kern w:val="0"/>
                      <w:szCs w:val="21"/>
                    </w:rPr>
                    <w:t>持续时间</w:t>
                  </w:r>
                </w:p>
              </w:tc>
              <w:tc>
                <w:tcPr>
                  <w:tcW w:w="4536" w:type="dxa"/>
                  <w:gridSpan w:val="3"/>
                  <w:vAlign w:val="center"/>
                </w:tcPr>
                <w:p>
                  <w:pPr>
                    <w:widowControl/>
                    <w:jc w:val="center"/>
                    <w:rPr>
                      <w:b/>
                      <w:bCs/>
                      <w:kern w:val="0"/>
                      <w:szCs w:val="21"/>
                    </w:rPr>
                  </w:pPr>
                  <w:r>
                    <w:rPr>
                      <w:b/>
                      <w:bCs/>
                      <w:kern w:val="0"/>
                      <w:szCs w:val="21"/>
                    </w:rPr>
                    <w:t>排放情况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28" w:type="dxa"/>
                  <w:bottom w:w="0" w:type="dxa"/>
                  <w:right w:w="28" w:type="dxa"/>
                </w:tblCellMar>
              </w:tblPrEx>
              <w:trPr>
                <w:trHeight w:val="340" w:hRule="atLeast"/>
              </w:trPr>
              <w:tc>
                <w:tcPr>
                  <w:tcW w:w="1711" w:type="dxa"/>
                  <w:vMerge w:val="continue"/>
                  <w:vAlign w:val="center"/>
                </w:tcPr>
                <w:p>
                  <w:pPr>
                    <w:widowControl/>
                    <w:adjustRightInd w:val="0"/>
                    <w:snapToGrid w:val="0"/>
                    <w:jc w:val="center"/>
                    <w:rPr>
                      <w:b/>
                      <w:kern w:val="0"/>
                      <w:szCs w:val="21"/>
                    </w:rPr>
                  </w:pPr>
                </w:p>
              </w:tc>
              <w:tc>
                <w:tcPr>
                  <w:tcW w:w="1843" w:type="dxa"/>
                  <w:vMerge w:val="continue"/>
                  <w:vAlign w:val="center"/>
                </w:tcPr>
                <w:p>
                  <w:pPr>
                    <w:widowControl/>
                    <w:jc w:val="center"/>
                    <w:rPr>
                      <w:b/>
                      <w:bCs/>
                      <w:kern w:val="0"/>
                      <w:szCs w:val="21"/>
                    </w:rPr>
                  </w:pPr>
                </w:p>
              </w:tc>
              <w:tc>
                <w:tcPr>
                  <w:tcW w:w="2126" w:type="dxa"/>
                  <w:vMerge w:val="continue"/>
                  <w:vAlign w:val="center"/>
                </w:tcPr>
                <w:p>
                  <w:pPr>
                    <w:widowControl/>
                    <w:jc w:val="center"/>
                    <w:rPr>
                      <w:b/>
                      <w:bCs/>
                      <w:kern w:val="0"/>
                      <w:szCs w:val="21"/>
                    </w:rPr>
                  </w:pPr>
                </w:p>
              </w:tc>
              <w:tc>
                <w:tcPr>
                  <w:tcW w:w="1276" w:type="dxa"/>
                  <w:vMerge w:val="continue"/>
                  <w:vAlign w:val="center"/>
                </w:tcPr>
                <w:p>
                  <w:pPr>
                    <w:widowControl/>
                    <w:jc w:val="center"/>
                    <w:rPr>
                      <w:b/>
                      <w:bCs/>
                      <w:kern w:val="0"/>
                      <w:szCs w:val="21"/>
                    </w:rPr>
                  </w:pPr>
                </w:p>
              </w:tc>
              <w:tc>
                <w:tcPr>
                  <w:tcW w:w="1134" w:type="dxa"/>
                  <w:vMerge w:val="continue"/>
                  <w:vAlign w:val="center"/>
                </w:tcPr>
                <w:p>
                  <w:pPr>
                    <w:widowControl/>
                    <w:jc w:val="center"/>
                    <w:rPr>
                      <w:b/>
                      <w:bCs/>
                      <w:kern w:val="0"/>
                      <w:szCs w:val="21"/>
                    </w:rPr>
                  </w:pPr>
                </w:p>
              </w:tc>
              <w:tc>
                <w:tcPr>
                  <w:tcW w:w="1512" w:type="dxa"/>
                  <w:vAlign w:val="center"/>
                </w:tcPr>
                <w:p>
                  <w:pPr>
                    <w:widowControl/>
                    <w:jc w:val="center"/>
                    <w:rPr>
                      <w:b/>
                      <w:bCs/>
                      <w:kern w:val="0"/>
                      <w:szCs w:val="21"/>
                    </w:rPr>
                  </w:pPr>
                  <w:r>
                    <w:rPr>
                      <w:b/>
                      <w:bCs/>
                      <w:kern w:val="0"/>
                      <w:szCs w:val="21"/>
                    </w:rPr>
                    <w:t>排放浓度</w:t>
                  </w:r>
                  <w:r>
                    <w:rPr>
                      <w:b/>
                      <w:kern w:val="0"/>
                      <w:szCs w:val="21"/>
                    </w:rPr>
                    <w:t>mg/m</w:t>
                  </w:r>
                  <w:r>
                    <w:rPr>
                      <w:b/>
                      <w:kern w:val="0"/>
                      <w:szCs w:val="21"/>
                      <w:vertAlign w:val="superscript"/>
                    </w:rPr>
                    <w:t>3</w:t>
                  </w:r>
                </w:p>
              </w:tc>
              <w:tc>
                <w:tcPr>
                  <w:tcW w:w="1512" w:type="dxa"/>
                  <w:vAlign w:val="center"/>
                </w:tcPr>
                <w:p>
                  <w:pPr>
                    <w:widowControl/>
                    <w:jc w:val="center"/>
                    <w:rPr>
                      <w:b/>
                      <w:bCs/>
                      <w:kern w:val="0"/>
                      <w:szCs w:val="21"/>
                    </w:rPr>
                  </w:pPr>
                  <w:r>
                    <w:rPr>
                      <w:b/>
                      <w:bCs/>
                      <w:kern w:val="0"/>
                      <w:szCs w:val="21"/>
                    </w:rPr>
                    <w:t>排放速率</w:t>
                  </w:r>
                  <w:r>
                    <w:rPr>
                      <w:b/>
                      <w:kern w:val="0"/>
                      <w:szCs w:val="21"/>
                    </w:rPr>
                    <w:t>kg/h</w:t>
                  </w:r>
                </w:p>
              </w:tc>
              <w:tc>
                <w:tcPr>
                  <w:tcW w:w="1512" w:type="dxa"/>
                  <w:vAlign w:val="center"/>
                </w:tcPr>
                <w:p>
                  <w:pPr>
                    <w:widowControl/>
                    <w:jc w:val="center"/>
                    <w:rPr>
                      <w:b/>
                      <w:bCs/>
                      <w:kern w:val="0"/>
                      <w:szCs w:val="21"/>
                    </w:rPr>
                  </w:pPr>
                  <w:r>
                    <w:rPr>
                      <w:b/>
                      <w:bCs/>
                      <w:kern w:val="0"/>
                      <w:szCs w:val="21"/>
                    </w:rPr>
                    <w:t>排放量</w:t>
                  </w:r>
                  <w:r>
                    <w:rPr>
                      <w:b/>
                      <w:kern w:val="0"/>
                      <w:szCs w:val="21"/>
                    </w:rPr>
                    <w:t>kg</w:t>
                  </w:r>
                  <w:r>
                    <w:rPr>
                      <w:b/>
                      <w:bCs/>
                      <w:kern w:val="0"/>
                      <w:szCs w:val="21"/>
                    </w:rPr>
                    <w: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28" w:type="dxa"/>
                  <w:bottom w:w="0" w:type="dxa"/>
                  <w:right w:w="28" w:type="dxa"/>
                </w:tblCellMar>
              </w:tblPrEx>
              <w:trPr>
                <w:trHeight w:val="340" w:hRule="atLeast"/>
              </w:trPr>
              <w:tc>
                <w:tcPr>
                  <w:tcW w:w="1711" w:type="dxa"/>
                  <w:vAlign w:val="center"/>
                </w:tcPr>
                <w:p>
                  <w:pPr>
                    <w:jc w:val="center"/>
                    <w:rPr>
                      <w:szCs w:val="21"/>
                    </w:rPr>
                  </w:pPr>
                  <w:r>
                    <w:rPr>
                      <w:szCs w:val="21"/>
                    </w:rPr>
                    <w:t>加油</w:t>
                  </w:r>
                </w:p>
              </w:tc>
              <w:tc>
                <w:tcPr>
                  <w:tcW w:w="1843" w:type="dxa"/>
                  <w:vAlign w:val="center"/>
                </w:tcPr>
                <w:p>
                  <w:pPr>
                    <w:widowControl/>
                    <w:jc w:val="center"/>
                    <w:rPr>
                      <w:kern w:val="0"/>
                      <w:szCs w:val="21"/>
                    </w:rPr>
                  </w:pPr>
                  <w:r>
                    <w:rPr>
                      <w:szCs w:val="21"/>
                    </w:rPr>
                    <w:t>非甲烷总烃</w:t>
                  </w:r>
                </w:p>
              </w:tc>
              <w:tc>
                <w:tcPr>
                  <w:tcW w:w="2126" w:type="dxa"/>
                  <w:vMerge w:val="restart"/>
                  <w:vAlign w:val="center"/>
                </w:tcPr>
                <w:p>
                  <w:pPr>
                    <w:widowControl/>
                    <w:jc w:val="center"/>
                    <w:rPr>
                      <w:kern w:val="0"/>
                      <w:szCs w:val="21"/>
                    </w:rPr>
                  </w:pPr>
                  <w:r>
                    <w:rPr>
                      <w:kern w:val="0"/>
                      <w:szCs w:val="21"/>
                    </w:rPr>
                    <w:t>油气回收系统发生故障，回收效率为0</w:t>
                  </w:r>
                </w:p>
              </w:tc>
              <w:tc>
                <w:tcPr>
                  <w:tcW w:w="1276" w:type="dxa"/>
                  <w:vAlign w:val="center"/>
                </w:tcPr>
                <w:p>
                  <w:pPr>
                    <w:widowControl/>
                    <w:jc w:val="center"/>
                    <w:rPr>
                      <w:kern w:val="0"/>
                      <w:szCs w:val="21"/>
                    </w:rPr>
                  </w:pPr>
                  <w:r>
                    <w:rPr>
                      <w:kern w:val="0"/>
                      <w:szCs w:val="21"/>
                    </w:rPr>
                    <w:t>1次/a</w:t>
                  </w:r>
                </w:p>
              </w:tc>
              <w:tc>
                <w:tcPr>
                  <w:tcW w:w="1134" w:type="dxa"/>
                  <w:vAlign w:val="center"/>
                </w:tcPr>
                <w:p>
                  <w:pPr>
                    <w:widowControl/>
                    <w:jc w:val="center"/>
                    <w:rPr>
                      <w:kern w:val="0"/>
                      <w:szCs w:val="21"/>
                    </w:rPr>
                  </w:pPr>
                  <w:r>
                    <w:rPr>
                      <w:kern w:val="0"/>
                      <w:szCs w:val="21"/>
                    </w:rPr>
                    <w:t>0.5h/次</w:t>
                  </w:r>
                </w:p>
              </w:tc>
              <w:tc>
                <w:tcPr>
                  <w:tcW w:w="1512" w:type="dxa"/>
                  <w:vAlign w:val="center"/>
                </w:tcPr>
                <w:p>
                  <w:pPr>
                    <w:widowControl/>
                    <w:jc w:val="center"/>
                    <w:rPr>
                      <w:kern w:val="0"/>
                      <w:szCs w:val="21"/>
                    </w:rPr>
                  </w:pPr>
                  <w:r>
                    <w:rPr>
                      <w:kern w:val="0"/>
                      <w:szCs w:val="21"/>
                    </w:rPr>
                    <w:t>/</w:t>
                  </w:r>
                </w:p>
              </w:tc>
              <w:tc>
                <w:tcPr>
                  <w:tcW w:w="1512" w:type="dxa"/>
                  <w:vAlign w:val="center"/>
                </w:tcPr>
                <w:p>
                  <w:pPr>
                    <w:widowControl/>
                    <w:jc w:val="center"/>
                    <w:rPr>
                      <w:kern w:val="0"/>
                      <w:szCs w:val="21"/>
                    </w:rPr>
                  </w:pPr>
                  <w:r>
                    <w:rPr>
                      <w:bCs/>
                      <w:szCs w:val="21"/>
                    </w:rPr>
                    <w:t>0.784</w:t>
                  </w:r>
                </w:p>
              </w:tc>
              <w:tc>
                <w:tcPr>
                  <w:tcW w:w="1512" w:type="dxa"/>
                  <w:vAlign w:val="center"/>
                </w:tcPr>
                <w:p>
                  <w:pPr>
                    <w:widowControl/>
                    <w:jc w:val="center"/>
                    <w:rPr>
                      <w:kern w:val="0"/>
                      <w:szCs w:val="21"/>
                    </w:rPr>
                  </w:pPr>
                  <w:r>
                    <w:rPr>
                      <w:kern w:val="0"/>
                      <w:szCs w:val="21"/>
                    </w:rPr>
                    <w:t>0.392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28" w:type="dxa"/>
                  <w:bottom w:w="0" w:type="dxa"/>
                  <w:right w:w="28" w:type="dxa"/>
                </w:tblCellMar>
              </w:tblPrEx>
              <w:trPr>
                <w:trHeight w:val="340" w:hRule="atLeast"/>
              </w:trPr>
              <w:tc>
                <w:tcPr>
                  <w:tcW w:w="1711" w:type="dxa"/>
                  <w:vAlign w:val="center"/>
                </w:tcPr>
                <w:p>
                  <w:pPr>
                    <w:jc w:val="center"/>
                    <w:rPr>
                      <w:szCs w:val="21"/>
                    </w:rPr>
                  </w:pPr>
                  <w:r>
                    <w:rPr>
                      <w:szCs w:val="21"/>
                    </w:rPr>
                    <w:t>卸油及储罐挥发</w:t>
                  </w:r>
                </w:p>
              </w:tc>
              <w:tc>
                <w:tcPr>
                  <w:tcW w:w="1843" w:type="dxa"/>
                  <w:vAlign w:val="center"/>
                </w:tcPr>
                <w:p>
                  <w:pPr>
                    <w:widowControl/>
                    <w:jc w:val="center"/>
                    <w:rPr>
                      <w:kern w:val="0"/>
                      <w:szCs w:val="21"/>
                    </w:rPr>
                  </w:pPr>
                  <w:r>
                    <w:rPr>
                      <w:szCs w:val="21"/>
                    </w:rPr>
                    <w:t>非甲烷总烃</w:t>
                  </w:r>
                </w:p>
              </w:tc>
              <w:tc>
                <w:tcPr>
                  <w:tcW w:w="2126" w:type="dxa"/>
                  <w:vMerge w:val="continue"/>
                  <w:vAlign w:val="center"/>
                </w:tcPr>
                <w:p>
                  <w:pPr>
                    <w:widowControl/>
                    <w:jc w:val="center"/>
                    <w:rPr>
                      <w:kern w:val="0"/>
                      <w:szCs w:val="21"/>
                    </w:rPr>
                  </w:pPr>
                </w:p>
              </w:tc>
              <w:tc>
                <w:tcPr>
                  <w:tcW w:w="1276" w:type="dxa"/>
                  <w:vAlign w:val="center"/>
                </w:tcPr>
                <w:p>
                  <w:pPr>
                    <w:widowControl/>
                    <w:jc w:val="center"/>
                    <w:rPr>
                      <w:kern w:val="0"/>
                      <w:szCs w:val="21"/>
                    </w:rPr>
                  </w:pPr>
                  <w:r>
                    <w:rPr>
                      <w:kern w:val="0"/>
                      <w:szCs w:val="21"/>
                    </w:rPr>
                    <w:t>1次/a</w:t>
                  </w:r>
                </w:p>
              </w:tc>
              <w:tc>
                <w:tcPr>
                  <w:tcW w:w="1134" w:type="dxa"/>
                  <w:vAlign w:val="center"/>
                </w:tcPr>
                <w:p>
                  <w:pPr>
                    <w:widowControl/>
                    <w:jc w:val="center"/>
                    <w:rPr>
                      <w:kern w:val="0"/>
                      <w:szCs w:val="21"/>
                    </w:rPr>
                  </w:pPr>
                  <w:r>
                    <w:rPr>
                      <w:kern w:val="0"/>
                      <w:szCs w:val="21"/>
                    </w:rPr>
                    <w:t>0.5h/次</w:t>
                  </w:r>
                </w:p>
              </w:tc>
              <w:tc>
                <w:tcPr>
                  <w:tcW w:w="1512" w:type="dxa"/>
                  <w:vAlign w:val="center"/>
                </w:tcPr>
                <w:p>
                  <w:pPr>
                    <w:widowControl/>
                    <w:jc w:val="center"/>
                    <w:rPr>
                      <w:kern w:val="0"/>
                      <w:szCs w:val="21"/>
                    </w:rPr>
                  </w:pPr>
                  <w:r>
                    <w:rPr>
                      <w:kern w:val="0"/>
                      <w:szCs w:val="21"/>
                    </w:rPr>
                    <w:t>/</w:t>
                  </w:r>
                </w:p>
              </w:tc>
              <w:tc>
                <w:tcPr>
                  <w:tcW w:w="1512" w:type="dxa"/>
                  <w:vAlign w:val="center"/>
                </w:tcPr>
                <w:p>
                  <w:pPr>
                    <w:widowControl/>
                    <w:jc w:val="center"/>
                    <w:rPr>
                      <w:kern w:val="0"/>
                      <w:szCs w:val="21"/>
                    </w:rPr>
                  </w:pPr>
                  <w:r>
                    <w:rPr>
                      <w:bCs/>
                      <w:szCs w:val="21"/>
                    </w:rPr>
                    <w:t>0.770</w:t>
                  </w:r>
                </w:p>
              </w:tc>
              <w:tc>
                <w:tcPr>
                  <w:tcW w:w="1512" w:type="dxa"/>
                  <w:vAlign w:val="center"/>
                </w:tcPr>
                <w:p>
                  <w:pPr>
                    <w:widowControl/>
                    <w:jc w:val="center"/>
                    <w:rPr>
                      <w:kern w:val="0"/>
                      <w:szCs w:val="21"/>
                    </w:rPr>
                  </w:pPr>
                  <w:r>
                    <w:rPr>
                      <w:kern w:val="0"/>
                      <w:szCs w:val="21"/>
                    </w:rPr>
                    <w:t>0.385</w:t>
                  </w:r>
                </w:p>
              </w:tc>
            </w:tr>
          </w:tbl>
          <w:p>
            <w:pPr>
              <w:pStyle w:val="5"/>
              <w:rPr>
                <w:sz w:val="21"/>
              </w:rPr>
            </w:pPr>
          </w:p>
          <w:p>
            <w:pPr>
              <w:pStyle w:val="57"/>
              <w:spacing w:line="360" w:lineRule="auto"/>
              <w:ind w:firstLine="420" w:firstLineChars="200"/>
              <w:jc w:val="both"/>
              <w:rPr>
                <w:rFonts w:ascii="Times New Roman" w:cs="Times New Roman"/>
                <w:color w:val="auto"/>
                <w:sz w:val="21"/>
                <w:szCs w:val="21"/>
              </w:rPr>
            </w:pPr>
            <w:r>
              <w:rPr>
                <w:rFonts w:ascii="Times New Roman" w:cs="Times New Roman"/>
                <w:color w:val="auto"/>
                <w:sz w:val="21"/>
                <w:szCs w:val="21"/>
              </w:rPr>
              <w:t>为防止废气非正常排放，建设单位必须加强废气污染治理设施的管理，定期检修，确保废气污染治理设施正常运行，应采取以下措施确保废气达标排放：</w:t>
            </w:r>
          </w:p>
          <w:p>
            <w:pPr>
              <w:spacing w:line="360" w:lineRule="auto"/>
              <w:ind w:firstLine="420" w:firstLineChars="200"/>
              <w:rPr>
                <w:szCs w:val="21"/>
              </w:rPr>
            </w:pPr>
            <w:r>
              <w:rPr>
                <w:rFonts w:hint="eastAsia" w:ascii="宋体" w:hAnsi="宋体" w:cs="宋体"/>
                <w:szCs w:val="21"/>
              </w:rPr>
              <w:t>①</w:t>
            </w:r>
            <w:r>
              <w:rPr>
                <w:szCs w:val="21"/>
              </w:rPr>
              <w:t>安排专人负责环保设备的日常维护和管理，每个固定时间检查、汇报情况，及时发现废气处理设备的隐患，确保废气处理设施正常运行；</w:t>
            </w:r>
          </w:p>
          <w:p>
            <w:pPr>
              <w:pStyle w:val="57"/>
              <w:spacing w:line="360" w:lineRule="auto"/>
              <w:ind w:firstLine="420" w:firstLineChars="200"/>
              <w:jc w:val="both"/>
              <w:rPr>
                <w:rFonts w:ascii="Times New Roman" w:cs="Times New Roman"/>
                <w:color w:val="auto"/>
                <w:sz w:val="21"/>
                <w:szCs w:val="21"/>
              </w:rPr>
            </w:pPr>
            <w:r>
              <w:rPr>
                <w:rFonts w:hint="eastAsia" w:hAnsi="宋体"/>
                <w:color w:val="auto"/>
                <w:sz w:val="21"/>
                <w:szCs w:val="21"/>
              </w:rPr>
              <w:t>②</w:t>
            </w:r>
            <w:r>
              <w:rPr>
                <w:rFonts w:ascii="Times New Roman" w:cs="Times New Roman"/>
                <w:color w:val="auto"/>
                <w:sz w:val="21"/>
                <w:szCs w:val="21"/>
              </w:rPr>
              <w:t>建立健全的环保管理机构，对环保管理人员和技术人员进行岗位培训，委托具有专业资质的环境检测单位对项目排放的各类污染物进行定期检测；</w:t>
            </w:r>
          </w:p>
          <w:p>
            <w:pPr>
              <w:pStyle w:val="57"/>
              <w:spacing w:line="360" w:lineRule="auto"/>
              <w:ind w:firstLine="420" w:firstLineChars="200"/>
              <w:jc w:val="both"/>
              <w:rPr>
                <w:rFonts w:ascii="Times New Roman" w:cs="Times New Roman"/>
                <w:color w:val="auto"/>
                <w:sz w:val="21"/>
                <w:szCs w:val="21"/>
              </w:rPr>
            </w:pPr>
            <w:r>
              <w:rPr>
                <w:rFonts w:hint="eastAsia" w:hAnsi="宋体"/>
                <w:color w:val="auto"/>
                <w:sz w:val="21"/>
                <w:szCs w:val="21"/>
              </w:rPr>
              <w:t>③</w:t>
            </w:r>
            <w:r>
              <w:rPr>
                <w:rFonts w:ascii="Times New Roman" w:cs="Times New Roman"/>
                <w:color w:val="auto"/>
                <w:sz w:val="21"/>
                <w:szCs w:val="21"/>
              </w:rPr>
              <w:t>应定期维护、检修废气污染治理设施，以保持废气污染治理设施的处理效果。</w:t>
            </w:r>
          </w:p>
          <w:p>
            <w:pPr>
              <w:pStyle w:val="7"/>
              <w:spacing w:before="0" w:after="0" w:line="360" w:lineRule="auto"/>
              <w:ind w:firstLine="482"/>
              <w:rPr>
                <w:b/>
                <w:sz w:val="21"/>
                <w:szCs w:val="21"/>
              </w:rPr>
            </w:pPr>
            <w:r>
              <w:rPr>
                <w:b/>
                <w:sz w:val="21"/>
                <w:szCs w:val="21"/>
              </w:rPr>
              <w:t>1.3、废气污染治理设施及可行性分析</w:t>
            </w:r>
          </w:p>
          <w:p>
            <w:pPr>
              <w:pStyle w:val="5"/>
              <w:spacing w:line="360" w:lineRule="auto"/>
              <w:rPr>
                <w:sz w:val="21"/>
                <w:szCs w:val="21"/>
              </w:rPr>
            </w:pPr>
            <w:r>
              <w:rPr>
                <w:sz w:val="21"/>
                <w:szCs w:val="21"/>
              </w:rPr>
              <w:t>项目设置油气回收系统，油气回收系统是由卸油油气回收系统（即一次油气回收系统）和加油油气回收系统（即二次油气回收系统）组成。该系统的作用是通过相关油气回收工艺，将加油站在卸油、储油和加油过程中产生的油气进行密闭收集、储存和回收处理，抑制油气无控逸散挥发。油气回收系统采用管道方案，即指通过密闭加注油料设备，将加注过程中所排出的油气用管道送回到油罐，并且把油罐的气相空间管道连通，形成“油出去、气回来”的一种动态平衡系统。满足江西省环境保护厅《江西省储油库、加油站和油罐车油气回收综合治理工作方案》（赣环发[2013]17 号）的要求。</w:t>
            </w:r>
          </w:p>
          <w:p>
            <w:pPr>
              <w:pStyle w:val="5"/>
              <w:spacing w:line="360" w:lineRule="auto"/>
              <w:rPr>
                <w:sz w:val="21"/>
              </w:rPr>
            </w:pPr>
            <w:r>
              <w:rPr>
                <w:sz w:val="21"/>
                <w:szCs w:val="21"/>
              </w:rPr>
              <w:t>项目经油气平衡、油气回收系统作用后，油气回收率可达到95%，</w:t>
            </w:r>
            <w:r>
              <w:rPr>
                <w:sz w:val="21"/>
              </w:rPr>
              <w:t>项目对外扩散的非甲烷总烃为无组织排放，</w:t>
            </w:r>
            <w:r>
              <w:rPr>
                <w:sz w:val="21"/>
                <w:szCs w:val="24"/>
              </w:rPr>
              <w:t>油气无组织排放浓度可满足</w:t>
            </w:r>
            <w:r>
              <w:rPr>
                <w:sz w:val="21"/>
              </w:rPr>
              <w:t>《加油站大气污染物排放标准》（GB20952-2020）表3中非甲烷总烃周界无组织排放限值4.0mg/m</w:t>
            </w:r>
            <w:r>
              <w:rPr>
                <w:sz w:val="21"/>
                <w:vertAlign w:val="superscript"/>
              </w:rPr>
              <w:t>3</w:t>
            </w:r>
            <w:r>
              <w:rPr>
                <w:sz w:val="21"/>
              </w:rPr>
              <w:t>要求，属于《排污许可证申请与核发技术规范 储油库、加油站》（HJ1118-2020）中加油站废气治理可行技术。</w:t>
            </w:r>
          </w:p>
          <w:p>
            <w:pPr>
              <w:pStyle w:val="7"/>
              <w:spacing w:before="0" w:after="0" w:line="360" w:lineRule="auto"/>
              <w:ind w:firstLine="482"/>
              <w:rPr>
                <w:b/>
                <w:sz w:val="21"/>
                <w:szCs w:val="21"/>
              </w:rPr>
            </w:pPr>
            <w:r>
              <w:rPr>
                <w:b/>
                <w:sz w:val="21"/>
                <w:szCs w:val="21"/>
              </w:rPr>
              <w:t>1.4、大气环境影响分析</w:t>
            </w:r>
          </w:p>
          <w:p>
            <w:pPr>
              <w:spacing w:line="360" w:lineRule="auto"/>
              <w:ind w:firstLine="420" w:firstLineChars="200"/>
              <w:rPr>
                <w:szCs w:val="21"/>
              </w:rPr>
            </w:pPr>
            <w:r>
              <w:rPr>
                <w:szCs w:val="21"/>
              </w:rPr>
              <w:t>（1）非甲烷总烃</w:t>
            </w:r>
          </w:p>
          <w:p>
            <w:pPr>
              <w:spacing w:line="360" w:lineRule="auto"/>
              <w:ind w:firstLine="420" w:firstLineChars="200"/>
              <w:rPr>
                <w:sz w:val="18"/>
                <w:szCs w:val="21"/>
              </w:rPr>
            </w:pPr>
            <w:r>
              <w:t>本项目营运期废气主要包括油品的储存及罐车卸油、机动车加油过程挥发出的非甲烷总烃类气体。项目采用地埋式储油罐，由于该罐密闭性较好，储罐埋于地下，储油罐罐室内气温比较稳定，受大气环境稳定影响较小，减少油罐小呼吸蒸发损耗，延缓油品变质，另增设呼吸阀挡板，以减少油罐大、小呼吸损耗。加油站采用自封式加油枪及密闭卸油等方式，可以一定程度上减少非甲烷总烃的排放。为了进一步减少项目卸油、储油、加油工序中油气逸散状况的发生，加油站采用油气回收系统对油罐车卸油、储油及汽车加油过程产生的油气进行回收，减少油气向外界逸散，排放浓度可满足《加油站大气污染物排放标准》（GB20952-2020）中限值要求，</w:t>
            </w:r>
            <w:r>
              <w:rPr>
                <w:kern w:val="21"/>
              </w:rPr>
              <w:t>对大气环境影响较小。</w:t>
            </w:r>
          </w:p>
          <w:p>
            <w:pPr>
              <w:spacing w:line="360" w:lineRule="auto"/>
              <w:ind w:firstLine="420" w:firstLineChars="200"/>
              <w:rPr>
                <w:bCs/>
                <w:kern w:val="0"/>
                <w:szCs w:val="21"/>
              </w:rPr>
            </w:pPr>
            <w:r>
              <w:rPr>
                <w:szCs w:val="21"/>
              </w:rPr>
              <w:t>（2）</w:t>
            </w:r>
            <w:r>
              <w:rPr>
                <w:bCs/>
                <w:kern w:val="0"/>
                <w:szCs w:val="21"/>
              </w:rPr>
              <w:t xml:space="preserve">汽车尾气 </w:t>
            </w:r>
          </w:p>
          <w:p>
            <w:pPr>
              <w:spacing w:line="360" w:lineRule="auto"/>
              <w:ind w:firstLine="420" w:firstLineChars="200"/>
              <w:rPr>
                <w:kern w:val="0"/>
                <w:szCs w:val="21"/>
              </w:rPr>
            </w:pPr>
            <w:r>
              <w:rPr>
                <w:kern w:val="0"/>
                <w:szCs w:val="21"/>
              </w:rPr>
              <w:t>汽车尾气主要是汽车在启动的过程中怠速及慢速行驶过程中排放的废气，汽车废气的主要污染因子有CO、HC和NO</w:t>
            </w:r>
            <w:r>
              <w:rPr>
                <w:kern w:val="0"/>
                <w:szCs w:val="21"/>
                <w:vertAlign w:val="subscript"/>
              </w:rPr>
              <w:t>X</w:t>
            </w:r>
            <w:r>
              <w:rPr>
                <w:kern w:val="0"/>
                <w:szCs w:val="21"/>
              </w:rPr>
              <w:t>等有害成分。由于项目较开阔，汽车尾气可随大气扩散稀释，对周围大气环境影响较小。</w:t>
            </w:r>
          </w:p>
          <w:p>
            <w:pPr>
              <w:autoSpaceDE w:val="0"/>
              <w:autoSpaceDN w:val="0"/>
              <w:snapToGrid w:val="0"/>
              <w:spacing w:line="360" w:lineRule="auto"/>
              <w:ind w:firstLine="480"/>
              <w:rPr>
                <w:b/>
                <w:szCs w:val="21"/>
              </w:rPr>
            </w:pPr>
            <w:r>
              <w:rPr>
                <w:b/>
                <w:szCs w:val="21"/>
              </w:rPr>
              <w:t>1.5、</w:t>
            </w:r>
            <w:r>
              <w:rPr>
                <w:rFonts w:hint="eastAsia"/>
                <w:b/>
                <w:szCs w:val="21"/>
              </w:rPr>
              <w:t>卫生防护距离</w:t>
            </w:r>
          </w:p>
          <w:p>
            <w:pPr>
              <w:autoSpaceDE w:val="0"/>
              <w:autoSpaceDN w:val="0"/>
              <w:snapToGrid w:val="0"/>
              <w:spacing w:line="360" w:lineRule="auto"/>
              <w:ind w:firstLine="480"/>
              <w:rPr>
                <w:kern w:val="0"/>
                <w:szCs w:val="21"/>
              </w:rPr>
            </w:pPr>
            <w:r>
              <w:rPr>
                <w:rFonts w:hint="eastAsia"/>
                <w:bCs/>
                <w:szCs w:val="21"/>
              </w:rPr>
              <w:t>本次评价根据《大气有害物质无组织排放卫生防护距离推导技术导则》</w:t>
            </w:r>
            <w:r>
              <w:rPr>
                <w:kern w:val="0"/>
                <w:szCs w:val="21"/>
              </w:rPr>
              <w:t>（GB/T39499-2020）</w:t>
            </w:r>
            <w:r>
              <w:rPr>
                <w:rFonts w:hint="eastAsia"/>
                <w:kern w:val="0"/>
                <w:szCs w:val="21"/>
              </w:rPr>
              <w:t>进行卫生防护距离计算。</w:t>
            </w:r>
          </w:p>
          <w:p>
            <w:pPr>
              <w:autoSpaceDE w:val="0"/>
              <w:autoSpaceDN w:val="0"/>
              <w:snapToGrid w:val="0"/>
              <w:spacing w:line="360" w:lineRule="auto"/>
              <w:ind w:firstLine="480"/>
              <w:rPr>
                <w:kern w:val="0"/>
                <w:szCs w:val="21"/>
              </w:rPr>
            </w:pPr>
            <w:r>
              <w:rPr>
                <w:rFonts w:hint="eastAsia"/>
                <w:kern w:val="0"/>
                <w:szCs w:val="21"/>
              </w:rPr>
              <w:t>（1）确定计算因子</w:t>
            </w:r>
          </w:p>
          <w:p>
            <w:pPr>
              <w:autoSpaceDE w:val="0"/>
              <w:autoSpaceDN w:val="0"/>
              <w:snapToGrid w:val="0"/>
              <w:spacing w:line="360" w:lineRule="auto"/>
              <w:ind w:firstLine="480"/>
              <w:rPr>
                <w:kern w:val="0"/>
                <w:szCs w:val="21"/>
              </w:rPr>
            </w:pPr>
            <w:r>
              <w:rPr>
                <w:rFonts w:hint="eastAsia"/>
                <w:kern w:val="0"/>
                <w:szCs w:val="21"/>
              </w:rPr>
              <w:t>项目无组织面源为厂区，涉及到的污染因子为V</w:t>
            </w:r>
            <w:r>
              <w:rPr>
                <w:kern w:val="0"/>
                <w:szCs w:val="21"/>
              </w:rPr>
              <w:t>OC</w:t>
            </w:r>
            <w:r>
              <w:rPr>
                <w:rFonts w:hint="eastAsia"/>
                <w:kern w:val="0"/>
                <w:szCs w:val="21"/>
              </w:rPr>
              <w:t>，卫生防护距离计算因子确定结果见表4</w:t>
            </w:r>
            <w:r>
              <w:rPr>
                <w:kern w:val="0"/>
                <w:szCs w:val="21"/>
              </w:rPr>
              <w:t>-4</w:t>
            </w:r>
            <w:r>
              <w:rPr>
                <w:rFonts w:hint="eastAsia"/>
                <w:kern w:val="0"/>
                <w:szCs w:val="21"/>
              </w:rPr>
              <w:t>。</w:t>
            </w:r>
          </w:p>
          <w:p>
            <w:pPr>
              <w:adjustRightInd w:val="0"/>
              <w:spacing w:line="276" w:lineRule="auto"/>
              <w:jc w:val="center"/>
              <w:textAlignment w:val="baseline"/>
              <w:rPr>
                <w:b/>
                <w:kern w:val="0"/>
                <w:szCs w:val="21"/>
              </w:rPr>
            </w:pPr>
            <w:r>
              <w:rPr>
                <w:b/>
                <w:kern w:val="0"/>
                <w:szCs w:val="21"/>
              </w:rPr>
              <w:t xml:space="preserve">表4-4 </w:t>
            </w:r>
            <w:r>
              <w:rPr>
                <w:rFonts w:hint="eastAsia"/>
                <w:b/>
                <w:kern w:val="0"/>
                <w:szCs w:val="21"/>
              </w:rPr>
              <w:t>卫生防护距离计算因子确定</w:t>
            </w:r>
            <w:r>
              <w:rPr>
                <w:b/>
                <w:kern w:val="0"/>
                <w:szCs w:val="21"/>
              </w:rPr>
              <w:t>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159"/>
              <w:gridCol w:w="1416"/>
              <w:gridCol w:w="1417"/>
              <w:gridCol w:w="1557"/>
              <w:gridCol w:w="1840"/>
              <w:gridCol w:w="2118"/>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面源名称</w:t>
                  </w:r>
                </w:p>
              </w:tc>
              <w:tc>
                <w:tcPr>
                  <w:tcW w:w="1160"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污染物</w:t>
                  </w:r>
                </w:p>
              </w:tc>
              <w:tc>
                <w:tcPr>
                  <w:tcW w:w="1417"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Q</w:t>
                  </w:r>
                  <w:r>
                    <w:rPr>
                      <w:kern w:val="0"/>
                      <w:szCs w:val="21"/>
                    </w:rPr>
                    <w:t>c</w:t>
                  </w:r>
                </w:p>
              </w:tc>
              <w:tc>
                <w:tcPr>
                  <w:tcW w:w="1418"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C</w:t>
                  </w:r>
                  <w:r>
                    <w:rPr>
                      <w:kern w:val="0"/>
                      <w:szCs w:val="21"/>
                    </w:rPr>
                    <w:t>m</w:t>
                  </w:r>
                </w:p>
              </w:tc>
              <w:tc>
                <w:tcPr>
                  <w:tcW w:w="1559"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Q</w:t>
                  </w:r>
                  <w:r>
                    <w:rPr>
                      <w:kern w:val="0"/>
                      <w:szCs w:val="21"/>
                    </w:rPr>
                    <w:t>c</w:t>
                  </w:r>
                  <w:r>
                    <w:rPr>
                      <w:rFonts w:hint="eastAsia"/>
                      <w:kern w:val="0"/>
                      <w:szCs w:val="21"/>
                    </w:rPr>
                    <w:t>/</w:t>
                  </w:r>
                  <w:r>
                    <w:rPr>
                      <w:kern w:val="0"/>
                      <w:szCs w:val="21"/>
                    </w:rPr>
                    <w:t>Cm</w:t>
                  </w:r>
                </w:p>
              </w:tc>
              <w:tc>
                <w:tcPr>
                  <w:tcW w:w="1843"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是否为初选因子</w:t>
                  </w:r>
                </w:p>
              </w:tc>
              <w:tc>
                <w:tcPr>
                  <w:tcW w:w="2121" w:type="dxa"/>
                  <w:shd w:val="clear" w:color="auto" w:fill="auto"/>
                  <w:vAlign w:val="center"/>
                </w:tcPr>
                <w:p>
                  <w:pPr>
                    <w:autoSpaceDE w:val="0"/>
                    <w:autoSpaceDN w:val="0"/>
                    <w:snapToGrid w:val="0"/>
                    <w:jc w:val="center"/>
                    <w:rPr>
                      <w:kern w:val="0"/>
                      <w:szCs w:val="21"/>
                    </w:rPr>
                  </w:pPr>
                  <w:r>
                    <w:rPr>
                      <w:rFonts w:hint="eastAsia"/>
                      <w:kern w:val="0"/>
                      <w:szCs w:val="21"/>
                    </w:rPr>
                    <w:t>等标排放量差值占比（%）</w:t>
                  </w:r>
                </w:p>
              </w:tc>
              <w:tc>
                <w:tcPr>
                  <w:tcW w:w="1587" w:type="dxa"/>
                  <w:shd w:val="clear" w:color="auto" w:fill="auto"/>
                  <w:vAlign w:val="center"/>
                </w:tcPr>
                <w:p>
                  <w:pPr>
                    <w:autoSpaceDE w:val="0"/>
                    <w:autoSpaceDN w:val="0"/>
                    <w:snapToGrid w:val="0"/>
                    <w:jc w:val="center"/>
                    <w:rPr>
                      <w:kern w:val="0"/>
                      <w:szCs w:val="21"/>
                    </w:rPr>
                  </w:pPr>
                  <w:r>
                    <w:rPr>
                      <w:rFonts w:hint="eastAsia"/>
                      <w:kern w:val="0"/>
                      <w:szCs w:val="21"/>
                    </w:rPr>
                    <w:t>是否为最终计算因子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加油站厂区</w:t>
                  </w:r>
                </w:p>
              </w:tc>
              <w:tc>
                <w:tcPr>
                  <w:tcW w:w="1160" w:type="dxa"/>
                  <w:shd w:val="clear" w:color="auto" w:fill="auto"/>
                  <w:vAlign w:val="center"/>
                </w:tcPr>
                <w:p>
                  <w:pPr>
                    <w:autoSpaceDE w:val="0"/>
                    <w:autoSpaceDN w:val="0"/>
                    <w:snapToGrid w:val="0"/>
                    <w:spacing w:line="360" w:lineRule="auto"/>
                    <w:jc w:val="center"/>
                    <w:rPr>
                      <w:kern w:val="0"/>
                      <w:szCs w:val="21"/>
                    </w:rPr>
                  </w:pPr>
                  <w:r>
                    <w:rPr>
                      <w:bCs/>
                      <w:szCs w:val="21"/>
                    </w:rPr>
                    <w:t>NMHC</w:t>
                  </w:r>
                </w:p>
              </w:tc>
              <w:tc>
                <w:tcPr>
                  <w:tcW w:w="1417"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0</w:t>
                  </w:r>
                  <w:r>
                    <w:rPr>
                      <w:kern w:val="0"/>
                      <w:szCs w:val="21"/>
                    </w:rPr>
                    <w:t>.094kg/h</w:t>
                  </w:r>
                </w:p>
              </w:tc>
              <w:tc>
                <w:tcPr>
                  <w:tcW w:w="1418" w:type="dxa"/>
                  <w:shd w:val="clear" w:color="auto" w:fill="auto"/>
                  <w:vAlign w:val="center"/>
                </w:tcPr>
                <w:p>
                  <w:pPr>
                    <w:autoSpaceDE w:val="0"/>
                    <w:autoSpaceDN w:val="0"/>
                    <w:snapToGrid w:val="0"/>
                    <w:spacing w:line="360" w:lineRule="auto"/>
                    <w:jc w:val="center"/>
                    <w:rPr>
                      <w:kern w:val="0"/>
                      <w:szCs w:val="21"/>
                    </w:rPr>
                  </w:pPr>
                  <w:r>
                    <w:rPr>
                      <w:kern w:val="0"/>
                      <w:szCs w:val="21"/>
                    </w:rPr>
                    <w:t>4mg/m</w:t>
                  </w:r>
                  <w:r>
                    <w:rPr>
                      <w:kern w:val="0"/>
                      <w:szCs w:val="21"/>
                      <w:vertAlign w:val="superscript"/>
                    </w:rPr>
                    <w:t>3</w:t>
                  </w:r>
                </w:p>
              </w:tc>
              <w:tc>
                <w:tcPr>
                  <w:tcW w:w="1559"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0</w:t>
                  </w:r>
                  <w:r>
                    <w:rPr>
                      <w:kern w:val="0"/>
                      <w:szCs w:val="21"/>
                    </w:rPr>
                    <w:t>.0235</w:t>
                  </w:r>
                </w:p>
              </w:tc>
              <w:tc>
                <w:tcPr>
                  <w:tcW w:w="1843"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是</w:t>
                  </w:r>
                </w:p>
              </w:tc>
              <w:tc>
                <w:tcPr>
                  <w:tcW w:w="2121"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w:t>
                  </w:r>
                </w:p>
              </w:tc>
              <w:tc>
                <w:tcPr>
                  <w:tcW w:w="1587" w:type="dxa"/>
                  <w:shd w:val="clear" w:color="auto" w:fill="auto"/>
                  <w:vAlign w:val="center"/>
                </w:tcPr>
                <w:p>
                  <w:pPr>
                    <w:autoSpaceDE w:val="0"/>
                    <w:autoSpaceDN w:val="0"/>
                    <w:snapToGrid w:val="0"/>
                    <w:spacing w:line="360" w:lineRule="auto"/>
                    <w:jc w:val="center"/>
                    <w:rPr>
                      <w:kern w:val="0"/>
                      <w:szCs w:val="21"/>
                    </w:rPr>
                  </w:pPr>
                  <w:r>
                    <w:rPr>
                      <w:rFonts w:hint="eastAsia"/>
                      <w:kern w:val="0"/>
                      <w:szCs w:val="21"/>
                    </w:rPr>
                    <w:t>是</w:t>
                  </w:r>
                </w:p>
              </w:tc>
            </w:tr>
          </w:tbl>
          <w:p>
            <w:pPr>
              <w:autoSpaceDE w:val="0"/>
              <w:autoSpaceDN w:val="0"/>
              <w:snapToGrid w:val="0"/>
              <w:spacing w:line="360" w:lineRule="auto"/>
              <w:ind w:firstLine="480"/>
              <w:rPr>
                <w:kern w:val="0"/>
                <w:szCs w:val="21"/>
              </w:rPr>
            </w:pPr>
          </w:p>
          <w:p>
            <w:pPr>
              <w:autoSpaceDE w:val="0"/>
              <w:autoSpaceDN w:val="0"/>
              <w:snapToGrid w:val="0"/>
              <w:spacing w:line="360" w:lineRule="auto"/>
              <w:ind w:firstLine="480"/>
              <w:rPr>
                <w:kern w:val="0"/>
                <w:szCs w:val="21"/>
              </w:rPr>
            </w:pPr>
            <w:r>
              <w:rPr>
                <w:rFonts w:hint="eastAsia"/>
                <w:kern w:val="0"/>
                <w:szCs w:val="21"/>
              </w:rPr>
              <w:t>（2）卫生防护距离计算</w:t>
            </w:r>
          </w:p>
          <w:p>
            <w:pPr>
              <w:autoSpaceDE w:val="0"/>
              <w:autoSpaceDN w:val="0"/>
              <w:snapToGrid w:val="0"/>
              <w:spacing w:line="360" w:lineRule="auto"/>
              <w:ind w:firstLine="480"/>
              <w:rPr>
                <w:kern w:val="0"/>
                <w:szCs w:val="21"/>
              </w:rPr>
            </w:pPr>
            <w:r>
              <w:rPr>
                <w:rFonts w:hint="eastAsia"/>
                <w:kern w:val="0"/>
                <w:szCs w:val="21"/>
              </w:rPr>
              <w:t>根据《大气有害物质无组织排放卫生防护距离推导技术导则》</w:t>
            </w:r>
            <w:r>
              <w:rPr>
                <w:kern w:val="0"/>
                <w:szCs w:val="21"/>
              </w:rPr>
              <w:t>(GB/T39499-2020)，卫生防护距离初值</w:t>
            </w:r>
            <w:r>
              <w:rPr>
                <w:rFonts w:hint="eastAsia"/>
                <w:kern w:val="0"/>
                <w:szCs w:val="21"/>
              </w:rPr>
              <w:t>计算公式如下：</w:t>
            </w:r>
          </w:p>
          <w:p>
            <w:pPr>
              <w:jc w:val="center"/>
              <w:rPr>
                <w:szCs w:val="21"/>
              </w:rPr>
            </w:pP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fldChar w:fldCharType="begin"/>
            </w:r>
            <w:r>
              <w:instrText xml:space="preserve"> INCLUDEPICTURE  "C:\\Users\\ADMINI~1\\AppData\\Local\\Temp\\ksohtml\\wpsDD5A.tmp.png" \* MERGEFORMATINET </w:instrText>
            </w:r>
            <w:r>
              <w:fldChar w:fldCharType="separate"/>
            </w:r>
            <w:r>
              <w:drawing>
                <wp:inline distT="0" distB="0" distL="114300" distR="114300">
                  <wp:extent cx="2867660" cy="687705"/>
                  <wp:effectExtent l="0" t="0" r="8890" b="1714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r:link="rId16"/>
                          <a:stretch>
                            <a:fillRect/>
                          </a:stretch>
                        </pic:blipFill>
                        <pic:spPr>
                          <a:xfrm>
                            <a:off x="0" y="0"/>
                            <a:ext cx="2867660" cy="68770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pPr>
              <w:spacing w:line="360" w:lineRule="auto"/>
              <w:ind w:firstLine="420" w:firstLineChars="200"/>
              <w:rPr>
                <w:kern w:val="0"/>
                <w:szCs w:val="21"/>
              </w:rPr>
            </w:pPr>
            <w:r>
              <w:rPr>
                <w:kern w:val="0"/>
                <w:szCs w:val="21"/>
              </w:rPr>
              <w:t>式中：</w:t>
            </w:r>
          </w:p>
          <w:p>
            <w:pPr>
              <w:spacing w:line="360" w:lineRule="auto"/>
              <w:ind w:firstLine="420" w:firstLineChars="200"/>
              <w:rPr>
                <w:kern w:val="0"/>
                <w:szCs w:val="21"/>
              </w:rPr>
            </w:pPr>
            <w:r>
              <w:rPr>
                <w:kern w:val="0"/>
                <w:szCs w:val="21"/>
              </w:rPr>
              <w:t>Qc——</w:t>
            </w:r>
            <w:r>
              <w:rPr>
                <w:rFonts w:hint="eastAsia"/>
                <w:kern w:val="0"/>
                <w:szCs w:val="21"/>
              </w:rPr>
              <w:t>大气有害物质的无组织排放量，</w:t>
            </w:r>
            <w:r>
              <w:rPr>
                <w:kern w:val="0"/>
                <w:szCs w:val="21"/>
              </w:rPr>
              <w:t>kg/h；</w:t>
            </w:r>
          </w:p>
          <w:p>
            <w:pPr>
              <w:spacing w:line="360" w:lineRule="auto"/>
              <w:ind w:firstLine="420" w:firstLineChars="200"/>
              <w:rPr>
                <w:kern w:val="0"/>
                <w:szCs w:val="21"/>
              </w:rPr>
            </w:pPr>
            <w:r>
              <w:rPr>
                <w:kern w:val="0"/>
                <w:szCs w:val="21"/>
              </w:rPr>
              <w:t>Cm——</w:t>
            </w:r>
            <w:r>
              <w:rPr>
                <w:rFonts w:hint="eastAsia"/>
                <w:kern w:val="0"/>
                <w:szCs w:val="21"/>
              </w:rPr>
              <w:t>大气有害物质环境空气质量的</w:t>
            </w:r>
            <w:r>
              <w:rPr>
                <w:kern w:val="0"/>
                <w:szCs w:val="21"/>
              </w:rPr>
              <w:t>标准限值</w:t>
            </w:r>
            <w:r>
              <w:rPr>
                <w:rFonts w:hint="eastAsia"/>
                <w:kern w:val="0"/>
                <w:szCs w:val="21"/>
              </w:rPr>
              <w:t>，</w:t>
            </w:r>
            <w:r>
              <w:rPr>
                <w:kern w:val="0"/>
                <w:szCs w:val="21"/>
              </w:rPr>
              <w:t>mg/m</w:t>
            </w:r>
            <w:r>
              <w:rPr>
                <w:kern w:val="0"/>
                <w:szCs w:val="21"/>
                <w:vertAlign w:val="superscript"/>
              </w:rPr>
              <w:t>3</w:t>
            </w:r>
            <w:r>
              <w:rPr>
                <w:kern w:val="0"/>
                <w:szCs w:val="21"/>
              </w:rPr>
              <w:t>；</w:t>
            </w:r>
          </w:p>
          <w:p>
            <w:pPr>
              <w:spacing w:line="360" w:lineRule="auto"/>
              <w:ind w:firstLine="420" w:firstLineChars="200"/>
              <w:rPr>
                <w:kern w:val="0"/>
                <w:szCs w:val="21"/>
              </w:rPr>
            </w:pPr>
            <w:r>
              <w:rPr>
                <w:kern w:val="0"/>
                <w:szCs w:val="21"/>
              </w:rPr>
              <w:t>L——</w:t>
            </w:r>
            <w:r>
              <w:rPr>
                <w:rFonts w:hint="eastAsia"/>
                <w:kern w:val="0"/>
                <w:szCs w:val="21"/>
              </w:rPr>
              <w:t>大气有害物质卫生防护距离初值，</w:t>
            </w:r>
            <w:r>
              <w:rPr>
                <w:kern w:val="0"/>
                <w:szCs w:val="21"/>
              </w:rPr>
              <w:t>m；</w:t>
            </w:r>
          </w:p>
          <w:p>
            <w:pPr>
              <w:spacing w:line="360" w:lineRule="auto"/>
              <w:ind w:firstLine="420" w:firstLineChars="200"/>
              <w:rPr>
                <w:kern w:val="0"/>
                <w:szCs w:val="21"/>
              </w:rPr>
            </w:pPr>
            <w:r>
              <w:rPr>
                <w:kern w:val="0"/>
                <w:szCs w:val="21"/>
              </w:rPr>
              <w:t>r——</w:t>
            </w:r>
            <w:r>
              <w:rPr>
                <w:rFonts w:hint="eastAsia"/>
                <w:kern w:val="0"/>
                <w:szCs w:val="21"/>
              </w:rPr>
              <w:t>大气有害物质</w:t>
            </w:r>
            <w:r>
              <w:rPr>
                <w:kern w:val="0"/>
                <w:szCs w:val="21"/>
              </w:rPr>
              <w:t>无组织排放源所在生产单元的等效半径</w:t>
            </w:r>
            <w:r>
              <w:rPr>
                <w:rFonts w:hint="eastAsia"/>
                <w:kern w:val="0"/>
                <w:szCs w:val="21"/>
              </w:rPr>
              <w:t>，</w:t>
            </w:r>
            <w:r>
              <w:rPr>
                <w:kern w:val="0"/>
                <w:szCs w:val="21"/>
              </w:rPr>
              <w:t>m。根据该生产单元占地面积S（m2）计算</w:t>
            </w:r>
            <w:r>
              <w:rPr>
                <w:rFonts w:hint="eastAsia"/>
                <w:kern w:val="0"/>
                <w:szCs w:val="21"/>
              </w:rPr>
              <w:t>，</w:t>
            </w:r>
            <w:r>
              <w:rPr>
                <w:kern w:val="0"/>
                <w:szCs w:val="21"/>
              </w:rPr>
              <w:t>r=(S/π)0.5；</w:t>
            </w:r>
          </w:p>
          <w:p>
            <w:pPr>
              <w:spacing w:line="360" w:lineRule="auto"/>
              <w:ind w:firstLine="420" w:firstLineChars="200"/>
              <w:rPr>
                <w:kern w:val="0"/>
                <w:szCs w:val="21"/>
              </w:rPr>
            </w:pPr>
            <w:r>
              <w:rPr>
                <w:rFonts w:hint="eastAsia"/>
                <w:kern w:val="0"/>
                <w:szCs w:val="21"/>
              </w:rPr>
              <w:t>A、B、C、D</w:t>
            </w:r>
            <w:r>
              <w:rPr>
                <w:kern w:val="0"/>
                <w:szCs w:val="21"/>
              </w:rPr>
              <w:t>——</w:t>
            </w:r>
            <w:r>
              <w:rPr>
                <w:rFonts w:hint="eastAsia"/>
                <w:kern w:val="0"/>
                <w:szCs w:val="21"/>
              </w:rPr>
              <w:t>卫生防护距离初值计算系数，无因次，从GB/T39499-2020中查取</w:t>
            </w:r>
          </w:p>
          <w:p>
            <w:pPr>
              <w:adjustRightInd w:val="0"/>
              <w:spacing w:line="276" w:lineRule="auto"/>
              <w:jc w:val="center"/>
              <w:textAlignment w:val="baseline"/>
              <w:rPr>
                <w:b/>
                <w:kern w:val="0"/>
                <w:szCs w:val="21"/>
              </w:rPr>
            </w:pPr>
            <w:r>
              <w:rPr>
                <w:b/>
                <w:kern w:val="0"/>
                <w:szCs w:val="21"/>
              </w:rPr>
              <w:t xml:space="preserve">表4-5 </w:t>
            </w:r>
            <w:r>
              <w:rPr>
                <w:rFonts w:hint="eastAsia"/>
                <w:b/>
                <w:kern w:val="0"/>
                <w:szCs w:val="21"/>
              </w:rPr>
              <w:t>卫生防护距离计算</w:t>
            </w:r>
            <w:r>
              <w:rPr>
                <w:b/>
                <w:kern w:val="0"/>
                <w:szCs w:val="21"/>
              </w:rPr>
              <w:t>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69"/>
              <w:gridCol w:w="3169"/>
              <w:gridCol w:w="3169"/>
              <w:gridCol w:w="3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无组织面源</w:t>
                  </w:r>
                </w:p>
              </w:tc>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计算因子</w:t>
                  </w:r>
                </w:p>
              </w:tc>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卫生防护距离初值（m）</w:t>
                  </w:r>
                </w:p>
              </w:tc>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卫生防护距离终值（m）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shd w:val="clear" w:color="auto" w:fill="auto"/>
                  <w:vAlign w:val="center"/>
                </w:tcPr>
                <w:p>
                  <w:pPr>
                    <w:autoSpaceDE w:val="0"/>
                    <w:autoSpaceDN w:val="0"/>
                    <w:snapToGrid w:val="0"/>
                    <w:spacing w:line="360" w:lineRule="auto"/>
                    <w:jc w:val="center"/>
                    <w:rPr>
                      <w:bCs/>
                      <w:szCs w:val="21"/>
                    </w:rPr>
                  </w:pPr>
                  <w:r>
                    <w:rPr>
                      <w:rFonts w:hint="eastAsia"/>
                      <w:kern w:val="0"/>
                      <w:szCs w:val="21"/>
                    </w:rPr>
                    <w:t>加油站厂区</w:t>
                  </w:r>
                </w:p>
              </w:tc>
              <w:tc>
                <w:tcPr>
                  <w:tcW w:w="3169" w:type="dxa"/>
                  <w:shd w:val="clear" w:color="auto" w:fill="auto"/>
                  <w:vAlign w:val="center"/>
                </w:tcPr>
                <w:p>
                  <w:pPr>
                    <w:autoSpaceDE w:val="0"/>
                    <w:autoSpaceDN w:val="0"/>
                    <w:snapToGrid w:val="0"/>
                    <w:spacing w:line="360" w:lineRule="auto"/>
                    <w:jc w:val="center"/>
                    <w:rPr>
                      <w:bCs/>
                      <w:szCs w:val="21"/>
                    </w:rPr>
                  </w:pPr>
                  <w:r>
                    <w:rPr>
                      <w:bCs/>
                      <w:szCs w:val="21"/>
                    </w:rPr>
                    <w:t>NMHC</w:t>
                  </w:r>
                </w:p>
              </w:tc>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0</w:t>
                  </w:r>
                  <w:r>
                    <w:rPr>
                      <w:bCs/>
                      <w:szCs w:val="21"/>
                    </w:rPr>
                    <w:t>.289</w:t>
                  </w:r>
                </w:p>
              </w:tc>
              <w:tc>
                <w:tcPr>
                  <w:tcW w:w="3169" w:type="dxa"/>
                  <w:shd w:val="clear" w:color="auto" w:fill="auto"/>
                  <w:vAlign w:val="center"/>
                </w:tcPr>
                <w:p>
                  <w:pPr>
                    <w:autoSpaceDE w:val="0"/>
                    <w:autoSpaceDN w:val="0"/>
                    <w:snapToGrid w:val="0"/>
                    <w:spacing w:line="360" w:lineRule="auto"/>
                    <w:jc w:val="center"/>
                    <w:rPr>
                      <w:bCs/>
                      <w:szCs w:val="21"/>
                    </w:rPr>
                  </w:pPr>
                  <w:r>
                    <w:rPr>
                      <w:rFonts w:hint="eastAsia"/>
                      <w:bCs/>
                      <w:szCs w:val="21"/>
                    </w:rPr>
                    <w:t>5</w:t>
                  </w:r>
                  <w:r>
                    <w:rPr>
                      <w:bCs/>
                      <w:szCs w:val="21"/>
                    </w:rPr>
                    <w:t>0</w:t>
                  </w:r>
                </w:p>
              </w:tc>
            </w:tr>
          </w:tbl>
          <w:p>
            <w:pPr>
              <w:autoSpaceDE w:val="0"/>
              <w:autoSpaceDN w:val="0"/>
              <w:snapToGrid w:val="0"/>
              <w:spacing w:line="360" w:lineRule="auto"/>
              <w:ind w:firstLine="420" w:firstLineChars="200"/>
              <w:rPr>
                <w:bCs/>
                <w:szCs w:val="21"/>
              </w:rPr>
            </w:pPr>
          </w:p>
          <w:p>
            <w:pPr>
              <w:autoSpaceDE w:val="0"/>
              <w:autoSpaceDN w:val="0"/>
              <w:snapToGrid w:val="0"/>
              <w:spacing w:line="360" w:lineRule="auto"/>
              <w:ind w:firstLine="420" w:firstLineChars="200"/>
              <w:rPr>
                <w:bCs/>
                <w:szCs w:val="21"/>
              </w:rPr>
            </w:pPr>
            <w:r>
              <w:rPr>
                <w:rFonts w:hint="eastAsia"/>
                <w:bCs/>
                <w:szCs w:val="21"/>
              </w:rPr>
              <w:t>综上分析，确定本项目卫生防护距离为厂区厂界外5</w:t>
            </w:r>
            <w:r>
              <w:rPr>
                <w:bCs/>
                <w:szCs w:val="21"/>
              </w:rPr>
              <w:t>0m</w:t>
            </w:r>
            <w:r>
              <w:rPr>
                <w:rFonts w:hint="eastAsia"/>
                <w:bCs/>
                <w:szCs w:val="21"/>
              </w:rPr>
              <w:t>。项目5</w:t>
            </w:r>
            <w:r>
              <w:rPr>
                <w:bCs/>
                <w:szCs w:val="21"/>
              </w:rPr>
              <w:t>0m</w:t>
            </w:r>
            <w:r>
              <w:rPr>
                <w:rFonts w:hint="eastAsia"/>
                <w:bCs/>
                <w:szCs w:val="21"/>
              </w:rPr>
              <w:t>范围内无村庄、居民区等敏感点，最近的敏感点为东北侧3</w:t>
            </w:r>
            <w:r>
              <w:rPr>
                <w:bCs/>
                <w:szCs w:val="21"/>
              </w:rPr>
              <w:t>80m</w:t>
            </w:r>
            <w:r>
              <w:rPr>
                <w:rFonts w:hint="eastAsia"/>
                <w:bCs/>
                <w:szCs w:val="21"/>
              </w:rPr>
              <w:t>的碧桂园小区，符合卫生防护距离要求。</w:t>
            </w:r>
          </w:p>
          <w:p>
            <w:pPr>
              <w:autoSpaceDE w:val="0"/>
              <w:autoSpaceDN w:val="0"/>
              <w:snapToGrid w:val="0"/>
              <w:spacing w:line="360" w:lineRule="auto"/>
              <w:ind w:firstLine="480"/>
              <w:rPr>
                <w:b/>
                <w:szCs w:val="21"/>
              </w:rPr>
            </w:pPr>
            <w:r>
              <w:rPr>
                <w:b/>
                <w:szCs w:val="21"/>
              </w:rPr>
              <w:t>1.6、废气监测要求</w:t>
            </w:r>
          </w:p>
          <w:p>
            <w:pPr>
              <w:autoSpaceDE w:val="0"/>
              <w:autoSpaceDN w:val="0"/>
              <w:snapToGrid w:val="0"/>
              <w:spacing w:line="360" w:lineRule="auto"/>
              <w:ind w:firstLine="480"/>
              <w:rPr>
                <w:szCs w:val="21"/>
              </w:rPr>
            </w:pPr>
            <w:r>
              <w:rPr>
                <w:szCs w:val="21"/>
              </w:rPr>
              <w:t>根据《排污许可证申请与核发技术规范 储油库、加油站》（HJ 1118-2020）要求，本项目废气监测计划如下：</w:t>
            </w:r>
          </w:p>
          <w:p>
            <w:pPr>
              <w:autoSpaceDE w:val="0"/>
              <w:autoSpaceDN w:val="0"/>
              <w:adjustRightInd w:val="0"/>
              <w:snapToGrid w:val="0"/>
              <w:spacing w:line="276" w:lineRule="auto"/>
              <w:jc w:val="center"/>
              <w:rPr>
                <w:b/>
                <w:bCs/>
                <w:kern w:val="0"/>
                <w:szCs w:val="21"/>
              </w:rPr>
            </w:pPr>
            <w:r>
              <w:rPr>
                <w:b/>
                <w:bCs/>
                <w:kern w:val="0"/>
                <w:szCs w:val="21"/>
              </w:rPr>
              <w:t>表4-6    油气回收系统监测方案</w:t>
            </w:r>
          </w:p>
          <w:tbl>
            <w:tblPr>
              <w:tblStyle w:val="21"/>
              <w:tblW w:w="126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3127"/>
              <w:gridCol w:w="1753"/>
              <w:gridCol w:w="4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5" w:hRule="atLeast"/>
                <w:jc w:val="center"/>
              </w:trPr>
              <w:tc>
                <w:tcPr>
                  <w:tcW w:w="3126" w:type="dxa"/>
                  <w:shd w:val="clear" w:color="auto" w:fill="auto"/>
                  <w:vAlign w:val="center"/>
                </w:tcPr>
                <w:p>
                  <w:pPr>
                    <w:autoSpaceDE w:val="0"/>
                    <w:autoSpaceDN w:val="0"/>
                    <w:snapToGrid w:val="0"/>
                    <w:jc w:val="center"/>
                    <w:rPr>
                      <w:b/>
                      <w:szCs w:val="21"/>
                    </w:rPr>
                  </w:pPr>
                  <w:r>
                    <w:rPr>
                      <w:b/>
                      <w:szCs w:val="21"/>
                    </w:rPr>
                    <w:t>监测点位</w:t>
                  </w:r>
                </w:p>
              </w:tc>
              <w:tc>
                <w:tcPr>
                  <w:tcW w:w="3127" w:type="dxa"/>
                  <w:shd w:val="clear" w:color="auto" w:fill="auto"/>
                  <w:vAlign w:val="center"/>
                </w:tcPr>
                <w:p>
                  <w:pPr>
                    <w:autoSpaceDE w:val="0"/>
                    <w:autoSpaceDN w:val="0"/>
                    <w:snapToGrid w:val="0"/>
                    <w:jc w:val="center"/>
                    <w:rPr>
                      <w:b/>
                      <w:szCs w:val="21"/>
                    </w:rPr>
                  </w:pPr>
                  <w:r>
                    <w:rPr>
                      <w:b/>
                      <w:szCs w:val="21"/>
                    </w:rPr>
                    <w:t>监测因子</w:t>
                  </w:r>
                </w:p>
              </w:tc>
              <w:tc>
                <w:tcPr>
                  <w:tcW w:w="1753" w:type="dxa"/>
                  <w:shd w:val="clear" w:color="auto" w:fill="auto"/>
                  <w:vAlign w:val="center"/>
                </w:tcPr>
                <w:p>
                  <w:pPr>
                    <w:autoSpaceDE w:val="0"/>
                    <w:autoSpaceDN w:val="0"/>
                    <w:snapToGrid w:val="0"/>
                    <w:jc w:val="center"/>
                    <w:rPr>
                      <w:b/>
                      <w:szCs w:val="21"/>
                    </w:rPr>
                  </w:pPr>
                  <w:r>
                    <w:rPr>
                      <w:b/>
                      <w:szCs w:val="21"/>
                    </w:rPr>
                    <w:t>监测频次</w:t>
                  </w:r>
                </w:p>
              </w:tc>
              <w:tc>
                <w:tcPr>
                  <w:tcW w:w="4654" w:type="dxa"/>
                  <w:shd w:val="clear" w:color="auto" w:fill="auto"/>
                  <w:vAlign w:val="center"/>
                </w:tcPr>
                <w:p>
                  <w:pPr>
                    <w:autoSpaceDE w:val="0"/>
                    <w:autoSpaceDN w:val="0"/>
                    <w:snapToGrid w:val="0"/>
                    <w:jc w:val="center"/>
                    <w:rPr>
                      <w:b/>
                      <w:szCs w:val="21"/>
                    </w:rPr>
                  </w:pPr>
                  <w:r>
                    <w:rPr>
                      <w:b/>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126" w:type="dxa"/>
                  <w:shd w:val="clear" w:color="auto" w:fill="auto"/>
                  <w:vAlign w:val="center"/>
                </w:tcPr>
                <w:p>
                  <w:pPr>
                    <w:autoSpaceDE w:val="0"/>
                    <w:autoSpaceDN w:val="0"/>
                    <w:snapToGrid w:val="0"/>
                    <w:jc w:val="center"/>
                    <w:rPr>
                      <w:szCs w:val="21"/>
                    </w:rPr>
                  </w:pPr>
                  <w:r>
                    <w:rPr>
                      <w:szCs w:val="21"/>
                    </w:rPr>
                    <w:t>油气回收系统</w:t>
                  </w:r>
                </w:p>
              </w:tc>
              <w:tc>
                <w:tcPr>
                  <w:tcW w:w="3127" w:type="dxa"/>
                  <w:shd w:val="clear" w:color="auto" w:fill="auto"/>
                  <w:vAlign w:val="center"/>
                </w:tcPr>
                <w:p>
                  <w:pPr>
                    <w:autoSpaceDE w:val="0"/>
                    <w:autoSpaceDN w:val="0"/>
                    <w:snapToGrid w:val="0"/>
                    <w:jc w:val="center"/>
                    <w:rPr>
                      <w:szCs w:val="21"/>
                    </w:rPr>
                  </w:pPr>
                  <w:r>
                    <w:rPr>
                      <w:szCs w:val="21"/>
                    </w:rPr>
                    <w:t>气液比、液阻、密闭性</w:t>
                  </w:r>
                </w:p>
              </w:tc>
              <w:tc>
                <w:tcPr>
                  <w:tcW w:w="1753" w:type="dxa"/>
                  <w:shd w:val="clear" w:color="auto" w:fill="auto"/>
                  <w:vAlign w:val="center"/>
                </w:tcPr>
                <w:p>
                  <w:pPr>
                    <w:autoSpaceDE w:val="0"/>
                    <w:autoSpaceDN w:val="0"/>
                    <w:snapToGrid w:val="0"/>
                    <w:jc w:val="center"/>
                    <w:rPr>
                      <w:szCs w:val="21"/>
                    </w:rPr>
                  </w:pPr>
                  <w:r>
                    <w:rPr>
                      <w:szCs w:val="21"/>
                    </w:rPr>
                    <w:t>1次/年</w:t>
                  </w:r>
                </w:p>
              </w:tc>
              <w:tc>
                <w:tcPr>
                  <w:tcW w:w="4654" w:type="dxa"/>
                  <w:vMerge w:val="restart"/>
                  <w:shd w:val="clear" w:color="auto" w:fill="auto"/>
                  <w:vAlign w:val="center"/>
                </w:tcPr>
                <w:p>
                  <w:pPr>
                    <w:autoSpaceDE w:val="0"/>
                    <w:autoSpaceDN w:val="0"/>
                    <w:snapToGrid w:val="0"/>
                    <w:jc w:val="center"/>
                    <w:rPr>
                      <w:szCs w:val="21"/>
                    </w:rPr>
                  </w:pPr>
                  <w:r>
                    <w:rPr>
                      <w:szCs w:val="21"/>
                    </w:rPr>
                    <w:t>《加油站大气污染物排放标准》（GB20952-2020）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126" w:type="dxa"/>
                  <w:shd w:val="clear" w:color="auto" w:fill="auto"/>
                  <w:vAlign w:val="center"/>
                </w:tcPr>
                <w:p>
                  <w:pPr>
                    <w:autoSpaceDE w:val="0"/>
                    <w:autoSpaceDN w:val="0"/>
                    <w:snapToGrid w:val="0"/>
                    <w:jc w:val="center"/>
                    <w:rPr>
                      <w:szCs w:val="21"/>
                    </w:rPr>
                  </w:pPr>
                  <w:r>
                    <w:rPr>
                      <w:szCs w:val="21"/>
                    </w:rPr>
                    <w:t>油气处理装置排气口</w:t>
                  </w:r>
                </w:p>
              </w:tc>
              <w:tc>
                <w:tcPr>
                  <w:tcW w:w="3127" w:type="dxa"/>
                  <w:shd w:val="clear" w:color="auto" w:fill="auto"/>
                  <w:vAlign w:val="center"/>
                </w:tcPr>
                <w:p>
                  <w:pPr>
                    <w:autoSpaceDE w:val="0"/>
                    <w:autoSpaceDN w:val="0"/>
                    <w:snapToGrid w:val="0"/>
                    <w:jc w:val="center"/>
                    <w:rPr>
                      <w:szCs w:val="21"/>
                    </w:rPr>
                  </w:pPr>
                  <w:r>
                    <w:rPr>
                      <w:szCs w:val="21"/>
                    </w:rPr>
                    <w:t>油气</w:t>
                  </w:r>
                </w:p>
              </w:tc>
              <w:tc>
                <w:tcPr>
                  <w:tcW w:w="1753" w:type="dxa"/>
                  <w:shd w:val="clear" w:color="auto" w:fill="auto"/>
                  <w:vAlign w:val="center"/>
                </w:tcPr>
                <w:p>
                  <w:pPr>
                    <w:autoSpaceDE w:val="0"/>
                    <w:autoSpaceDN w:val="0"/>
                    <w:snapToGrid w:val="0"/>
                    <w:jc w:val="center"/>
                    <w:rPr>
                      <w:szCs w:val="21"/>
                    </w:rPr>
                  </w:pPr>
                  <w:r>
                    <w:rPr>
                      <w:szCs w:val="21"/>
                    </w:rPr>
                    <w:t>1次/年</w:t>
                  </w:r>
                </w:p>
              </w:tc>
              <w:tc>
                <w:tcPr>
                  <w:tcW w:w="4654" w:type="dxa"/>
                  <w:vMerge w:val="continue"/>
                  <w:shd w:val="clear" w:color="auto" w:fill="auto"/>
                  <w:vAlign w:val="center"/>
                </w:tcPr>
                <w:p>
                  <w:pPr>
                    <w:autoSpaceDE w:val="0"/>
                    <w:autoSpaceDN w:val="0"/>
                    <w:snapToGrid w:val="0"/>
                    <w:jc w:val="center"/>
                    <w:rPr>
                      <w:szCs w:val="21"/>
                    </w:rPr>
                  </w:pPr>
                </w:p>
              </w:tc>
            </w:tr>
          </w:tbl>
          <w:p>
            <w:pPr>
              <w:autoSpaceDE w:val="0"/>
              <w:autoSpaceDN w:val="0"/>
              <w:adjustRightInd w:val="0"/>
              <w:snapToGrid w:val="0"/>
              <w:jc w:val="center"/>
              <w:rPr>
                <w:b/>
                <w:bCs/>
                <w:kern w:val="0"/>
                <w:szCs w:val="21"/>
              </w:rPr>
            </w:pPr>
          </w:p>
          <w:p>
            <w:pPr>
              <w:autoSpaceDE w:val="0"/>
              <w:autoSpaceDN w:val="0"/>
              <w:adjustRightInd w:val="0"/>
              <w:snapToGrid w:val="0"/>
              <w:spacing w:line="276" w:lineRule="auto"/>
              <w:jc w:val="center"/>
              <w:rPr>
                <w:b/>
                <w:bCs/>
                <w:kern w:val="0"/>
                <w:szCs w:val="21"/>
              </w:rPr>
            </w:pPr>
            <w:r>
              <w:rPr>
                <w:b/>
                <w:bCs/>
                <w:kern w:val="0"/>
                <w:szCs w:val="21"/>
              </w:rPr>
              <w:t>表4-7    无组织废气监测方案</w:t>
            </w:r>
          </w:p>
          <w:tbl>
            <w:tblPr>
              <w:tblStyle w:val="21"/>
              <w:tblW w:w="126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525"/>
              <w:gridCol w:w="1559"/>
              <w:gridCol w:w="6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157" w:type="dxa"/>
                  <w:shd w:val="clear" w:color="auto" w:fill="auto"/>
                  <w:vAlign w:val="center"/>
                </w:tcPr>
                <w:p>
                  <w:pPr>
                    <w:autoSpaceDE w:val="0"/>
                    <w:autoSpaceDN w:val="0"/>
                    <w:snapToGrid w:val="0"/>
                    <w:jc w:val="center"/>
                    <w:rPr>
                      <w:b/>
                      <w:szCs w:val="21"/>
                    </w:rPr>
                  </w:pPr>
                  <w:r>
                    <w:rPr>
                      <w:b/>
                      <w:szCs w:val="21"/>
                    </w:rPr>
                    <w:t>监测点位</w:t>
                  </w:r>
                </w:p>
              </w:tc>
              <w:tc>
                <w:tcPr>
                  <w:tcW w:w="1525" w:type="dxa"/>
                  <w:shd w:val="clear" w:color="auto" w:fill="auto"/>
                  <w:vAlign w:val="center"/>
                </w:tcPr>
                <w:p>
                  <w:pPr>
                    <w:autoSpaceDE w:val="0"/>
                    <w:autoSpaceDN w:val="0"/>
                    <w:snapToGrid w:val="0"/>
                    <w:jc w:val="center"/>
                    <w:rPr>
                      <w:b/>
                      <w:szCs w:val="21"/>
                    </w:rPr>
                  </w:pPr>
                  <w:r>
                    <w:rPr>
                      <w:b/>
                      <w:szCs w:val="21"/>
                    </w:rPr>
                    <w:t>监测因子</w:t>
                  </w:r>
                </w:p>
              </w:tc>
              <w:tc>
                <w:tcPr>
                  <w:tcW w:w="1559" w:type="dxa"/>
                  <w:shd w:val="clear" w:color="auto" w:fill="auto"/>
                  <w:vAlign w:val="center"/>
                </w:tcPr>
                <w:p>
                  <w:pPr>
                    <w:autoSpaceDE w:val="0"/>
                    <w:autoSpaceDN w:val="0"/>
                    <w:snapToGrid w:val="0"/>
                    <w:jc w:val="center"/>
                    <w:rPr>
                      <w:b/>
                      <w:szCs w:val="21"/>
                    </w:rPr>
                  </w:pPr>
                  <w:r>
                    <w:rPr>
                      <w:b/>
                      <w:szCs w:val="21"/>
                    </w:rPr>
                    <w:t>监测频次</w:t>
                  </w:r>
                </w:p>
              </w:tc>
              <w:tc>
                <w:tcPr>
                  <w:tcW w:w="6391" w:type="dxa"/>
                  <w:shd w:val="clear" w:color="auto" w:fill="auto"/>
                  <w:vAlign w:val="center"/>
                </w:tcPr>
                <w:p>
                  <w:pPr>
                    <w:autoSpaceDE w:val="0"/>
                    <w:autoSpaceDN w:val="0"/>
                    <w:snapToGrid w:val="0"/>
                    <w:jc w:val="center"/>
                    <w:rPr>
                      <w:b/>
                      <w:szCs w:val="21"/>
                    </w:rPr>
                  </w:pPr>
                  <w:r>
                    <w:rPr>
                      <w:b/>
                      <w:szCs w:val="21"/>
                    </w:rPr>
                    <w:t>排放执行标准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157" w:type="dxa"/>
                  <w:shd w:val="clear" w:color="auto" w:fill="auto"/>
                  <w:vAlign w:val="center"/>
                </w:tcPr>
                <w:p>
                  <w:pPr>
                    <w:autoSpaceDE w:val="0"/>
                    <w:autoSpaceDN w:val="0"/>
                    <w:snapToGrid w:val="0"/>
                    <w:jc w:val="center"/>
                    <w:rPr>
                      <w:szCs w:val="21"/>
                    </w:rPr>
                  </w:pPr>
                  <w:r>
                    <w:rPr>
                      <w:szCs w:val="21"/>
                    </w:rPr>
                    <w:t>站界上风向1个点位及下风向</w:t>
                  </w:r>
                </w:p>
                <w:p>
                  <w:pPr>
                    <w:autoSpaceDE w:val="0"/>
                    <w:autoSpaceDN w:val="0"/>
                    <w:snapToGrid w:val="0"/>
                    <w:jc w:val="center"/>
                    <w:rPr>
                      <w:szCs w:val="21"/>
                    </w:rPr>
                  </w:pPr>
                  <w:r>
                    <w:rPr>
                      <w:szCs w:val="21"/>
                    </w:rPr>
                    <w:t>3个点位</w:t>
                  </w:r>
                </w:p>
              </w:tc>
              <w:tc>
                <w:tcPr>
                  <w:tcW w:w="1525" w:type="dxa"/>
                  <w:vMerge w:val="restart"/>
                  <w:shd w:val="clear" w:color="auto" w:fill="auto"/>
                  <w:vAlign w:val="center"/>
                </w:tcPr>
                <w:p>
                  <w:pPr>
                    <w:autoSpaceDE w:val="0"/>
                    <w:autoSpaceDN w:val="0"/>
                    <w:snapToGrid w:val="0"/>
                    <w:jc w:val="center"/>
                    <w:rPr>
                      <w:szCs w:val="21"/>
                    </w:rPr>
                  </w:pPr>
                  <w:r>
                    <w:rPr>
                      <w:szCs w:val="21"/>
                    </w:rPr>
                    <w:t>非甲烷总烃</w:t>
                  </w:r>
                </w:p>
              </w:tc>
              <w:tc>
                <w:tcPr>
                  <w:tcW w:w="1559" w:type="dxa"/>
                  <w:vMerge w:val="restart"/>
                  <w:shd w:val="clear" w:color="auto" w:fill="auto"/>
                  <w:vAlign w:val="center"/>
                </w:tcPr>
                <w:p>
                  <w:pPr>
                    <w:autoSpaceDE w:val="0"/>
                    <w:autoSpaceDN w:val="0"/>
                    <w:snapToGrid w:val="0"/>
                    <w:jc w:val="center"/>
                    <w:rPr>
                      <w:szCs w:val="21"/>
                    </w:rPr>
                  </w:pPr>
                  <w:r>
                    <w:rPr>
                      <w:szCs w:val="21"/>
                    </w:rPr>
                    <w:t>1次/年</w:t>
                  </w:r>
                </w:p>
              </w:tc>
              <w:tc>
                <w:tcPr>
                  <w:tcW w:w="6391" w:type="dxa"/>
                  <w:shd w:val="clear" w:color="auto" w:fill="auto"/>
                  <w:vAlign w:val="center"/>
                </w:tcPr>
                <w:p>
                  <w:pPr>
                    <w:autoSpaceDE w:val="0"/>
                    <w:autoSpaceDN w:val="0"/>
                    <w:snapToGrid w:val="0"/>
                    <w:jc w:val="center"/>
                    <w:rPr>
                      <w:szCs w:val="21"/>
                    </w:rPr>
                  </w:pPr>
                  <w:r>
                    <w:rPr>
                      <w:szCs w:val="21"/>
                    </w:rPr>
                    <w:t>《加油站大气污染物排放标准》（GB20952-2020）表3油气浓度无组织排放限值要求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157" w:type="dxa"/>
                  <w:shd w:val="clear" w:color="auto" w:fill="auto"/>
                  <w:vAlign w:val="center"/>
                </w:tcPr>
                <w:p>
                  <w:pPr>
                    <w:autoSpaceDE w:val="0"/>
                    <w:autoSpaceDN w:val="0"/>
                    <w:snapToGrid w:val="0"/>
                    <w:jc w:val="center"/>
                    <w:rPr>
                      <w:szCs w:val="21"/>
                    </w:rPr>
                  </w:pPr>
                  <w:r>
                    <w:rPr>
                      <w:szCs w:val="21"/>
                    </w:rPr>
                    <w:t>站界内</w:t>
                  </w:r>
                </w:p>
              </w:tc>
              <w:tc>
                <w:tcPr>
                  <w:tcW w:w="1525" w:type="dxa"/>
                  <w:vMerge w:val="continue"/>
                  <w:shd w:val="clear" w:color="auto" w:fill="auto"/>
                  <w:vAlign w:val="center"/>
                </w:tcPr>
                <w:p>
                  <w:pPr>
                    <w:autoSpaceDE w:val="0"/>
                    <w:autoSpaceDN w:val="0"/>
                    <w:snapToGrid w:val="0"/>
                    <w:jc w:val="center"/>
                    <w:rPr>
                      <w:szCs w:val="21"/>
                    </w:rPr>
                  </w:pPr>
                </w:p>
              </w:tc>
              <w:tc>
                <w:tcPr>
                  <w:tcW w:w="1559" w:type="dxa"/>
                  <w:vMerge w:val="continue"/>
                  <w:shd w:val="clear" w:color="auto" w:fill="auto"/>
                  <w:vAlign w:val="center"/>
                </w:tcPr>
                <w:p>
                  <w:pPr>
                    <w:autoSpaceDE w:val="0"/>
                    <w:autoSpaceDN w:val="0"/>
                    <w:snapToGrid w:val="0"/>
                    <w:jc w:val="center"/>
                    <w:rPr>
                      <w:szCs w:val="21"/>
                    </w:rPr>
                  </w:pPr>
                </w:p>
              </w:tc>
              <w:tc>
                <w:tcPr>
                  <w:tcW w:w="6391" w:type="dxa"/>
                  <w:shd w:val="clear" w:color="auto" w:fill="auto"/>
                  <w:vAlign w:val="center"/>
                </w:tcPr>
                <w:p>
                  <w:pPr>
                    <w:autoSpaceDE w:val="0"/>
                    <w:autoSpaceDN w:val="0"/>
                    <w:snapToGrid w:val="0"/>
                    <w:jc w:val="center"/>
                    <w:rPr>
                      <w:szCs w:val="21"/>
                    </w:rPr>
                  </w:pPr>
                  <w:r>
                    <w:rPr>
                      <w:szCs w:val="21"/>
                    </w:rPr>
                    <w:t>《挥发性有机物无组织排放控制标准》（GB37822-2019）中限值要求</w:t>
                  </w:r>
                </w:p>
              </w:tc>
            </w:tr>
          </w:tbl>
          <w:p>
            <w:pPr>
              <w:autoSpaceDE w:val="0"/>
              <w:autoSpaceDN w:val="0"/>
              <w:snapToGrid w:val="0"/>
              <w:rPr>
                <w:szCs w:val="21"/>
              </w:rPr>
            </w:pPr>
          </w:p>
          <w:p>
            <w:pPr>
              <w:autoSpaceDE w:val="0"/>
              <w:autoSpaceDN w:val="0"/>
              <w:snapToGrid w:val="0"/>
              <w:spacing w:line="360" w:lineRule="auto"/>
              <w:ind w:firstLine="480"/>
              <w:rPr>
                <w:b/>
                <w:szCs w:val="21"/>
              </w:rPr>
            </w:pPr>
            <w:r>
              <w:rPr>
                <w:b/>
                <w:szCs w:val="21"/>
              </w:rPr>
              <w:t>2、废水</w:t>
            </w:r>
          </w:p>
          <w:p>
            <w:pPr>
              <w:pStyle w:val="50"/>
              <w:ind w:firstLine="420"/>
              <w:rPr>
                <w:rFonts w:ascii="Times New Roman" w:hAnsi="Times New Roman" w:cs="Times New Roman"/>
                <w:color w:val="auto"/>
                <w:sz w:val="21"/>
                <w:szCs w:val="21"/>
              </w:rPr>
            </w:pPr>
            <w:r>
              <w:rPr>
                <w:rFonts w:ascii="Times New Roman" w:hAnsi="Times New Roman" w:cs="Times New Roman"/>
                <w:color w:val="auto"/>
                <w:sz w:val="21"/>
                <w:szCs w:val="21"/>
              </w:rPr>
              <w:t>本项目营运期污水主要为员工、来往车辆生活污水和地面冲洗废水等。</w:t>
            </w:r>
          </w:p>
          <w:p>
            <w:pPr>
              <w:pStyle w:val="7"/>
              <w:spacing w:before="0" w:after="0" w:line="360" w:lineRule="auto"/>
              <w:ind w:firstLine="482"/>
              <w:rPr>
                <w:b/>
                <w:sz w:val="21"/>
                <w:szCs w:val="21"/>
              </w:rPr>
            </w:pPr>
            <w:r>
              <w:rPr>
                <w:b/>
                <w:sz w:val="21"/>
                <w:szCs w:val="21"/>
              </w:rPr>
              <w:t>2.1、源强及达标排放情况</w:t>
            </w:r>
          </w:p>
          <w:p>
            <w:pPr>
              <w:pStyle w:val="7"/>
              <w:spacing w:before="0" w:after="0" w:line="360" w:lineRule="auto"/>
              <w:ind w:firstLine="482"/>
              <w:rPr>
                <w:kern w:val="2"/>
                <w:sz w:val="21"/>
                <w:szCs w:val="21"/>
              </w:rPr>
            </w:pPr>
            <w:r>
              <w:rPr>
                <w:sz w:val="21"/>
                <w:szCs w:val="21"/>
              </w:rPr>
              <w:t>（1）</w:t>
            </w:r>
            <w:r>
              <w:rPr>
                <w:kern w:val="2"/>
                <w:sz w:val="21"/>
                <w:szCs w:val="21"/>
              </w:rPr>
              <w:t>生活污水</w:t>
            </w:r>
          </w:p>
          <w:p>
            <w:pPr>
              <w:pStyle w:val="7"/>
              <w:spacing w:before="0" w:after="0" w:line="360" w:lineRule="auto"/>
              <w:ind w:firstLine="482"/>
              <w:rPr>
                <w:sz w:val="21"/>
                <w:szCs w:val="21"/>
              </w:rPr>
            </w:pPr>
            <w:r>
              <w:rPr>
                <w:kern w:val="2"/>
                <w:sz w:val="21"/>
                <w:szCs w:val="21"/>
              </w:rPr>
              <w:t>根据工程分析，项目</w:t>
            </w:r>
            <w:r>
              <w:rPr>
                <w:sz w:val="21"/>
                <w:szCs w:val="21"/>
              </w:rPr>
              <w:t>日生活用水量为3.1t，日生活污水排放量为2.48t（</w:t>
            </w:r>
            <w:r>
              <w:rPr>
                <w:sz w:val="21"/>
                <w:szCs w:val="22"/>
              </w:rPr>
              <w:t>年用水量约1131.5t，年排放量约905.2t</w:t>
            </w:r>
            <w:r>
              <w:rPr>
                <w:sz w:val="21"/>
                <w:szCs w:val="21"/>
              </w:rPr>
              <w:t>）。主要污染指标为CODcr、BOD</w:t>
            </w:r>
            <w:r>
              <w:rPr>
                <w:sz w:val="21"/>
                <w:szCs w:val="21"/>
                <w:vertAlign w:val="subscript"/>
              </w:rPr>
              <w:t>5</w:t>
            </w:r>
            <w:r>
              <w:rPr>
                <w:sz w:val="21"/>
                <w:szCs w:val="21"/>
              </w:rPr>
              <w:t>、SS 和氨氮，其浓度分别为250mg/L、120mg/L、200mg/L和20mg/L。</w:t>
            </w:r>
          </w:p>
          <w:p>
            <w:pPr>
              <w:spacing w:line="360" w:lineRule="auto"/>
              <w:ind w:firstLine="420" w:firstLineChars="200"/>
              <w:rPr>
                <w:szCs w:val="21"/>
              </w:rPr>
            </w:pPr>
            <w:r>
              <w:rPr>
                <w:szCs w:val="21"/>
              </w:rPr>
              <w:t>（2）地面冲洗废水</w:t>
            </w:r>
          </w:p>
          <w:p>
            <w:pPr>
              <w:pStyle w:val="7"/>
              <w:spacing w:before="0" w:after="0" w:line="360" w:lineRule="auto"/>
              <w:ind w:firstLine="482"/>
              <w:rPr>
                <w:sz w:val="21"/>
                <w:szCs w:val="21"/>
              </w:rPr>
            </w:pPr>
            <w:r>
              <w:rPr>
                <w:sz w:val="21"/>
                <w:szCs w:val="21"/>
              </w:rPr>
              <w:t>根据工程分析，项目地面冲洗废水排放量为2.4t/次（年排放量为127.2t/a，平均0.35t/d）。据类比《厦门新油源石油有限公司南昌昌西加油站（蛟桥镇卫国村村产业发展用地）环境影响评价报告表》，废水中主要污染物为CODcr、SS 和石油类，其浓度分别为100mg/L、500mg/L和100mg/L。</w:t>
            </w:r>
          </w:p>
          <w:p>
            <w:pPr>
              <w:pStyle w:val="50"/>
              <w:ind w:firstLine="420"/>
              <w:rPr>
                <w:rFonts w:ascii="Times New Roman" w:hAnsi="Times New Roman" w:cs="Times New Roman"/>
                <w:color w:val="auto"/>
                <w:kern w:val="0"/>
                <w:sz w:val="21"/>
                <w:szCs w:val="21"/>
              </w:rPr>
            </w:pPr>
            <w:r>
              <w:rPr>
                <w:rFonts w:ascii="Times New Roman" w:hAnsi="Times New Roman" w:cs="Times New Roman"/>
                <w:color w:val="auto"/>
                <w:sz w:val="21"/>
              </w:rPr>
              <w:t>项目用排水情况及水平衡图见表2-7和图2-1。</w:t>
            </w:r>
            <w:r>
              <w:rPr>
                <w:rFonts w:ascii="Times New Roman" w:hAnsi="Times New Roman" w:cs="Times New Roman"/>
                <w:color w:val="auto"/>
                <w:kern w:val="0"/>
                <w:sz w:val="21"/>
                <w:szCs w:val="21"/>
              </w:rPr>
              <w:t>项目生活污水经化粪池处理，地面冲洗废水经隔油沉淀池处理后排入市政管网，然后进入</w:t>
            </w:r>
            <w:r>
              <w:rPr>
                <w:rFonts w:ascii="Times New Roman" w:hAnsi="Times New Roman" w:cs="Times New Roman"/>
                <w:color w:val="auto"/>
                <w:kern w:val="2"/>
                <w:sz w:val="21"/>
                <w:szCs w:val="21"/>
              </w:rPr>
              <w:t>宁都县污水处理厂</w:t>
            </w:r>
            <w:r>
              <w:rPr>
                <w:rFonts w:ascii="Times New Roman" w:hAnsi="Times New Roman" w:cs="Times New Roman"/>
                <w:color w:val="auto"/>
                <w:kern w:val="0"/>
                <w:sz w:val="21"/>
                <w:szCs w:val="21"/>
              </w:rPr>
              <w:t>进一步处理，废水排放执行</w:t>
            </w:r>
            <w:r>
              <w:rPr>
                <w:rFonts w:ascii="Times New Roman" w:hAnsi="Times New Roman" w:cs="Times New Roman"/>
                <w:color w:val="auto"/>
                <w:kern w:val="2"/>
                <w:sz w:val="21"/>
                <w:szCs w:val="21"/>
              </w:rPr>
              <w:t>宁都县污水处理厂</w:t>
            </w:r>
            <w:r>
              <w:rPr>
                <w:rFonts w:ascii="Times New Roman" w:hAnsi="Times New Roman" w:cs="Times New Roman"/>
                <w:color w:val="auto"/>
                <w:kern w:val="0"/>
                <w:sz w:val="21"/>
                <w:szCs w:val="21"/>
              </w:rPr>
              <w:t>接管标准，</w:t>
            </w:r>
            <w:r>
              <w:rPr>
                <w:rFonts w:ascii="Times New Roman" w:hAnsi="Times New Roman" w:cs="Times New Roman"/>
                <w:color w:val="auto"/>
                <w:kern w:val="2"/>
                <w:sz w:val="21"/>
                <w:szCs w:val="21"/>
              </w:rPr>
              <w:t>宁都县污水处理厂</w:t>
            </w:r>
            <w:r>
              <w:rPr>
                <w:rFonts w:ascii="Times New Roman" w:hAnsi="Times New Roman" w:cs="Times New Roman"/>
                <w:color w:val="auto"/>
                <w:kern w:val="0"/>
                <w:sz w:val="21"/>
                <w:szCs w:val="21"/>
              </w:rPr>
              <w:t>尾水排放执行</w:t>
            </w:r>
            <w:r>
              <w:rPr>
                <w:rFonts w:ascii="Times New Roman" w:hAnsi="Times New Roman" w:cs="Times New Roman"/>
                <w:color w:val="auto"/>
                <w:kern w:val="2"/>
                <w:sz w:val="21"/>
                <w:szCs w:val="21"/>
              </w:rPr>
              <w:t>《城镇污水处理厂污染物排放标准》（GB18918-2002）一级A标准后排入梅江河。</w:t>
            </w:r>
            <w:r>
              <w:rPr>
                <w:rFonts w:ascii="Times New Roman" w:hAnsi="Times New Roman" w:cs="Times New Roman"/>
                <w:color w:val="auto"/>
                <w:kern w:val="0"/>
                <w:sz w:val="21"/>
                <w:szCs w:val="21"/>
              </w:rPr>
              <w:t>项目废水污染物产生与排放情况见表4-8。</w:t>
            </w:r>
          </w:p>
          <w:p>
            <w:pPr>
              <w:spacing w:line="276" w:lineRule="auto"/>
              <w:jc w:val="center"/>
              <w:rPr>
                <w:b/>
                <w:kern w:val="0"/>
                <w:szCs w:val="21"/>
              </w:rPr>
            </w:pPr>
            <w:r>
              <w:rPr>
                <w:b/>
                <w:szCs w:val="21"/>
              </w:rPr>
              <w:t>表4-8  项目废水污染物产生与排放情况</w:t>
            </w:r>
            <w:r>
              <w:rPr>
                <w:b/>
                <w:kern w:val="0"/>
                <w:szCs w:val="21"/>
              </w:rPr>
              <w:t>一览表</w:t>
            </w:r>
          </w:p>
          <w:tbl>
            <w:tblPr>
              <w:tblStyle w:val="21"/>
              <w:tblW w:w="1267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527"/>
              <w:gridCol w:w="453"/>
              <w:gridCol w:w="695"/>
              <w:gridCol w:w="555"/>
              <w:gridCol w:w="664"/>
              <w:gridCol w:w="660"/>
              <w:gridCol w:w="464"/>
              <w:gridCol w:w="540"/>
              <w:gridCol w:w="580"/>
              <w:gridCol w:w="507"/>
              <w:gridCol w:w="583"/>
              <w:gridCol w:w="666"/>
              <w:gridCol w:w="638"/>
              <w:gridCol w:w="482"/>
              <w:gridCol w:w="674"/>
              <w:gridCol w:w="671"/>
              <w:gridCol w:w="880"/>
              <w:gridCol w:w="416"/>
              <w:gridCol w:w="1438"/>
              <w:gridCol w:w="58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restart"/>
                  <w:vAlign w:val="center"/>
                </w:tcPr>
                <w:p>
                  <w:pPr>
                    <w:adjustRightInd w:val="0"/>
                    <w:snapToGrid w:val="0"/>
                    <w:spacing w:line="240" w:lineRule="atLeast"/>
                    <w:jc w:val="center"/>
                    <w:rPr>
                      <w:b/>
                      <w:bCs/>
                      <w:szCs w:val="21"/>
                    </w:rPr>
                  </w:pPr>
                  <w:r>
                    <w:rPr>
                      <w:b/>
                      <w:bCs/>
                      <w:szCs w:val="21"/>
                    </w:rPr>
                    <w:t>产排污环节</w:t>
                  </w:r>
                </w:p>
              </w:tc>
              <w:tc>
                <w:tcPr>
                  <w:tcW w:w="491" w:type="dxa"/>
                  <w:vMerge w:val="restart"/>
                  <w:vAlign w:val="center"/>
                </w:tcPr>
                <w:p>
                  <w:pPr>
                    <w:adjustRightInd w:val="0"/>
                    <w:snapToGrid w:val="0"/>
                    <w:spacing w:line="240" w:lineRule="atLeast"/>
                    <w:jc w:val="center"/>
                    <w:rPr>
                      <w:b/>
                      <w:bCs/>
                      <w:szCs w:val="21"/>
                    </w:rPr>
                  </w:pPr>
                  <w:r>
                    <w:rPr>
                      <w:b/>
                      <w:bCs/>
                      <w:szCs w:val="21"/>
                    </w:rPr>
                    <w:t>类别</w:t>
                  </w:r>
                </w:p>
              </w:tc>
              <w:tc>
                <w:tcPr>
                  <w:tcW w:w="709" w:type="dxa"/>
                  <w:vMerge w:val="restart"/>
                  <w:vAlign w:val="center"/>
                </w:tcPr>
                <w:p>
                  <w:pPr>
                    <w:adjustRightInd w:val="0"/>
                    <w:snapToGrid w:val="0"/>
                    <w:spacing w:line="240" w:lineRule="atLeast"/>
                    <w:jc w:val="center"/>
                    <w:rPr>
                      <w:b/>
                      <w:bCs/>
                      <w:szCs w:val="21"/>
                    </w:rPr>
                  </w:pPr>
                  <w:r>
                    <w:rPr>
                      <w:b/>
                      <w:bCs/>
                      <w:szCs w:val="21"/>
                    </w:rPr>
                    <w:t>污染物</w:t>
                  </w:r>
                </w:p>
                <w:p>
                  <w:pPr>
                    <w:adjustRightInd w:val="0"/>
                    <w:snapToGrid w:val="0"/>
                    <w:spacing w:line="240" w:lineRule="atLeast"/>
                    <w:jc w:val="center"/>
                    <w:rPr>
                      <w:b/>
                      <w:bCs/>
                      <w:szCs w:val="21"/>
                    </w:rPr>
                  </w:pPr>
                  <w:r>
                    <w:rPr>
                      <w:b/>
                      <w:bCs/>
                      <w:szCs w:val="21"/>
                    </w:rPr>
                    <w:t>种类</w:t>
                  </w:r>
                </w:p>
              </w:tc>
              <w:tc>
                <w:tcPr>
                  <w:tcW w:w="1964" w:type="dxa"/>
                  <w:gridSpan w:val="3"/>
                  <w:vAlign w:val="center"/>
                </w:tcPr>
                <w:p>
                  <w:pPr>
                    <w:adjustRightInd w:val="0"/>
                    <w:snapToGrid w:val="0"/>
                    <w:spacing w:line="240" w:lineRule="atLeast"/>
                    <w:jc w:val="center"/>
                    <w:rPr>
                      <w:b/>
                      <w:bCs/>
                      <w:szCs w:val="21"/>
                    </w:rPr>
                  </w:pPr>
                  <w:r>
                    <w:rPr>
                      <w:b/>
                      <w:bCs/>
                      <w:szCs w:val="21"/>
                    </w:rPr>
                    <w:t>污染物产生量和浓度</w:t>
                  </w:r>
                </w:p>
              </w:tc>
              <w:tc>
                <w:tcPr>
                  <w:tcW w:w="2255" w:type="dxa"/>
                  <w:gridSpan w:val="4"/>
                  <w:vAlign w:val="center"/>
                </w:tcPr>
                <w:p>
                  <w:pPr>
                    <w:adjustRightInd w:val="0"/>
                    <w:snapToGrid w:val="0"/>
                    <w:spacing w:line="240" w:lineRule="atLeast"/>
                    <w:jc w:val="center"/>
                    <w:rPr>
                      <w:b/>
                      <w:bCs/>
                      <w:szCs w:val="21"/>
                    </w:rPr>
                  </w:pPr>
                  <w:r>
                    <w:rPr>
                      <w:b/>
                      <w:bCs/>
                      <w:szCs w:val="21"/>
                    </w:rPr>
                    <w:t>污染治理设施</w:t>
                  </w:r>
                </w:p>
              </w:tc>
              <w:tc>
                <w:tcPr>
                  <w:tcW w:w="1956" w:type="dxa"/>
                  <w:gridSpan w:val="3"/>
                  <w:vAlign w:val="center"/>
                </w:tcPr>
                <w:p>
                  <w:pPr>
                    <w:adjustRightInd w:val="0"/>
                    <w:snapToGrid w:val="0"/>
                    <w:spacing w:line="240" w:lineRule="atLeast"/>
                    <w:jc w:val="center"/>
                    <w:rPr>
                      <w:b/>
                      <w:bCs/>
                      <w:szCs w:val="21"/>
                    </w:rPr>
                  </w:pPr>
                  <w:r>
                    <w:rPr>
                      <w:b/>
                      <w:bCs/>
                      <w:szCs w:val="21"/>
                    </w:rPr>
                    <w:t>污染物排放量和浓度</w:t>
                  </w:r>
                </w:p>
              </w:tc>
              <w:tc>
                <w:tcPr>
                  <w:tcW w:w="4115" w:type="dxa"/>
                  <w:gridSpan w:val="6"/>
                  <w:vAlign w:val="center"/>
                </w:tcPr>
                <w:p>
                  <w:pPr>
                    <w:adjustRightInd w:val="0"/>
                    <w:snapToGrid w:val="0"/>
                    <w:spacing w:line="240" w:lineRule="atLeast"/>
                    <w:jc w:val="center"/>
                    <w:rPr>
                      <w:b/>
                      <w:bCs/>
                      <w:szCs w:val="21"/>
                    </w:rPr>
                  </w:pPr>
                  <w:r>
                    <w:rPr>
                      <w:b/>
                      <w:bCs/>
                      <w:szCs w:val="21"/>
                    </w:rPr>
                    <w:t>排放口基本情况</w:t>
                  </w:r>
                </w:p>
              </w:tc>
              <w:tc>
                <w:tcPr>
                  <w:tcW w:w="610" w:type="dxa"/>
                  <w:vAlign w:val="center"/>
                </w:tcPr>
                <w:p>
                  <w:pPr>
                    <w:adjustRightInd w:val="0"/>
                    <w:snapToGrid w:val="0"/>
                    <w:spacing w:line="240" w:lineRule="atLeast"/>
                    <w:jc w:val="center"/>
                    <w:rPr>
                      <w:b/>
                      <w:bCs/>
                      <w:szCs w:val="21"/>
                    </w:rPr>
                  </w:pPr>
                  <w:r>
                    <w:rPr>
                      <w:b/>
                      <w:bCs/>
                      <w:szCs w:val="21"/>
                    </w:rPr>
                    <w:t>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
                      <w:bCs/>
                      <w:szCs w:val="21"/>
                    </w:rPr>
                  </w:pPr>
                </w:p>
              </w:tc>
              <w:tc>
                <w:tcPr>
                  <w:tcW w:w="491" w:type="dxa"/>
                  <w:vMerge w:val="continue"/>
                  <w:vAlign w:val="center"/>
                </w:tcPr>
                <w:p>
                  <w:pPr>
                    <w:adjustRightInd w:val="0"/>
                    <w:snapToGrid w:val="0"/>
                    <w:spacing w:line="240" w:lineRule="atLeast"/>
                    <w:jc w:val="center"/>
                    <w:rPr>
                      <w:b/>
                      <w:bCs/>
                      <w:szCs w:val="21"/>
                    </w:rPr>
                  </w:pPr>
                </w:p>
              </w:tc>
              <w:tc>
                <w:tcPr>
                  <w:tcW w:w="709" w:type="dxa"/>
                  <w:vMerge w:val="continue"/>
                  <w:vAlign w:val="center"/>
                </w:tcPr>
                <w:p>
                  <w:pPr>
                    <w:adjustRightInd w:val="0"/>
                    <w:snapToGrid w:val="0"/>
                    <w:spacing w:line="240" w:lineRule="atLeast"/>
                    <w:jc w:val="center"/>
                    <w:rPr>
                      <w:b/>
                      <w:bCs/>
                      <w:szCs w:val="21"/>
                    </w:rPr>
                  </w:pPr>
                </w:p>
              </w:tc>
              <w:tc>
                <w:tcPr>
                  <w:tcW w:w="567" w:type="dxa"/>
                  <w:vAlign w:val="center"/>
                </w:tcPr>
                <w:p>
                  <w:pPr>
                    <w:adjustRightInd w:val="0"/>
                    <w:snapToGrid w:val="0"/>
                    <w:spacing w:line="240" w:lineRule="atLeast"/>
                    <w:jc w:val="center"/>
                    <w:rPr>
                      <w:b/>
                      <w:bCs/>
                      <w:szCs w:val="21"/>
                    </w:rPr>
                  </w:pPr>
                  <w:r>
                    <w:rPr>
                      <w:b/>
                      <w:bCs/>
                      <w:szCs w:val="21"/>
                    </w:rPr>
                    <w:t>废水量</w:t>
                  </w:r>
                </w:p>
              </w:tc>
              <w:tc>
                <w:tcPr>
                  <w:tcW w:w="707" w:type="dxa"/>
                  <w:vAlign w:val="center"/>
                </w:tcPr>
                <w:p>
                  <w:pPr>
                    <w:adjustRightInd w:val="0"/>
                    <w:snapToGrid w:val="0"/>
                    <w:spacing w:line="240" w:lineRule="atLeast"/>
                    <w:jc w:val="center"/>
                    <w:rPr>
                      <w:b/>
                      <w:bCs/>
                      <w:szCs w:val="21"/>
                    </w:rPr>
                  </w:pPr>
                  <w:r>
                    <w:rPr>
                      <w:b/>
                      <w:bCs/>
                      <w:szCs w:val="21"/>
                    </w:rPr>
                    <w:t>产生浓度</w:t>
                  </w:r>
                </w:p>
              </w:tc>
              <w:tc>
                <w:tcPr>
                  <w:tcW w:w="690" w:type="dxa"/>
                  <w:vAlign w:val="center"/>
                </w:tcPr>
                <w:p>
                  <w:pPr>
                    <w:adjustRightInd w:val="0"/>
                    <w:snapToGrid w:val="0"/>
                    <w:spacing w:line="240" w:lineRule="atLeast"/>
                    <w:jc w:val="center"/>
                    <w:rPr>
                      <w:b/>
                      <w:bCs/>
                      <w:szCs w:val="21"/>
                    </w:rPr>
                  </w:pPr>
                  <w:r>
                    <w:rPr>
                      <w:b/>
                      <w:bCs/>
                      <w:szCs w:val="21"/>
                    </w:rPr>
                    <w:t>产生量</w:t>
                  </w:r>
                </w:p>
              </w:tc>
              <w:tc>
                <w:tcPr>
                  <w:tcW w:w="470" w:type="dxa"/>
                  <w:vAlign w:val="center"/>
                </w:tcPr>
                <w:p>
                  <w:pPr>
                    <w:adjustRightInd w:val="0"/>
                    <w:snapToGrid w:val="0"/>
                    <w:spacing w:line="240" w:lineRule="atLeast"/>
                    <w:jc w:val="center"/>
                    <w:rPr>
                      <w:b/>
                      <w:bCs/>
                      <w:szCs w:val="21"/>
                    </w:rPr>
                  </w:pPr>
                  <w:r>
                    <w:rPr>
                      <w:b/>
                      <w:bCs/>
                      <w:szCs w:val="21"/>
                    </w:rPr>
                    <w:t>处理能力</w:t>
                  </w:r>
                </w:p>
              </w:tc>
              <w:tc>
                <w:tcPr>
                  <w:tcW w:w="592" w:type="dxa"/>
                  <w:vMerge w:val="restart"/>
                  <w:vAlign w:val="center"/>
                </w:tcPr>
                <w:p>
                  <w:pPr>
                    <w:adjustRightInd w:val="0"/>
                    <w:snapToGrid w:val="0"/>
                    <w:spacing w:line="240" w:lineRule="atLeast"/>
                    <w:jc w:val="center"/>
                    <w:rPr>
                      <w:b/>
                      <w:bCs/>
                      <w:szCs w:val="21"/>
                    </w:rPr>
                  </w:pPr>
                  <w:r>
                    <w:rPr>
                      <w:b/>
                      <w:bCs/>
                      <w:szCs w:val="21"/>
                    </w:rPr>
                    <w:t>主要治理工艺</w:t>
                  </w:r>
                </w:p>
              </w:tc>
              <w:tc>
                <w:tcPr>
                  <w:tcW w:w="639" w:type="dxa"/>
                  <w:vAlign w:val="center"/>
                </w:tcPr>
                <w:p>
                  <w:pPr>
                    <w:adjustRightInd w:val="0"/>
                    <w:snapToGrid w:val="0"/>
                    <w:spacing w:line="240" w:lineRule="atLeast"/>
                    <w:jc w:val="center"/>
                    <w:rPr>
                      <w:b/>
                      <w:bCs/>
                      <w:szCs w:val="21"/>
                    </w:rPr>
                  </w:pPr>
                  <w:r>
                    <w:rPr>
                      <w:b/>
                      <w:bCs/>
                      <w:szCs w:val="21"/>
                    </w:rPr>
                    <w:t>去除效率</w:t>
                  </w:r>
                </w:p>
              </w:tc>
              <w:tc>
                <w:tcPr>
                  <w:tcW w:w="554" w:type="dxa"/>
                  <w:vMerge w:val="restart"/>
                  <w:vAlign w:val="center"/>
                </w:tcPr>
                <w:p>
                  <w:pPr>
                    <w:adjustRightInd w:val="0"/>
                    <w:snapToGrid w:val="0"/>
                    <w:spacing w:line="240" w:lineRule="atLeast"/>
                    <w:jc w:val="center"/>
                    <w:rPr>
                      <w:b/>
                      <w:bCs/>
                      <w:szCs w:val="21"/>
                    </w:rPr>
                  </w:pPr>
                  <w:r>
                    <w:rPr>
                      <w:b/>
                      <w:bCs/>
                      <w:szCs w:val="21"/>
                    </w:rPr>
                    <w:t>是否可行技术</w:t>
                  </w:r>
                </w:p>
              </w:tc>
              <w:tc>
                <w:tcPr>
                  <w:tcW w:w="600" w:type="dxa"/>
                  <w:vAlign w:val="center"/>
                </w:tcPr>
                <w:p>
                  <w:pPr>
                    <w:adjustRightInd w:val="0"/>
                    <w:snapToGrid w:val="0"/>
                    <w:spacing w:line="240" w:lineRule="atLeast"/>
                    <w:jc w:val="center"/>
                    <w:rPr>
                      <w:b/>
                      <w:bCs/>
                      <w:szCs w:val="21"/>
                    </w:rPr>
                  </w:pPr>
                  <w:r>
                    <w:rPr>
                      <w:b/>
                      <w:bCs/>
                      <w:szCs w:val="21"/>
                    </w:rPr>
                    <w:t>废水量</w:t>
                  </w:r>
                </w:p>
              </w:tc>
              <w:tc>
                <w:tcPr>
                  <w:tcW w:w="709" w:type="dxa"/>
                  <w:vAlign w:val="center"/>
                </w:tcPr>
                <w:p>
                  <w:pPr>
                    <w:adjustRightInd w:val="0"/>
                    <w:snapToGrid w:val="0"/>
                    <w:spacing w:line="240" w:lineRule="atLeast"/>
                    <w:jc w:val="center"/>
                    <w:rPr>
                      <w:b/>
                      <w:bCs/>
                      <w:szCs w:val="21"/>
                    </w:rPr>
                  </w:pPr>
                  <w:r>
                    <w:rPr>
                      <w:b/>
                      <w:bCs/>
                      <w:szCs w:val="21"/>
                    </w:rPr>
                    <w:t>排放</w:t>
                  </w:r>
                </w:p>
                <w:p>
                  <w:pPr>
                    <w:adjustRightInd w:val="0"/>
                    <w:snapToGrid w:val="0"/>
                    <w:spacing w:line="240" w:lineRule="atLeast"/>
                    <w:jc w:val="center"/>
                    <w:rPr>
                      <w:b/>
                      <w:bCs/>
                      <w:szCs w:val="21"/>
                    </w:rPr>
                  </w:pPr>
                  <w:r>
                    <w:rPr>
                      <w:b/>
                      <w:bCs/>
                      <w:szCs w:val="21"/>
                    </w:rPr>
                    <w:t>浓度</w:t>
                  </w:r>
                </w:p>
              </w:tc>
              <w:tc>
                <w:tcPr>
                  <w:tcW w:w="647" w:type="dxa"/>
                  <w:vAlign w:val="center"/>
                </w:tcPr>
                <w:p>
                  <w:pPr>
                    <w:adjustRightInd w:val="0"/>
                    <w:snapToGrid w:val="0"/>
                    <w:spacing w:line="240" w:lineRule="atLeast"/>
                    <w:jc w:val="center"/>
                    <w:rPr>
                      <w:b/>
                      <w:bCs/>
                      <w:szCs w:val="21"/>
                    </w:rPr>
                  </w:pPr>
                  <w:r>
                    <w:rPr>
                      <w:b/>
                      <w:bCs/>
                      <w:szCs w:val="21"/>
                    </w:rPr>
                    <w:t>排放量</w:t>
                  </w:r>
                </w:p>
              </w:tc>
              <w:tc>
                <w:tcPr>
                  <w:tcW w:w="525" w:type="dxa"/>
                  <w:vAlign w:val="center"/>
                </w:tcPr>
                <w:p>
                  <w:pPr>
                    <w:adjustRightInd w:val="0"/>
                    <w:snapToGrid w:val="0"/>
                    <w:spacing w:line="240" w:lineRule="atLeast"/>
                    <w:jc w:val="center"/>
                    <w:rPr>
                      <w:b/>
                      <w:bCs/>
                      <w:spacing w:val="-10"/>
                      <w:szCs w:val="21"/>
                    </w:rPr>
                  </w:pPr>
                  <w:r>
                    <w:rPr>
                      <w:b/>
                      <w:bCs/>
                      <w:spacing w:val="-10"/>
                      <w:szCs w:val="21"/>
                    </w:rPr>
                    <w:t>排放</w:t>
                  </w:r>
                </w:p>
                <w:p>
                  <w:pPr>
                    <w:adjustRightInd w:val="0"/>
                    <w:snapToGrid w:val="0"/>
                    <w:spacing w:line="240" w:lineRule="atLeast"/>
                    <w:jc w:val="center"/>
                    <w:rPr>
                      <w:b/>
                      <w:bCs/>
                      <w:spacing w:val="-10"/>
                      <w:szCs w:val="21"/>
                    </w:rPr>
                  </w:pPr>
                  <w:r>
                    <w:rPr>
                      <w:b/>
                      <w:bCs/>
                      <w:spacing w:val="-10"/>
                      <w:szCs w:val="21"/>
                    </w:rPr>
                    <w:t>方式</w:t>
                  </w:r>
                </w:p>
              </w:tc>
              <w:tc>
                <w:tcPr>
                  <w:tcW w:w="748" w:type="dxa"/>
                  <w:vAlign w:val="center"/>
                </w:tcPr>
                <w:p>
                  <w:pPr>
                    <w:adjustRightInd w:val="0"/>
                    <w:snapToGrid w:val="0"/>
                    <w:spacing w:line="240" w:lineRule="atLeast"/>
                    <w:jc w:val="center"/>
                    <w:rPr>
                      <w:b/>
                      <w:bCs/>
                      <w:szCs w:val="21"/>
                    </w:rPr>
                  </w:pPr>
                  <w:r>
                    <w:rPr>
                      <w:b/>
                      <w:bCs/>
                      <w:szCs w:val="21"/>
                    </w:rPr>
                    <w:t>排放去向</w:t>
                  </w:r>
                </w:p>
              </w:tc>
              <w:tc>
                <w:tcPr>
                  <w:tcW w:w="711" w:type="dxa"/>
                  <w:vAlign w:val="center"/>
                </w:tcPr>
                <w:p>
                  <w:pPr>
                    <w:adjustRightInd w:val="0"/>
                    <w:snapToGrid w:val="0"/>
                    <w:spacing w:line="240" w:lineRule="atLeast"/>
                    <w:jc w:val="center"/>
                    <w:rPr>
                      <w:b/>
                      <w:bCs/>
                      <w:szCs w:val="21"/>
                    </w:rPr>
                  </w:pPr>
                  <w:r>
                    <w:rPr>
                      <w:b/>
                      <w:bCs/>
                      <w:szCs w:val="21"/>
                    </w:rPr>
                    <w:t>排放规律</w:t>
                  </w:r>
                </w:p>
              </w:tc>
              <w:tc>
                <w:tcPr>
                  <w:tcW w:w="871" w:type="dxa"/>
                  <w:vAlign w:val="center"/>
                </w:tcPr>
                <w:p>
                  <w:pPr>
                    <w:adjustRightInd w:val="0"/>
                    <w:snapToGrid w:val="0"/>
                    <w:spacing w:line="240" w:lineRule="atLeast"/>
                    <w:jc w:val="center"/>
                    <w:rPr>
                      <w:b/>
                      <w:bCs/>
                      <w:szCs w:val="21"/>
                    </w:rPr>
                  </w:pPr>
                  <w:r>
                    <w:rPr>
                      <w:b/>
                      <w:bCs/>
                      <w:szCs w:val="21"/>
                    </w:rPr>
                    <w:t>排放编号及名称</w:t>
                  </w:r>
                </w:p>
              </w:tc>
              <w:tc>
                <w:tcPr>
                  <w:tcW w:w="448" w:type="dxa"/>
                  <w:vAlign w:val="center"/>
                </w:tcPr>
                <w:p>
                  <w:pPr>
                    <w:adjustRightInd w:val="0"/>
                    <w:snapToGrid w:val="0"/>
                    <w:spacing w:line="240" w:lineRule="atLeast"/>
                    <w:jc w:val="center"/>
                    <w:rPr>
                      <w:b/>
                      <w:bCs/>
                      <w:szCs w:val="21"/>
                    </w:rPr>
                  </w:pPr>
                  <w:r>
                    <w:rPr>
                      <w:b/>
                      <w:bCs/>
                      <w:szCs w:val="21"/>
                    </w:rPr>
                    <w:t>排放类型</w:t>
                  </w:r>
                </w:p>
              </w:tc>
              <w:tc>
                <w:tcPr>
                  <w:tcW w:w="812" w:type="dxa"/>
                  <w:vAlign w:val="center"/>
                </w:tcPr>
                <w:p>
                  <w:pPr>
                    <w:adjustRightInd w:val="0"/>
                    <w:snapToGrid w:val="0"/>
                    <w:spacing w:line="240" w:lineRule="atLeast"/>
                    <w:jc w:val="center"/>
                    <w:rPr>
                      <w:b/>
                      <w:bCs/>
                      <w:szCs w:val="21"/>
                    </w:rPr>
                  </w:pPr>
                  <w:r>
                    <w:rPr>
                      <w:b/>
                      <w:bCs/>
                      <w:szCs w:val="21"/>
                    </w:rPr>
                    <w:t>地理</w:t>
                  </w:r>
                </w:p>
                <w:p>
                  <w:pPr>
                    <w:adjustRightInd w:val="0"/>
                    <w:snapToGrid w:val="0"/>
                    <w:spacing w:line="240" w:lineRule="atLeast"/>
                    <w:jc w:val="center"/>
                    <w:rPr>
                      <w:b/>
                      <w:bCs/>
                      <w:szCs w:val="21"/>
                    </w:rPr>
                  </w:pPr>
                  <w:r>
                    <w:rPr>
                      <w:b/>
                      <w:bCs/>
                      <w:szCs w:val="21"/>
                    </w:rPr>
                    <w:t>坐标</w:t>
                  </w:r>
                </w:p>
              </w:tc>
              <w:tc>
                <w:tcPr>
                  <w:tcW w:w="610" w:type="dxa"/>
                  <w:vMerge w:val="restart"/>
                  <w:vAlign w:val="center"/>
                </w:tcPr>
                <w:p>
                  <w:pPr>
                    <w:adjustRightInd w:val="0"/>
                    <w:snapToGrid w:val="0"/>
                    <w:spacing w:line="240" w:lineRule="atLeast"/>
                    <w:jc w:val="center"/>
                    <w:rPr>
                      <w:b/>
                      <w:bCs/>
                      <w:szCs w:val="21"/>
                    </w:rPr>
                  </w:pPr>
                  <w:r>
                    <w:rPr>
                      <w:b/>
                      <w:bCs/>
                      <w:szCs w:val="21"/>
                    </w:rPr>
                    <w:t>浓度</w:t>
                  </w:r>
                </w:p>
                <w:p>
                  <w:pPr>
                    <w:adjustRightInd w:val="0"/>
                    <w:snapToGrid w:val="0"/>
                    <w:spacing w:line="240" w:lineRule="atLeast"/>
                    <w:jc w:val="center"/>
                    <w:rPr>
                      <w:b/>
                      <w:bCs/>
                      <w:szCs w:val="21"/>
                    </w:rPr>
                  </w:pPr>
                  <w:r>
                    <w:rPr>
                      <w:b/>
                      <w:bCs/>
                      <w:szCs w:val="21"/>
                    </w:rPr>
                    <w:t>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Merge w:val="continue"/>
                  <w:vAlign w:val="center"/>
                </w:tcPr>
                <w:p>
                  <w:pPr>
                    <w:adjustRightInd w:val="0"/>
                    <w:snapToGrid w:val="0"/>
                    <w:spacing w:line="240" w:lineRule="atLeast"/>
                    <w:jc w:val="center"/>
                    <w:rPr>
                      <w:bCs/>
                      <w:szCs w:val="21"/>
                    </w:rPr>
                  </w:pPr>
                </w:p>
              </w:tc>
              <w:tc>
                <w:tcPr>
                  <w:tcW w:w="567" w:type="dxa"/>
                  <w:vAlign w:val="center"/>
                </w:tcPr>
                <w:p>
                  <w:pPr>
                    <w:adjustRightInd w:val="0"/>
                    <w:snapToGrid w:val="0"/>
                    <w:spacing w:line="240" w:lineRule="atLeast"/>
                    <w:jc w:val="center"/>
                    <w:rPr>
                      <w:b/>
                      <w:bCs/>
                      <w:szCs w:val="21"/>
                    </w:rPr>
                  </w:pPr>
                  <w:r>
                    <w:rPr>
                      <w:b/>
                      <w:bCs/>
                      <w:szCs w:val="21"/>
                    </w:rPr>
                    <w:t>m</w:t>
                  </w:r>
                  <w:r>
                    <w:rPr>
                      <w:b/>
                      <w:bCs/>
                      <w:szCs w:val="21"/>
                      <w:vertAlign w:val="superscript"/>
                    </w:rPr>
                    <w:t>3</w:t>
                  </w:r>
                  <w:r>
                    <w:rPr>
                      <w:b/>
                      <w:bCs/>
                      <w:szCs w:val="21"/>
                    </w:rPr>
                    <w:t>/a</w:t>
                  </w:r>
                </w:p>
              </w:tc>
              <w:tc>
                <w:tcPr>
                  <w:tcW w:w="707" w:type="dxa"/>
                  <w:vAlign w:val="center"/>
                </w:tcPr>
                <w:p>
                  <w:pPr>
                    <w:adjustRightInd w:val="0"/>
                    <w:snapToGrid w:val="0"/>
                    <w:spacing w:line="240" w:lineRule="atLeast"/>
                    <w:jc w:val="center"/>
                    <w:rPr>
                      <w:b/>
                      <w:bCs/>
                      <w:szCs w:val="21"/>
                    </w:rPr>
                  </w:pPr>
                  <w:r>
                    <w:rPr>
                      <w:b/>
                      <w:bCs/>
                      <w:szCs w:val="21"/>
                    </w:rPr>
                    <w:t>mg/l</w:t>
                  </w:r>
                </w:p>
              </w:tc>
              <w:tc>
                <w:tcPr>
                  <w:tcW w:w="690" w:type="dxa"/>
                  <w:vAlign w:val="center"/>
                </w:tcPr>
                <w:p>
                  <w:pPr>
                    <w:adjustRightInd w:val="0"/>
                    <w:snapToGrid w:val="0"/>
                    <w:spacing w:line="240" w:lineRule="atLeast"/>
                    <w:jc w:val="center"/>
                    <w:rPr>
                      <w:b/>
                      <w:bCs/>
                      <w:szCs w:val="21"/>
                    </w:rPr>
                  </w:pPr>
                  <w:r>
                    <w:rPr>
                      <w:b/>
                      <w:bCs/>
                      <w:szCs w:val="21"/>
                    </w:rPr>
                    <w:t>t/a</w:t>
                  </w:r>
                </w:p>
              </w:tc>
              <w:tc>
                <w:tcPr>
                  <w:tcW w:w="470" w:type="dxa"/>
                  <w:vAlign w:val="center"/>
                </w:tcPr>
                <w:p>
                  <w:pPr>
                    <w:adjustRightInd w:val="0"/>
                    <w:snapToGrid w:val="0"/>
                    <w:spacing w:line="240" w:lineRule="atLeast"/>
                    <w:jc w:val="center"/>
                    <w:rPr>
                      <w:b/>
                      <w:bCs/>
                      <w:szCs w:val="21"/>
                    </w:rPr>
                  </w:pPr>
                  <w:r>
                    <w:rPr>
                      <w:b/>
                      <w:bCs/>
                      <w:szCs w:val="21"/>
                    </w:rPr>
                    <w:t>m</w:t>
                  </w:r>
                  <w:r>
                    <w:rPr>
                      <w:b/>
                      <w:bCs/>
                      <w:szCs w:val="21"/>
                      <w:vertAlign w:val="superscript"/>
                    </w:rPr>
                    <w:t>3</w:t>
                  </w:r>
                  <w:r>
                    <w:rPr>
                      <w:b/>
                      <w:bCs/>
                      <w:szCs w:val="21"/>
                    </w:rPr>
                    <w:t>/h</w:t>
                  </w:r>
                </w:p>
              </w:tc>
              <w:tc>
                <w:tcPr>
                  <w:tcW w:w="592" w:type="dxa"/>
                  <w:vMerge w:val="continue"/>
                  <w:vAlign w:val="center"/>
                </w:tcPr>
                <w:p>
                  <w:pPr>
                    <w:adjustRightInd w:val="0"/>
                    <w:snapToGrid w:val="0"/>
                    <w:spacing w:line="240" w:lineRule="atLeast"/>
                    <w:jc w:val="center"/>
                    <w:rPr>
                      <w:b/>
                      <w:bCs/>
                      <w:szCs w:val="21"/>
                    </w:rPr>
                  </w:pPr>
                </w:p>
              </w:tc>
              <w:tc>
                <w:tcPr>
                  <w:tcW w:w="639" w:type="dxa"/>
                  <w:vAlign w:val="center"/>
                </w:tcPr>
                <w:p>
                  <w:pPr>
                    <w:adjustRightInd w:val="0"/>
                    <w:snapToGrid w:val="0"/>
                    <w:spacing w:line="240" w:lineRule="atLeast"/>
                    <w:jc w:val="center"/>
                    <w:rPr>
                      <w:b/>
                      <w:bCs/>
                      <w:szCs w:val="21"/>
                    </w:rPr>
                  </w:pPr>
                  <w:r>
                    <w:rPr>
                      <w:b/>
                      <w:bCs/>
                      <w:szCs w:val="21"/>
                    </w:rPr>
                    <w:t>%</w:t>
                  </w:r>
                </w:p>
              </w:tc>
              <w:tc>
                <w:tcPr>
                  <w:tcW w:w="554" w:type="dxa"/>
                  <w:vMerge w:val="continue"/>
                  <w:vAlign w:val="center"/>
                </w:tcPr>
                <w:p>
                  <w:pPr>
                    <w:adjustRightInd w:val="0"/>
                    <w:snapToGrid w:val="0"/>
                    <w:spacing w:line="240" w:lineRule="atLeast"/>
                    <w:jc w:val="center"/>
                    <w:rPr>
                      <w:bCs/>
                      <w:szCs w:val="21"/>
                    </w:rPr>
                  </w:pPr>
                </w:p>
              </w:tc>
              <w:tc>
                <w:tcPr>
                  <w:tcW w:w="600" w:type="dxa"/>
                  <w:vAlign w:val="center"/>
                </w:tcPr>
                <w:p>
                  <w:pPr>
                    <w:adjustRightInd w:val="0"/>
                    <w:snapToGrid w:val="0"/>
                    <w:spacing w:line="240" w:lineRule="atLeast"/>
                    <w:jc w:val="center"/>
                    <w:rPr>
                      <w:b/>
                      <w:bCs/>
                      <w:szCs w:val="21"/>
                    </w:rPr>
                  </w:pPr>
                  <w:r>
                    <w:rPr>
                      <w:b/>
                      <w:bCs/>
                      <w:szCs w:val="21"/>
                    </w:rPr>
                    <w:t>m</w:t>
                  </w:r>
                  <w:r>
                    <w:rPr>
                      <w:b/>
                      <w:bCs/>
                      <w:szCs w:val="21"/>
                      <w:vertAlign w:val="superscript"/>
                    </w:rPr>
                    <w:t>3</w:t>
                  </w:r>
                  <w:r>
                    <w:rPr>
                      <w:b/>
                      <w:bCs/>
                      <w:szCs w:val="21"/>
                    </w:rPr>
                    <w:t>/a</w:t>
                  </w:r>
                </w:p>
              </w:tc>
              <w:tc>
                <w:tcPr>
                  <w:tcW w:w="709" w:type="dxa"/>
                  <w:vAlign w:val="center"/>
                </w:tcPr>
                <w:p>
                  <w:pPr>
                    <w:adjustRightInd w:val="0"/>
                    <w:snapToGrid w:val="0"/>
                    <w:spacing w:line="240" w:lineRule="atLeast"/>
                    <w:jc w:val="center"/>
                    <w:rPr>
                      <w:b/>
                      <w:bCs/>
                      <w:szCs w:val="21"/>
                    </w:rPr>
                  </w:pPr>
                  <w:r>
                    <w:rPr>
                      <w:b/>
                      <w:bCs/>
                      <w:szCs w:val="21"/>
                    </w:rPr>
                    <w:t>mg/l</w:t>
                  </w:r>
                </w:p>
              </w:tc>
              <w:tc>
                <w:tcPr>
                  <w:tcW w:w="647" w:type="dxa"/>
                  <w:vAlign w:val="center"/>
                </w:tcPr>
                <w:p>
                  <w:pPr>
                    <w:adjustRightInd w:val="0"/>
                    <w:snapToGrid w:val="0"/>
                    <w:spacing w:line="240" w:lineRule="atLeast"/>
                    <w:jc w:val="center"/>
                    <w:rPr>
                      <w:b/>
                      <w:bCs/>
                      <w:szCs w:val="21"/>
                    </w:rPr>
                  </w:pPr>
                  <w:r>
                    <w:rPr>
                      <w:b/>
                      <w:bCs/>
                      <w:szCs w:val="21"/>
                    </w:rPr>
                    <w:t>t/a</w:t>
                  </w:r>
                </w:p>
              </w:tc>
              <w:tc>
                <w:tcPr>
                  <w:tcW w:w="525" w:type="dxa"/>
                  <w:vAlign w:val="center"/>
                </w:tcPr>
                <w:p>
                  <w:pPr>
                    <w:adjustRightInd w:val="0"/>
                    <w:snapToGrid w:val="0"/>
                    <w:spacing w:line="240" w:lineRule="atLeast"/>
                    <w:jc w:val="center"/>
                    <w:rPr>
                      <w:b/>
                      <w:bCs/>
                      <w:szCs w:val="21"/>
                    </w:rPr>
                  </w:pPr>
                  <w:r>
                    <w:rPr>
                      <w:b/>
                      <w:bCs/>
                      <w:szCs w:val="21"/>
                    </w:rPr>
                    <w:t>/</w:t>
                  </w:r>
                </w:p>
              </w:tc>
              <w:tc>
                <w:tcPr>
                  <w:tcW w:w="748" w:type="dxa"/>
                  <w:vAlign w:val="center"/>
                </w:tcPr>
                <w:p>
                  <w:pPr>
                    <w:adjustRightInd w:val="0"/>
                    <w:snapToGrid w:val="0"/>
                    <w:spacing w:line="240" w:lineRule="atLeast"/>
                    <w:jc w:val="center"/>
                    <w:rPr>
                      <w:b/>
                      <w:bCs/>
                      <w:szCs w:val="21"/>
                    </w:rPr>
                  </w:pPr>
                  <w:r>
                    <w:rPr>
                      <w:b/>
                      <w:bCs/>
                      <w:szCs w:val="21"/>
                    </w:rPr>
                    <w:t>/</w:t>
                  </w:r>
                </w:p>
              </w:tc>
              <w:tc>
                <w:tcPr>
                  <w:tcW w:w="711" w:type="dxa"/>
                  <w:vAlign w:val="center"/>
                </w:tcPr>
                <w:p>
                  <w:pPr>
                    <w:adjustRightInd w:val="0"/>
                    <w:snapToGrid w:val="0"/>
                    <w:spacing w:line="240" w:lineRule="atLeast"/>
                    <w:jc w:val="center"/>
                    <w:rPr>
                      <w:b/>
                      <w:bCs/>
                      <w:szCs w:val="21"/>
                    </w:rPr>
                  </w:pPr>
                  <w:r>
                    <w:rPr>
                      <w:b/>
                      <w:bCs/>
                      <w:szCs w:val="21"/>
                    </w:rPr>
                    <w:t>/</w:t>
                  </w:r>
                </w:p>
              </w:tc>
              <w:tc>
                <w:tcPr>
                  <w:tcW w:w="871" w:type="dxa"/>
                  <w:vAlign w:val="center"/>
                </w:tcPr>
                <w:p>
                  <w:pPr>
                    <w:adjustRightInd w:val="0"/>
                    <w:snapToGrid w:val="0"/>
                    <w:spacing w:line="240" w:lineRule="atLeast"/>
                    <w:jc w:val="center"/>
                    <w:rPr>
                      <w:b/>
                      <w:bCs/>
                      <w:szCs w:val="21"/>
                    </w:rPr>
                  </w:pPr>
                  <w:r>
                    <w:rPr>
                      <w:b/>
                      <w:bCs/>
                      <w:szCs w:val="21"/>
                    </w:rPr>
                    <w:t>/</w:t>
                  </w:r>
                </w:p>
              </w:tc>
              <w:tc>
                <w:tcPr>
                  <w:tcW w:w="448" w:type="dxa"/>
                  <w:vAlign w:val="center"/>
                </w:tcPr>
                <w:p>
                  <w:pPr>
                    <w:adjustRightInd w:val="0"/>
                    <w:snapToGrid w:val="0"/>
                    <w:spacing w:line="240" w:lineRule="atLeast"/>
                    <w:jc w:val="center"/>
                    <w:rPr>
                      <w:b/>
                      <w:bCs/>
                      <w:szCs w:val="21"/>
                    </w:rPr>
                  </w:pPr>
                  <w:r>
                    <w:rPr>
                      <w:b/>
                      <w:bCs/>
                      <w:szCs w:val="21"/>
                    </w:rPr>
                    <w:t>/</w:t>
                  </w:r>
                </w:p>
              </w:tc>
              <w:tc>
                <w:tcPr>
                  <w:tcW w:w="812" w:type="dxa"/>
                  <w:vAlign w:val="center"/>
                </w:tcPr>
                <w:p>
                  <w:pPr>
                    <w:adjustRightInd w:val="0"/>
                    <w:snapToGrid w:val="0"/>
                    <w:spacing w:line="240" w:lineRule="atLeast"/>
                    <w:jc w:val="center"/>
                    <w:rPr>
                      <w:b/>
                      <w:bCs/>
                      <w:szCs w:val="21"/>
                    </w:rPr>
                  </w:pPr>
                  <w:r>
                    <w:rPr>
                      <w:b/>
                      <w:bCs/>
                      <w:szCs w:val="21"/>
                    </w:rPr>
                    <w:t>/</w:t>
                  </w:r>
                </w:p>
              </w:tc>
              <w:tc>
                <w:tcPr>
                  <w:tcW w:w="610" w:type="dxa"/>
                  <w:vMerge w:val="continue"/>
                  <w:vAlign w:val="center"/>
                </w:tcPr>
                <w:p>
                  <w:pPr>
                    <w:adjustRightInd w:val="0"/>
                    <w:snapToGrid w:val="0"/>
                    <w:spacing w:line="240" w:lineRule="atLeast"/>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restart"/>
                  <w:vAlign w:val="center"/>
                </w:tcPr>
                <w:p>
                  <w:pPr>
                    <w:jc w:val="center"/>
                    <w:rPr>
                      <w:szCs w:val="21"/>
                    </w:rPr>
                  </w:pPr>
                  <w:r>
                    <w:rPr>
                      <w:szCs w:val="21"/>
                    </w:rPr>
                    <w:t>员工办公生活</w:t>
                  </w:r>
                </w:p>
              </w:tc>
              <w:tc>
                <w:tcPr>
                  <w:tcW w:w="491" w:type="dxa"/>
                  <w:vMerge w:val="restart"/>
                  <w:vAlign w:val="center"/>
                </w:tcPr>
                <w:p>
                  <w:pPr>
                    <w:jc w:val="center"/>
                    <w:rPr>
                      <w:szCs w:val="21"/>
                    </w:rPr>
                  </w:pPr>
                  <w:r>
                    <w:rPr>
                      <w:szCs w:val="21"/>
                    </w:rPr>
                    <w:t>生活污水</w:t>
                  </w:r>
                </w:p>
              </w:tc>
              <w:tc>
                <w:tcPr>
                  <w:tcW w:w="709" w:type="dxa"/>
                  <w:vAlign w:val="center"/>
                </w:tcPr>
                <w:p>
                  <w:pPr>
                    <w:adjustRightInd w:val="0"/>
                    <w:snapToGrid w:val="0"/>
                    <w:spacing w:line="240" w:lineRule="atLeast"/>
                    <w:jc w:val="center"/>
                    <w:rPr>
                      <w:bCs/>
                      <w:szCs w:val="21"/>
                    </w:rPr>
                  </w:pPr>
                  <w:r>
                    <w:rPr>
                      <w:bCs/>
                      <w:szCs w:val="21"/>
                    </w:rPr>
                    <w:t>pH</w:t>
                  </w:r>
                </w:p>
              </w:tc>
              <w:tc>
                <w:tcPr>
                  <w:tcW w:w="567" w:type="dxa"/>
                  <w:vMerge w:val="restart"/>
                  <w:vAlign w:val="center"/>
                </w:tcPr>
                <w:p>
                  <w:pPr>
                    <w:adjustRightInd w:val="0"/>
                    <w:snapToGrid w:val="0"/>
                    <w:spacing w:line="240" w:lineRule="atLeast"/>
                    <w:jc w:val="center"/>
                    <w:rPr>
                      <w:bCs/>
                      <w:szCs w:val="21"/>
                    </w:rPr>
                  </w:pPr>
                  <w:r>
                    <w:rPr>
                      <w:szCs w:val="22"/>
                    </w:rPr>
                    <w:t>905.2</w:t>
                  </w:r>
                </w:p>
              </w:tc>
              <w:tc>
                <w:tcPr>
                  <w:tcW w:w="707" w:type="dxa"/>
                  <w:vAlign w:val="center"/>
                </w:tcPr>
                <w:p>
                  <w:pPr>
                    <w:widowControl/>
                    <w:snapToGrid w:val="0"/>
                    <w:spacing w:line="240" w:lineRule="atLeast"/>
                    <w:jc w:val="center"/>
                    <w:textAlignment w:val="top"/>
                    <w:rPr>
                      <w:bCs/>
                      <w:szCs w:val="21"/>
                    </w:rPr>
                  </w:pPr>
                  <w:r>
                    <w:rPr>
                      <w:bCs/>
                      <w:szCs w:val="21"/>
                    </w:rPr>
                    <w:t>6~9</w:t>
                  </w:r>
                </w:p>
              </w:tc>
              <w:tc>
                <w:tcPr>
                  <w:tcW w:w="690" w:type="dxa"/>
                  <w:vAlign w:val="center"/>
                </w:tcPr>
                <w:p>
                  <w:pPr>
                    <w:widowControl/>
                    <w:snapToGrid w:val="0"/>
                    <w:spacing w:line="240" w:lineRule="atLeast"/>
                    <w:jc w:val="center"/>
                    <w:textAlignment w:val="top"/>
                    <w:rPr>
                      <w:bCs/>
                      <w:szCs w:val="21"/>
                    </w:rPr>
                  </w:pPr>
                  <w:r>
                    <w:rPr>
                      <w:bCs/>
                      <w:szCs w:val="21"/>
                    </w:rPr>
                    <w:t>/</w:t>
                  </w:r>
                </w:p>
              </w:tc>
              <w:tc>
                <w:tcPr>
                  <w:tcW w:w="470" w:type="dxa"/>
                  <w:vMerge w:val="restart"/>
                  <w:vAlign w:val="center"/>
                </w:tcPr>
                <w:p>
                  <w:pPr>
                    <w:adjustRightInd w:val="0"/>
                    <w:snapToGrid w:val="0"/>
                    <w:spacing w:line="240" w:lineRule="atLeast"/>
                    <w:jc w:val="center"/>
                    <w:rPr>
                      <w:bCs/>
                      <w:szCs w:val="21"/>
                      <w:highlight w:val="yellow"/>
                    </w:rPr>
                  </w:pPr>
                  <w:r>
                    <w:rPr>
                      <w:bCs/>
                      <w:szCs w:val="21"/>
                    </w:rPr>
                    <w:t>0.5</w:t>
                  </w:r>
                </w:p>
              </w:tc>
              <w:tc>
                <w:tcPr>
                  <w:tcW w:w="592" w:type="dxa"/>
                  <w:vMerge w:val="restart"/>
                  <w:vAlign w:val="center"/>
                </w:tcPr>
                <w:p>
                  <w:pPr>
                    <w:adjustRightInd w:val="0"/>
                    <w:snapToGrid w:val="0"/>
                    <w:spacing w:line="240" w:lineRule="atLeast"/>
                    <w:jc w:val="center"/>
                    <w:rPr>
                      <w:bCs/>
                      <w:szCs w:val="21"/>
                    </w:rPr>
                  </w:pPr>
                  <w:r>
                    <w:rPr>
                      <w:bCs/>
                      <w:szCs w:val="21"/>
                    </w:rPr>
                    <w:t>化粪池</w:t>
                  </w:r>
                </w:p>
              </w:tc>
              <w:tc>
                <w:tcPr>
                  <w:tcW w:w="639" w:type="dxa"/>
                  <w:vAlign w:val="center"/>
                </w:tcPr>
                <w:p>
                  <w:pPr>
                    <w:adjustRightInd w:val="0"/>
                    <w:snapToGrid w:val="0"/>
                    <w:spacing w:line="240" w:lineRule="atLeast"/>
                    <w:jc w:val="center"/>
                    <w:rPr>
                      <w:bCs/>
                      <w:szCs w:val="21"/>
                    </w:rPr>
                  </w:pPr>
                  <w:r>
                    <w:rPr>
                      <w:bCs/>
                      <w:szCs w:val="21"/>
                    </w:rPr>
                    <w:t>/</w:t>
                  </w:r>
                </w:p>
              </w:tc>
              <w:tc>
                <w:tcPr>
                  <w:tcW w:w="554" w:type="dxa"/>
                  <w:vMerge w:val="restart"/>
                  <w:vAlign w:val="center"/>
                </w:tcPr>
                <w:p>
                  <w:pPr>
                    <w:adjustRightInd w:val="0"/>
                    <w:snapToGrid w:val="0"/>
                    <w:spacing w:line="240" w:lineRule="atLeast"/>
                    <w:jc w:val="center"/>
                    <w:rPr>
                      <w:bCs/>
                      <w:szCs w:val="21"/>
                    </w:rPr>
                  </w:pPr>
                  <w:r>
                    <w:rPr>
                      <w:bCs/>
                      <w:szCs w:val="21"/>
                    </w:rPr>
                    <w:t>是</w:t>
                  </w:r>
                </w:p>
              </w:tc>
              <w:tc>
                <w:tcPr>
                  <w:tcW w:w="600" w:type="dxa"/>
                  <w:vMerge w:val="restart"/>
                  <w:vAlign w:val="center"/>
                </w:tcPr>
                <w:p>
                  <w:pPr>
                    <w:adjustRightInd w:val="0"/>
                    <w:snapToGrid w:val="0"/>
                    <w:spacing w:line="240" w:lineRule="atLeast"/>
                    <w:jc w:val="center"/>
                    <w:rPr>
                      <w:bCs/>
                      <w:szCs w:val="21"/>
                    </w:rPr>
                  </w:pPr>
                  <w:r>
                    <w:rPr>
                      <w:szCs w:val="22"/>
                    </w:rPr>
                    <w:t>905.2</w:t>
                  </w:r>
                </w:p>
              </w:tc>
              <w:tc>
                <w:tcPr>
                  <w:tcW w:w="709" w:type="dxa"/>
                  <w:vAlign w:val="center"/>
                </w:tcPr>
                <w:p>
                  <w:pPr>
                    <w:widowControl/>
                    <w:snapToGrid w:val="0"/>
                    <w:spacing w:line="240" w:lineRule="atLeast"/>
                    <w:jc w:val="center"/>
                    <w:textAlignment w:val="top"/>
                    <w:rPr>
                      <w:bCs/>
                      <w:szCs w:val="21"/>
                    </w:rPr>
                  </w:pPr>
                  <w:r>
                    <w:rPr>
                      <w:kern w:val="0"/>
                      <w:szCs w:val="21"/>
                      <w:lang w:bidi="ar"/>
                    </w:rPr>
                    <w:t>6~9</w:t>
                  </w:r>
                </w:p>
              </w:tc>
              <w:tc>
                <w:tcPr>
                  <w:tcW w:w="647" w:type="dxa"/>
                  <w:vAlign w:val="center"/>
                </w:tcPr>
                <w:p>
                  <w:pPr>
                    <w:widowControl/>
                    <w:snapToGrid w:val="0"/>
                    <w:spacing w:line="240" w:lineRule="atLeast"/>
                    <w:jc w:val="center"/>
                    <w:textAlignment w:val="top"/>
                    <w:rPr>
                      <w:bCs/>
                      <w:szCs w:val="21"/>
                    </w:rPr>
                  </w:pPr>
                  <w:r>
                    <w:rPr>
                      <w:b/>
                      <w:bCs/>
                      <w:szCs w:val="21"/>
                    </w:rPr>
                    <w:t>/</w:t>
                  </w:r>
                </w:p>
              </w:tc>
              <w:tc>
                <w:tcPr>
                  <w:tcW w:w="525" w:type="dxa"/>
                  <w:vMerge w:val="restart"/>
                  <w:tcBorders>
                    <w:right w:val="single" w:color="auto" w:sz="4" w:space="0"/>
                  </w:tcBorders>
                  <w:vAlign w:val="center"/>
                </w:tcPr>
                <w:p>
                  <w:pPr>
                    <w:adjustRightInd w:val="0"/>
                    <w:snapToGrid w:val="0"/>
                    <w:spacing w:line="240" w:lineRule="atLeast"/>
                    <w:jc w:val="center"/>
                    <w:rPr>
                      <w:bCs/>
                      <w:szCs w:val="21"/>
                    </w:rPr>
                  </w:pPr>
                  <w:r>
                    <w:rPr>
                      <w:bCs/>
                      <w:szCs w:val="21"/>
                    </w:rPr>
                    <w:t>间接排放</w:t>
                  </w:r>
                </w:p>
              </w:tc>
              <w:tc>
                <w:tcPr>
                  <w:tcW w:w="748" w:type="dxa"/>
                  <w:vMerge w:val="restart"/>
                  <w:tcBorders>
                    <w:left w:val="single" w:color="auto" w:sz="4" w:space="0"/>
                  </w:tcBorders>
                  <w:vAlign w:val="center"/>
                </w:tcPr>
                <w:p>
                  <w:pPr>
                    <w:adjustRightInd w:val="0"/>
                    <w:snapToGrid w:val="0"/>
                    <w:spacing w:line="240" w:lineRule="atLeast"/>
                    <w:jc w:val="center"/>
                    <w:rPr>
                      <w:bCs/>
                      <w:szCs w:val="21"/>
                    </w:rPr>
                  </w:pPr>
                  <w:r>
                    <w:rPr>
                      <w:szCs w:val="21"/>
                    </w:rPr>
                    <w:t>宁都县污水处理厂</w:t>
                  </w:r>
                </w:p>
              </w:tc>
              <w:tc>
                <w:tcPr>
                  <w:tcW w:w="711" w:type="dxa"/>
                  <w:vMerge w:val="restart"/>
                  <w:vAlign w:val="center"/>
                </w:tcPr>
                <w:p>
                  <w:pPr>
                    <w:adjustRightInd w:val="0"/>
                    <w:snapToGrid w:val="0"/>
                    <w:spacing w:line="240" w:lineRule="atLeast"/>
                    <w:jc w:val="center"/>
                    <w:rPr>
                      <w:bCs/>
                      <w:szCs w:val="21"/>
                    </w:rPr>
                  </w:pPr>
                  <w:r>
                    <w:rPr>
                      <w:bCs/>
                      <w:szCs w:val="21"/>
                    </w:rPr>
                    <w:t>间断排放，排放期间流量不稳定，但有周期性规律</w:t>
                  </w:r>
                </w:p>
              </w:tc>
              <w:tc>
                <w:tcPr>
                  <w:tcW w:w="871" w:type="dxa"/>
                  <w:vMerge w:val="restart"/>
                  <w:vAlign w:val="center"/>
                </w:tcPr>
                <w:p>
                  <w:pPr>
                    <w:adjustRightInd w:val="0"/>
                    <w:snapToGrid w:val="0"/>
                    <w:spacing w:line="240" w:lineRule="atLeast"/>
                    <w:jc w:val="center"/>
                    <w:rPr>
                      <w:bCs/>
                      <w:szCs w:val="21"/>
                    </w:rPr>
                  </w:pPr>
                  <w:r>
                    <w:rPr>
                      <w:bCs/>
                      <w:szCs w:val="21"/>
                    </w:rPr>
                    <w:t>DW001，废水总排口</w:t>
                  </w:r>
                </w:p>
              </w:tc>
              <w:tc>
                <w:tcPr>
                  <w:tcW w:w="448" w:type="dxa"/>
                  <w:vMerge w:val="restart"/>
                  <w:vAlign w:val="center"/>
                </w:tcPr>
                <w:p>
                  <w:pPr>
                    <w:adjustRightInd w:val="0"/>
                    <w:snapToGrid w:val="0"/>
                    <w:spacing w:line="240" w:lineRule="atLeast"/>
                    <w:jc w:val="center"/>
                    <w:rPr>
                      <w:bCs/>
                      <w:szCs w:val="21"/>
                    </w:rPr>
                  </w:pPr>
                  <w:r>
                    <w:rPr>
                      <w:bCs/>
                      <w:szCs w:val="21"/>
                    </w:rPr>
                    <w:t>一般排放口</w:t>
                  </w:r>
                </w:p>
              </w:tc>
              <w:tc>
                <w:tcPr>
                  <w:tcW w:w="812" w:type="dxa"/>
                  <w:vMerge w:val="restart"/>
                  <w:vAlign w:val="center"/>
                </w:tcPr>
                <w:p>
                  <w:pPr>
                    <w:adjustRightInd w:val="0"/>
                    <w:snapToGrid w:val="0"/>
                    <w:spacing w:line="0" w:lineRule="atLeast"/>
                    <w:jc w:val="center"/>
                    <w:rPr>
                      <w:szCs w:val="21"/>
                    </w:rPr>
                  </w:pPr>
                  <w:r>
                    <w:rPr>
                      <w:szCs w:val="21"/>
                    </w:rPr>
                    <w:t>E</w:t>
                  </w:r>
                  <w:r>
                    <w:rPr>
                      <w:rStyle w:val="89"/>
                    </w:rPr>
                    <w:t>116°12'15.102″</w:t>
                  </w:r>
                </w:p>
                <w:p>
                  <w:pPr>
                    <w:adjustRightInd w:val="0"/>
                    <w:snapToGrid w:val="0"/>
                    <w:spacing w:line="240" w:lineRule="atLeast"/>
                    <w:jc w:val="center"/>
                    <w:rPr>
                      <w:bCs/>
                      <w:szCs w:val="21"/>
                    </w:rPr>
                  </w:pPr>
                  <w:r>
                    <w:rPr>
                      <w:szCs w:val="21"/>
                    </w:rPr>
                    <w:t>N</w:t>
                  </w:r>
                  <w:r>
                    <w:rPr>
                      <w:rStyle w:val="89"/>
                    </w:rPr>
                    <w:t>28°22'19.907"</w:t>
                  </w: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240" w:lineRule="atLeast"/>
                    <w:jc w:val="center"/>
                    <w:rPr>
                      <w:bCs/>
                      <w:szCs w:val="21"/>
                    </w:rPr>
                  </w:pPr>
                  <w:r>
                    <w:rPr>
                      <w:bCs/>
                      <w:szCs w:val="21"/>
                    </w:rPr>
                    <w:t>CODcr</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250</w:t>
                  </w:r>
                </w:p>
              </w:tc>
              <w:tc>
                <w:tcPr>
                  <w:tcW w:w="690" w:type="dxa"/>
                  <w:vAlign w:val="center"/>
                </w:tcPr>
                <w:p>
                  <w:pPr>
                    <w:widowControl/>
                    <w:adjustRightInd w:val="0"/>
                    <w:snapToGrid w:val="0"/>
                    <w:jc w:val="center"/>
                    <w:rPr>
                      <w:kern w:val="0"/>
                      <w:szCs w:val="21"/>
                    </w:rPr>
                  </w:pPr>
                  <w:r>
                    <w:rPr>
                      <w:kern w:val="0"/>
                      <w:szCs w:val="21"/>
                    </w:rPr>
                    <w:t>0.226</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30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175</w:t>
                  </w:r>
                </w:p>
              </w:tc>
              <w:tc>
                <w:tcPr>
                  <w:tcW w:w="647" w:type="dxa"/>
                  <w:vAlign w:val="center"/>
                </w:tcPr>
                <w:p>
                  <w:pPr>
                    <w:widowControl/>
                    <w:adjustRightInd w:val="0"/>
                    <w:snapToGrid w:val="0"/>
                    <w:jc w:val="center"/>
                    <w:rPr>
                      <w:kern w:val="0"/>
                      <w:szCs w:val="21"/>
                    </w:rPr>
                  </w:pPr>
                  <w:r>
                    <w:rPr>
                      <w:kern w:val="0"/>
                      <w:szCs w:val="21"/>
                    </w:rPr>
                    <w:t>0.158</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240" w:lineRule="atLeast"/>
                    <w:jc w:val="center"/>
                    <w:rPr>
                      <w:bCs/>
                      <w:szCs w:val="21"/>
                    </w:rPr>
                  </w:pPr>
                  <w:r>
                    <w:rPr>
                      <w:bCs/>
                      <w:szCs w:val="21"/>
                    </w:rPr>
                    <w:t>BOD</w:t>
                  </w:r>
                  <w:r>
                    <w:rPr>
                      <w:bCs/>
                      <w:szCs w:val="21"/>
                      <w:vertAlign w:val="subscript"/>
                    </w:rPr>
                    <w:t>5</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120</w:t>
                  </w:r>
                </w:p>
              </w:tc>
              <w:tc>
                <w:tcPr>
                  <w:tcW w:w="690" w:type="dxa"/>
                  <w:vAlign w:val="center"/>
                </w:tcPr>
                <w:p>
                  <w:pPr>
                    <w:widowControl/>
                    <w:adjustRightInd w:val="0"/>
                    <w:snapToGrid w:val="0"/>
                    <w:jc w:val="center"/>
                    <w:rPr>
                      <w:kern w:val="0"/>
                      <w:szCs w:val="21"/>
                    </w:rPr>
                  </w:pPr>
                  <w:r>
                    <w:rPr>
                      <w:kern w:val="0"/>
                      <w:szCs w:val="21"/>
                    </w:rPr>
                    <w:t>0.109</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20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96</w:t>
                  </w:r>
                </w:p>
              </w:tc>
              <w:tc>
                <w:tcPr>
                  <w:tcW w:w="647" w:type="dxa"/>
                  <w:vAlign w:val="center"/>
                </w:tcPr>
                <w:p>
                  <w:pPr>
                    <w:widowControl/>
                    <w:adjustRightInd w:val="0"/>
                    <w:snapToGrid w:val="0"/>
                    <w:jc w:val="center"/>
                    <w:rPr>
                      <w:kern w:val="0"/>
                      <w:szCs w:val="21"/>
                    </w:rPr>
                  </w:pPr>
                  <w:r>
                    <w:rPr>
                      <w:kern w:val="0"/>
                      <w:szCs w:val="21"/>
                    </w:rPr>
                    <w:t>0.087</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300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240" w:lineRule="atLeast"/>
                    <w:jc w:val="center"/>
                    <w:rPr>
                      <w:bCs/>
                      <w:szCs w:val="21"/>
                    </w:rPr>
                  </w:pPr>
                  <w:r>
                    <w:rPr>
                      <w:bCs/>
                      <w:szCs w:val="21"/>
                    </w:rPr>
                    <w:t>SS</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200</w:t>
                  </w:r>
                </w:p>
              </w:tc>
              <w:tc>
                <w:tcPr>
                  <w:tcW w:w="690" w:type="dxa"/>
                  <w:vAlign w:val="center"/>
                </w:tcPr>
                <w:p>
                  <w:pPr>
                    <w:widowControl/>
                    <w:adjustRightInd w:val="0"/>
                    <w:snapToGrid w:val="0"/>
                    <w:jc w:val="center"/>
                    <w:rPr>
                      <w:kern w:val="0"/>
                      <w:szCs w:val="21"/>
                    </w:rPr>
                  </w:pPr>
                  <w:r>
                    <w:rPr>
                      <w:kern w:val="0"/>
                      <w:szCs w:val="21"/>
                    </w:rPr>
                    <w:t>0.181</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50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100</w:t>
                  </w:r>
                </w:p>
              </w:tc>
              <w:tc>
                <w:tcPr>
                  <w:tcW w:w="647" w:type="dxa"/>
                  <w:vAlign w:val="center"/>
                </w:tcPr>
                <w:p>
                  <w:pPr>
                    <w:widowControl/>
                    <w:adjustRightInd w:val="0"/>
                    <w:snapToGrid w:val="0"/>
                    <w:jc w:val="center"/>
                    <w:rPr>
                      <w:kern w:val="0"/>
                      <w:szCs w:val="21"/>
                    </w:rPr>
                  </w:pPr>
                  <w:r>
                    <w:rPr>
                      <w:kern w:val="0"/>
                      <w:szCs w:val="21"/>
                    </w:rPr>
                    <w:t>0.091</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240" w:lineRule="atLeast"/>
                    <w:jc w:val="center"/>
                    <w:rPr>
                      <w:bCs/>
                      <w:szCs w:val="21"/>
                    </w:rPr>
                  </w:pPr>
                  <w:r>
                    <w:rPr>
                      <w:bCs/>
                      <w:szCs w:val="21"/>
                    </w:rPr>
                    <w:t>NH</w:t>
                  </w:r>
                  <w:r>
                    <w:rPr>
                      <w:bCs/>
                      <w:szCs w:val="21"/>
                      <w:vertAlign w:val="subscript"/>
                    </w:rPr>
                    <w:t>3</w:t>
                  </w:r>
                  <w:r>
                    <w:rPr>
                      <w:bCs/>
                      <w:szCs w:val="21"/>
                    </w:rPr>
                    <w:t>-N</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20</w:t>
                  </w:r>
                </w:p>
              </w:tc>
              <w:tc>
                <w:tcPr>
                  <w:tcW w:w="690" w:type="dxa"/>
                  <w:vAlign w:val="center"/>
                </w:tcPr>
                <w:p>
                  <w:pPr>
                    <w:widowControl/>
                    <w:adjustRightInd w:val="0"/>
                    <w:snapToGrid w:val="0"/>
                    <w:jc w:val="center"/>
                    <w:rPr>
                      <w:kern w:val="0"/>
                      <w:szCs w:val="21"/>
                    </w:rPr>
                  </w:pPr>
                  <w:r>
                    <w:rPr>
                      <w:kern w:val="0"/>
                      <w:szCs w:val="21"/>
                    </w:rPr>
                    <w:t>0.018</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10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18</w:t>
                  </w:r>
                </w:p>
              </w:tc>
              <w:tc>
                <w:tcPr>
                  <w:tcW w:w="647" w:type="dxa"/>
                  <w:vAlign w:val="center"/>
                </w:tcPr>
                <w:p>
                  <w:pPr>
                    <w:widowControl/>
                    <w:adjustRightInd w:val="0"/>
                    <w:snapToGrid w:val="0"/>
                    <w:jc w:val="center"/>
                    <w:rPr>
                      <w:kern w:val="0"/>
                      <w:szCs w:val="21"/>
                    </w:rPr>
                  </w:pPr>
                  <w:r>
                    <w:rPr>
                      <w:kern w:val="0"/>
                      <w:szCs w:val="21"/>
                    </w:rPr>
                    <w:t>0.016</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restart"/>
                  <w:vAlign w:val="center"/>
                </w:tcPr>
                <w:p>
                  <w:pPr>
                    <w:jc w:val="center"/>
                    <w:rPr>
                      <w:szCs w:val="21"/>
                    </w:rPr>
                  </w:pPr>
                  <w:r>
                    <w:rPr>
                      <w:szCs w:val="21"/>
                    </w:rPr>
                    <w:t>地面冲洗</w:t>
                  </w:r>
                </w:p>
              </w:tc>
              <w:tc>
                <w:tcPr>
                  <w:tcW w:w="491" w:type="dxa"/>
                  <w:vMerge w:val="restart"/>
                  <w:vAlign w:val="center"/>
                </w:tcPr>
                <w:p>
                  <w:pPr>
                    <w:jc w:val="center"/>
                    <w:rPr>
                      <w:szCs w:val="21"/>
                    </w:rPr>
                  </w:pPr>
                  <w:r>
                    <w:rPr>
                      <w:szCs w:val="21"/>
                    </w:rPr>
                    <w:t>冲洗废水</w:t>
                  </w:r>
                </w:p>
              </w:tc>
              <w:tc>
                <w:tcPr>
                  <w:tcW w:w="709" w:type="dxa"/>
                  <w:vAlign w:val="center"/>
                </w:tcPr>
                <w:p>
                  <w:pPr>
                    <w:autoSpaceDE w:val="0"/>
                    <w:autoSpaceDN w:val="0"/>
                    <w:adjustRightInd w:val="0"/>
                    <w:jc w:val="center"/>
                    <w:rPr>
                      <w:kern w:val="0"/>
                      <w:szCs w:val="21"/>
                    </w:rPr>
                  </w:pPr>
                  <w:r>
                    <w:rPr>
                      <w:szCs w:val="21"/>
                    </w:rPr>
                    <w:t>CODcr</w:t>
                  </w:r>
                </w:p>
              </w:tc>
              <w:tc>
                <w:tcPr>
                  <w:tcW w:w="567" w:type="dxa"/>
                  <w:vMerge w:val="restart"/>
                  <w:vAlign w:val="center"/>
                </w:tcPr>
                <w:p>
                  <w:pPr>
                    <w:adjustRightInd w:val="0"/>
                    <w:snapToGrid w:val="0"/>
                    <w:spacing w:line="240" w:lineRule="atLeast"/>
                    <w:jc w:val="center"/>
                    <w:rPr>
                      <w:bCs/>
                      <w:szCs w:val="21"/>
                    </w:rPr>
                  </w:pPr>
                  <w:r>
                    <w:rPr>
                      <w:bCs/>
                      <w:szCs w:val="21"/>
                    </w:rPr>
                    <w:t>127.2</w:t>
                  </w:r>
                </w:p>
              </w:tc>
              <w:tc>
                <w:tcPr>
                  <w:tcW w:w="707" w:type="dxa"/>
                  <w:vAlign w:val="center"/>
                </w:tcPr>
                <w:p>
                  <w:pPr>
                    <w:adjustRightInd w:val="0"/>
                    <w:snapToGrid w:val="0"/>
                    <w:spacing w:line="0" w:lineRule="atLeast"/>
                    <w:jc w:val="center"/>
                    <w:textAlignment w:val="center"/>
                    <w:rPr>
                      <w:szCs w:val="21"/>
                    </w:rPr>
                  </w:pPr>
                  <w:r>
                    <w:rPr>
                      <w:szCs w:val="21"/>
                    </w:rPr>
                    <w:t>100</w:t>
                  </w:r>
                </w:p>
              </w:tc>
              <w:tc>
                <w:tcPr>
                  <w:tcW w:w="690" w:type="dxa"/>
                  <w:vAlign w:val="center"/>
                </w:tcPr>
                <w:p>
                  <w:pPr>
                    <w:widowControl/>
                    <w:adjustRightInd w:val="0"/>
                    <w:snapToGrid w:val="0"/>
                    <w:jc w:val="center"/>
                    <w:rPr>
                      <w:kern w:val="0"/>
                      <w:szCs w:val="21"/>
                    </w:rPr>
                  </w:pPr>
                  <w:r>
                    <w:rPr>
                      <w:kern w:val="0"/>
                      <w:szCs w:val="21"/>
                    </w:rPr>
                    <w:t>0.013</w:t>
                  </w:r>
                </w:p>
              </w:tc>
              <w:tc>
                <w:tcPr>
                  <w:tcW w:w="470" w:type="dxa"/>
                  <w:vMerge w:val="restart"/>
                  <w:vAlign w:val="center"/>
                </w:tcPr>
                <w:p>
                  <w:pPr>
                    <w:adjustRightInd w:val="0"/>
                    <w:snapToGrid w:val="0"/>
                    <w:spacing w:line="240" w:lineRule="atLeast"/>
                    <w:jc w:val="center"/>
                    <w:rPr>
                      <w:bCs/>
                      <w:szCs w:val="21"/>
                    </w:rPr>
                  </w:pPr>
                  <w:r>
                    <w:rPr>
                      <w:bCs/>
                      <w:szCs w:val="21"/>
                    </w:rPr>
                    <w:t>0.5</w:t>
                  </w:r>
                </w:p>
              </w:tc>
              <w:tc>
                <w:tcPr>
                  <w:tcW w:w="592" w:type="dxa"/>
                  <w:vMerge w:val="restart"/>
                  <w:vAlign w:val="center"/>
                </w:tcPr>
                <w:p>
                  <w:pPr>
                    <w:adjustRightInd w:val="0"/>
                    <w:snapToGrid w:val="0"/>
                    <w:spacing w:line="240" w:lineRule="atLeast"/>
                    <w:jc w:val="center"/>
                    <w:rPr>
                      <w:bCs/>
                      <w:szCs w:val="21"/>
                    </w:rPr>
                  </w:pPr>
                  <w:r>
                    <w:rPr>
                      <w:szCs w:val="21"/>
                    </w:rPr>
                    <w:t>隔油沉淀池</w:t>
                  </w:r>
                </w:p>
              </w:tc>
              <w:tc>
                <w:tcPr>
                  <w:tcW w:w="639" w:type="dxa"/>
                  <w:vAlign w:val="center"/>
                </w:tcPr>
                <w:p>
                  <w:pPr>
                    <w:adjustRightInd w:val="0"/>
                    <w:snapToGrid w:val="0"/>
                    <w:spacing w:line="0" w:lineRule="atLeast"/>
                    <w:jc w:val="center"/>
                    <w:rPr>
                      <w:szCs w:val="21"/>
                    </w:rPr>
                  </w:pPr>
                  <w:r>
                    <w:rPr>
                      <w:szCs w:val="21"/>
                    </w:rPr>
                    <w:t>0</w:t>
                  </w:r>
                </w:p>
              </w:tc>
              <w:tc>
                <w:tcPr>
                  <w:tcW w:w="554" w:type="dxa"/>
                  <w:vMerge w:val="restart"/>
                  <w:vAlign w:val="center"/>
                </w:tcPr>
                <w:p>
                  <w:pPr>
                    <w:adjustRightInd w:val="0"/>
                    <w:snapToGrid w:val="0"/>
                    <w:spacing w:line="240" w:lineRule="atLeast"/>
                    <w:jc w:val="center"/>
                    <w:rPr>
                      <w:bCs/>
                      <w:szCs w:val="21"/>
                    </w:rPr>
                  </w:pPr>
                  <w:r>
                    <w:rPr>
                      <w:bCs/>
                      <w:szCs w:val="21"/>
                    </w:rPr>
                    <w:t>是</w:t>
                  </w:r>
                </w:p>
              </w:tc>
              <w:tc>
                <w:tcPr>
                  <w:tcW w:w="600" w:type="dxa"/>
                  <w:vMerge w:val="restart"/>
                  <w:vAlign w:val="center"/>
                </w:tcPr>
                <w:p>
                  <w:pPr>
                    <w:adjustRightInd w:val="0"/>
                    <w:snapToGrid w:val="0"/>
                    <w:spacing w:line="240" w:lineRule="atLeast"/>
                    <w:jc w:val="center"/>
                    <w:rPr>
                      <w:bCs/>
                      <w:szCs w:val="21"/>
                    </w:rPr>
                  </w:pPr>
                  <w:r>
                    <w:rPr>
                      <w:bCs/>
                      <w:szCs w:val="21"/>
                    </w:rPr>
                    <w:t>127.2</w:t>
                  </w:r>
                </w:p>
              </w:tc>
              <w:tc>
                <w:tcPr>
                  <w:tcW w:w="709" w:type="dxa"/>
                  <w:vAlign w:val="center"/>
                </w:tcPr>
                <w:p>
                  <w:pPr>
                    <w:adjustRightInd w:val="0"/>
                    <w:snapToGrid w:val="0"/>
                    <w:spacing w:line="0" w:lineRule="atLeast"/>
                    <w:jc w:val="center"/>
                    <w:textAlignment w:val="center"/>
                    <w:rPr>
                      <w:szCs w:val="21"/>
                    </w:rPr>
                  </w:pPr>
                  <w:r>
                    <w:rPr>
                      <w:szCs w:val="21"/>
                    </w:rPr>
                    <w:t>100</w:t>
                  </w:r>
                </w:p>
              </w:tc>
              <w:tc>
                <w:tcPr>
                  <w:tcW w:w="647" w:type="dxa"/>
                  <w:vAlign w:val="center"/>
                </w:tcPr>
                <w:p>
                  <w:pPr>
                    <w:widowControl/>
                    <w:adjustRightInd w:val="0"/>
                    <w:snapToGrid w:val="0"/>
                    <w:jc w:val="center"/>
                    <w:rPr>
                      <w:kern w:val="0"/>
                      <w:szCs w:val="21"/>
                    </w:rPr>
                  </w:pPr>
                  <w:r>
                    <w:rPr>
                      <w:kern w:val="0"/>
                      <w:szCs w:val="21"/>
                    </w:rPr>
                    <w:t>0.013</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utoSpaceDE w:val="0"/>
                    <w:autoSpaceDN w:val="0"/>
                    <w:adjustRightInd w:val="0"/>
                    <w:jc w:val="center"/>
                    <w:rPr>
                      <w:szCs w:val="21"/>
                    </w:rPr>
                  </w:pPr>
                  <w:r>
                    <w:rPr>
                      <w:szCs w:val="21"/>
                    </w:rPr>
                    <w:t>SS</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500</w:t>
                  </w:r>
                </w:p>
              </w:tc>
              <w:tc>
                <w:tcPr>
                  <w:tcW w:w="690" w:type="dxa"/>
                  <w:vAlign w:val="center"/>
                </w:tcPr>
                <w:p>
                  <w:pPr>
                    <w:widowControl/>
                    <w:adjustRightInd w:val="0"/>
                    <w:snapToGrid w:val="0"/>
                    <w:jc w:val="center"/>
                    <w:rPr>
                      <w:kern w:val="0"/>
                      <w:szCs w:val="21"/>
                    </w:rPr>
                  </w:pPr>
                  <w:r>
                    <w:rPr>
                      <w:kern w:val="0"/>
                      <w:szCs w:val="21"/>
                    </w:rPr>
                    <w:t>0.064</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80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100</w:t>
                  </w:r>
                </w:p>
              </w:tc>
              <w:tc>
                <w:tcPr>
                  <w:tcW w:w="647" w:type="dxa"/>
                  <w:vAlign w:val="center"/>
                </w:tcPr>
                <w:p>
                  <w:pPr>
                    <w:widowControl/>
                    <w:adjustRightInd w:val="0"/>
                    <w:snapToGrid w:val="0"/>
                    <w:jc w:val="center"/>
                    <w:rPr>
                      <w:kern w:val="0"/>
                      <w:szCs w:val="21"/>
                    </w:rPr>
                  </w:pPr>
                  <w:r>
                    <w:rPr>
                      <w:kern w:val="0"/>
                      <w:szCs w:val="21"/>
                    </w:rPr>
                    <w:t>0.013</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6" w:type="dxa"/>
                  <w:vMerge w:val="continue"/>
                  <w:vAlign w:val="center"/>
                </w:tcPr>
                <w:p>
                  <w:pPr>
                    <w:adjustRightInd w:val="0"/>
                    <w:snapToGrid w:val="0"/>
                    <w:spacing w:line="240" w:lineRule="atLeast"/>
                    <w:jc w:val="center"/>
                    <w:rPr>
                      <w:bCs/>
                      <w:szCs w:val="21"/>
                    </w:rPr>
                  </w:pPr>
                </w:p>
              </w:tc>
              <w:tc>
                <w:tcPr>
                  <w:tcW w:w="491" w:type="dxa"/>
                  <w:vMerge w:val="continue"/>
                  <w:vAlign w:val="center"/>
                </w:tcPr>
                <w:p>
                  <w:pPr>
                    <w:adjustRightInd w:val="0"/>
                    <w:snapToGrid w:val="0"/>
                    <w:spacing w:line="240" w:lineRule="atLeast"/>
                    <w:jc w:val="center"/>
                    <w:rPr>
                      <w:bCs/>
                      <w:szCs w:val="21"/>
                    </w:rPr>
                  </w:pPr>
                </w:p>
              </w:tc>
              <w:tc>
                <w:tcPr>
                  <w:tcW w:w="709" w:type="dxa"/>
                  <w:vAlign w:val="center"/>
                </w:tcPr>
                <w:p>
                  <w:pPr>
                    <w:autoSpaceDE w:val="0"/>
                    <w:autoSpaceDN w:val="0"/>
                    <w:adjustRightInd w:val="0"/>
                    <w:jc w:val="center"/>
                    <w:rPr>
                      <w:szCs w:val="21"/>
                    </w:rPr>
                  </w:pPr>
                  <w:r>
                    <w:rPr>
                      <w:szCs w:val="21"/>
                    </w:rPr>
                    <w:t>石油类</w:t>
                  </w:r>
                </w:p>
              </w:tc>
              <w:tc>
                <w:tcPr>
                  <w:tcW w:w="567" w:type="dxa"/>
                  <w:vMerge w:val="continue"/>
                  <w:vAlign w:val="center"/>
                </w:tcPr>
                <w:p>
                  <w:pPr>
                    <w:adjustRightInd w:val="0"/>
                    <w:snapToGrid w:val="0"/>
                    <w:spacing w:line="240" w:lineRule="atLeast"/>
                    <w:jc w:val="center"/>
                    <w:rPr>
                      <w:bCs/>
                      <w:szCs w:val="21"/>
                    </w:rPr>
                  </w:pPr>
                </w:p>
              </w:tc>
              <w:tc>
                <w:tcPr>
                  <w:tcW w:w="707" w:type="dxa"/>
                  <w:vAlign w:val="center"/>
                </w:tcPr>
                <w:p>
                  <w:pPr>
                    <w:adjustRightInd w:val="0"/>
                    <w:snapToGrid w:val="0"/>
                    <w:spacing w:line="0" w:lineRule="atLeast"/>
                    <w:jc w:val="center"/>
                    <w:textAlignment w:val="center"/>
                    <w:rPr>
                      <w:szCs w:val="21"/>
                    </w:rPr>
                  </w:pPr>
                  <w:r>
                    <w:rPr>
                      <w:szCs w:val="21"/>
                    </w:rPr>
                    <w:t>100</w:t>
                  </w:r>
                </w:p>
              </w:tc>
              <w:tc>
                <w:tcPr>
                  <w:tcW w:w="690" w:type="dxa"/>
                  <w:vAlign w:val="center"/>
                </w:tcPr>
                <w:p>
                  <w:pPr>
                    <w:widowControl/>
                    <w:adjustRightInd w:val="0"/>
                    <w:snapToGrid w:val="0"/>
                    <w:jc w:val="center"/>
                    <w:rPr>
                      <w:kern w:val="0"/>
                      <w:szCs w:val="21"/>
                    </w:rPr>
                  </w:pPr>
                  <w:r>
                    <w:rPr>
                      <w:kern w:val="0"/>
                      <w:szCs w:val="21"/>
                    </w:rPr>
                    <w:t>0.013</w:t>
                  </w:r>
                </w:p>
              </w:tc>
              <w:tc>
                <w:tcPr>
                  <w:tcW w:w="470" w:type="dxa"/>
                  <w:vMerge w:val="continue"/>
                  <w:vAlign w:val="center"/>
                </w:tcPr>
                <w:p>
                  <w:pPr>
                    <w:adjustRightInd w:val="0"/>
                    <w:snapToGrid w:val="0"/>
                    <w:spacing w:line="240" w:lineRule="atLeast"/>
                    <w:jc w:val="center"/>
                    <w:rPr>
                      <w:bCs/>
                      <w:szCs w:val="21"/>
                    </w:rPr>
                  </w:pPr>
                </w:p>
              </w:tc>
              <w:tc>
                <w:tcPr>
                  <w:tcW w:w="592" w:type="dxa"/>
                  <w:vMerge w:val="continue"/>
                  <w:vAlign w:val="center"/>
                </w:tcPr>
                <w:p>
                  <w:pPr>
                    <w:adjustRightInd w:val="0"/>
                    <w:snapToGrid w:val="0"/>
                    <w:spacing w:line="240" w:lineRule="atLeast"/>
                    <w:jc w:val="center"/>
                    <w:rPr>
                      <w:bCs/>
                      <w:szCs w:val="21"/>
                    </w:rPr>
                  </w:pPr>
                </w:p>
              </w:tc>
              <w:tc>
                <w:tcPr>
                  <w:tcW w:w="639" w:type="dxa"/>
                  <w:vAlign w:val="center"/>
                </w:tcPr>
                <w:p>
                  <w:pPr>
                    <w:adjustRightInd w:val="0"/>
                    <w:snapToGrid w:val="0"/>
                    <w:spacing w:line="0" w:lineRule="atLeast"/>
                    <w:jc w:val="center"/>
                    <w:rPr>
                      <w:szCs w:val="21"/>
                    </w:rPr>
                  </w:pPr>
                  <w:r>
                    <w:rPr>
                      <w:szCs w:val="21"/>
                    </w:rPr>
                    <w:t>90</w:t>
                  </w:r>
                </w:p>
              </w:tc>
              <w:tc>
                <w:tcPr>
                  <w:tcW w:w="554" w:type="dxa"/>
                  <w:vMerge w:val="continue"/>
                  <w:vAlign w:val="center"/>
                </w:tcPr>
                <w:p>
                  <w:pPr>
                    <w:adjustRightInd w:val="0"/>
                    <w:snapToGrid w:val="0"/>
                    <w:spacing w:line="240" w:lineRule="atLeast"/>
                    <w:jc w:val="center"/>
                    <w:rPr>
                      <w:bCs/>
                      <w:szCs w:val="21"/>
                    </w:rPr>
                  </w:pPr>
                </w:p>
              </w:tc>
              <w:tc>
                <w:tcPr>
                  <w:tcW w:w="600" w:type="dxa"/>
                  <w:vMerge w:val="continue"/>
                  <w:vAlign w:val="center"/>
                </w:tcPr>
                <w:p>
                  <w:pPr>
                    <w:adjustRightInd w:val="0"/>
                    <w:snapToGrid w:val="0"/>
                    <w:spacing w:line="240" w:lineRule="atLeast"/>
                    <w:jc w:val="center"/>
                    <w:rPr>
                      <w:bCs/>
                      <w:szCs w:val="21"/>
                    </w:rPr>
                  </w:pPr>
                </w:p>
              </w:tc>
              <w:tc>
                <w:tcPr>
                  <w:tcW w:w="709" w:type="dxa"/>
                  <w:vAlign w:val="center"/>
                </w:tcPr>
                <w:p>
                  <w:pPr>
                    <w:adjustRightInd w:val="0"/>
                    <w:snapToGrid w:val="0"/>
                    <w:spacing w:line="0" w:lineRule="atLeast"/>
                    <w:jc w:val="center"/>
                    <w:textAlignment w:val="center"/>
                    <w:rPr>
                      <w:szCs w:val="21"/>
                    </w:rPr>
                  </w:pPr>
                  <w:r>
                    <w:rPr>
                      <w:szCs w:val="21"/>
                    </w:rPr>
                    <w:t>10</w:t>
                  </w:r>
                </w:p>
              </w:tc>
              <w:tc>
                <w:tcPr>
                  <w:tcW w:w="647" w:type="dxa"/>
                  <w:vAlign w:val="center"/>
                </w:tcPr>
                <w:p>
                  <w:pPr>
                    <w:widowControl/>
                    <w:adjustRightInd w:val="0"/>
                    <w:snapToGrid w:val="0"/>
                    <w:jc w:val="center"/>
                    <w:rPr>
                      <w:kern w:val="0"/>
                      <w:szCs w:val="21"/>
                    </w:rPr>
                  </w:pPr>
                  <w:r>
                    <w:rPr>
                      <w:kern w:val="0"/>
                      <w:szCs w:val="21"/>
                    </w:rPr>
                    <w:t>0.0013</w:t>
                  </w:r>
                </w:p>
              </w:tc>
              <w:tc>
                <w:tcPr>
                  <w:tcW w:w="525" w:type="dxa"/>
                  <w:vMerge w:val="continue"/>
                  <w:tcBorders>
                    <w:right w:val="single" w:color="auto" w:sz="4" w:space="0"/>
                  </w:tcBorders>
                  <w:vAlign w:val="center"/>
                </w:tcPr>
                <w:p>
                  <w:pPr>
                    <w:adjustRightInd w:val="0"/>
                    <w:snapToGrid w:val="0"/>
                    <w:spacing w:line="240" w:lineRule="atLeast"/>
                    <w:jc w:val="center"/>
                    <w:rPr>
                      <w:bCs/>
                      <w:szCs w:val="21"/>
                    </w:rPr>
                  </w:pPr>
                </w:p>
              </w:tc>
              <w:tc>
                <w:tcPr>
                  <w:tcW w:w="748" w:type="dxa"/>
                  <w:vMerge w:val="continue"/>
                  <w:tcBorders>
                    <w:left w:val="single" w:color="auto" w:sz="4" w:space="0"/>
                  </w:tcBorders>
                  <w:vAlign w:val="center"/>
                </w:tcPr>
                <w:p>
                  <w:pPr>
                    <w:adjustRightInd w:val="0"/>
                    <w:snapToGrid w:val="0"/>
                    <w:spacing w:line="240" w:lineRule="atLeast"/>
                    <w:jc w:val="center"/>
                    <w:rPr>
                      <w:bCs/>
                      <w:szCs w:val="21"/>
                    </w:rPr>
                  </w:pPr>
                </w:p>
              </w:tc>
              <w:tc>
                <w:tcPr>
                  <w:tcW w:w="711" w:type="dxa"/>
                  <w:vMerge w:val="continue"/>
                  <w:vAlign w:val="center"/>
                </w:tcPr>
                <w:p>
                  <w:pPr>
                    <w:adjustRightInd w:val="0"/>
                    <w:snapToGrid w:val="0"/>
                    <w:spacing w:line="240" w:lineRule="atLeast"/>
                    <w:jc w:val="center"/>
                    <w:rPr>
                      <w:bCs/>
                      <w:szCs w:val="21"/>
                    </w:rPr>
                  </w:pPr>
                </w:p>
              </w:tc>
              <w:tc>
                <w:tcPr>
                  <w:tcW w:w="871" w:type="dxa"/>
                  <w:vMerge w:val="continue"/>
                  <w:vAlign w:val="center"/>
                </w:tcPr>
                <w:p>
                  <w:pPr>
                    <w:adjustRightInd w:val="0"/>
                    <w:snapToGrid w:val="0"/>
                    <w:spacing w:line="240" w:lineRule="atLeast"/>
                    <w:jc w:val="center"/>
                    <w:rPr>
                      <w:bCs/>
                      <w:szCs w:val="21"/>
                    </w:rPr>
                  </w:pPr>
                </w:p>
              </w:tc>
              <w:tc>
                <w:tcPr>
                  <w:tcW w:w="448" w:type="dxa"/>
                  <w:vMerge w:val="continue"/>
                  <w:vAlign w:val="center"/>
                </w:tcPr>
                <w:p>
                  <w:pPr>
                    <w:adjustRightInd w:val="0"/>
                    <w:snapToGrid w:val="0"/>
                    <w:spacing w:line="240" w:lineRule="atLeast"/>
                    <w:jc w:val="center"/>
                    <w:rPr>
                      <w:bCs/>
                      <w:szCs w:val="21"/>
                    </w:rPr>
                  </w:pPr>
                </w:p>
              </w:tc>
              <w:tc>
                <w:tcPr>
                  <w:tcW w:w="812" w:type="dxa"/>
                  <w:vMerge w:val="continue"/>
                  <w:vAlign w:val="center"/>
                </w:tcPr>
                <w:p>
                  <w:pPr>
                    <w:adjustRightInd w:val="0"/>
                    <w:snapToGrid w:val="0"/>
                    <w:spacing w:line="240" w:lineRule="atLeast"/>
                    <w:jc w:val="center"/>
                    <w:rPr>
                      <w:bCs/>
                      <w:szCs w:val="21"/>
                    </w:rPr>
                  </w:pPr>
                </w:p>
              </w:tc>
              <w:tc>
                <w:tcPr>
                  <w:tcW w:w="610" w:type="dxa"/>
                  <w:vAlign w:val="center"/>
                </w:tcPr>
                <w:p>
                  <w:pPr>
                    <w:pStyle w:val="20"/>
                    <w:tabs>
                      <w:tab w:val="left" w:pos="420"/>
                      <w:tab w:val="left" w:pos="870"/>
                      <w:tab w:val="left" w:pos="3150"/>
                    </w:tabs>
                    <w:snapToGrid w:val="0"/>
                    <w:spacing w:after="0" w:line="240" w:lineRule="atLeast"/>
                    <w:ind w:left="0" w:leftChars="0" w:firstLine="0" w:firstLineChars="0"/>
                    <w:jc w:val="center"/>
                    <w:rPr>
                      <w:bCs/>
                      <w:szCs w:val="21"/>
                    </w:rPr>
                  </w:pPr>
                  <w:r>
                    <w:rPr>
                      <w:bCs/>
                      <w:szCs w:val="21"/>
                    </w:rPr>
                    <w:t>20</w:t>
                  </w:r>
                </w:p>
              </w:tc>
            </w:tr>
          </w:tbl>
          <w:p>
            <w:pPr>
              <w:pStyle w:val="7"/>
              <w:spacing w:before="0" w:after="0" w:line="240" w:lineRule="auto"/>
              <w:ind w:firstLine="482"/>
              <w:rPr>
                <w:b/>
                <w:sz w:val="21"/>
                <w:szCs w:val="21"/>
              </w:rPr>
            </w:pPr>
          </w:p>
          <w:p>
            <w:pPr>
              <w:pStyle w:val="7"/>
              <w:spacing w:before="0" w:after="0" w:line="360" w:lineRule="auto"/>
              <w:ind w:firstLine="482"/>
              <w:rPr>
                <w:b/>
                <w:sz w:val="21"/>
                <w:szCs w:val="21"/>
              </w:rPr>
            </w:pPr>
            <w:r>
              <w:rPr>
                <w:b/>
                <w:sz w:val="21"/>
                <w:szCs w:val="21"/>
              </w:rPr>
              <w:t>2.2、废水污染治理设施及依托污水处理厂可行性分析</w:t>
            </w:r>
          </w:p>
          <w:p>
            <w:pPr>
              <w:snapToGrid w:val="0"/>
              <w:spacing w:line="360" w:lineRule="auto"/>
              <w:ind w:firstLine="420" w:firstLineChars="200"/>
              <w:rPr>
                <w:szCs w:val="21"/>
              </w:rPr>
            </w:pPr>
            <w:r>
              <w:rPr>
                <w:szCs w:val="21"/>
              </w:rPr>
              <w:t>根据“《排污许可证申请与核发技术规范 总则》（HJ 942-2018）中4.5.3.1”，生活污水防治工艺为“过滤、沉淀-活性污泥法、生物接触氧化、其他”等处理技术或其他。本项目地面冲洗废水处理工艺为隔油沉淀池（过滤、沉淀），生活污水处理工艺为化粪池，化粪池是一种利用沉淀和厌氧发酵的原理，去除生活污水中悬浮性有机物的处理设施，属于初级的过渡性生活处理构筑物，可有效处理粪便等，属于可行性技术。</w:t>
            </w:r>
          </w:p>
          <w:p>
            <w:pPr>
              <w:snapToGrid w:val="0"/>
              <w:spacing w:line="360" w:lineRule="auto"/>
              <w:ind w:firstLine="420" w:firstLineChars="200"/>
              <w:rPr>
                <w:szCs w:val="21"/>
              </w:rPr>
            </w:pPr>
            <w:r>
              <w:rPr>
                <w:kern w:val="0"/>
              </w:rPr>
              <w:t>根据工程分析，本项目废水为员工生活污水和地面冲洗废水，主要污染物为</w:t>
            </w:r>
            <w:r>
              <w:t>CODcr、BOD</w:t>
            </w:r>
            <w:r>
              <w:rPr>
                <w:vertAlign w:val="subscript"/>
              </w:rPr>
              <w:t>5</w:t>
            </w:r>
            <w:r>
              <w:t>、SS、氨氮及石油类。项目废水产生量较少、水质较简单，生活污水</w:t>
            </w:r>
            <w:r>
              <w:rPr>
                <w:kern w:val="0"/>
              </w:rPr>
              <w:t>采用</w:t>
            </w:r>
            <w:r>
              <w:rPr>
                <w:snapToGrid w:val="0"/>
                <w:kern w:val="18"/>
              </w:rPr>
              <w:t>化粪池</w:t>
            </w:r>
            <w:r>
              <w:rPr>
                <w:szCs w:val="21"/>
              </w:rPr>
              <w:t>处理、</w:t>
            </w:r>
            <w:r>
              <w:rPr>
                <w:snapToGrid w:val="0"/>
                <w:kern w:val="18"/>
              </w:rPr>
              <w:t>冲洗废水经隔油沉淀池处理后可</w:t>
            </w:r>
            <w:r>
              <w:rPr>
                <w:szCs w:val="21"/>
              </w:rPr>
              <w:t>达到宁都县污水处理厂接管标准后排入市政污水管网，然后进入进宁都县污水处理厂进一步处理达标后排入梅江河。</w:t>
            </w:r>
          </w:p>
          <w:p>
            <w:pPr>
              <w:snapToGrid w:val="0"/>
              <w:spacing w:line="360" w:lineRule="auto"/>
              <w:ind w:firstLine="420" w:firstLineChars="200"/>
              <w:rPr>
                <w:szCs w:val="21"/>
              </w:rPr>
            </w:pPr>
            <w:r>
              <w:rPr>
                <w:szCs w:val="21"/>
              </w:rPr>
              <w:t>宁都县污水处理厂位于江西省赣州市宁都县梅江镇高坑村，项目总投资6000-7000万元。已建成日处理污水4万立方米规模，污水收集管网建设41.5公里。厂区中心地理坐标为：东经116°01′15.6″；北纬26°26′54.1″。服务范围为宁都县城区城市污水。本项目所在地属于宁都县污水处理厂服务范围内，且项目区域市政管网铺设完毕，因此，项目污水纳入宁都县污水处理厂是可行的。</w:t>
            </w:r>
            <w:r>
              <w:rPr>
                <w:rFonts w:hint="eastAsia"/>
                <w:szCs w:val="21"/>
              </w:rPr>
              <w:t>本项目废水排放量为2</w:t>
            </w:r>
            <w:r>
              <w:rPr>
                <w:szCs w:val="21"/>
              </w:rPr>
              <w:t>.83m</w:t>
            </w:r>
            <w:r>
              <w:rPr>
                <w:szCs w:val="21"/>
                <w:vertAlign w:val="superscript"/>
              </w:rPr>
              <w:t>3</w:t>
            </w:r>
            <w:r>
              <w:rPr>
                <w:szCs w:val="21"/>
              </w:rPr>
              <w:t>/d</w:t>
            </w:r>
            <w:r>
              <w:rPr>
                <w:rFonts w:hint="eastAsia"/>
                <w:szCs w:val="21"/>
              </w:rPr>
              <w:t>，占污水处理厂当前处理能力的0</w:t>
            </w:r>
            <w:r>
              <w:rPr>
                <w:szCs w:val="21"/>
              </w:rPr>
              <w:t>.0071%</w:t>
            </w:r>
            <w:r>
              <w:rPr>
                <w:rFonts w:hint="eastAsia"/>
                <w:szCs w:val="21"/>
              </w:rPr>
              <w:t>，不会对污水处理厂进水水量产生冲击。</w:t>
            </w:r>
            <w:r>
              <w:rPr>
                <w:szCs w:val="21"/>
              </w:rPr>
              <w:t>项目产生的生活污水和冲洗地面废水分别经化粪池、隔油沉淀池处理后满足宁都县污水处理厂进水水质要求（《污水综合排放标准》（GB8978-1996）三级标准），不会对宁都县污水处理厂正常运行造成影响。</w:t>
            </w:r>
          </w:p>
          <w:p>
            <w:pPr>
              <w:snapToGrid w:val="0"/>
              <w:spacing w:line="360" w:lineRule="auto"/>
              <w:ind w:firstLine="420" w:firstLineChars="200"/>
              <w:rPr>
                <w:szCs w:val="21"/>
              </w:rPr>
            </w:pPr>
            <w:r>
              <w:rPr>
                <w:szCs w:val="21"/>
              </w:rPr>
              <w:t>综上所述，该项目污废水经厂区初步处理后经市政管网排入宁都县污水处理厂处理是可行的。处理达标后尾水排放执行《城镇污水处理厂污染物排放标准》（GB18918-2002）一级标准的A类标准后排入梅江河，对周围环境产生的影响很小。</w:t>
            </w:r>
          </w:p>
          <w:p>
            <w:pPr>
              <w:snapToGrid w:val="0"/>
              <w:spacing w:line="360" w:lineRule="auto"/>
              <w:ind w:firstLine="422" w:firstLineChars="200"/>
              <w:rPr>
                <w:b/>
                <w:szCs w:val="21"/>
              </w:rPr>
            </w:pPr>
            <w:r>
              <w:rPr>
                <w:b/>
                <w:szCs w:val="21"/>
              </w:rPr>
              <w:t>3、噪声</w:t>
            </w:r>
          </w:p>
          <w:p>
            <w:pPr>
              <w:pStyle w:val="7"/>
              <w:spacing w:before="0" w:after="0" w:line="360" w:lineRule="auto"/>
              <w:ind w:firstLine="482"/>
              <w:rPr>
                <w:b/>
                <w:sz w:val="21"/>
                <w:szCs w:val="21"/>
              </w:rPr>
            </w:pPr>
            <w:r>
              <w:rPr>
                <w:b/>
                <w:sz w:val="21"/>
                <w:szCs w:val="21"/>
              </w:rPr>
              <w:t>3.1、噪声源强</w:t>
            </w:r>
          </w:p>
          <w:p>
            <w:pPr>
              <w:tabs>
                <w:tab w:val="left" w:pos="0"/>
              </w:tabs>
              <w:spacing w:line="360" w:lineRule="auto"/>
              <w:ind w:firstLine="420" w:firstLineChars="200"/>
              <w:rPr>
                <w:kern w:val="21"/>
                <w:szCs w:val="21"/>
              </w:rPr>
            </w:pPr>
            <w:r>
              <w:rPr>
                <w:kern w:val="21"/>
                <w:szCs w:val="21"/>
              </w:rPr>
              <w:t>本项目提供汽车充电服务时不产生噪声，因此项目噪声主要来源于设备噪声及汽车交通噪声，主要有加油机以及加油车辆噪声等，其噪声介于65～75dB（A）之间。其噪声源强见下表4-9。</w:t>
            </w:r>
          </w:p>
          <w:p>
            <w:pPr>
              <w:tabs>
                <w:tab w:val="left" w:pos="0"/>
              </w:tabs>
              <w:spacing w:line="276" w:lineRule="auto"/>
              <w:jc w:val="center"/>
              <w:rPr>
                <w:b/>
                <w:bCs/>
                <w:kern w:val="21"/>
                <w:szCs w:val="21"/>
              </w:rPr>
            </w:pPr>
            <w:r>
              <w:rPr>
                <w:b/>
                <w:bCs/>
                <w:kern w:val="21"/>
                <w:szCs w:val="21"/>
              </w:rPr>
              <w:t>表4-9  项目噪声源强一览表    单位：</w:t>
            </w:r>
            <w:r>
              <w:rPr>
                <w:b/>
                <w:kern w:val="21"/>
                <w:szCs w:val="21"/>
              </w:rPr>
              <w:t>dB(A)</w:t>
            </w:r>
          </w:p>
          <w:tbl>
            <w:tblPr>
              <w:tblStyle w:val="21"/>
              <w:tblW w:w="1260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2323"/>
              <w:gridCol w:w="1939"/>
              <w:gridCol w:w="2943"/>
              <w:gridCol w:w="1309"/>
              <w:gridCol w:w="1843"/>
              <w:gridCol w:w="224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8" w:hRule="atLeast"/>
              </w:trPr>
              <w:tc>
                <w:tcPr>
                  <w:tcW w:w="2323" w:type="dxa"/>
                  <w:shd w:val="clear" w:color="auto" w:fill="FFFFFF"/>
                  <w:vAlign w:val="center"/>
                </w:tcPr>
                <w:p>
                  <w:pPr>
                    <w:pStyle w:val="60"/>
                    <w:contextualSpacing/>
                    <w:rPr>
                      <w:rFonts w:ascii="Times New Roman"/>
                      <w:b/>
                      <w:sz w:val="21"/>
                      <w:szCs w:val="21"/>
                    </w:rPr>
                  </w:pPr>
                  <w:r>
                    <w:rPr>
                      <w:rFonts w:ascii="Times New Roman"/>
                      <w:b/>
                      <w:sz w:val="21"/>
                      <w:szCs w:val="21"/>
                    </w:rPr>
                    <w:t>噪声源</w:t>
                  </w:r>
                </w:p>
              </w:tc>
              <w:tc>
                <w:tcPr>
                  <w:tcW w:w="1939" w:type="dxa"/>
                  <w:shd w:val="clear" w:color="auto" w:fill="FFFFFF"/>
                  <w:vAlign w:val="center"/>
                </w:tcPr>
                <w:p>
                  <w:pPr>
                    <w:pStyle w:val="60"/>
                    <w:contextualSpacing/>
                    <w:rPr>
                      <w:rFonts w:ascii="Times New Roman"/>
                      <w:b/>
                      <w:sz w:val="21"/>
                      <w:szCs w:val="21"/>
                    </w:rPr>
                  </w:pPr>
                  <w:r>
                    <w:rPr>
                      <w:rFonts w:ascii="Times New Roman"/>
                      <w:b/>
                      <w:bCs/>
                      <w:sz w:val="21"/>
                      <w:szCs w:val="21"/>
                    </w:rPr>
                    <w:t>产生强度</w:t>
                  </w:r>
                </w:p>
              </w:tc>
              <w:tc>
                <w:tcPr>
                  <w:tcW w:w="2943" w:type="dxa"/>
                  <w:shd w:val="clear" w:color="auto" w:fill="FFFFFF"/>
                  <w:vAlign w:val="center"/>
                </w:tcPr>
                <w:p>
                  <w:pPr>
                    <w:pStyle w:val="60"/>
                    <w:contextualSpacing/>
                    <w:rPr>
                      <w:rFonts w:ascii="Times New Roman"/>
                      <w:b/>
                      <w:sz w:val="21"/>
                      <w:szCs w:val="21"/>
                    </w:rPr>
                  </w:pPr>
                  <w:r>
                    <w:rPr>
                      <w:rFonts w:ascii="Times New Roman"/>
                      <w:b/>
                      <w:sz w:val="21"/>
                      <w:szCs w:val="21"/>
                    </w:rPr>
                    <w:t>降噪措施</w:t>
                  </w:r>
                </w:p>
              </w:tc>
              <w:tc>
                <w:tcPr>
                  <w:tcW w:w="1309" w:type="dxa"/>
                  <w:shd w:val="clear" w:color="auto" w:fill="FFFFFF"/>
                </w:tcPr>
                <w:p>
                  <w:pPr>
                    <w:pStyle w:val="60"/>
                    <w:contextualSpacing/>
                    <w:rPr>
                      <w:rFonts w:ascii="Times New Roman"/>
                      <w:b/>
                      <w:sz w:val="21"/>
                      <w:szCs w:val="21"/>
                    </w:rPr>
                  </w:pPr>
                  <w:r>
                    <w:rPr>
                      <w:rFonts w:ascii="Times New Roman"/>
                      <w:b/>
                      <w:sz w:val="21"/>
                      <w:szCs w:val="21"/>
                    </w:rPr>
                    <w:t>降噪量</w:t>
                  </w:r>
                </w:p>
              </w:tc>
              <w:tc>
                <w:tcPr>
                  <w:tcW w:w="1843" w:type="dxa"/>
                  <w:shd w:val="clear" w:color="auto" w:fill="FFFFFF"/>
                  <w:vAlign w:val="center"/>
                </w:tcPr>
                <w:p>
                  <w:pPr>
                    <w:pStyle w:val="60"/>
                    <w:contextualSpacing/>
                    <w:rPr>
                      <w:rFonts w:ascii="Times New Roman"/>
                      <w:b/>
                      <w:sz w:val="21"/>
                      <w:szCs w:val="21"/>
                    </w:rPr>
                  </w:pPr>
                  <w:r>
                    <w:rPr>
                      <w:rFonts w:ascii="Times New Roman"/>
                      <w:b/>
                      <w:sz w:val="21"/>
                      <w:szCs w:val="21"/>
                    </w:rPr>
                    <w:t>排放强度</w:t>
                  </w:r>
                </w:p>
              </w:tc>
              <w:tc>
                <w:tcPr>
                  <w:tcW w:w="2244" w:type="dxa"/>
                  <w:shd w:val="clear" w:color="auto" w:fill="FFFFFF"/>
                  <w:vAlign w:val="center"/>
                </w:tcPr>
                <w:p>
                  <w:pPr>
                    <w:pStyle w:val="60"/>
                    <w:contextualSpacing/>
                    <w:rPr>
                      <w:rFonts w:ascii="Times New Roman"/>
                      <w:b/>
                      <w:sz w:val="21"/>
                      <w:szCs w:val="21"/>
                    </w:rPr>
                  </w:pPr>
                  <w:r>
                    <w:rPr>
                      <w:rFonts w:ascii="Times New Roman"/>
                      <w:b/>
                      <w:sz w:val="21"/>
                      <w:szCs w:val="21"/>
                    </w:rPr>
                    <w:t>持续时间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 w:hRule="atLeast"/>
              </w:trPr>
              <w:tc>
                <w:tcPr>
                  <w:tcW w:w="2323" w:type="dxa"/>
                  <w:shd w:val="clear" w:color="auto" w:fill="FFFFFF"/>
                  <w:vAlign w:val="center"/>
                </w:tcPr>
                <w:p>
                  <w:pPr>
                    <w:widowControl/>
                    <w:jc w:val="center"/>
                    <w:rPr>
                      <w:kern w:val="21"/>
                      <w:szCs w:val="21"/>
                    </w:rPr>
                  </w:pPr>
                  <w:r>
                    <w:rPr>
                      <w:szCs w:val="21"/>
                    </w:rPr>
                    <w:t>加油机</w:t>
                  </w:r>
                </w:p>
              </w:tc>
              <w:tc>
                <w:tcPr>
                  <w:tcW w:w="1939" w:type="dxa"/>
                  <w:shd w:val="clear" w:color="auto" w:fill="FFFFFF"/>
                  <w:vAlign w:val="center"/>
                </w:tcPr>
                <w:p>
                  <w:pPr>
                    <w:widowControl/>
                    <w:jc w:val="center"/>
                    <w:rPr>
                      <w:kern w:val="21"/>
                      <w:szCs w:val="21"/>
                    </w:rPr>
                  </w:pPr>
                  <w:r>
                    <w:rPr>
                      <w:kern w:val="0"/>
                      <w:szCs w:val="21"/>
                    </w:rPr>
                    <w:t>65～75</w:t>
                  </w:r>
                </w:p>
              </w:tc>
              <w:tc>
                <w:tcPr>
                  <w:tcW w:w="2943" w:type="dxa"/>
                  <w:vMerge w:val="restart"/>
                  <w:shd w:val="clear" w:color="auto" w:fill="FFFFFF"/>
                  <w:vAlign w:val="center"/>
                </w:tcPr>
                <w:p>
                  <w:pPr>
                    <w:pStyle w:val="60"/>
                    <w:contextualSpacing/>
                    <w:rPr>
                      <w:rFonts w:ascii="Times New Roman"/>
                      <w:sz w:val="21"/>
                      <w:szCs w:val="21"/>
                    </w:rPr>
                  </w:pPr>
                  <w:r>
                    <w:rPr>
                      <w:rFonts w:ascii="Times New Roman"/>
                      <w:sz w:val="21"/>
                      <w:szCs w:val="21"/>
                    </w:rPr>
                    <w:t>选用低噪声设备，采用基础减振、厂内绿化等措施</w:t>
                  </w:r>
                </w:p>
              </w:tc>
              <w:tc>
                <w:tcPr>
                  <w:tcW w:w="1309" w:type="dxa"/>
                  <w:vMerge w:val="restart"/>
                  <w:shd w:val="clear" w:color="auto" w:fill="FFFFFF"/>
                  <w:vAlign w:val="center"/>
                </w:tcPr>
                <w:p>
                  <w:pPr>
                    <w:pStyle w:val="60"/>
                    <w:contextualSpacing/>
                    <w:rPr>
                      <w:rFonts w:ascii="Times New Roman"/>
                      <w:sz w:val="21"/>
                      <w:szCs w:val="21"/>
                    </w:rPr>
                  </w:pPr>
                  <w:r>
                    <w:rPr>
                      <w:rFonts w:ascii="Times New Roman"/>
                      <w:sz w:val="21"/>
                      <w:szCs w:val="21"/>
                    </w:rPr>
                    <w:t>≥10</w:t>
                  </w:r>
                </w:p>
              </w:tc>
              <w:tc>
                <w:tcPr>
                  <w:tcW w:w="1843" w:type="dxa"/>
                  <w:shd w:val="clear" w:color="auto" w:fill="FFFFFF"/>
                  <w:vAlign w:val="center"/>
                </w:tcPr>
                <w:p>
                  <w:pPr>
                    <w:pStyle w:val="60"/>
                    <w:contextualSpacing/>
                    <w:rPr>
                      <w:rFonts w:ascii="Times New Roman"/>
                      <w:sz w:val="21"/>
                      <w:szCs w:val="21"/>
                    </w:rPr>
                  </w:pPr>
                  <w:r>
                    <w:rPr>
                      <w:rFonts w:ascii="Times New Roman"/>
                      <w:sz w:val="21"/>
                      <w:szCs w:val="21"/>
                    </w:rPr>
                    <w:t>≤65</w:t>
                  </w:r>
                </w:p>
              </w:tc>
              <w:tc>
                <w:tcPr>
                  <w:tcW w:w="2244" w:type="dxa"/>
                  <w:shd w:val="clear" w:color="auto" w:fill="FFFFFF"/>
                  <w:vAlign w:val="center"/>
                </w:tcPr>
                <w:p>
                  <w:pPr>
                    <w:pStyle w:val="60"/>
                    <w:contextualSpacing/>
                    <w:rPr>
                      <w:rFonts w:ascii="Times New Roman"/>
                      <w:sz w:val="21"/>
                      <w:szCs w:val="21"/>
                    </w:rPr>
                  </w:pPr>
                  <w:r>
                    <w:rPr>
                      <w:rFonts w:ascii="Times New Roman"/>
                      <w:sz w:val="21"/>
                      <w:szCs w:val="21"/>
                    </w:rPr>
                    <w:t>间歇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 w:hRule="atLeast"/>
              </w:trPr>
              <w:tc>
                <w:tcPr>
                  <w:tcW w:w="2323" w:type="dxa"/>
                  <w:shd w:val="clear" w:color="auto" w:fill="FFFFFF"/>
                  <w:vAlign w:val="center"/>
                </w:tcPr>
                <w:p>
                  <w:pPr>
                    <w:widowControl/>
                    <w:jc w:val="center"/>
                    <w:rPr>
                      <w:kern w:val="21"/>
                      <w:szCs w:val="21"/>
                    </w:rPr>
                  </w:pPr>
                  <w:r>
                    <w:rPr>
                      <w:szCs w:val="21"/>
                    </w:rPr>
                    <w:t>加油、充电车辆噪声</w:t>
                  </w:r>
                </w:p>
              </w:tc>
              <w:tc>
                <w:tcPr>
                  <w:tcW w:w="1939" w:type="dxa"/>
                  <w:shd w:val="clear" w:color="auto" w:fill="FFFFFF"/>
                  <w:vAlign w:val="center"/>
                </w:tcPr>
                <w:p>
                  <w:pPr>
                    <w:widowControl/>
                    <w:jc w:val="center"/>
                    <w:rPr>
                      <w:kern w:val="21"/>
                      <w:szCs w:val="21"/>
                    </w:rPr>
                  </w:pPr>
                  <w:r>
                    <w:rPr>
                      <w:kern w:val="0"/>
                      <w:szCs w:val="21"/>
                    </w:rPr>
                    <w:t>65～75</w:t>
                  </w:r>
                </w:p>
              </w:tc>
              <w:tc>
                <w:tcPr>
                  <w:tcW w:w="2943" w:type="dxa"/>
                  <w:vMerge w:val="continue"/>
                  <w:shd w:val="clear" w:color="auto" w:fill="FFFFFF"/>
                  <w:vAlign w:val="center"/>
                </w:tcPr>
                <w:p>
                  <w:pPr>
                    <w:pStyle w:val="80"/>
                    <w:widowControl w:val="0"/>
                    <w:spacing w:before="0" w:after="0"/>
                    <w:rPr>
                      <w:rFonts w:ascii="Times New Roman"/>
                      <w:color w:val="auto"/>
                      <w:sz w:val="21"/>
                      <w:szCs w:val="21"/>
                    </w:rPr>
                  </w:pPr>
                </w:p>
              </w:tc>
              <w:tc>
                <w:tcPr>
                  <w:tcW w:w="1309" w:type="dxa"/>
                  <w:vMerge w:val="continue"/>
                  <w:shd w:val="clear" w:color="auto" w:fill="FFFFFF"/>
                </w:tcPr>
                <w:p>
                  <w:pPr>
                    <w:pStyle w:val="60"/>
                    <w:contextualSpacing/>
                    <w:rPr>
                      <w:rFonts w:ascii="Times New Roman"/>
                      <w:sz w:val="21"/>
                      <w:szCs w:val="21"/>
                    </w:rPr>
                  </w:pPr>
                </w:p>
              </w:tc>
              <w:tc>
                <w:tcPr>
                  <w:tcW w:w="1843" w:type="dxa"/>
                  <w:shd w:val="clear" w:color="auto" w:fill="FFFFFF"/>
                  <w:vAlign w:val="center"/>
                </w:tcPr>
                <w:p>
                  <w:pPr>
                    <w:pStyle w:val="60"/>
                    <w:contextualSpacing/>
                    <w:rPr>
                      <w:rFonts w:ascii="Times New Roman"/>
                      <w:sz w:val="21"/>
                      <w:szCs w:val="21"/>
                    </w:rPr>
                  </w:pPr>
                  <w:r>
                    <w:rPr>
                      <w:rFonts w:ascii="Times New Roman"/>
                      <w:sz w:val="21"/>
                      <w:szCs w:val="21"/>
                    </w:rPr>
                    <w:t>≤65</w:t>
                  </w:r>
                </w:p>
              </w:tc>
              <w:tc>
                <w:tcPr>
                  <w:tcW w:w="2244" w:type="dxa"/>
                  <w:shd w:val="clear" w:color="auto" w:fill="FFFFFF"/>
                  <w:vAlign w:val="center"/>
                </w:tcPr>
                <w:p>
                  <w:pPr>
                    <w:pStyle w:val="60"/>
                    <w:contextualSpacing/>
                    <w:rPr>
                      <w:rFonts w:ascii="Times New Roman"/>
                      <w:sz w:val="21"/>
                      <w:szCs w:val="21"/>
                    </w:rPr>
                  </w:pPr>
                  <w:r>
                    <w:rPr>
                      <w:rFonts w:ascii="Times New Roman"/>
                      <w:sz w:val="21"/>
                      <w:szCs w:val="21"/>
                    </w:rPr>
                    <w:t>间歇</w:t>
                  </w:r>
                </w:p>
              </w:tc>
            </w:tr>
          </w:tbl>
          <w:p>
            <w:pPr>
              <w:tabs>
                <w:tab w:val="left" w:pos="1275"/>
              </w:tabs>
              <w:ind w:firstLine="422" w:firstLineChars="200"/>
              <w:rPr>
                <w:b/>
                <w:szCs w:val="21"/>
              </w:rPr>
            </w:pPr>
          </w:p>
          <w:p>
            <w:pPr>
              <w:pStyle w:val="7"/>
              <w:spacing w:before="0" w:after="0" w:line="360" w:lineRule="auto"/>
              <w:ind w:firstLine="482"/>
              <w:rPr>
                <w:b/>
                <w:sz w:val="21"/>
                <w:szCs w:val="21"/>
              </w:rPr>
            </w:pPr>
            <w:r>
              <w:rPr>
                <w:b/>
                <w:sz w:val="21"/>
                <w:szCs w:val="21"/>
              </w:rPr>
              <w:t>3.2、噪声影响及达标分析</w:t>
            </w:r>
          </w:p>
          <w:p>
            <w:pPr>
              <w:widowControl/>
              <w:spacing w:line="360" w:lineRule="auto"/>
              <w:ind w:firstLine="420"/>
              <w:rPr>
                <w:b/>
                <w:szCs w:val="21"/>
              </w:rPr>
            </w:pPr>
            <w:r>
              <w:rPr>
                <w:b/>
                <w:szCs w:val="21"/>
              </w:rPr>
              <w:t>达标排放情况：</w:t>
            </w:r>
          </w:p>
          <w:p>
            <w:pPr>
              <w:widowControl/>
              <w:spacing w:line="360" w:lineRule="auto"/>
              <w:ind w:firstLine="420"/>
              <w:rPr>
                <w:kern w:val="0"/>
                <w:szCs w:val="21"/>
              </w:rPr>
            </w:pPr>
            <w:r>
              <w:rPr>
                <w:kern w:val="0"/>
                <w:szCs w:val="21"/>
              </w:rPr>
              <w:t>（1）评价方法及预测模式</w:t>
            </w:r>
          </w:p>
          <w:p>
            <w:pPr>
              <w:widowControl/>
              <w:spacing w:line="360" w:lineRule="auto"/>
              <w:ind w:firstLine="420"/>
              <w:rPr>
                <w:kern w:val="0"/>
                <w:szCs w:val="21"/>
              </w:rPr>
            </w:pPr>
            <w:r>
              <w:rPr>
                <w:kern w:val="0"/>
                <w:szCs w:val="21"/>
              </w:rPr>
              <w:t>为了预测噪声对周围环境影响程度，对本项目噪声声源进行计算，计算采用《环境影响评价技术导则—声环境》（HJ2.4—2021）中推荐的点声源衰减模式，计算公式如下：</w:t>
            </w:r>
          </w:p>
          <w:p>
            <w:pPr>
              <w:widowControl/>
              <w:spacing w:line="360" w:lineRule="auto"/>
              <w:ind w:firstLine="420"/>
              <w:rPr>
                <w:kern w:val="0"/>
                <w:szCs w:val="21"/>
              </w:rPr>
            </w:pPr>
          </w:p>
          <w:p>
            <w:pPr>
              <w:widowControl/>
              <w:spacing w:line="500" w:lineRule="atLeast"/>
              <w:ind w:firstLine="420" w:firstLineChars="200"/>
              <w:jc w:val="center"/>
              <w:rPr>
                <w:kern w:val="0"/>
                <w:szCs w:val="21"/>
              </w:rPr>
            </w:pP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"F:\\进行中的项目\\7抚州2个加油站\\金溪二站\\00送审稿\\工作中\\DOCUME~1\\ADMINI~1\\LOCALS~1\\Temp\\ksohtml\\wps_clip_image-27278.png"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"F:\\进行中的项目\\7抚州2个加油站\\金溪二站\\00送审稿\\工作中\\DOCUME~1\\ADMINI~1\\LOCALS~1\\Temp\\ksohtml\\wps_clip_image-27278.png"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"C:\\Users\\29745\\Desktop\\环保工作\\2021年审查报告\\质量技术部审查报告\\00进贤岚湖加油站（送审稿）9.9\\7抚州2个加油站\\金溪二站\\00送审稿\\工作中\\DOCUME~1\\ADMINI~1\\LOCALS~1\\Temp\\ksohtml\\wps_clip_image-27278.png"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"F:\\宁都新建翠微加油站\\7抚州2个加油站\\金溪二站\\00送审稿\\工作中\\DOCUME~1\\ADMINI~1\\LOCALS~1\\Temp\\ksohtml\\wps_clip_image-27278.png" \* MERGEFORMATINET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"F:\\宁都新建翠微加油站\\赣州宁都翠微加油站项目\\赣州宁都翠微加油站新建项目\\7抚州2个加油站\\金溪二站\\00送审稿\\工作中\\DOCUME~1\\ADMINI~1\\LOCALS~1\\Temp\\ksohtml\\wps_clip_image-27278.png" \* MERGEFORMATINET</w:instrText>
            </w:r>
            <w:r>
              <w:rPr>
                <w:kern w:val="0"/>
                <w:szCs w:val="21"/>
              </w:rPr>
              <w:instrText xml:space="preserve"> </w:instrText>
            </w:r>
            <w:r>
              <w:rPr>
                <w:kern w:val="0"/>
                <w:szCs w:val="21"/>
              </w:rPr>
              <w:fldChar w:fldCharType="separate"/>
            </w:r>
            <w:r>
              <w:rPr>
                <w:kern w:val="0"/>
                <w:szCs w:val="21"/>
              </w:rPr>
              <w:drawing>
                <wp:inline distT="0" distB="0" distL="114300" distR="114300">
                  <wp:extent cx="3086735" cy="716915"/>
                  <wp:effectExtent l="0" t="0" r="18415" b="698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7" r:link="rId18"/>
                          <a:stretch>
                            <a:fillRect/>
                          </a:stretch>
                        </pic:blipFill>
                        <pic:spPr>
                          <a:xfrm>
                            <a:off x="0" y="0"/>
                            <a:ext cx="3086735" cy="716915"/>
                          </a:xfrm>
                          <a:prstGeom prst="rect">
                            <a:avLst/>
                          </a:prstGeom>
                          <a:noFill/>
                          <a:ln>
                            <a:noFill/>
                          </a:ln>
                        </pic:spPr>
                      </pic:pic>
                    </a:graphicData>
                  </a:graphic>
                </wp:inline>
              </w:drawing>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p>
          <w:p>
            <w:pPr>
              <w:widowControl/>
              <w:spacing w:line="360" w:lineRule="auto"/>
              <w:ind w:left="6" w:firstLine="420" w:firstLineChars="200"/>
              <w:jc w:val="left"/>
              <w:rPr>
                <w:kern w:val="0"/>
                <w:szCs w:val="21"/>
              </w:rPr>
            </w:pPr>
            <w:r>
              <w:rPr>
                <w:kern w:val="0"/>
                <w:szCs w:val="21"/>
              </w:rPr>
              <w:t>式中：</w:t>
            </w:r>
          </w:p>
          <w:p>
            <w:pPr>
              <w:widowControl/>
              <w:spacing w:line="360" w:lineRule="auto"/>
              <w:ind w:left="6" w:firstLine="420" w:firstLineChars="200"/>
              <w:jc w:val="left"/>
              <w:rPr>
                <w:kern w:val="0"/>
                <w:szCs w:val="21"/>
              </w:rPr>
            </w:pPr>
            <w:r>
              <w:rPr>
                <w:kern w:val="0"/>
                <w:szCs w:val="21"/>
              </w:rPr>
              <w:t>Leqg——建设项目声源在预测点的等效声级贡献值，dB(A)；</w:t>
            </w:r>
          </w:p>
          <w:p>
            <w:pPr>
              <w:widowControl/>
              <w:spacing w:line="360" w:lineRule="auto"/>
              <w:ind w:left="6" w:firstLine="420" w:firstLineChars="200"/>
              <w:jc w:val="left"/>
              <w:rPr>
                <w:kern w:val="0"/>
                <w:szCs w:val="21"/>
              </w:rPr>
            </w:pPr>
            <w:r>
              <w:rPr>
                <w:kern w:val="0"/>
                <w:szCs w:val="21"/>
              </w:rPr>
              <w:t>Lai——i声源在预测点产生的A声级，dB(A)；</w:t>
            </w:r>
          </w:p>
          <w:p>
            <w:pPr>
              <w:widowControl/>
              <w:spacing w:line="360" w:lineRule="auto"/>
              <w:ind w:left="6" w:firstLine="420" w:firstLineChars="200"/>
              <w:jc w:val="left"/>
              <w:rPr>
                <w:kern w:val="0"/>
                <w:szCs w:val="21"/>
              </w:rPr>
            </w:pPr>
            <w:r>
              <w:rPr>
                <w:kern w:val="0"/>
                <w:szCs w:val="21"/>
              </w:rPr>
              <w:t>T——预测计算的时间段，s；</w:t>
            </w:r>
          </w:p>
          <w:p>
            <w:pPr>
              <w:widowControl/>
              <w:spacing w:line="360" w:lineRule="auto"/>
              <w:ind w:left="6" w:firstLine="420" w:firstLineChars="200"/>
              <w:jc w:val="left"/>
              <w:rPr>
                <w:kern w:val="0"/>
                <w:szCs w:val="21"/>
              </w:rPr>
            </w:pPr>
            <w:r>
              <w:rPr>
                <w:kern w:val="0"/>
                <w:szCs w:val="21"/>
              </w:rPr>
              <w:t>t</w:t>
            </w:r>
            <w:r>
              <w:rPr>
                <w:kern w:val="0"/>
                <w:szCs w:val="21"/>
                <w:vertAlign w:val="subscript"/>
              </w:rPr>
              <w:t>i</w:t>
            </w:r>
            <w:r>
              <w:rPr>
                <w:kern w:val="0"/>
                <w:szCs w:val="21"/>
              </w:rPr>
              <w:t xml:space="preserve"> ——i声源在T 时段内的运行时间，s。</w:t>
            </w:r>
          </w:p>
          <w:p>
            <w:pPr>
              <w:widowControl/>
              <w:spacing w:line="360" w:lineRule="auto"/>
              <w:ind w:left="6" w:firstLine="420" w:firstLineChars="200"/>
              <w:jc w:val="left"/>
              <w:rPr>
                <w:kern w:val="0"/>
                <w:szCs w:val="21"/>
              </w:rPr>
            </w:pPr>
            <w:r>
              <w:rPr>
                <w:kern w:val="0"/>
                <w:szCs w:val="21"/>
              </w:rPr>
              <w:t>多源叠加计算总声压级：</w:t>
            </w:r>
          </w:p>
          <w:p>
            <w:pPr>
              <w:widowControl/>
              <w:spacing w:line="360" w:lineRule="auto"/>
              <w:ind w:left="6" w:firstLine="420" w:firstLineChars="200"/>
              <w:jc w:val="left"/>
              <w:rPr>
                <w:kern w:val="0"/>
                <w:szCs w:val="21"/>
              </w:rPr>
            </w:pPr>
            <w:r>
              <w:rPr>
                <w:kern w:val="0"/>
                <w:szCs w:val="21"/>
              </w:rPr>
              <w:t>各受声点上受到多个声源的影响叠加，计算公式如下：</w:t>
            </w:r>
          </w:p>
          <w:p>
            <w:pPr>
              <w:widowControl/>
              <w:spacing w:line="360" w:lineRule="auto"/>
              <w:ind w:firstLine="420" w:firstLineChars="200"/>
              <w:jc w:val="center"/>
              <w:rPr>
                <w:kern w:val="0"/>
                <w:szCs w:val="21"/>
              </w:rPr>
            </w:pP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"F:\\进行中的项目\\7抚州2个加油站\\金溪二站\\00送审稿\\工作中\\DOCUME~1\\ADMINI~1\\LOCALS~1\\Temp\\ksohtml\\wps_clip_image-32495.png"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"F:\\进行中的项目\\7抚州2个加油站\\金溪二站\\00送审稿\\工作中\\DOCUME~1\\ADMINI~1\\LOCALS~1\\Temp\\ksohtml\\wps_clip_image-32495.png"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"C:\\Users\\29745\\Desktop\\环保工作\\2021年审查报告\\质量技术部审查报告\\00进贤岚湖加油站（送审稿）9.9\\7抚州2个加油站\\金溪二站\\00送审稿\\工作中\\DOCUME~1\\ADMINI~1\\LOCALS~1\\Temp\\ksohtml\\wps_clip_image-32495.png"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"E:\\工作中\\2021年工作\\7抚州2个加油站\\金溪二站\\00送审稿\\工作中\\DOCUME~1\\ADMINI~1\\LOCALS~1\\Temp\\ksohtml\\wps_clip_image-32495.png"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"C:\\Users\\7抚州2个加油站\\金溪二站\\00送审稿\\工作中\\DOCUME~1\\ADMINI~1\\LOCALS~1\\Temp\\ksohtml\\wps_clip_image-32495.png"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INCLUDEPICTURE  "F:\\宁都新建翠微加油站\\7抚州2个加油站\\金溪二站\\00送审稿\\工作中\\DOCUME~1\\ADMINI~1\\LOCALS~1\\Temp\\ksohtml\\wps_clip_image-32495.png" \* MERGEFORMATINET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fldChar w:fldCharType="begin"/>
            </w:r>
            <w:r>
              <w:rPr>
                <w:kern w:val="0"/>
                <w:szCs w:val="21"/>
              </w:rPr>
              <w:instrText xml:space="preserve"> </w:instrText>
            </w:r>
            <w:r>
              <w:rPr>
                <w:rFonts w:hint="eastAsia"/>
                <w:kern w:val="0"/>
                <w:szCs w:val="21"/>
              </w:rPr>
              <w:instrText xml:space="preserve">INCLUDEPICTURE  "F:\\宁都新建翠微加油站\\赣州宁都翠微加油站项目\\赣州宁都翠微加油站新建项目\\7抚州2个加油站\\金溪二站\\00送审稿\\工作中\\DOCUME~1\\ADMINI~1\\LOCALS~1\\Temp\\ksohtml\\wps_clip_image-32495.png" \* MERGEFORMATINET</w:instrText>
            </w:r>
            <w:r>
              <w:rPr>
                <w:kern w:val="0"/>
                <w:szCs w:val="21"/>
              </w:rPr>
              <w:instrText xml:space="preserve"> </w:instrText>
            </w:r>
            <w:r>
              <w:rPr>
                <w:kern w:val="0"/>
                <w:szCs w:val="21"/>
              </w:rPr>
              <w:fldChar w:fldCharType="separate"/>
            </w:r>
            <w:r>
              <w:rPr>
                <w:kern w:val="0"/>
                <w:szCs w:val="21"/>
              </w:rPr>
              <w:drawing>
                <wp:inline distT="0" distB="0" distL="114300" distR="114300">
                  <wp:extent cx="3555365" cy="563245"/>
                  <wp:effectExtent l="0" t="0" r="6985" b="825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9" r:link="rId20"/>
                          <a:stretch>
                            <a:fillRect/>
                          </a:stretch>
                        </pic:blipFill>
                        <pic:spPr>
                          <a:xfrm>
                            <a:off x="0" y="0"/>
                            <a:ext cx="3555365" cy="563245"/>
                          </a:xfrm>
                          <a:prstGeom prst="rect">
                            <a:avLst/>
                          </a:prstGeom>
                          <a:noFill/>
                          <a:ln>
                            <a:noFill/>
                          </a:ln>
                        </pic:spPr>
                      </pic:pic>
                    </a:graphicData>
                  </a:graphic>
                </wp:inline>
              </w:drawing>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r>
              <w:rPr>
                <w:kern w:val="0"/>
                <w:szCs w:val="21"/>
              </w:rPr>
              <w:fldChar w:fldCharType="end"/>
            </w:r>
          </w:p>
          <w:p>
            <w:pPr>
              <w:widowControl/>
              <w:spacing w:line="360" w:lineRule="auto"/>
              <w:ind w:firstLine="420" w:firstLineChars="200"/>
              <w:jc w:val="left"/>
              <w:rPr>
                <w:kern w:val="0"/>
                <w:szCs w:val="21"/>
              </w:rPr>
            </w:pPr>
            <w:r>
              <w:rPr>
                <w:kern w:val="0"/>
                <w:szCs w:val="21"/>
              </w:rPr>
              <w:t>式中：</w:t>
            </w:r>
          </w:p>
          <w:p>
            <w:pPr>
              <w:widowControl/>
              <w:spacing w:line="360" w:lineRule="auto"/>
              <w:ind w:firstLine="420" w:firstLineChars="200"/>
              <w:jc w:val="left"/>
              <w:rPr>
                <w:kern w:val="0"/>
                <w:szCs w:val="21"/>
              </w:rPr>
            </w:pPr>
            <w:r>
              <w:rPr>
                <w:kern w:val="0"/>
                <w:szCs w:val="21"/>
              </w:rPr>
              <w:t>Leqg——建设项目声源在预测点的等效声级贡献值，dB(A)；</w:t>
            </w:r>
          </w:p>
          <w:p>
            <w:pPr>
              <w:widowControl/>
              <w:spacing w:line="360" w:lineRule="auto"/>
              <w:ind w:firstLine="420" w:firstLineChars="200"/>
              <w:jc w:val="left"/>
              <w:rPr>
                <w:kern w:val="0"/>
                <w:szCs w:val="21"/>
              </w:rPr>
            </w:pPr>
            <w:r>
              <w:rPr>
                <w:kern w:val="0"/>
                <w:szCs w:val="21"/>
              </w:rPr>
              <w:t>Leqb——预测点的背景值，dB(A)。</w:t>
            </w:r>
          </w:p>
          <w:p>
            <w:pPr>
              <w:spacing w:line="360" w:lineRule="auto"/>
              <w:ind w:firstLine="480"/>
              <w:rPr>
                <w:szCs w:val="21"/>
              </w:rPr>
            </w:pPr>
            <w:r>
              <w:rPr>
                <w:szCs w:val="21"/>
              </w:rPr>
              <w:t>（2）预测结果</w:t>
            </w:r>
          </w:p>
          <w:p>
            <w:pPr>
              <w:spacing w:line="360" w:lineRule="auto"/>
              <w:ind w:firstLine="480"/>
              <w:rPr>
                <w:szCs w:val="21"/>
              </w:rPr>
            </w:pPr>
            <w:r>
              <w:rPr>
                <w:szCs w:val="21"/>
              </w:rPr>
              <w:t>本项目加油机采用降噪设备、基础减振等措施，隔声降噪量取10dB(A)。根据本项目总平面布置图，项目噪声源对厂界四周及敏感点处声环境的贡献值见表4-10。</w:t>
            </w:r>
          </w:p>
          <w:p>
            <w:pPr>
              <w:spacing w:line="360" w:lineRule="auto"/>
              <w:ind w:firstLine="480"/>
              <w:rPr>
                <w:color w:val="FF0000"/>
                <w:szCs w:val="21"/>
              </w:rPr>
            </w:pPr>
          </w:p>
          <w:p>
            <w:pPr>
              <w:pStyle w:val="77"/>
              <w:spacing w:line="276" w:lineRule="auto"/>
              <w:rPr>
                <w:b/>
                <w:sz w:val="21"/>
                <w:szCs w:val="21"/>
              </w:rPr>
            </w:pPr>
            <w:r>
              <w:rPr>
                <w:b/>
                <w:sz w:val="21"/>
                <w:szCs w:val="21"/>
              </w:rPr>
              <w:t xml:space="preserve">表4-10  </w:t>
            </w:r>
            <w:r>
              <w:rPr>
                <w:b/>
                <w:spacing w:val="4"/>
                <w:sz w:val="21"/>
                <w:szCs w:val="21"/>
              </w:rPr>
              <w:t>项目噪声源对厂界声环境的贡献值  单位：dB(A)</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autofit"/>
              <w:tblCellMar>
                <w:top w:w="0" w:type="dxa"/>
                <w:left w:w="0" w:type="dxa"/>
                <w:bottom w:w="0" w:type="dxa"/>
                <w:right w:w="0" w:type="dxa"/>
              </w:tblCellMar>
            </w:tblPr>
            <w:tblGrid>
              <w:gridCol w:w="2739"/>
              <w:gridCol w:w="1242"/>
              <w:gridCol w:w="1245"/>
              <w:gridCol w:w="1242"/>
              <w:gridCol w:w="1242"/>
              <w:gridCol w:w="1242"/>
              <w:gridCol w:w="1242"/>
              <w:gridCol w:w="1242"/>
              <w:gridCol w:w="124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PrEx>
              <w:trPr>
                <w:trHeight w:val="340" w:hRule="atLeast"/>
              </w:trPr>
              <w:tc>
                <w:tcPr>
                  <w:tcW w:w="1080" w:type="pct"/>
                  <w:vMerge w:val="restart"/>
                  <w:tcMar>
                    <w:top w:w="0" w:type="dxa"/>
                    <w:left w:w="108" w:type="dxa"/>
                    <w:bottom w:w="0" w:type="dxa"/>
                    <w:right w:w="108" w:type="dxa"/>
                  </w:tcMar>
                  <w:vAlign w:val="center"/>
                </w:tcPr>
                <w:p>
                  <w:pPr>
                    <w:jc w:val="center"/>
                    <w:rPr>
                      <w:szCs w:val="21"/>
                    </w:rPr>
                  </w:pPr>
                  <w:r>
                    <w:rPr>
                      <w:szCs w:val="21"/>
                    </w:rPr>
                    <w:t>噪声源</w:t>
                  </w:r>
                </w:p>
              </w:tc>
              <w:tc>
                <w:tcPr>
                  <w:tcW w:w="981" w:type="pct"/>
                  <w:gridSpan w:val="2"/>
                  <w:tcMar>
                    <w:top w:w="0" w:type="dxa"/>
                    <w:left w:w="108" w:type="dxa"/>
                    <w:bottom w:w="0" w:type="dxa"/>
                    <w:right w:w="108" w:type="dxa"/>
                  </w:tcMar>
                  <w:vAlign w:val="center"/>
                </w:tcPr>
                <w:p>
                  <w:pPr>
                    <w:jc w:val="center"/>
                    <w:rPr>
                      <w:szCs w:val="21"/>
                    </w:rPr>
                  </w:pPr>
                  <w:r>
                    <w:rPr>
                      <w:szCs w:val="21"/>
                    </w:rPr>
                    <w:t>厂界东</w:t>
                  </w:r>
                </w:p>
              </w:tc>
              <w:tc>
                <w:tcPr>
                  <w:tcW w:w="980" w:type="pct"/>
                  <w:gridSpan w:val="2"/>
                  <w:tcMar>
                    <w:top w:w="0" w:type="dxa"/>
                    <w:left w:w="108" w:type="dxa"/>
                    <w:bottom w:w="0" w:type="dxa"/>
                    <w:right w:w="108" w:type="dxa"/>
                  </w:tcMar>
                  <w:vAlign w:val="center"/>
                </w:tcPr>
                <w:p>
                  <w:pPr>
                    <w:jc w:val="center"/>
                    <w:rPr>
                      <w:szCs w:val="21"/>
                    </w:rPr>
                  </w:pPr>
                  <w:r>
                    <w:rPr>
                      <w:szCs w:val="21"/>
                    </w:rPr>
                    <w:t>厂界南</w:t>
                  </w:r>
                </w:p>
              </w:tc>
              <w:tc>
                <w:tcPr>
                  <w:tcW w:w="980" w:type="pct"/>
                  <w:gridSpan w:val="2"/>
                  <w:tcMar>
                    <w:top w:w="0" w:type="dxa"/>
                    <w:left w:w="108" w:type="dxa"/>
                    <w:bottom w:w="0" w:type="dxa"/>
                    <w:right w:w="108" w:type="dxa"/>
                  </w:tcMar>
                  <w:vAlign w:val="center"/>
                </w:tcPr>
                <w:p>
                  <w:pPr>
                    <w:jc w:val="center"/>
                    <w:rPr>
                      <w:szCs w:val="21"/>
                    </w:rPr>
                  </w:pPr>
                  <w:r>
                    <w:rPr>
                      <w:szCs w:val="21"/>
                    </w:rPr>
                    <w:t>厂界西</w:t>
                  </w:r>
                </w:p>
              </w:tc>
              <w:tc>
                <w:tcPr>
                  <w:tcW w:w="979" w:type="pct"/>
                  <w:gridSpan w:val="2"/>
                  <w:tcMar>
                    <w:top w:w="0" w:type="dxa"/>
                    <w:left w:w="108" w:type="dxa"/>
                    <w:bottom w:w="0" w:type="dxa"/>
                    <w:right w:w="108" w:type="dxa"/>
                  </w:tcMar>
                  <w:vAlign w:val="center"/>
                </w:tcPr>
                <w:p>
                  <w:pPr>
                    <w:jc w:val="center"/>
                    <w:rPr>
                      <w:szCs w:val="21"/>
                    </w:rPr>
                  </w:pPr>
                  <w:r>
                    <w:rPr>
                      <w:szCs w:val="21"/>
                    </w:rPr>
                    <w:t>厂界北</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PrEx>
              <w:trPr>
                <w:trHeight w:val="340" w:hRule="atLeast"/>
              </w:trPr>
              <w:tc>
                <w:tcPr>
                  <w:tcW w:w="1080" w:type="pct"/>
                  <w:vMerge w:val="continue"/>
                  <w:tcMar>
                    <w:top w:w="0" w:type="dxa"/>
                    <w:left w:w="108" w:type="dxa"/>
                    <w:bottom w:w="0" w:type="dxa"/>
                    <w:right w:w="108" w:type="dxa"/>
                  </w:tcMar>
                  <w:vAlign w:val="center"/>
                </w:tcPr>
                <w:p>
                  <w:pPr>
                    <w:jc w:val="center"/>
                    <w:rPr>
                      <w:szCs w:val="21"/>
                    </w:rPr>
                  </w:pPr>
                </w:p>
              </w:tc>
              <w:tc>
                <w:tcPr>
                  <w:tcW w:w="490" w:type="pct"/>
                  <w:tcMar>
                    <w:top w:w="0" w:type="dxa"/>
                    <w:left w:w="108" w:type="dxa"/>
                    <w:bottom w:w="0" w:type="dxa"/>
                    <w:right w:w="108" w:type="dxa"/>
                  </w:tcMar>
                  <w:vAlign w:val="center"/>
                </w:tcPr>
                <w:p>
                  <w:pPr>
                    <w:jc w:val="center"/>
                    <w:rPr>
                      <w:szCs w:val="21"/>
                    </w:rPr>
                  </w:pPr>
                  <w:r>
                    <w:rPr>
                      <w:szCs w:val="21"/>
                    </w:rPr>
                    <w:t>距离m</w:t>
                  </w:r>
                </w:p>
              </w:tc>
              <w:tc>
                <w:tcPr>
                  <w:tcW w:w="491" w:type="pct"/>
                  <w:tcMar>
                    <w:top w:w="0" w:type="dxa"/>
                    <w:left w:w="108" w:type="dxa"/>
                    <w:bottom w:w="0" w:type="dxa"/>
                    <w:right w:w="108" w:type="dxa"/>
                  </w:tcMar>
                  <w:vAlign w:val="center"/>
                </w:tcPr>
                <w:p>
                  <w:pPr>
                    <w:jc w:val="center"/>
                    <w:rPr>
                      <w:szCs w:val="21"/>
                    </w:rPr>
                  </w:pPr>
                  <w:r>
                    <w:rPr>
                      <w:szCs w:val="21"/>
                    </w:rPr>
                    <w:t>贡献值</w:t>
                  </w:r>
                </w:p>
              </w:tc>
              <w:tc>
                <w:tcPr>
                  <w:tcW w:w="490" w:type="pct"/>
                  <w:tcMar>
                    <w:top w:w="0" w:type="dxa"/>
                    <w:left w:w="108" w:type="dxa"/>
                    <w:bottom w:w="0" w:type="dxa"/>
                    <w:right w:w="108" w:type="dxa"/>
                  </w:tcMar>
                  <w:vAlign w:val="center"/>
                </w:tcPr>
                <w:p>
                  <w:pPr>
                    <w:jc w:val="center"/>
                    <w:rPr>
                      <w:szCs w:val="21"/>
                    </w:rPr>
                  </w:pPr>
                  <w:r>
                    <w:rPr>
                      <w:szCs w:val="21"/>
                    </w:rPr>
                    <w:t>距离m</w:t>
                  </w:r>
                </w:p>
              </w:tc>
              <w:tc>
                <w:tcPr>
                  <w:tcW w:w="490" w:type="pct"/>
                  <w:tcMar>
                    <w:top w:w="0" w:type="dxa"/>
                    <w:left w:w="108" w:type="dxa"/>
                    <w:bottom w:w="0" w:type="dxa"/>
                    <w:right w:w="108" w:type="dxa"/>
                  </w:tcMar>
                  <w:vAlign w:val="center"/>
                </w:tcPr>
                <w:p>
                  <w:pPr>
                    <w:jc w:val="center"/>
                    <w:rPr>
                      <w:szCs w:val="21"/>
                    </w:rPr>
                  </w:pPr>
                  <w:r>
                    <w:rPr>
                      <w:szCs w:val="21"/>
                    </w:rPr>
                    <w:t>贡献值</w:t>
                  </w:r>
                </w:p>
              </w:tc>
              <w:tc>
                <w:tcPr>
                  <w:tcW w:w="490" w:type="pct"/>
                  <w:tcMar>
                    <w:top w:w="0" w:type="dxa"/>
                    <w:left w:w="108" w:type="dxa"/>
                    <w:bottom w:w="0" w:type="dxa"/>
                    <w:right w:w="108" w:type="dxa"/>
                  </w:tcMar>
                  <w:vAlign w:val="center"/>
                </w:tcPr>
                <w:p>
                  <w:pPr>
                    <w:jc w:val="center"/>
                    <w:rPr>
                      <w:szCs w:val="21"/>
                    </w:rPr>
                  </w:pPr>
                  <w:r>
                    <w:rPr>
                      <w:szCs w:val="21"/>
                    </w:rPr>
                    <w:t>距离m</w:t>
                  </w:r>
                </w:p>
              </w:tc>
              <w:tc>
                <w:tcPr>
                  <w:tcW w:w="490" w:type="pct"/>
                  <w:tcMar>
                    <w:top w:w="0" w:type="dxa"/>
                    <w:left w:w="108" w:type="dxa"/>
                    <w:bottom w:w="0" w:type="dxa"/>
                    <w:right w:w="108" w:type="dxa"/>
                  </w:tcMar>
                  <w:vAlign w:val="center"/>
                </w:tcPr>
                <w:p>
                  <w:pPr>
                    <w:jc w:val="center"/>
                    <w:rPr>
                      <w:szCs w:val="21"/>
                    </w:rPr>
                  </w:pPr>
                  <w:r>
                    <w:rPr>
                      <w:szCs w:val="21"/>
                    </w:rPr>
                    <w:t>贡献值</w:t>
                  </w:r>
                </w:p>
              </w:tc>
              <w:tc>
                <w:tcPr>
                  <w:tcW w:w="490" w:type="pct"/>
                  <w:tcMar>
                    <w:top w:w="0" w:type="dxa"/>
                    <w:left w:w="108" w:type="dxa"/>
                    <w:bottom w:w="0" w:type="dxa"/>
                    <w:right w:w="108" w:type="dxa"/>
                  </w:tcMar>
                  <w:vAlign w:val="center"/>
                </w:tcPr>
                <w:p>
                  <w:pPr>
                    <w:jc w:val="center"/>
                    <w:rPr>
                      <w:szCs w:val="21"/>
                    </w:rPr>
                  </w:pPr>
                  <w:r>
                    <w:rPr>
                      <w:szCs w:val="21"/>
                    </w:rPr>
                    <w:t>距离m</w:t>
                  </w:r>
                </w:p>
              </w:tc>
              <w:tc>
                <w:tcPr>
                  <w:tcW w:w="489" w:type="pct"/>
                  <w:tcMar>
                    <w:top w:w="0" w:type="dxa"/>
                    <w:left w:w="108" w:type="dxa"/>
                    <w:bottom w:w="0" w:type="dxa"/>
                    <w:right w:w="108" w:type="dxa"/>
                  </w:tcMar>
                  <w:vAlign w:val="center"/>
                </w:tcPr>
                <w:p>
                  <w:pPr>
                    <w:jc w:val="center"/>
                    <w:rPr>
                      <w:szCs w:val="21"/>
                    </w:rPr>
                  </w:pPr>
                  <w:r>
                    <w:rPr>
                      <w:szCs w:val="21"/>
                    </w:rPr>
                    <w:t>贡献值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PrEx>
              <w:trPr>
                <w:trHeight w:val="340" w:hRule="atLeast"/>
              </w:trPr>
              <w:tc>
                <w:tcPr>
                  <w:tcW w:w="1080" w:type="pct"/>
                  <w:tcMar>
                    <w:top w:w="0" w:type="dxa"/>
                    <w:left w:w="108" w:type="dxa"/>
                    <w:bottom w:w="0" w:type="dxa"/>
                    <w:right w:w="108" w:type="dxa"/>
                  </w:tcMar>
                  <w:vAlign w:val="center"/>
                </w:tcPr>
                <w:p>
                  <w:pPr>
                    <w:jc w:val="center"/>
                    <w:rPr>
                      <w:szCs w:val="21"/>
                    </w:rPr>
                  </w:pPr>
                  <w:r>
                    <w:rPr>
                      <w:szCs w:val="21"/>
                    </w:rPr>
                    <w:t>加油机</w:t>
                  </w:r>
                </w:p>
              </w:tc>
              <w:tc>
                <w:tcPr>
                  <w:tcW w:w="490" w:type="pct"/>
                  <w:tcMar>
                    <w:top w:w="0" w:type="dxa"/>
                    <w:left w:w="108" w:type="dxa"/>
                    <w:bottom w:w="0" w:type="dxa"/>
                    <w:right w:w="108" w:type="dxa"/>
                  </w:tcMar>
                  <w:vAlign w:val="center"/>
                </w:tcPr>
                <w:p>
                  <w:pPr>
                    <w:jc w:val="center"/>
                    <w:rPr>
                      <w:szCs w:val="21"/>
                    </w:rPr>
                  </w:pPr>
                  <w:r>
                    <w:rPr>
                      <w:szCs w:val="21"/>
                    </w:rPr>
                    <w:t>44</w:t>
                  </w:r>
                </w:p>
              </w:tc>
              <w:tc>
                <w:tcPr>
                  <w:tcW w:w="491" w:type="pct"/>
                  <w:tcMar>
                    <w:top w:w="0" w:type="dxa"/>
                    <w:left w:w="108" w:type="dxa"/>
                    <w:bottom w:w="0" w:type="dxa"/>
                    <w:right w:w="108" w:type="dxa"/>
                  </w:tcMar>
                  <w:vAlign w:val="center"/>
                </w:tcPr>
                <w:p>
                  <w:pPr>
                    <w:jc w:val="center"/>
                    <w:rPr>
                      <w:szCs w:val="21"/>
                    </w:rPr>
                  </w:pPr>
                  <w:r>
                    <w:rPr>
                      <w:szCs w:val="21"/>
                    </w:rPr>
                    <w:t>22.2</w:t>
                  </w:r>
                </w:p>
              </w:tc>
              <w:tc>
                <w:tcPr>
                  <w:tcW w:w="490" w:type="pct"/>
                  <w:tcMar>
                    <w:top w:w="0" w:type="dxa"/>
                    <w:left w:w="108" w:type="dxa"/>
                    <w:bottom w:w="0" w:type="dxa"/>
                    <w:right w:w="108" w:type="dxa"/>
                  </w:tcMar>
                  <w:vAlign w:val="center"/>
                </w:tcPr>
                <w:p>
                  <w:pPr>
                    <w:jc w:val="center"/>
                    <w:rPr>
                      <w:szCs w:val="21"/>
                    </w:rPr>
                  </w:pPr>
                  <w:r>
                    <w:rPr>
                      <w:szCs w:val="21"/>
                    </w:rPr>
                    <w:t>28</w:t>
                  </w:r>
                </w:p>
              </w:tc>
              <w:tc>
                <w:tcPr>
                  <w:tcW w:w="490" w:type="pct"/>
                  <w:tcMar>
                    <w:top w:w="0" w:type="dxa"/>
                    <w:left w:w="108" w:type="dxa"/>
                    <w:bottom w:w="0" w:type="dxa"/>
                    <w:right w:w="108" w:type="dxa"/>
                  </w:tcMar>
                  <w:vAlign w:val="center"/>
                </w:tcPr>
                <w:p>
                  <w:pPr>
                    <w:jc w:val="center"/>
                    <w:rPr>
                      <w:szCs w:val="21"/>
                    </w:rPr>
                  </w:pPr>
                  <w:r>
                    <w:rPr>
                      <w:szCs w:val="21"/>
                    </w:rPr>
                    <w:t>27</w:t>
                  </w:r>
                </w:p>
              </w:tc>
              <w:tc>
                <w:tcPr>
                  <w:tcW w:w="490" w:type="pct"/>
                  <w:tcMar>
                    <w:top w:w="0" w:type="dxa"/>
                    <w:left w:w="108" w:type="dxa"/>
                    <w:bottom w:w="0" w:type="dxa"/>
                    <w:right w:w="108" w:type="dxa"/>
                  </w:tcMar>
                  <w:vAlign w:val="center"/>
                </w:tcPr>
                <w:p>
                  <w:pPr>
                    <w:jc w:val="center"/>
                    <w:rPr>
                      <w:szCs w:val="21"/>
                    </w:rPr>
                  </w:pPr>
                  <w:r>
                    <w:rPr>
                      <w:szCs w:val="21"/>
                    </w:rPr>
                    <w:t>11</w:t>
                  </w:r>
                </w:p>
              </w:tc>
              <w:tc>
                <w:tcPr>
                  <w:tcW w:w="490" w:type="pct"/>
                  <w:tcMar>
                    <w:top w:w="0" w:type="dxa"/>
                    <w:left w:w="108" w:type="dxa"/>
                    <w:bottom w:w="0" w:type="dxa"/>
                    <w:right w:w="108" w:type="dxa"/>
                  </w:tcMar>
                  <w:vAlign w:val="center"/>
                </w:tcPr>
                <w:p>
                  <w:pPr>
                    <w:jc w:val="center"/>
                    <w:rPr>
                      <w:szCs w:val="21"/>
                    </w:rPr>
                  </w:pPr>
                  <w:r>
                    <w:rPr>
                      <w:szCs w:val="21"/>
                    </w:rPr>
                    <w:t>37.0</w:t>
                  </w:r>
                </w:p>
              </w:tc>
              <w:tc>
                <w:tcPr>
                  <w:tcW w:w="490" w:type="pct"/>
                  <w:tcMar>
                    <w:top w:w="0" w:type="dxa"/>
                    <w:left w:w="108" w:type="dxa"/>
                    <w:bottom w:w="0" w:type="dxa"/>
                    <w:right w:w="108" w:type="dxa"/>
                  </w:tcMar>
                  <w:vAlign w:val="center"/>
                </w:tcPr>
                <w:p>
                  <w:pPr>
                    <w:jc w:val="center"/>
                    <w:rPr>
                      <w:szCs w:val="21"/>
                    </w:rPr>
                  </w:pPr>
                  <w:r>
                    <w:rPr>
                      <w:szCs w:val="21"/>
                    </w:rPr>
                    <w:t>30</w:t>
                  </w:r>
                </w:p>
              </w:tc>
              <w:tc>
                <w:tcPr>
                  <w:tcW w:w="489" w:type="pct"/>
                  <w:tcMar>
                    <w:top w:w="0" w:type="dxa"/>
                    <w:left w:w="108" w:type="dxa"/>
                    <w:bottom w:w="0" w:type="dxa"/>
                    <w:right w:w="108" w:type="dxa"/>
                  </w:tcMar>
                  <w:vAlign w:val="center"/>
                </w:tcPr>
                <w:p>
                  <w:pPr>
                    <w:jc w:val="center"/>
                    <w:rPr>
                      <w:szCs w:val="21"/>
                    </w:rPr>
                  </w:pPr>
                  <w:r>
                    <w:rPr>
                      <w:szCs w:val="21"/>
                    </w:rPr>
                    <w:t>26.8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PrEx>
              <w:trPr>
                <w:trHeight w:val="340" w:hRule="atLeast"/>
              </w:trPr>
              <w:tc>
                <w:tcPr>
                  <w:tcW w:w="1080" w:type="pct"/>
                  <w:tcMar>
                    <w:top w:w="0" w:type="dxa"/>
                    <w:left w:w="108" w:type="dxa"/>
                    <w:bottom w:w="0" w:type="dxa"/>
                    <w:right w:w="108" w:type="dxa"/>
                  </w:tcMar>
                  <w:vAlign w:val="center"/>
                </w:tcPr>
                <w:p>
                  <w:pPr>
                    <w:jc w:val="center"/>
                    <w:rPr>
                      <w:szCs w:val="21"/>
                    </w:rPr>
                  </w:pPr>
                  <w:r>
                    <w:rPr>
                      <w:szCs w:val="21"/>
                    </w:rPr>
                    <w:t>2类标准（昼间）</w:t>
                  </w:r>
                </w:p>
              </w:tc>
              <w:tc>
                <w:tcPr>
                  <w:tcW w:w="3920" w:type="pct"/>
                  <w:gridSpan w:val="8"/>
                  <w:tcMar>
                    <w:top w:w="0" w:type="dxa"/>
                    <w:left w:w="108" w:type="dxa"/>
                    <w:bottom w:w="0" w:type="dxa"/>
                    <w:right w:w="108" w:type="dxa"/>
                  </w:tcMar>
                  <w:vAlign w:val="center"/>
                </w:tcPr>
                <w:p>
                  <w:pPr>
                    <w:jc w:val="center"/>
                    <w:rPr>
                      <w:szCs w:val="21"/>
                    </w:rPr>
                  </w:pPr>
                  <w:r>
                    <w:rPr>
                      <w:szCs w:val="21"/>
                    </w:rPr>
                    <w:t>60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340" w:hRule="atLeast"/>
              </w:trPr>
              <w:tc>
                <w:tcPr>
                  <w:tcW w:w="1080" w:type="pct"/>
                  <w:tcMar>
                    <w:top w:w="0" w:type="dxa"/>
                    <w:left w:w="108" w:type="dxa"/>
                    <w:bottom w:w="0" w:type="dxa"/>
                    <w:right w:w="108" w:type="dxa"/>
                  </w:tcMar>
                  <w:vAlign w:val="center"/>
                </w:tcPr>
                <w:p>
                  <w:pPr>
                    <w:jc w:val="center"/>
                    <w:rPr>
                      <w:szCs w:val="21"/>
                    </w:rPr>
                  </w:pPr>
                  <w:r>
                    <w:rPr>
                      <w:szCs w:val="21"/>
                    </w:rPr>
                    <w:t>2类标准（夜间）</w:t>
                  </w:r>
                </w:p>
              </w:tc>
              <w:tc>
                <w:tcPr>
                  <w:tcW w:w="3920" w:type="pct"/>
                  <w:gridSpan w:val="8"/>
                  <w:tcMar>
                    <w:top w:w="0" w:type="dxa"/>
                    <w:left w:w="108" w:type="dxa"/>
                    <w:bottom w:w="0" w:type="dxa"/>
                    <w:right w:w="108" w:type="dxa"/>
                  </w:tcMar>
                  <w:vAlign w:val="center"/>
                </w:tcPr>
                <w:p>
                  <w:pPr>
                    <w:jc w:val="center"/>
                    <w:rPr>
                      <w:szCs w:val="21"/>
                    </w:rPr>
                  </w:pPr>
                  <w:r>
                    <w:rPr>
                      <w:szCs w:val="21"/>
                    </w:rPr>
                    <w:t>50</w:t>
                  </w:r>
                </w:p>
              </w:tc>
            </w:tr>
          </w:tbl>
          <w:p>
            <w:pPr>
              <w:spacing w:line="360" w:lineRule="auto"/>
              <w:ind w:firstLine="420" w:firstLineChars="200"/>
              <w:rPr>
                <w:sz w:val="24"/>
              </w:rPr>
            </w:pPr>
            <w:r>
              <w:t>从表4-10中可以看出，本项目噪声在经过墙壁和隔声措施之后在东、南、北厂界处的贡献值均能够达到《工业企业厂界环境噪声排放标准》（GB12348-2008）中2类标准，西侧临外环路G236一侧厂界处的贡献值能够达到4类标准，项目周围50米范围内没有环境敏感目标，因此本项目不会对周围环境产生超标影响。</w:t>
            </w:r>
          </w:p>
          <w:p>
            <w:pPr>
              <w:tabs>
                <w:tab w:val="left" w:pos="1275"/>
              </w:tabs>
              <w:spacing w:line="360" w:lineRule="auto"/>
              <w:ind w:firstLine="420" w:firstLineChars="200"/>
              <w:rPr>
                <w:bCs/>
              </w:rPr>
            </w:pPr>
            <w:r>
              <w:rPr>
                <w:bCs/>
              </w:rPr>
              <w:t>项目日常运营状态下，来往车辆在进入加油充电站时也会产生一定的交通噪声，但是车辆在进入加油充电站时车速较低，且不会长时间停留和鸣笛，因此其噪声对周边环境不会带来明显的影响。</w:t>
            </w:r>
          </w:p>
          <w:p>
            <w:pPr>
              <w:autoSpaceDE w:val="0"/>
              <w:autoSpaceDN w:val="0"/>
              <w:snapToGrid w:val="0"/>
              <w:spacing w:line="360" w:lineRule="auto"/>
              <w:ind w:firstLine="480"/>
              <w:rPr>
                <w:b/>
                <w:szCs w:val="21"/>
              </w:rPr>
            </w:pPr>
            <w:r>
              <w:rPr>
                <w:b/>
                <w:szCs w:val="21"/>
              </w:rPr>
              <w:t>3.3、噪声监测要求</w:t>
            </w:r>
          </w:p>
          <w:p>
            <w:pPr>
              <w:spacing w:line="276" w:lineRule="auto"/>
              <w:jc w:val="center"/>
              <w:rPr>
                <w:b/>
                <w:szCs w:val="21"/>
              </w:rPr>
            </w:pPr>
            <w:r>
              <w:rPr>
                <w:rStyle w:val="71"/>
                <w:b/>
              </w:rPr>
              <w:t xml:space="preserve">表4-11 </w:t>
            </w:r>
            <w:r>
              <w:rPr>
                <w:b/>
                <w:spacing w:val="-2"/>
              </w:rPr>
              <w:t>污染源</w:t>
            </w:r>
            <w:r>
              <w:rPr>
                <w:rStyle w:val="71"/>
                <w:b/>
              </w:rPr>
              <w:t>监测计划表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1" w:type="dxa"/>
                <w:bottom w:w="0" w:type="dxa"/>
                <w:right w:w="51" w:type="dxa"/>
              </w:tblCellMar>
            </w:tblPr>
            <w:tblGrid>
              <w:gridCol w:w="786"/>
              <w:gridCol w:w="2568"/>
              <w:gridCol w:w="2264"/>
              <w:gridCol w:w="1891"/>
              <w:gridCol w:w="51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10" w:type="pct"/>
                  <w:vAlign w:val="center"/>
                </w:tcPr>
                <w:p>
                  <w:pPr>
                    <w:adjustRightInd w:val="0"/>
                    <w:snapToGrid w:val="0"/>
                    <w:jc w:val="center"/>
                    <w:rPr>
                      <w:b/>
                      <w:bCs/>
                      <w:szCs w:val="21"/>
                    </w:rPr>
                  </w:pPr>
                  <w:r>
                    <w:rPr>
                      <w:b/>
                      <w:bCs/>
                      <w:szCs w:val="21"/>
                    </w:rPr>
                    <w:t>项目</w:t>
                  </w:r>
                </w:p>
              </w:tc>
              <w:tc>
                <w:tcPr>
                  <w:tcW w:w="1013" w:type="pct"/>
                  <w:vAlign w:val="center"/>
                </w:tcPr>
                <w:p>
                  <w:pPr>
                    <w:adjustRightInd w:val="0"/>
                    <w:snapToGrid w:val="0"/>
                    <w:jc w:val="center"/>
                    <w:rPr>
                      <w:b/>
                      <w:bCs/>
                      <w:szCs w:val="21"/>
                    </w:rPr>
                  </w:pPr>
                  <w:r>
                    <w:rPr>
                      <w:b/>
                      <w:bCs/>
                      <w:szCs w:val="21"/>
                    </w:rPr>
                    <w:t>监测点位</w:t>
                  </w:r>
                </w:p>
              </w:tc>
              <w:tc>
                <w:tcPr>
                  <w:tcW w:w="893" w:type="pct"/>
                  <w:vAlign w:val="center"/>
                </w:tcPr>
                <w:p>
                  <w:pPr>
                    <w:adjustRightInd w:val="0"/>
                    <w:snapToGrid w:val="0"/>
                    <w:jc w:val="center"/>
                    <w:rPr>
                      <w:b/>
                      <w:bCs/>
                      <w:szCs w:val="21"/>
                    </w:rPr>
                  </w:pPr>
                  <w:r>
                    <w:rPr>
                      <w:b/>
                      <w:bCs/>
                      <w:szCs w:val="21"/>
                    </w:rPr>
                    <w:t>监测项目</w:t>
                  </w:r>
                </w:p>
              </w:tc>
              <w:tc>
                <w:tcPr>
                  <w:tcW w:w="746" w:type="pct"/>
                  <w:vAlign w:val="center"/>
                </w:tcPr>
                <w:p>
                  <w:pPr>
                    <w:adjustRightInd w:val="0"/>
                    <w:snapToGrid w:val="0"/>
                    <w:jc w:val="center"/>
                    <w:rPr>
                      <w:b/>
                      <w:bCs/>
                      <w:szCs w:val="21"/>
                    </w:rPr>
                  </w:pPr>
                  <w:r>
                    <w:rPr>
                      <w:b/>
                      <w:bCs/>
                      <w:szCs w:val="21"/>
                    </w:rPr>
                    <w:t>监测频次</w:t>
                  </w:r>
                </w:p>
              </w:tc>
              <w:tc>
                <w:tcPr>
                  <w:tcW w:w="2038" w:type="pct"/>
                  <w:vAlign w:val="center"/>
                </w:tcPr>
                <w:p>
                  <w:pPr>
                    <w:adjustRightInd w:val="0"/>
                    <w:snapToGrid w:val="0"/>
                    <w:jc w:val="center"/>
                    <w:rPr>
                      <w:b/>
                      <w:bCs/>
                      <w:szCs w:val="21"/>
                    </w:rPr>
                  </w:pPr>
                  <w:r>
                    <w:rPr>
                      <w:b/>
                      <w:bCs/>
                      <w:szCs w:val="21"/>
                    </w:rPr>
                    <w:t>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10" w:type="pct"/>
                  <w:vAlign w:val="center"/>
                </w:tcPr>
                <w:p>
                  <w:pPr>
                    <w:adjustRightInd w:val="0"/>
                    <w:snapToGrid w:val="0"/>
                    <w:jc w:val="center"/>
                    <w:rPr>
                      <w:bCs/>
                      <w:szCs w:val="21"/>
                    </w:rPr>
                  </w:pPr>
                  <w:r>
                    <w:rPr>
                      <w:bCs/>
                      <w:szCs w:val="21"/>
                    </w:rPr>
                    <w:t>噪声</w:t>
                  </w:r>
                </w:p>
              </w:tc>
              <w:tc>
                <w:tcPr>
                  <w:tcW w:w="1013" w:type="pct"/>
                  <w:vAlign w:val="center"/>
                </w:tcPr>
                <w:p>
                  <w:pPr>
                    <w:adjustRightInd w:val="0"/>
                    <w:snapToGrid w:val="0"/>
                    <w:jc w:val="center"/>
                    <w:rPr>
                      <w:bCs/>
                      <w:szCs w:val="21"/>
                    </w:rPr>
                  </w:pPr>
                  <w:r>
                    <w:rPr>
                      <w:bCs/>
                      <w:szCs w:val="21"/>
                    </w:rPr>
                    <w:t>厂界外1m处</w:t>
                  </w:r>
                </w:p>
              </w:tc>
              <w:tc>
                <w:tcPr>
                  <w:tcW w:w="893" w:type="pct"/>
                  <w:vAlign w:val="center"/>
                </w:tcPr>
                <w:p>
                  <w:pPr>
                    <w:adjustRightInd w:val="0"/>
                    <w:snapToGrid w:val="0"/>
                    <w:jc w:val="center"/>
                    <w:rPr>
                      <w:bCs/>
                      <w:szCs w:val="21"/>
                    </w:rPr>
                  </w:pPr>
                  <w:r>
                    <w:rPr>
                      <w:bCs/>
                      <w:szCs w:val="21"/>
                    </w:rPr>
                    <w:t>等效连续A声级</w:t>
                  </w:r>
                </w:p>
              </w:tc>
              <w:tc>
                <w:tcPr>
                  <w:tcW w:w="746" w:type="pct"/>
                  <w:vAlign w:val="center"/>
                </w:tcPr>
                <w:p>
                  <w:pPr>
                    <w:adjustRightInd w:val="0"/>
                    <w:snapToGrid w:val="0"/>
                    <w:jc w:val="center"/>
                    <w:rPr>
                      <w:bCs/>
                      <w:szCs w:val="21"/>
                    </w:rPr>
                  </w:pPr>
                  <w:r>
                    <w:rPr>
                      <w:bCs/>
                      <w:szCs w:val="21"/>
                    </w:rPr>
                    <w:t>每季度1次</w:t>
                  </w:r>
                </w:p>
              </w:tc>
              <w:tc>
                <w:tcPr>
                  <w:tcW w:w="2038" w:type="pct"/>
                  <w:vAlign w:val="center"/>
                </w:tcPr>
                <w:p>
                  <w:pPr>
                    <w:adjustRightInd w:val="0"/>
                    <w:snapToGrid w:val="0"/>
                    <w:jc w:val="center"/>
                    <w:rPr>
                      <w:bCs/>
                      <w:szCs w:val="21"/>
                    </w:rPr>
                  </w:pPr>
                  <w:r>
                    <w:rPr>
                      <w:bCs/>
                      <w:szCs w:val="21"/>
                    </w:rPr>
                    <w:t xml:space="preserve">《工业企业厂界环境噪声排放标》(GB3096-2008) </w:t>
                  </w:r>
                </w:p>
              </w:tc>
            </w:tr>
          </w:tbl>
          <w:p>
            <w:pPr>
              <w:ind w:firstLine="480"/>
              <w:rPr>
                <w:szCs w:val="21"/>
              </w:rPr>
            </w:pPr>
          </w:p>
          <w:p>
            <w:pPr>
              <w:tabs>
                <w:tab w:val="left" w:pos="1275"/>
              </w:tabs>
              <w:spacing w:line="360" w:lineRule="auto"/>
              <w:ind w:firstLine="422" w:firstLineChars="200"/>
              <w:rPr>
                <w:b/>
                <w:szCs w:val="21"/>
              </w:rPr>
            </w:pPr>
            <w:r>
              <w:rPr>
                <w:b/>
                <w:szCs w:val="21"/>
              </w:rPr>
              <w:t>4、固体废物</w:t>
            </w:r>
          </w:p>
          <w:p>
            <w:pPr>
              <w:pStyle w:val="66"/>
              <w:ind w:firstLine="420"/>
              <w:rPr>
                <w:bCs/>
                <w:sz w:val="21"/>
                <w:szCs w:val="21"/>
              </w:rPr>
            </w:pPr>
            <w:r>
              <w:rPr>
                <w:bCs/>
                <w:sz w:val="21"/>
                <w:szCs w:val="21"/>
              </w:rPr>
              <w:t>本项目产生的固废主要为员工生活垃圾、顾客生活垃圾、储罐清理废油渣、油气回收装置清理废油渣、隔油沉淀池废油泥及废吸油棉等。</w:t>
            </w:r>
          </w:p>
          <w:p>
            <w:pPr>
              <w:tabs>
                <w:tab w:val="left" w:pos="1275"/>
              </w:tabs>
              <w:spacing w:line="360" w:lineRule="auto"/>
              <w:ind w:firstLine="422" w:firstLineChars="200"/>
              <w:rPr>
                <w:b/>
                <w:szCs w:val="21"/>
              </w:rPr>
            </w:pPr>
            <w:r>
              <w:rPr>
                <w:b/>
                <w:szCs w:val="21"/>
              </w:rPr>
              <w:t>4.1、固体废物</w:t>
            </w:r>
            <w:r>
              <w:rPr>
                <w:rFonts w:hint="eastAsia"/>
                <w:b/>
                <w:szCs w:val="21"/>
              </w:rPr>
              <w:t>产生情况</w:t>
            </w:r>
          </w:p>
          <w:p>
            <w:pPr>
              <w:pStyle w:val="66"/>
              <w:ind w:firstLine="420"/>
              <w:rPr>
                <w:bCs/>
                <w:sz w:val="21"/>
                <w:szCs w:val="21"/>
              </w:rPr>
            </w:pPr>
            <w:r>
              <w:rPr>
                <w:bCs/>
                <w:sz w:val="21"/>
                <w:szCs w:val="21"/>
              </w:rPr>
              <w:t>（1）生活垃圾</w:t>
            </w:r>
          </w:p>
          <w:p>
            <w:pPr>
              <w:pStyle w:val="66"/>
              <w:ind w:firstLine="420"/>
              <w:rPr>
                <w:bCs/>
                <w:sz w:val="21"/>
                <w:szCs w:val="21"/>
              </w:rPr>
            </w:pPr>
            <w:r>
              <w:rPr>
                <w:bCs/>
                <w:sz w:val="21"/>
                <w:szCs w:val="21"/>
              </w:rPr>
              <w:t>项目定员5人，按每人每天产生生活垃圾0.5kg计，年营业天数为365天。则本项目员工生活垃圾产生量约为0.9125t/a；项目每天约有250辆车加油或充电，往来加油、充电的车辆带来的垃圾按0.05kg/辆计，则项目加油车辆垃圾产生总量为4.5625t/a，则本项目生活垃圾产生总量约为5.475t/a，该部分委托环卫部门统一处理。</w:t>
            </w:r>
          </w:p>
          <w:p>
            <w:pPr>
              <w:pStyle w:val="66"/>
              <w:ind w:firstLine="420"/>
              <w:rPr>
                <w:bCs/>
                <w:sz w:val="21"/>
                <w:szCs w:val="21"/>
              </w:rPr>
            </w:pPr>
            <w:r>
              <w:rPr>
                <w:bCs/>
                <w:sz w:val="21"/>
                <w:szCs w:val="21"/>
              </w:rPr>
              <w:t>（2）废油渣</w:t>
            </w:r>
          </w:p>
          <w:p>
            <w:pPr>
              <w:pStyle w:val="66"/>
              <w:ind w:firstLine="420"/>
              <w:rPr>
                <w:bCs/>
                <w:sz w:val="21"/>
                <w:szCs w:val="21"/>
              </w:rPr>
            </w:pPr>
            <w:r>
              <w:rPr>
                <w:bCs/>
                <w:sz w:val="21"/>
                <w:szCs w:val="21"/>
              </w:rPr>
              <w:t>项目地下储油罐经过长期使用，在罐底积累的储罐渣需定期清除，每三年清洗一次，产生量约为0.25t/a；油气回收装置经过长期使用，在油气回收装置内部会积累一定的油渣，需定期清理废油渣，每三年清理一次，产生量约为0.2 t/a。</w:t>
            </w:r>
          </w:p>
          <w:p>
            <w:pPr>
              <w:pStyle w:val="66"/>
              <w:ind w:firstLine="420"/>
              <w:rPr>
                <w:bCs/>
                <w:sz w:val="21"/>
                <w:szCs w:val="21"/>
              </w:rPr>
            </w:pPr>
            <w:r>
              <w:rPr>
                <w:bCs/>
                <w:sz w:val="21"/>
                <w:szCs w:val="21"/>
              </w:rPr>
              <w:t>储油罐清洗及油气回收装置清理三年清理一次，必须委托有相关资质的单位进行，该废油渣属于危废（编号：HW08 废矿物油与含矿物油废物中900-221-08 废燃料油及燃料油储存过程中产生的油泥）。项目储油罐清洗及油气回收装置清理前与危废处理公司联系，该公司派专人、专用设备、专用车辆前来清洗，产生的危废直接清运统一处理，确保危废在加油站不暂存、不落地。</w:t>
            </w:r>
          </w:p>
          <w:p>
            <w:pPr>
              <w:pStyle w:val="66"/>
              <w:ind w:firstLine="420"/>
              <w:rPr>
                <w:bCs/>
                <w:sz w:val="21"/>
                <w:szCs w:val="21"/>
              </w:rPr>
            </w:pPr>
            <w:r>
              <w:rPr>
                <w:bCs/>
                <w:sz w:val="21"/>
                <w:szCs w:val="21"/>
              </w:rPr>
              <w:t>（3）隔油沉淀池废油泥</w:t>
            </w:r>
          </w:p>
          <w:p>
            <w:pPr>
              <w:pStyle w:val="66"/>
              <w:ind w:firstLine="420"/>
              <w:rPr>
                <w:bCs/>
                <w:sz w:val="21"/>
                <w:szCs w:val="21"/>
              </w:rPr>
            </w:pPr>
            <w:r>
              <w:rPr>
                <w:bCs/>
                <w:sz w:val="21"/>
                <w:szCs w:val="21"/>
              </w:rPr>
              <w:t>根据项目废水产、排计算，隔油沉淀池产生的少量泥砂和在隔油池内捞出的浮油共约0.1t/a，隔油池废油泥属</w:t>
            </w:r>
            <w:r>
              <w:rPr>
                <w:kern w:val="0"/>
                <w:sz w:val="21"/>
                <w:szCs w:val="21"/>
              </w:rPr>
              <w:t>于危险废物（编号HW08，危废代码</w:t>
            </w:r>
            <w:r>
              <w:rPr>
                <w:bCs/>
                <w:sz w:val="21"/>
                <w:szCs w:val="21"/>
              </w:rPr>
              <w:t>900-210-08</w:t>
            </w:r>
            <w:r>
              <w:rPr>
                <w:kern w:val="0"/>
                <w:sz w:val="21"/>
                <w:szCs w:val="21"/>
              </w:rPr>
              <w:t>），收集后定期委托有资质的危险废物处理单位处理。</w:t>
            </w:r>
          </w:p>
          <w:p>
            <w:pPr>
              <w:pStyle w:val="66"/>
              <w:ind w:firstLine="420"/>
              <w:rPr>
                <w:bCs/>
                <w:sz w:val="21"/>
                <w:szCs w:val="21"/>
              </w:rPr>
            </w:pPr>
            <w:r>
              <w:rPr>
                <w:bCs/>
                <w:sz w:val="21"/>
                <w:szCs w:val="21"/>
              </w:rPr>
              <w:t>（4）废吸油棉</w:t>
            </w:r>
          </w:p>
          <w:p>
            <w:pPr>
              <w:pStyle w:val="66"/>
              <w:ind w:firstLine="420"/>
              <w:rPr>
                <w:bCs/>
                <w:sz w:val="21"/>
                <w:szCs w:val="21"/>
              </w:rPr>
            </w:pPr>
            <w:r>
              <w:rPr>
                <w:bCs/>
                <w:sz w:val="21"/>
                <w:szCs w:val="21"/>
              </w:rPr>
              <w:t>项目吸附清除地面或墙壁油污产生废吸油棉，产生量约为0.05t/a，属于危险废物（编号HW49，危废代码900-041-49），</w:t>
            </w:r>
            <w:r>
              <w:rPr>
                <w:kern w:val="0"/>
                <w:sz w:val="21"/>
                <w:szCs w:val="21"/>
              </w:rPr>
              <w:t>收集后定期委托有资质的危险废物处理单位处理</w:t>
            </w:r>
            <w:r>
              <w:rPr>
                <w:bCs/>
                <w:sz w:val="21"/>
                <w:szCs w:val="21"/>
              </w:rPr>
              <w:t>。</w:t>
            </w:r>
          </w:p>
          <w:p>
            <w:pPr>
              <w:adjustRightInd w:val="0"/>
              <w:snapToGrid w:val="0"/>
              <w:spacing w:line="276" w:lineRule="auto"/>
              <w:jc w:val="center"/>
              <w:rPr>
                <w:b/>
                <w:szCs w:val="21"/>
              </w:rPr>
            </w:pPr>
            <w:r>
              <w:rPr>
                <w:b/>
                <w:szCs w:val="21"/>
              </w:rPr>
              <w:t>表4-12  固体废物污染源产生、排放汇总表</w:t>
            </w:r>
          </w:p>
          <w:tbl>
            <w:tblPr>
              <w:tblStyle w:val="21"/>
              <w:tblW w:w="12638"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1008"/>
              <w:gridCol w:w="1106"/>
              <w:gridCol w:w="1124"/>
              <w:gridCol w:w="1171"/>
              <w:gridCol w:w="1171"/>
              <w:gridCol w:w="776"/>
              <w:gridCol w:w="891"/>
              <w:gridCol w:w="857"/>
              <w:gridCol w:w="987"/>
              <w:gridCol w:w="1277"/>
              <w:gridCol w:w="1029"/>
              <w:gridCol w:w="124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582" w:hRule="atLeast"/>
              </w:trPr>
              <w:tc>
                <w:tcPr>
                  <w:tcW w:w="1008" w:type="dxa"/>
                  <w:vAlign w:val="center"/>
                </w:tcPr>
                <w:p>
                  <w:pPr>
                    <w:adjustRightInd w:val="0"/>
                    <w:snapToGrid w:val="0"/>
                    <w:spacing w:line="240" w:lineRule="exact"/>
                    <w:jc w:val="center"/>
                    <w:rPr>
                      <w:b/>
                      <w:bCs/>
                      <w:szCs w:val="21"/>
                    </w:rPr>
                  </w:pPr>
                  <w:r>
                    <w:rPr>
                      <w:b/>
                      <w:bCs/>
                      <w:szCs w:val="21"/>
                    </w:rPr>
                    <w:t>固废产生环节</w:t>
                  </w:r>
                </w:p>
              </w:tc>
              <w:tc>
                <w:tcPr>
                  <w:tcW w:w="1106" w:type="dxa"/>
                  <w:vAlign w:val="center"/>
                </w:tcPr>
                <w:p>
                  <w:pPr>
                    <w:adjustRightInd w:val="0"/>
                    <w:snapToGrid w:val="0"/>
                    <w:spacing w:line="240" w:lineRule="exact"/>
                    <w:jc w:val="center"/>
                    <w:rPr>
                      <w:b/>
                      <w:bCs/>
                      <w:szCs w:val="21"/>
                    </w:rPr>
                  </w:pPr>
                  <w:r>
                    <w:rPr>
                      <w:b/>
                      <w:bCs/>
                      <w:szCs w:val="21"/>
                    </w:rPr>
                    <w:t>固废名称</w:t>
                  </w:r>
                </w:p>
              </w:tc>
              <w:tc>
                <w:tcPr>
                  <w:tcW w:w="1124" w:type="dxa"/>
                  <w:vAlign w:val="center"/>
                </w:tcPr>
                <w:p>
                  <w:pPr>
                    <w:adjustRightInd w:val="0"/>
                    <w:snapToGrid w:val="0"/>
                    <w:spacing w:line="240" w:lineRule="exact"/>
                    <w:jc w:val="center"/>
                    <w:rPr>
                      <w:b/>
                      <w:bCs/>
                      <w:szCs w:val="21"/>
                    </w:rPr>
                  </w:pPr>
                  <w:r>
                    <w:rPr>
                      <w:b/>
                      <w:bCs/>
                      <w:szCs w:val="21"/>
                    </w:rPr>
                    <w:t>固废类型</w:t>
                  </w:r>
                </w:p>
              </w:tc>
              <w:tc>
                <w:tcPr>
                  <w:tcW w:w="1171" w:type="dxa"/>
                  <w:vAlign w:val="center"/>
                </w:tcPr>
                <w:p>
                  <w:pPr>
                    <w:adjustRightInd w:val="0"/>
                    <w:snapToGrid w:val="0"/>
                    <w:spacing w:line="240" w:lineRule="exact"/>
                    <w:jc w:val="center"/>
                    <w:rPr>
                      <w:b/>
                      <w:bCs/>
                      <w:szCs w:val="21"/>
                    </w:rPr>
                  </w:pPr>
                  <w:r>
                    <w:rPr>
                      <w:b/>
                      <w:bCs/>
                      <w:szCs w:val="21"/>
                    </w:rPr>
                    <w:t>废物类别</w:t>
                  </w:r>
                </w:p>
              </w:tc>
              <w:tc>
                <w:tcPr>
                  <w:tcW w:w="1171" w:type="dxa"/>
                  <w:vAlign w:val="center"/>
                </w:tcPr>
                <w:p>
                  <w:pPr>
                    <w:adjustRightInd w:val="0"/>
                    <w:snapToGrid w:val="0"/>
                    <w:spacing w:line="240" w:lineRule="exact"/>
                    <w:jc w:val="center"/>
                    <w:rPr>
                      <w:b/>
                      <w:bCs/>
                      <w:szCs w:val="21"/>
                    </w:rPr>
                  </w:pPr>
                  <w:r>
                    <w:rPr>
                      <w:b/>
                      <w:bCs/>
                      <w:szCs w:val="21"/>
                    </w:rPr>
                    <w:t>主要有毒有害物质名称</w:t>
                  </w:r>
                </w:p>
              </w:tc>
              <w:tc>
                <w:tcPr>
                  <w:tcW w:w="776" w:type="dxa"/>
                  <w:vAlign w:val="center"/>
                </w:tcPr>
                <w:p>
                  <w:pPr>
                    <w:adjustRightInd w:val="0"/>
                    <w:snapToGrid w:val="0"/>
                    <w:spacing w:line="240" w:lineRule="exact"/>
                    <w:jc w:val="center"/>
                    <w:rPr>
                      <w:b/>
                      <w:bCs/>
                      <w:szCs w:val="21"/>
                    </w:rPr>
                  </w:pPr>
                  <w:r>
                    <w:rPr>
                      <w:b/>
                      <w:bCs/>
                      <w:szCs w:val="21"/>
                    </w:rPr>
                    <w:t>物理</w:t>
                  </w:r>
                </w:p>
                <w:p>
                  <w:pPr>
                    <w:adjustRightInd w:val="0"/>
                    <w:snapToGrid w:val="0"/>
                    <w:spacing w:line="240" w:lineRule="exact"/>
                    <w:jc w:val="center"/>
                    <w:rPr>
                      <w:b/>
                      <w:bCs/>
                      <w:szCs w:val="21"/>
                    </w:rPr>
                  </w:pPr>
                  <w:r>
                    <w:rPr>
                      <w:b/>
                      <w:bCs/>
                      <w:szCs w:val="21"/>
                    </w:rPr>
                    <w:t>性状</w:t>
                  </w:r>
                </w:p>
              </w:tc>
              <w:tc>
                <w:tcPr>
                  <w:tcW w:w="891" w:type="dxa"/>
                  <w:vAlign w:val="center"/>
                </w:tcPr>
                <w:p>
                  <w:pPr>
                    <w:adjustRightInd w:val="0"/>
                    <w:snapToGrid w:val="0"/>
                    <w:spacing w:line="240" w:lineRule="exact"/>
                    <w:jc w:val="center"/>
                    <w:rPr>
                      <w:b/>
                      <w:bCs/>
                      <w:szCs w:val="21"/>
                    </w:rPr>
                  </w:pPr>
                  <w:r>
                    <w:rPr>
                      <w:b/>
                      <w:bCs/>
                      <w:szCs w:val="21"/>
                    </w:rPr>
                    <w:t>环境危险特性</w:t>
                  </w:r>
                </w:p>
              </w:tc>
              <w:tc>
                <w:tcPr>
                  <w:tcW w:w="857" w:type="dxa"/>
                  <w:vAlign w:val="center"/>
                </w:tcPr>
                <w:p>
                  <w:pPr>
                    <w:adjustRightInd w:val="0"/>
                    <w:snapToGrid w:val="0"/>
                    <w:spacing w:line="240" w:lineRule="exact"/>
                    <w:jc w:val="center"/>
                    <w:rPr>
                      <w:b/>
                      <w:bCs/>
                      <w:szCs w:val="21"/>
                    </w:rPr>
                  </w:pPr>
                  <w:r>
                    <w:rPr>
                      <w:b/>
                      <w:bCs/>
                      <w:szCs w:val="21"/>
                    </w:rPr>
                    <w:t>产生量</w:t>
                  </w:r>
                </w:p>
                <w:p>
                  <w:pPr>
                    <w:adjustRightInd w:val="0"/>
                    <w:snapToGrid w:val="0"/>
                    <w:spacing w:line="240" w:lineRule="exact"/>
                    <w:jc w:val="center"/>
                    <w:rPr>
                      <w:b/>
                      <w:bCs/>
                      <w:szCs w:val="21"/>
                    </w:rPr>
                  </w:pPr>
                  <w:r>
                    <w:rPr>
                      <w:b/>
                      <w:bCs/>
                      <w:szCs w:val="21"/>
                    </w:rPr>
                    <w:t>t/a</w:t>
                  </w:r>
                </w:p>
              </w:tc>
              <w:tc>
                <w:tcPr>
                  <w:tcW w:w="987" w:type="dxa"/>
                  <w:vAlign w:val="center"/>
                </w:tcPr>
                <w:p>
                  <w:pPr>
                    <w:adjustRightInd w:val="0"/>
                    <w:snapToGrid w:val="0"/>
                    <w:spacing w:line="240" w:lineRule="exact"/>
                    <w:jc w:val="center"/>
                    <w:rPr>
                      <w:b/>
                      <w:bCs/>
                      <w:szCs w:val="21"/>
                    </w:rPr>
                  </w:pPr>
                  <w:r>
                    <w:rPr>
                      <w:b/>
                      <w:bCs/>
                      <w:szCs w:val="21"/>
                    </w:rPr>
                    <w:t>贮存方式</w:t>
                  </w:r>
                </w:p>
              </w:tc>
              <w:tc>
                <w:tcPr>
                  <w:tcW w:w="1277" w:type="dxa"/>
                  <w:vAlign w:val="center"/>
                </w:tcPr>
                <w:p>
                  <w:pPr>
                    <w:adjustRightInd w:val="0"/>
                    <w:snapToGrid w:val="0"/>
                    <w:spacing w:line="240" w:lineRule="exact"/>
                    <w:jc w:val="center"/>
                    <w:rPr>
                      <w:b/>
                      <w:bCs/>
                      <w:szCs w:val="21"/>
                    </w:rPr>
                  </w:pPr>
                  <w:r>
                    <w:rPr>
                      <w:b/>
                      <w:bCs/>
                      <w:szCs w:val="21"/>
                    </w:rPr>
                    <w:t>利用处置方式和去向</w:t>
                  </w:r>
                </w:p>
              </w:tc>
              <w:tc>
                <w:tcPr>
                  <w:tcW w:w="1029" w:type="dxa"/>
                  <w:vAlign w:val="center"/>
                </w:tcPr>
                <w:p>
                  <w:pPr>
                    <w:adjustRightInd w:val="0"/>
                    <w:snapToGrid w:val="0"/>
                    <w:spacing w:line="240" w:lineRule="exact"/>
                    <w:jc w:val="center"/>
                    <w:rPr>
                      <w:b/>
                      <w:bCs/>
                      <w:szCs w:val="21"/>
                    </w:rPr>
                  </w:pPr>
                  <w:r>
                    <w:rPr>
                      <w:b/>
                      <w:bCs/>
                      <w:szCs w:val="21"/>
                    </w:rPr>
                    <w:t>利用或处置量t/a</w:t>
                  </w:r>
                </w:p>
              </w:tc>
              <w:tc>
                <w:tcPr>
                  <w:tcW w:w="1241" w:type="dxa"/>
                  <w:vAlign w:val="center"/>
                </w:tcPr>
                <w:p>
                  <w:pPr>
                    <w:adjustRightInd w:val="0"/>
                    <w:snapToGrid w:val="0"/>
                    <w:spacing w:line="240" w:lineRule="exact"/>
                    <w:jc w:val="center"/>
                    <w:rPr>
                      <w:b/>
                      <w:bCs/>
                      <w:szCs w:val="21"/>
                    </w:rPr>
                  </w:pPr>
                  <w:r>
                    <w:rPr>
                      <w:b/>
                      <w:bCs/>
                      <w:szCs w:val="21"/>
                    </w:rPr>
                    <w:t>环境管理</w:t>
                  </w:r>
                </w:p>
                <w:p>
                  <w:pPr>
                    <w:adjustRightInd w:val="0"/>
                    <w:snapToGrid w:val="0"/>
                    <w:spacing w:line="240" w:lineRule="exact"/>
                    <w:jc w:val="center"/>
                    <w:rPr>
                      <w:b/>
                      <w:bCs/>
                      <w:szCs w:val="21"/>
                    </w:rPr>
                  </w:pPr>
                  <w:r>
                    <w:rPr>
                      <w:b/>
                      <w:bCs/>
                      <w:szCs w:val="21"/>
                    </w:rPr>
                    <w:t>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8" w:hRule="atLeast"/>
              </w:trPr>
              <w:tc>
                <w:tcPr>
                  <w:tcW w:w="1008" w:type="dxa"/>
                  <w:vAlign w:val="center"/>
                </w:tcPr>
                <w:p>
                  <w:pPr>
                    <w:adjustRightInd w:val="0"/>
                    <w:snapToGrid w:val="0"/>
                    <w:spacing w:line="240" w:lineRule="exact"/>
                    <w:jc w:val="center"/>
                    <w:rPr>
                      <w:bCs/>
                      <w:szCs w:val="21"/>
                    </w:rPr>
                  </w:pPr>
                  <w:r>
                    <w:rPr>
                      <w:bCs/>
                      <w:szCs w:val="21"/>
                    </w:rPr>
                    <w:t>员工办公生活</w:t>
                  </w:r>
                </w:p>
              </w:tc>
              <w:tc>
                <w:tcPr>
                  <w:tcW w:w="1106" w:type="dxa"/>
                  <w:vAlign w:val="center"/>
                </w:tcPr>
                <w:p>
                  <w:pPr>
                    <w:adjustRightInd w:val="0"/>
                    <w:snapToGrid w:val="0"/>
                    <w:spacing w:line="240" w:lineRule="atLeast"/>
                    <w:jc w:val="center"/>
                    <w:rPr>
                      <w:bCs/>
                      <w:szCs w:val="21"/>
                    </w:rPr>
                  </w:pPr>
                  <w:r>
                    <w:rPr>
                      <w:szCs w:val="21"/>
                    </w:rPr>
                    <w:t>生活垃圾</w:t>
                  </w:r>
                </w:p>
              </w:tc>
              <w:tc>
                <w:tcPr>
                  <w:tcW w:w="1124" w:type="dxa"/>
                  <w:vAlign w:val="center"/>
                </w:tcPr>
                <w:p>
                  <w:pPr>
                    <w:adjustRightInd w:val="0"/>
                    <w:snapToGrid w:val="0"/>
                    <w:spacing w:line="240" w:lineRule="exact"/>
                    <w:jc w:val="center"/>
                    <w:rPr>
                      <w:bCs/>
                      <w:szCs w:val="21"/>
                    </w:rPr>
                  </w:pPr>
                  <w:r>
                    <w:rPr>
                      <w:bCs/>
                      <w:szCs w:val="21"/>
                    </w:rPr>
                    <w:t>生活垃圾</w:t>
                  </w:r>
                </w:p>
              </w:tc>
              <w:tc>
                <w:tcPr>
                  <w:tcW w:w="1171" w:type="dxa"/>
                  <w:vAlign w:val="center"/>
                </w:tcPr>
                <w:p>
                  <w:pPr>
                    <w:adjustRightInd w:val="0"/>
                    <w:snapToGrid w:val="0"/>
                    <w:spacing w:line="240" w:lineRule="exact"/>
                    <w:jc w:val="center"/>
                    <w:rPr>
                      <w:bCs/>
                      <w:szCs w:val="21"/>
                    </w:rPr>
                  </w:pPr>
                  <w:r>
                    <w:rPr>
                      <w:bCs/>
                      <w:szCs w:val="21"/>
                    </w:rPr>
                    <w:t>/</w:t>
                  </w:r>
                </w:p>
              </w:tc>
              <w:tc>
                <w:tcPr>
                  <w:tcW w:w="1171" w:type="dxa"/>
                  <w:vAlign w:val="center"/>
                </w:tcPr>
                <w:p>
                  <w:pPr>
                    <w:adjustRightInd w:val="0"/>
                    <w:snapToGrid w:val="0"/>
                    <w:spacing w:line="240" w:lineRule="exact"/>
                    <w:jc w:val="center"/>
                    <w:rPr>
                      <w:bCs/>
                      <w:szCs w:val="21"/>
                    </w:rPr>
                  </w:pPr>
                  <w:r>
                    <w:rPr>
                      <w:bCs/>
                      <w:szCs w:val="21"/>
                    </w:rPr>
                    <w:t>/</w:t>
                  </w:r>
                </w:p>
              </w:tc>
              <w:tc>
                <w:tcPr>
                  <w:tcW w:w="776" w:type="dxa"/>
                  <w:vAlign w:val="center"/>
                </w:tcPr>
                <w:p>
                  <w:pPr>
                    <w:adjustRightInd w:val="0"/>
                    <w:snapToGrid w:val="0"/>
                    <w:spacing w:line="240" w:lineRule="exact"/>
                    <w:jc w:val="center"/>
                    <w:rPr>
                      <w:bCs/>
                      <w:szCs w:val="21"/>
                    </w:rPr>
                  </w:pPr>
                  <w:r>
                    <w:rPr>
                      <w:bCs/>
                      <w:szCs w:val="21"/>
                    </w:rPr>
                    <w:t>固态</w:t>
                  </w:r>
                </w:p>
              </w:tc>
              <w:tc>
                <w:tcPr>
                  <w:tcW w:w="891" w:type="dxa"/>
                  <w:vAlign w:val="center"/>
                </w:tcPr>
                <w:p>
                  <w:pPr>
                    <w:adjustRightInd w:val="0"/>
                    <w:snapToGrid w:val="0"/>
                    <w:spacing w:line="240" w:lineRule="exact"/>
                    <w:jc w:val="center"/>
                    <w:rPr>
                      <w:bCs/>
                      <w:szCs w:val="21"/>
                    </w:rPr>
                  </w:pPr>
                  <w:r>
                    <w:rPr>
                      <w:bCs/>
                      <w:szCs w:val="21"/>
                    </w:rPr>
                    <w:t>/</w:t>
                  </w:r>
                </w:p>
              </w:tc>
              <w:tc>
                <w:tcPr>
                  <w:tcW w:w="857" w:type="dxa"/>
                  <w:vAlign w:val="center"/>
                </w:tcPr>
                <w:p>
                  <w:pPr>
                    <w:pStyle w:val="14"/>
                    <w:jc w:val="center"/>
                    <w:rPr>
                      <w:bCs/>
                      <w:sz w:val="21"/>
                      <w:szCs w:val="21"/>
                    </w:rPr>
                  </w:pPr>
                  <w:r>
                    <w:rPr>
                      <w:bCs/>
                      <w:sz w:val="21"/>
                      <w:szCs w:val="21"/>
                    </w:rPr>
                    <w:t>5.48</w:t>
                  </w:r>
                </w:p>
              </w:tc>
              <w:tc>
                <w:tcPr>
                  <w:tcW w:w="987" w:type="dxa"/>
                  <w:vAlign w:val="center"/>
                </w:tcPr>
                <w:p>
                  <w:pPr>
                    <w:adjustRightInd w:val="0"/>
                    <w:snapToGrid w:val="0"/>
                    <w:spacing w:line="240" w:lineRule="exact"/>
                    <w:jc w:val="center"/>
                    <w:rPr>
                      <w:bCs/>
                      <w:szCs w:val="21"/>
                    </w:rPr>
                  </w:pPr>
                  <w:r>
                    <w:rPr>
                      <w:bCs/>
                      <w:szCs w:val="21"/>
                    </w:rPr>
                    <w:t>垃圾桶</w:t>
                  </w:r>
                </w:p>
              </w:tc>
              <w:tc>
                <w:tcPr>
                  <w:tcW w:w="1277" w:type="dxa"/>
                  <w:vAlign w:val="center"/>
                </w:tcPr>
                <w:p>
                  <w:pPr>
                    <w:pStyle w:val="14"/>
                    <w:adjustRightInd w:val="0"/>
                    <w:spacing w:line="240" w:lineRule="atLeast"/>
                    <w:jc w:val="center"/>
                    <w:rPr>
                      <w:bCs/>
                      <w:sz w:val="21"/>
                      <w:szCs w:val="21"/>
                    </w:rPr>
                  </w:pPr>
                  <w:r>
                    <w:rPr>
                      <w:bCs/>
                      <w:sz w:val="21"/>
                      <w:szCs w:val="21"/>
                    </w:rPr>
                    <w:t>交由环卫部门处理</w:t>
                  </w:r>
                </w:p>
              </w:tc>
              <w:tc>
                <w:tcPr>
                  <w:tcW w:w="1029" w:type="dxa"/>
                  <w:vAlign w:val="center"/>
                </w:tcPr>
                <w:p>
                  <w:pPr>
                    <w:pStyle w:val="14"/>
                    <w:jc w:val="center"/>
                    <w:rPr>
                      <w:bCs/>
                      <w:sz w:val="21"/>
                      <w:szCs w:val="21"/>
                    </w:rPr>
                  </w:pPr>
                  <w:r>
                    <w:rPr>
                      <w:bCs/>
                      <w:sz w:val="21"/>
                      <w:szCs w:val="21"/>
                    </w:rPr>
                    <w:t>5.48</w:t>
                  </w:r>
                </w:p>
              </w:tc>
              <w:tc>
                <w:tcPr>
                  <w:tcW w:w="1241" w:type="dxa"/>
                  <w:vMerge w:val="restart"/>
                  <w:vAlign w:val="center"/>
                </w:tcPr>
                <w:p>
                  <w:pPr>
                    <w:adjustRightInd w:val="0"/>
                    <w:snapToGrid w:val="0"/>
                    <w:spacing w:line="240" w:lineRule="exact"/>
                    <w:jc w:val="center"/>
                    <w:rPr>
                      <w:bCs/>
                      <w:szCs w:val="21"/>
                    </w:rPr>
                  </w:pPr>
                  <w:r>
                    <w:rPr>
                      <w:bCs/>
                      <w:szCs w:val="21"/>
                    </w:rPr>
                    <w:t>建立环境管理台账制度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04" w:hRule="atLeast"/>
              </w:trPr>
              <w:tc>
                <w:tcPr>
                  <w:tcW w:w="1008" w:type="dxa"/>
                  <w:vMerge w:val="restart"/>
                  <w:vAlign w:val="center"/>
                </w:tcPr>
                <w:p>
                  <w:pPr>
                    <w:adjustRightInd w:val="0"/>
                    <w:snapToGrid w:val="0"/>
                    <w:spacing w:line="240" w:lineRule="exact"/>
                    <w:jc w:val="center"/>
                    <w:rPr>
                      <w:bCs/>
                      <w:szCs w:val="21"/>
                    </w:rPr>
                  </w:pPr>
                  <w:r>
                    <w:rPr>
                      <w:bCs/>
                      <w:szCs w:val="21"/>
                    </w:rPr>
                    <w:t>生产</w:t>
                  </w:r>
                </w:p>
              </w:tc>
              <w:tc>
                <w:tcPr>
                  <w:tcW w:w="1106" w:type="dxa"/>
                  <w:vAlign w:val="center"/>
                </w:tcPr>
                <w:p>
                  <w:pPr>
                    <w:adjustRightInd w:val="0"/>
                    <w:snapToGrid w:val="0"/>
                    <w:spacing w:line="240" w:lineRule="atLeast"/>
                    <w:jc w:val="center"/>
                    <w:rPr>
                      <w:szCs w:val="21"/>
                    </w:rPr>
                  </w:pPr>
                  <w:r>
                    <w:rPr>
                      <w:szCs w:val="21"/>
                    </w:rPr>
                    <w:t>废吸油棉</w:t>
                  </w:r>
                </w:p>
              </w:tc>
              <w:tc>
                <w:tcPr>
                  <w:tcW w:w="1124" w:type="dxa"/>
                  <w:vAlign w:val="center"/>
                </w:tcPr>
                <w:p>
                  <w:pPr>
                    <w:adjustRightInd w:val="0"/>
                    <w:snapToGrid w:val="0"/>
                    <w:spacing w:line="240" w:lineRule="exact"/>
                    <w:jc w:val="center"/>
                    <w:rPr>
                      <w:szCs w:val="21"/>
                    </w:rPr>
                  </w:pPr>
                  <w:r>
                    <w:rPr>
                      <w:szCs w:val="21"/>
                    </w:rPr>
                    <w:t>危险废物</w:t>
                  </w:r>
                </w:p>
              </w:tc>
              <w:tc>
                <w:tcPr>
                  <w:tcW w:w="1171" w:type="dxa"/>
                  <w:vAlign w:val="center"/>
                </w:tcPr>
                <w:p>
                  <w:pPr>
                    <w:adjustRightInd w:val="0"/>
                    <w:snapToGrid w:val="0"/>
                    <w:spacing w:line="240" w:lineRule="exact"/>
                    <w:jc w:val="center"/>
                    <w:rPr>
                      <w:bCs/>
                      <w:szCs w:val="21"/>
                    </w:rPr>
                  </w:pPr>
                  <w:r>
                    <w:rPr>
                      <w:bCs/>
                      <w:szCs w:val="21"/>
                    </w:rPr>
                    <w:t>HW49</w:t>
                  </w:r>
                </w:p>
                <w:p>
                  <w:pPr>
                    <w:adjustRightInd w:val="0"/>
                    <w:snapToGrid w:val="0"/>
                    <w:spacing w:line="240" w:lineRule="exact"/>
                    <w:jc w:val="center"/>
                    <w:rPr>
                      <w:bCs/>
                      <w:szCs w:val="21"/>
                    </w:rPr>
                  </w:pPr>
                  <w:r>
                    <w:rPr>
                      <w:bCs/>
                      <w:szCs w:val="21"/>
                    </w:rPr>
                    <w:t>900-041-49</w:t>
                  </w:r>
                </w:p>
              </w:tc>
              <w:tc>
                <w:tcPr>
                  <w:tcW w:w="1171" w:type="dxa"/>
                  <w:vAlign w:val="center"/>
                </w:tcPr>
                <w:p>
                  <w:pPr>
                    <w:adjustRightInd w:val="0"/>
                    <w:snapToGrid w:val="0"/>
                    <w:spacing w:line="240" w:lineRule="exact"/>
                    <w:jc w:val="center"/>
                    <w:rPr>
                      <w:szCs w:val="21"/>
                    </w:rPr>
                  </w:pPr>
                  <w:r>
                    <w:rPr>
                      <w:szCs w:val="21"/>
                    </w:rPr>
                    <w:t>矿物油等</w:t>
                  </w:r>
                </w:p>
              </w:tc>
              <w:tc>
                <w:tcPr>
                  <w:tcW w:w="776" w:type="dxa"/>
                  <w:vAlign w:val="center"/>
                </w:tcPr>
                <w:p>
                  <w:pPr>
                    <w:adjustRightInd w:val="0"/>
                    <w:snapToGrid w:val="0"/>
                    <w:spacing w:line="240" w:lineRule="exact"/>
                    <w:jc w:val="center"/>
                    <w:rPr>
                      <w:szCs w:val="21"/>
                    </w:rPr>
                  </w:pPr>
                  <w:r>
                    <w:rPr>
                      <w:szCs w:val="21"/>
                    </w:rPr>
                    <w:t>固态</w:t>
                  </w:r>
                </w:p>
              </w:tc>
              <w:tc>
                <w:tcPr>
                  <w:tcW w:w="891" w:type="dxa"/>
                  <w:vAlign w:val="center"/>
                </w:tcPr>
                <w:p>
                  <w:pPr>
                    <w:adjustRightInd w:val="0"/>
                    <w:snapToGrid w:val="0"/>
                    <w:spacing w:line="240" w:lineRule="exact"/>
                    <w:jc w:val="center"/>
                    <w:rPr>
                      <w:szCs w:val="21"/>
                    </w:rPr>
                  </w:pPr>
                  <w:r>
                    <w:rPr>
                      <w:szCs w:val="21"/>
                    </w:rPr>
                    <w:t>T、In</w:t>
                  </w:r>
                </w:p>
              </w:tc>
              <w:tc>
                <w:tcPr>
                  <w:tcW w:w="857" w:type="dxa"/>
                  <w:vAlign w:val="center"/>
                </w:tcPr>
                <w:p>
                  <w:pPr>
                    <w:pStyle w:val="14"/>
                    <w:jc w:val="center"/>
                    <w:rPr>
                      <w:bCs/>
                      <w:sz w:val="21"/>
                      <w:szCs w:val="21"/>
                    </w:rPr>
                  </w:pPr>
                  <w:r>
                    <w:rPr>
                      <w:bCs/>
                      <w:sz w:val="21"/>
                      <w:szCs w:val="21"/>
                    </w:rPr>
                    <w:t>0.05</w:t>
                  </w:r>
                </w:p>
              </w:tc>
              <w:tc>
                <w:tcPr>
                  <w:tcW w:w="987" w:type="dxa"/>
                  <w:vMerge w:val="restart"/>
                  <w:vAlign w:val="center"/>
                </w:tcPr>
                <w:p>
                  <w:pPr>
                    <w:adjustRightInd w:val="0"/>
                    <w:snapToGrid w:val="0"/>
                    <w:spacing w:line="240" w:lineRule="exact"/>
                    <w:jc w:val="center"/>
                    <w:rPr>
                      <w:bCs/>
                      <w:szCs w:val="21"/>
                    </w:rPr>
                  </w:pPr>
                  <w:r>
                    <w:rPr>
                      <w:bCs/>
                      <w:szCs w:val="21"/>
                    </w:rPr>
                    <w:t>暂存于危废暂存间</w:t>
                  </w:r>
                </w:p>
              </w:tc>
              <w:tc>
                <w:tcPr>
                  <w:tcW w:w="1277" w:type="dxa"/>
                  <w:vMerge w:val="restart"/>
                  <w:vAlign w:val="center"/>
                </w:tcPr>
                <w:p>
                  <w:pPr>
                    <w:pStyle w:val="14"/>
                    <w:adjustRightInd w:val="0"/>
                    <w:spacing w:line="240" w:lineRule="atLeast"/>
                    <w:jc w:val="center"/>
                    <w:rPr>
                      <w:szCs w:val="21"/>
                    </w:rPr>
                  </w:pPr>
                  <w:r>
                    <w:rPr>
                      <w:szCs w:val="21"/>
                    </w:rPr>
                    <w:t>交由有资质单位处置</w:t>
                  </w:r>
                </w:p>
              </w:tc>
              <w:tc>
                <w:tcPr>
                  <w:tcW w:w="1029" w:type="dxa"/>
                  <w:vAlign w:val="center"/>
                </w:tcPr>
                <w:p>
                  <w:pPr>
                    <w:pStyle w:val="14"/>
                    <w:jc w:val="center"/>
                    <w:rPr>
                      <w:bCs/>
                      <w:sz w:val="21"/>
                      <w:szCs w:val="21"/>
                    </w:rPr>
                  </w:pPr>
                  <w:r>
                    <w:rPr>
                      <w:bCs/>
                      <w:sz w:val="21"/>
                      <w:szCs w:val="21"/>
                    </w:rPr>
                    <w:t>0.05</w:t>
                  </w:r>
                </w:p>
              </w:tc>
              <w:tc>
                <w:tcPr>
                  <w:tcW w:w="1241" w:type="dxa"/>
                  <w:vMerge w:val="continue"/>
                  <w:vAlign w:val="center"/>
                </w:tcPr>
                <w:p>
                  <w:pPr>
                    <w:adjustRightInd w:val="0"/>
                    <w:snapToGrid w:val="0"/>
                    <w:spacing w:line="240" w:lineRule="exact"/>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12" w:hRule="atLeast"/>
              </w:trPr>
              <w:tc>
                <w:tcPr>
                  <w:tcW w:w="1008" w:type="dxa"/>
                  <w:vMerge w:val="continue"/>
                  <w:vAlign w:val="center"/>
                </w:tcPr>
                <w:p>
                  <w:pPr>
                    <w:adjustRightInd w:val="0"/>
                    <w:snapToGrid w:val="0"/>
                    <w:spacing w:line="240" w:lineRule="exact"/>
                    <w:jc w:val="center"/>
                    <w:rPr>
                      <w:bCs/>
                      <w:szCs w:val="21"/>
                    </w:rPr>
                  </w:pPr>
                </w:p>
              </w:tc>
              <w:tc>
                <w:tcPr>
                  <w:tcW w:w="1106" w:type="dxa"/>
                  <w:vAlign w:val="center"/>
                </w:tcPr>
                <w:p>
                  <w:pPr>
                    <w:jc w:val="center"/>
                    <w:rPr>
                      <w:szCs w:val="21"/>
                    </w:rPr>
                  </w:pPr>
                  <w:r>
                    <w:rPr>
                      <w:szCs w:val="21"/>
                    </w:rPr>
                    <w:t>废油渣</w:t>
                  </w:r>
                </w:p>
              </w:tc>
              <w:tc>
                <w:tcPr>
                  <w:tcW w:w="1124" w:type="dxa"/>
                  <w:vAlign w:val="center"/>
                </w:tcPr>
                <w:p>
                  <w:pPr>
                    <w:snapToGrid w:val="0"/>
                    <w:spacing w:line="240" w:lineRule="exact"/>
                    <w:jc w:val="center"/>
                    <w:rPr>
                      <w:bCs/>
                      <w:szCs w:val="21"/>
                    </w:rPr>
                  </w:pPr>
                  <w:r>
                    <w:rPr>
                      <w:szCs w:val="21"/>
                    </w:rPr>
                    <w:t>危险废物</w:t>
                  </w:r>
                </w:p>
              </w:tc>
              <w:tc>
                <w:tcPr>
                  <w:tcW w:w="1171" w:type="dxa"/>
                  <w:vAlign w:val="center"/>
                </w:tcPr>
                <w:p>
                  <w:pPr>
                    <w:jc w:val="center"/>
                    <w:rPr>
                      <w:szCs w:val="21"/>
                    </w:rPr>
                  </w:pPr>
                  <w:r>
                    <w:rPr>
                      <w:szCs w:val="21"/>
                    </w:rPr>
                    <w:t>HW08</w:t>
                  </w:r>
                </w:p>
                <w:p>
                  <w:pPr>
                    <w:jc w:val="center"/>
                    <w:rPr>
                      <w:szCs w:val="21"/>
                    </w:rPr>
                  </w:pPr>
                  <w:r>
                    <w:rPr>
                      <w:bCs/>
                      <w:szCs w:val="21"/>
                    </w:rPr>
                    <w:t>900-221-08</w:t>
                  </w:r>
                </w:p>
              </w:tc>
              <w:tc>
                <w:tcPr>
                  <w:tcW w:w="1171" w:type="dxa"/>
                  <w:vAlign w:val="center"/>
                </w:tcPr>
                <w:p>
                  <w:pPr>
                    <w:jc w:val="center"/>
                    <w:rPr>
                      <w:szCs w:val="21"/>
                    </w:rPr>
                  </w:pPr>
                  <w:r>
                    <w:rPr>
                      <w:szCs w:val="21"/>
                    </w:rPr>
                    <w:t>矿物油等</w:t>
                  </w:r>
                </w:p>
              </w:tc>
              <w:tc>
                <w:tcPr>
                  <w:tcW w:w="776" w:type="dxa"/>
                  <w:vAlign w:val="center"/>
                </w:tcPr>
                <w:p>
                  <w:pPr>
                    <w:adjustRightInd w:val="0"/>
                    <w:snapToGrid w:val="0"/>
                    <w:spacing w:line="240" w:lineRule="exact"/>
                    <w:jc w:val="center"/>
                    <w:rPr>
                      <w:bCs/>
                      <w:szCs w:val="21"/>
                    </w:rPr>
                  </w:pPr>
                  <w:r>
                    <w:rPr>
                      <w:bCs/>
                      <w:szCs w:val="21"/>
                    </w:rPr>
                    <w:t>固态</w:t>
                  </w:r>
                </w:p>
              </w:tc>
              <w:tc>
                <w:tcPr>
                  <w:tcW w:w="891" w:type="dxa"/>
                  <w:vAlign w:val="center"/>
                </w:tcPr>
                <w:p>
                  <w:pPr>
                    <w:jc w:val="center"/>
                    <w:rPr>
                      <w:szCs w:val="21"/>
                    </w:rPr>
                  </w:pPr>
                  <w:r>
                    <w:rPr>
                      <w:szCs w:val="21"/>
                    </w:rPr>
                    <w:t>T、I</w:t>
                  </w:r>
                </w:p>
              </w:tc>
              <w:tc>
                <w:tcPr>
                  <w:tcW w:w="857" w:type="dxa"/>
                  <w:vAlign w:val="center"/>
                </w:tcPr>
                <w:p>
                  <w:pPr>
                    <w:jc w:val="center"/>
                    <w:rPr>
                      <w:szCs w:val="21"/>
                    </w:rPr>
                  </w:pPr>
                  <w:r>
                    <w:rPr>
                      <w:szCs w:val="21"/>
                    </w:rPr>
                    <w:t>0.45</w:t>
                  </w:r>
                </w:p>
              </w:tc>
              <w:tc>
                <w:tcPr>
                  <w:tcW w:w="987" w:type="dxa"/>
                  <w:vMerge w:val="continue"/>
                  <w:vAlign w:val="center"/>
                </w:tcPr>
                <w:p>
                  <w:pPr>
                    <w:adjustRightInd w:val="0"/>
                    <w:snapToGrid w:val="0"/>
                    <w:spacing w:line="240" w:lineRule="exact"/>
                    <w:jc w:val="center"/>
                    <w:rPr>
                      <w:bCs/>
                      <w:szCs w:val="21"/>
                    </w:rPr>
                  </w:pPr>
                </w:p>
              </w:tc>
              <w:tc>
                <w:tcPr>
                  <w:tcW w:w="1277" w:type="dxa"/>
                  <w:vMerge w:val="continue"/>
                  <w:vAlign w:val="center"/>
                </w:tcPr>
                <w:p>
                  <w:pPr>
                    <w:pStyle w:val="14"/>
                    <w:adjustRightInd w:val="0"/>
                    <w:spacing w:line="240" w:lineRule="atLeast"/>
                    <w:jc w:val="center"/>
                    <w:rPr>
                      <w:bCs/>
                      <w:sz w:val="21"/>
                      <w:szCs w:val="21"/>
                    </w:rPr>
                  </w:pPr>
                </w:p>
              </w:tc>
              <w:tc>
                <w:tcPr>
                  <w:tcW w:w="1029" w:type="dxa"/>
                  <w:vAlign w:val="center"/>
                </w:tcPr>
                <w:p>
                  <w:pPr>
                    <w:jc w:val="center"/>
                    <w:rPr>
                      <w:szCs w:val="21"/>
                    </w:rPr>
                  </w:pPr>
                  <w:r>
                    <w:rPr>
                      <w:szCs w:val="21"/>
                    </w:rPr>
                    <w:t>0.45</w:t>
                  </w:r>
                </w:p>
              </w:tc>
              <w:tc>
                <w:tcPr>
                  <w:tcW w:w="1241" w:type="dxa"/>
                  <w:vMerge w:val="continue"/>
                  <w:vAlign w:val="center"/>
                </w:tcPr>
                <w:p>
                  <w:pPr>
                    <w:adjustRightInd w:val="0"/>
                    <w:snapToGrid w:val="0"/>
                    <w:spacing w:line="240" w:lineRule="exact"/>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07" w:hRule="atLeast"/>
              </w:trPr>
              <w:tc>
                <w:tcPr>
                  <w:tcW w:w="1008" w:type="dxa"/>
                  <w:vMerge w:val="continue"/>
                  <w:vAlign w:val="center"/>
                </w:tcPr>
                <w:p>
                  <w:pPr>
                    <w:adjustRightInd w:val="0"/>
                    <w:snapToGrid w:val="0"/>
                    <w:spacing w:line="240" w:lineRule="exact"/>
                    <w:jc w:val="center"/>
                    <w:rPr>
                      <w:bCs/>
                      <w:szCs w:val="21"/>
                    </w:rPr>
                  </w:pPr>
                </w:p>
              </w:tc>
              <w:tc>
                <w:tcPr>
                  <w:tcW w:w="1106" w:type="dxa"/>
                  <w:vAlign w:val="center"/>
                </w:tcPr>
                <w:p>
                  <w:pPr>
                    <w:jc w:val="center"/>
                    <w:rPr>
                      <w:szCs w:val="21"/>
                    </w:rPr>
                  </w:pPr>
                  <w:r>
                    <w:rPr>
                      <w:szCs w:val="21"/>
                    </w:rPr>
                    <w:t>隔油沉淀池废油泥</w:t>
                  </w:r>
                </w:p>
              </w:tc>
              <w:tc>
                <w:tcPr>
                  <w:tcW w:w="1124" w:type="dxa"/>
                  <w:vAlign w:val="center"/>
                </w:tcPr>
                <w:p>
                  <w:pPr>
                    <w:adjustRightInd w:val="0"/>
                    <w:snapToGrid w:val="0"/>
                    <w:spacing w:line="240" w:lineRule="exact"/>
                    <w:jc w:val="center"/>
                    <w:rPr>
                      <w:bCs/>
                      <w:szCs w:val="21"/>
                    </w:rPr>
                  </w:pPr>
                  <w:r>
                    <w:rPr>
                      <w:szCs w:val="21"/>
                    </w:rPr>
                    <w:t>危险废物</w:t>
                  </w:r>
                </w:p>
              </w:tc>
              <w:tc>
                <w:tcPr>
                  <w:tcW w:w="1171" w:type="dxa"/>
                  <w:vAlign w:val="center"/>
                </w:tcPr>
                <w:p>
                  <w:pPr>
                    <w:jc w:val="center"/>
                    <w:rPr>
                      <w:szCs w:val="21"/>
                    </w:rPr>
                  </w:pPr>
                  <w:r>
                    <w:rPr>
                      <w:szCs w:val="21"/>
                    </w:rPr>
                    <w:t>HW08</w:t>
                  </w:r>
                </w:p>
                <w:p>
                  <w:pPr>
                    <w:jc w:val="center"/>
                    <w:rPr>
                      <w:szCs w:val="21"/>
                    </w:rPr>
                  </w:pPr>
                  <w:r>
                    <w:rPr>
                      <w:szCs w:val="21"/>
                    </w:rPr>
                    <w:t>900-210-08</w:t>
                  </w:r>
                </w:p>
              </w:tc>
              <w:tc>
                <w:tcPr>
                  <w:tcW w:w="1171" w:type="dxa"/>
                  <w:vAlign w:val="center"/>
                </w:tcPr>
                <w:p>
                  <w:pPr>
                    <w:jc w:val="center"/>
                    <w:rPr>
                      <w:szCs w:val="21"/>
                    </w:rPr>
                  </w:pPr>
                  <w:r>
                    <w:rPr>
                      <w:szCs w:val="21"/>
                    </w:rPr>
                    <w:t>矿物油等</w:t>
                  </w:r>
                </w:p>
              </w:tc>
              <w:tc>
                <w:tcPr>
                  <w:tcW w:w="776" w:type="dxa"/>
                  <w:vAlign w:val="center"/>
                </w:tcPr>
                <w:p>
                  <w:pPr>
                    <w:adjustRightInd w:val="0"/>
                    <w:snapToGrid w:val="0"/>
                    <w:spacing w:line="240" w:lineRule="exact"/>
                    <w:jc w:val="center"/>
                    <w:rPr>
                      <w:bCs/>
                      <w:szCs w:val="21"/>
                    </w:rPr>
                  </w:pPr>
                  <w:r>
                    <w:rPr>
                      <w:szCs w:val="21"/>
                    </w:rPr>
                    <w:t>半固态</w:t>
                  </w:r>
                </w:p>
              </w:tc>
              <w:tc>
                <w:tcPr>
                  <w:tcW w:w="891" w:type="dxa"/>
                  <w:vAlign w:val="center"/>
                </w:tcPr>
                <w:p>
                  <w:pPr>
                    <w:jc w:val="center"/>
                    <w:rPr>
                      <w:szCs w:val="21"/>
                    </w:rPr>
                  </w:pPr>
                  <w:r>
                    <w:rPr>
                      <w:szCs w:val="21"/>
                    </w:rPr>
                    <w:t>T、I</w:t>
                  </w:r>
                </w:p>
              </w:tc>
              <w:tc>
                <w:tcPr>
                  <w:tcW w:w="857" w:type="dxa"/>
                  <w:vAlign w:val="center"/>
                </w:tcPr>
                <w:p>
                  <w:pPr>
                    <w:jc w:val="center"/>
                    <w:rPr>
                      <w:szCs w:val="21"/>
                    </w:rPr>
                  </w:pPr>
                  <w:r>
                    <w:rPr>
                      <w:szCs w:val="21"/>
                    </w:rPr>
                    <w:t>0.1</w:t>
                  </w:r>
                </w:p>
              </w:tc>
              <w:tc>
                <w:tcPr>
                  <w:tcW w:w="987" w:type="dxa"/>
                  <w:vMerge w:val="continue"/>
                  <w:vAlign w:val="center"/>
                </w:tcPr>
                <w:p>
                  <w:pPr>
                    <w:adjustRightInd w:val="0"/>
                    <w:snapToGrid w:val="0"/>
                    <w:spacing w:line="240" w:lineRule="exact"/>
                    <w:jc w:val="center"/>
                    <w:rPr>
                      <w:bCs/>
                      <w:szCs w:val="21"/>
                    </w:rPr>
                  </w:pPr>
                </w:p>
              </w:tc>
              <w:tc>
                <w:tcPr>
                  <w:tcW w:w="1277" w:type="dxa"/>
                  <w:vMerge w:val="continue"/>
                  <w:vAlign w:val="center"/>
                </w:tcPr>
                <w:p>
                  <w:pPr>
                    <w:pStyle w:val="14"/>
                    <w:adjustRightInd w:val="0"/>
                    <w:spacing w:line="240" w:lineRule="atLeast"/>
                    <w:jc w:val="center"/>
                    <w:rPr>
                      <w:bCs/>
                      <w:sz w:val="21"/>
                      <w:szCs w:val="21"/>
                    </w:rPr>
                  </w:pPr>
                </w:p>
              </w:tc>
              <w:tc>
                <w:tcPr>
                  <w:tcW w:w="1029" w:type="dxa"/>
                  <w:vAlign w:val="center"/>
                </w:tcPr>
                <w:p>
                  <w:pPr>
                    <w:jc w:val="center"/>
                    <w:rPr>
                      <w:szCs w:val="21"/>
                    </w:rPr>
                  </w:pPr>
                  <w:r>
                    <w:rPr>
                      <w:szCs w:val="21"/>
                    </w:rPr>
                    <w:t>0.1</w:t>
                  </w:r>
                </w:p>
              </w:tc>
              <w:tc>
                <w:tcPr>
                  <w:tcW w:w="1241" w:type="dxa"/>
                  <w:vMerge w:val="continue"/>
                  <w:vAlign w:val="center"/>
                </w:tcPr>
                <w:p>
                  <w:pPr>
                    <w:adjustRightInd w:val="0"/>
                    <w:snapToGrid w:val="0"/>
                    <w:spacing w:line="240" w:lineRule="exact"/>
                    <w:jc w:val="center"/>
                    <w:rPr>
                      <w:bCs/>
                      <w:szCs w:val="21"/>
                    </w:rPr>
                  </w:pPr>
                </w:p>
              </w:tc>
            </w:tr>
          </w:tbl>
          <w:p>
            <w:pPr>
              <w:tabs>
                <w:tab w:val="left" w:pos="1275"/>
              </w:tabs>
              <w:spacing w:line="360" w:lineRule="auto"/>
              <w:ind w:firstLine="422" w:firstLineChars="200"/>
              <w:rPr>
                <w:b/>
                <w:szCs w:val="21"/>
              </w:rPr>
            </w:pPr>
            <w:r>
              <w:rPr>
                <w:b/>
                <w:szCs w:val="21"/>
              </w:rPr>
              <w:t>4.2、</w:t>
            </w:r>
            <w:r>
              <w:rPr>
                <w:rFonts w:hint="eastAsia"/>
                <w:b/>
                <w:szCs w:val="21"/>
              </w:rPr>
              <w:t>固废处置、暂存影响分析</w:t>
            </w:r>
          </w:p>
          <w:p>
            <w:pPr>
              <w:autoSpaceDE w:val="0"/>
              <w:autoSpaceDN w:val="0"/>
              <w:adjustRightInd w:val="0"/>
              <w:spacing w:line="360" w:lineRule="auto"/>
              <w:ind w:firstLine="420" w:firstLineChars="200"/>
              <w:jc w:val="left"/>
              <w:rPr>
                <w:kern w:val="0"/>
                <w:szCs w:val="21"/>
              </w:rPr>
            </w:pPr>
            <w:r>
              <w:rPr>
                <w:rFonts w:hint="eastAsia"/>
                <w:kern w:val="0"/>
              </w:rPr>
              <w:t>一般固体废弃物主要为生活垃圾，应分类收集，不得露天堆放，设置垃圾桶收集，由环卫部门统一清运。项目一般固废按要求收集、处置后，不会对周围环境产生不良影响。</w:t>
            </w:r>
          </w:p>
          <w:p>
            <w:pPr>
              <w:tabs>
                <w:tab w:val="left" w:pos="1275"/>
              </w:tabs>
              <w:spacing w:line="360" w:lineRule="auto"/>
              <w:ind w:firstLine="420" w:firstLineChars="200"/>
              <w:rPr>
                <w:b/>
                <w:sz w:val="18"/>
                <w:szCs w:val="21"/>
              </w:rPr>
            </w:pPr>
            <w:r>
              <w:rPr>
                <w:kern w:val="0"/>
              </w:rPr>
              <w:t>根据《建设项目危险废物环境影响评价指南》（环保部公告[2017]43 号）、《危险废物贮存污染控制标准》（GB18597-2001）及其2013 年修改单中的相关要求、《国家危险废物名录》（2021 版）以及《危险废物鉴别标准通则》(GB5085.7-2019)，本项目危险废物产排汇总以及临时贮存场所见表4-13、表4-14。</w:t>
            </w:r>
          </w:p>
          <w:p>
            <w:pPr>
              <w:spacing w:line="276" w:lineRule="auto"/>
              <w:ind w:firstLine="422" w:firstLineChars="200"/>
              <w:jc w:val="center"/>
              <w:rPr>
                <w:b/>
                <w:szCs w:val="21"/>
              </w:rPr>
            </w:pPr>
            <w:r>
              <w:rPr>
                <w:b/>
                <w:szCs w:val="21"/>
              </w:rPr>
              <w:t>表4-13  本项目危险废物产排情况一览表</w:t>
            </w:r>
          </w:p>
          <w:tbl>
            <w:tblPr>
              <w:tblStyle w:val="21"/>
              <w:tblW w:w="1263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577"/>
              <w:gridCol w:w="1204"/>
              <w:gridCol w:w="993"/>
              <w:gridCol w:w="1148"/>
              <w:gridCol w:w="1261"/>
              <w:gridCol w:w="1559"/>
              <w:gridCol w:w="709"/>
              <w:gridCol w:w="1133"/>
              <w:gridCol w:w="1134"/>
              <w:gridCol w:w="1134"/>
              <w:gridCol w:w="178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577" w:type="dxa"/>
                  <w:vAlign w:val="center"/>
                </w:tcPr>
                <w:p>
                  <w:pPr>
                    <w:jc w:val="center"/>
                    <w:rPr>
                      <w:szCs w:val="21"/>
                    </w:rPr>
                  </w:pPr>
                  <w:r>
                    <w:rPr>
                      <w:szCs w:val="21"/>
                    </w:rPr>
                    <w:t>序号</w:t>
                  </w:r>
                </w:p>
              </w:tc>
              <w:tc>
                <w:tcPr>
                  <w:tcW w:w="1204" w:type="dxa"/>
                  <w:vAlign w:val="center"/>
                </w:tcPr>
                <w:p>
                  <w:pPr>
                    <w:jc w:val="center"/>
                    <w:rPr>
                      <w:szCs w:val="21"/>
                    </w:rPr>
                  </w:pPr>
                  <w:r>
                    <w:rPr>
                      <w:szCs w:val="21"/>
                    </w:rPr>
                    <w:t>危废名称</w:t>
                  </w:r>
                </w:p>
              </w:tc>
              <w:tc>
                <w:tcPr>
                  <w:tcW w:w="993" w:type="dxa"/>
                  <w:vAlign w:val="center"/>
                </w:tcPr>
                <w:p>
                  <w:pPr>
                    <w:jc w:val="center"/>
                    <w:rPr>
                      <w:szCs w:val="21"/>
                    </w:rPr>
                  </w:pPr>
                  <w:r>
                    <w:rPr>
                      <w:szCs w:val="21"/>
                    </w:rPr>
                    <w:t>危废类别</w:t>
                  </w:r>
                </w:p>
              </w:tc>
              <w:tc>
                <w:tcPr>
                  <w:tcW w:w="1148" w:type="dxa"/>
                  <w:vAlign w:val="center"/>
                </w:tcPr>
                <w:p>
                  <w:pPr>
                    <w:jc w:val="center"/>
                    <w:rPr>
                      <w:szCs w:val="21"/>
                    </w:rPr>
                  </w:pPr>
                  <w:r>
                    <w:rPr>
                      <w:szCs w:val="21"/>
                    </w:rPr>
                    <w:t>危废代码</w:t>
                  </w:r>
                </w:p>
              </w:tc>
              <w:tc>
                <w:tcPr>
                  <w:tcW w:w="1261" w:type="dxa"/>
                  <w:vAlign w:val="center"/>
                </w:tcPr>
                <w:p>
                  <w:pPr>
                    <w:jc w:val="center"/>
                    <w:rPr>
                      <w:szCs w:val="21"/>
                    </w:rPr>
                  </w:pPr>
                  <w:r>
                    <w:rPr>
                      <w:szCs w:val="21"/>
                    </w:rPr>
                    <w:t>产生量（t/a）</w:t>
                  </w:r>
                </w:p>
              </w:tc>
              <w:tc>
                <w:tcPr>
                  <w:tcW w:w="1559" w:type="dxa"/>
                  <w:vAlign w:val="center"/>
                </w:tcPr>
                <w:p>
                  <w:pPr>
                    <w:jc w:val="center"/>
                    <w:rPr>
                      <w:szCs w:val="21"/>
                    </w:rPr>
                  </w:pPr>
                  <w:r>
                    <w:rPr>
                      <w:szCs w:val="21"/>
                    </w:rPr>
                    <w:t>产生工序及装置</w:t>
                  </w:r>
                </w:p>
              </w:tc>
              <w:tc>
                <w:tcPr>
                  <w:tcW w:w="709" w:type="dxa"/>
                  <w:vAlign w:val="center"/>
                </w:tcPr>
                <w:p>
                  <w:pPr>
                    <w:jc w:val="center"/>
                    <w:rPr>
                      <w:szCs w:val="21"/>
                    </w:rPr>
                  </w:pPr>
                  <w:r>
                    <w:rPr>
                      <w:szCs w:val="21"/>
                    </w:rPr>
                    <w:t>形态</w:t>
                  </w:r>
                </w:p>
              </w:tc>
              <w:tc>
                <w:tcPr>
                  <w:tcW w:w="1133" w:type="dxa"/>
                  <w:vAlign w:val="center"/>
                </w:tcPr>
                <w:p>
                  <w:pPr>
                    <w:jc w:val="center"/>
                    <w:rPr>
                      <w:szCs w:val="21"/>
                    </w:rPr>
                  </w:pPr>
                  <w:r>
                    <w:rPr>
                      <w:szCs w:val="21"/>
                    </w:rPr>
                    <w:t>有害成分</w:t>
                  </w:r>
                </w:p>
              </w:tc>
              <w:tc>
                <w:tcPr>
                  <w:tcW w:w="1134" w:type="dxa"/>
                  <w:vAlign w:val="center"/>
                </w:tcPr>
                <w:p>
                  <w:pPr>
                    <w:jc w:val="center"/>
                    <w:rPr>
                      <w:szCs w:val="21"/>
                    </w:rPr>
                  </w:pPr>
                  <w:r>
                    <w:rPr>
                      <w:szCs w:val="21"/>
                    </w:rPr>
                    <w:t>产废周期</w:t>
                  </w:r>
                </w:p>
              </w:tc>
              <w:tc>
                <w:tcPr>
                  <w:tcW w:w="1134" w:type="dxa"/>
                  <w:vAlign w:val="center"/>
                </w:tcPr>
                <w:p>
                  <w:pPr>
                    <w:jc w:val="center"/>
                    <w:rPr>
                      <w:szCs w:val="21"/>
                    </w:rPr>
                  </w:pPr>
                  <w:r>
                    <w:rPr>
                      <w:szCs w:val="21"/>
                    </w:rPr>
                    <w:t>危险特性</w:t>
                  </w:r>
                </w:p>
              </w:tc>
              <w:tc>
                <w:tcPr>
                  <w:tcW w:w="1784" w:type="dxa"/>
                  <w:vAlign w:val="center"/>
                </w:tcPr>
                <w:p>
                  <w:pPr>
                    <w:jc w:val="center"/>
                    <w:rPr>
                      <w:szCs w:val="21"/>
                    </w:rPr>
                  </w:pPr>
                  <w:r>
                    <w:rPr>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7" w:type="dxa"/>
                  <w:vAlign w:val="center"/>
                </w:tcPr>
                <w:p>
                  <w:pPr>
                    <w:jc w:val="center"/>
                    <w:rPr>
                      <w:szCs w:val="21"/>
                    </w:rPr>
                  </w:pPr>
                  <w:r>
                    <w:rPr>
                      <w:szCs w:val="21"/>
                    </w:rPr>
                    <w:t>1</w:t>
                  </w:r>
                </w:p>
              </w:tc>
              <w:tc>
                <w:tcPr>
                  <w:tcW w:w="1204" w:type="dxa"/>
                  <w:vAlign w:val="center"/>
                </w:tcPr>
                <w:p>
                  <w:pPr>
                    <w:jc w:val="center"/>
                    <w:rPr>
                      <w:szCs w:val="21"/>
                    </w:rPr>
                  </w:pPr>
                  <w:r>
                    <w:rPr>
                      <w:szCs w:val="21"/>
                    </w:rPr>
                    <w:t>储罐、回收装置废油渣</w:t>
                  </w:r>
                </w:p>
              </w:tc>
              <w:tc>
                <w:tcPr>
                  <w:tcW w:w="993" w:type="dxa"/>
                  <w:vAlign w:val="center"/>
                </w:tcPr>
                <w:p>
                  <w:pPr>
                    <w:jc w:val="center"/>
                    <w:rPr>
                      <w:szCs w:val="21"/>
                    </w:rPr>
                  </w:pPr>
                  <w:r>
                    <w:rPr>
                      <w:szCs w:val="21"/>
                    </w:rPr>
                    <w:t>HW08</w:t>
                  </w:r>
                </w:p>
              </w:tc>
              <w:tc>
                <w:tcPr>
                  <w:tcW w:w="1148" w:type="dxa"/>
                  <w:vAlign w:val="center"/>
                </w:tcPr>
                <w:p>
                  <w:pPr>
                    <w:jc w:val="center"/>
                    <w:rPr>
                      <w:szCs w:val="21"/>
                    </w:rPr>
                  </w:pPr>
                  <w:r>
                    <w:rPr>
                      <w:bCs/>
                      <w:szCs w:val="21"/>
                    </w:rPr>
                    <w:t>900-221-08</w:t>
                  </w:r>
                </w:p>
              </w:tc>
              <w:tc>
                <w:tcPr>
                  <w:tcW w:w="1261" w:type="dxa"/>
                  <w:vAlign w:val="center"/>
                </w:tcPr>
                <w:p>
                  <w:pPr>
                    <w:jc w:val="center"/>
                    <w:rPr>
                      <w:szCs w:val="21"/>
                    </w:rPr>
                  </w:pPr>
                  <w:r>
                    <w:rPr>
                      <w:szCs w:val="21"/>
                    </w:rPr>
                    <w:t>0.45</w:t>
                  </w:r>
                </w:p>
              </w:tc>
              <w:tc>
                <w:tcPr>
                  <w:tcW w:w="1559" w:type="dxa"/>
                  <w:vAlign w:val="center"/>
                </w:tcPr>
                <w:p>
                  <w:pPr>
                    <w:jc w:val="center"/>
                    <w:rPr>
                      <w:szCs w:val="21"/>
                    </w:rPr>
                  </w:pPr>
                  <w:r>
                    <w:rPr>
                      <w:szCs w:val="21"/>
                    </w:rPr>
                    <w:t>储罐清掏、</w:t>
                  </w:r>
                  <w:r>
                    <w:rPr>
                      <w:bCs/>
                      <w:szCs w:val="21"/>
                    </w:rPr>
                    <w:t>油气回收装置清理</w:t>
                  </w:r>
                </w:p>
              </w:tc>
              <w:tc>
                <w:tcPr>
                  <w:tcW w:w="709" w:type="dxa"/>
                  <w:vAlign w:val="center"/>
                </w:tcPr>
                <w:p>
                  <w:pPr>
                    <w:jc w:val="center"/>
                    <w:rPr>
                      <w:szCs w:val="21"/>
                    </w:rPr>
                  </w:pPr>
                  <w:r>
                    <w:rPr>
                      <w:szCs w:val="21"/>
                    </w:rPr>
                    <w:t>固态</w:t>
                  </w:r>
                </w:p>
              </w:tc>
              <w:tc>
                <w:tcPr>
                  <w:tcW w:w="1133" w:type="dxa"/>
                  <w:vAlign w:val="center"/>
                </w:tcPr>
                <w:p>
                  <w:pPr>
                    <w:jc w:val="center"/>
                    <w:rPr>
                      <w:szCs w:val="21"/>
                    </w:rPr>
                  </w:pPr>
                  <w:r>
                    <w:rPr>
                      <w:szCs w:val="21"/>
                    </w:rPr>
                    <w:t>矿物油等</w:t>
                  </w:r>
                </w:p>
              </w:tc>
              <w:tc>
                <w:tcPr>
                  <w:tcW w:w="1134" w:type="dxa"/>
                  <w:vAlign w:val="center"/>
                </w:tcPr>
                <w:p>
                  <w:pPr>
                    <w:jc w:val="center"/>
                    <w:rPr>
                      <w:szCs w:val="21"/>
                    </w:rPr>
                  </w:pPr>
                  <w:r>
                    <w:rPr>
                      <w:szCs w:val="21"/>
                    </w:rPr>
                    <w:t>每年</w:t>
                  </w:r>
                </w:p>
              </w:tc>
              <w:tc>
                <w:tcPr>
                  <w:tcW w:w="1134" w:type="dxa"/>
                  <w:vAlign w:val="center"/>
                </w:tcPr>
                <w:p>
                  <w:pPr>
                    <w:jc w:val="center"/>
                    <w:rPr>
                      <w:szCs w:val="21"/>
                    </w:rPr>
                  </w:pPr>
                  <w:r>
                    <w:rPr>
                      <w:szCs w:val="21"/>
                    </w:rPr>
                    <w:t>T、I</w:t>
                  </w:r>
                </w:p>
              </w:tc>
              <w:tc>
                <w:tcPr>
                  <w:tcW w:w="1784" w:type="dxa"/>
                  <w:vMerge w:val="restart"/>
                  <w:vAlign w:val="center"/>
                </w:tcPr>
                <w:p>
                  <w:pPr>
                    <w:jc w:val="center"/>
                    <w:rPr>
                      <w:szCs w:val="21"/>
                    </w:rPr>
                  </w:pPr>
                  <w:r>
                    <w:rPr>
                      <w:szCs w:val="21"/>
                    </w:rPr>
                    <w:t>暂存于危废暂存间，委托有资质的单位处理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7" w:type="dxa"/>
                  <w:vAlign w:val="center"/>
                </w:tcPr>
                <w:p>
                  <w:pPr>
                    <w:spacing w:line="360" w:lineRule="auto"/>
                    <w:jc w:val="center"/>
                    <w:rPr>
                      <w:szCs w:val="21"/>
                    </w:rPr>
                  </w:pPr>
                  <w:r>
                    <w:rPr>
                      <w:szCs w:val="21"/>
                    </w:rPr>
                    <w:t>2</w:t>
                  </w:r>
                </w:p>
              </w:tc>
              <w:tc>
                <w:tcPr>
                  <w:tcW w:w="1204" w:type="dxa"/>
                  <w:vAlign w:val="center"/>
                </w:tcPr>
                <w:p>
                  <w:pPr>
                    <w:jc w:val="center"/>
                    <w:rPr>
                      <w:szCs w:val="21"/>
                    </w:rPr>
                  </w:pPr>
                  <w:r>
                    <w:rPr>
                      <w:szCs w:val="21"/>
                    </w:rPr>
                    <w:t>隔油沉淀池废油泥</w:t>
                  </w:r>
                </w:p>
              </w:tc>
              <w:tc>
                <w:tcPr>
                  <w:tcW w:w="993" w:type="dxa"/>
                  <w:vAlign w:val="center"/>
                </w:tcPr>
                <w:p>
                  <w:pPr>
                    <w:jc w:val="center"/>
                    <w:rPr>
                      <w:szCs w:val="21"/>
                    </w:rPr>
                  </w:pPr>
                  <w:r>
                    <w:rPr>
                      <w:szCs w:val="21"/>
                    </w:rPr>
                    <w:t>HW08</w:t>
                  </w:r>
                </w:p>
              </w:tc>
              <w:tc>
                <w:tcPr>
                  <w:tcW w:w="1148" w:type="dxa"/>
                  <w:vAlign w:val="center"/>
                </w:tcPr>
                <w:p>
                  <w:pPr>
                    <w:jc w:val="center"/>
                    <w:rPr>
                      <w:szCs w:val="21"/>
                    </w:rPr>
                  </w:pPr>
                  <w:r>
                    <w:rPr>
                      <w:szCs w:val="21"/>
                    </w:rPr>
                    <w:t>900-210-08</w:t>
                  </w:r>
                </w:p>
              </w:tc>
              <w:tc>
                <w:tcPr>
                  <w:tcW w:w="1261" w:type="dxa"/>
                  <w:vAlign w:val="center"/>
                </w:tcPr>
                <w:p>
                  <w:pPr>
                    <w:jc w:val="center"/>
                    <w:rPr>
                      <w:szCs w:val="21"/>
                    </w:rPr>
                  </w:pPr>
                  <w:r>
                    <w:rPr>
                      <w:szCs w:val="21"/>
                    </w:rPr>
                    <w:t>0.1</w:t>
                  </w:r>
                </w:p>
              </w:tc>
              <w:tc>
                <w:tcPr>
                  <w:tcW w:w="1559" w:type="dxa"/>
                  <w:vAlign w:val="center"/>
                </w:tcPr>
                <w:p>
                  <w:pPr>
                    <w:jc w:val="center"/>
                    <w:rPr>
                      <w:szCs w:val="21"/>
                    </w:rPr>
                  </w:pPr>
                  <w:r>
                    <w:rPr>
                      <w:szCs w:val="21"/>
                    </w:rPr>
                    <w:t>隔油沉淀池清掏</w:t>
                  </w:r>
                </w:p>
              </w:tc>
              <w:tc>
                <w:tcPr>
                  <w:tcW w:w="709" w:type="dxa"/>
                  <w:vAlign w:val="center"/>
                </w:tcPr>
                <w:p>
                  <w:pPr>
                    <w:jc w:val="center"/>
                    <w:rPr>
                      <w:szCs w:val="21"/>
                    </w:rPr>
                  </w:pPr>
                  <w:r>
                    <w:rPr>
                      <w:szCs w:val="21"/>
                    </w:rPr>
                    <w:t>半固态</w:t>
                  </w:r>
                </w:p>
              </w:tc>
              <w:tc>
                <w:tcPr>
                  <w:tcW w:w="1133" w:type="dxa"/>
                  <w:vAlign w:val="center"/>
                </w:tcPr>
                <w:p>
                  <w:pPr>
                    <w:jc w:val="center"/>
                    <w:rPr>
                      <w:szCs w:val="21"/>
                    </w:rPr>
                  </w:pPr>
                  <w:r>
                    <w:rPr>
                      <w:szCs w:val="21"/>
                    </w:rPr>
                    <w:t>矿物油等</w:t>
                  </w:r>
                </w:p>
              </w:tc>
              <w:tc>
                <w:tcPr>
                  <w:tcW w:w="1134" w:type="dxa"/>
                  <w:vAlign w:val="center"/>
                </w:tcPr>
                <w:p>
                  <w:pPr>
                    <w:jc w:val="center"/>
                    <w:rPr>
                      <w:szCs w:val="21"/>
                    </w:rPr>
                  </w:pPr>
                  <w:r>
                    <w:rPr>
                      <w:szCs w:val="21"/>
                    </w:rPr>
                    <w:t>每年</w:t>
                  </w:r>
                </w:p>
              </w:tc>
              <w:tc>
                <w:tcPr>
                  <w:tcW w:w="1134" w:type="dxa"/>
                  <w:vAlign w:val="center"/>
                </w:tcPr>
                <w:p>
                  <w:pPr>
                    <w:jc w:val="center"/>
                    <w:rPr>
                      <w:szCs w:val="21"/>
                    </w:rPr>
                  </w:pPr>
                  <w:r>
                    <w:rPr>
                      <w:szCs w:val="21"/>
                    </w:rPr>
                    <w:t>T、I</w:t>
                  </w:r>
                </w:p>
              </w:tc>
              <w:tc>
                <w:tcPr>
                  <w:tcW w:w="1784"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577" w:type="dxa"/>
                  <w:vAlign w:val="center"/>
                </w:tcPr>
                <w:p>
                  <w:pPr>
                    <w:spacing w:line="360" w:lineRule="auto"/>
                    <w:jc w:val="center"/>
                    <w:rPr>
                      <w:szCs w:val="21"/>
                    </w:rPr>
                  </w:pPr>
                  <w:r>
                    <w:rPr>
                      <w:szCs w:val="21"/>
                    </w:rPr>
                    <w:t>3</w:t>
                  </w:r>
                </w:p>
              </w:tc>
              <w:tc>
                <w:tcPr>
                  <w:tcW w:w="1204" w:type="dxa"/>
                  <w:vAlign w:val="center"/>
                </w:tcPr>
                <w:p>
                  <w:pPr>
                    <w:jc w:val="center"/>
                    <w:rPr>
                      <w:szCs w:val="21"/>
                    </w:rPr>
                  </w:pPr>
                  <w:r>
                    <w:rPr>
                      <w:szCs w:val="21"/>
                    </w:rPr>
                    <w:t>废吸油棉</w:t>
                  </w:r>
                </w:p>
              </w:tc>
              <w:tc>
                <w:tcPr>
                  <w:tcW w:w="993" w:type="dxa"/>
                  <w:vAlign w:val="center"/>
                </w:tcPr>
                <w:p>
                  <w:pPr>
                    <w:jc w:val="center"/>
                    <w:rPr>
                      <w:szCs w:val="21"/>
                    </w:rPr>
                  </w:pPr>
                  <w:r>
                    <w:rPr>
                      <w:szCs w:val="21"/>
                    </w:rPr>
                    <w:t>HW49</w:t>
                  </w:r>
                </w:p>
              </w:tc>
              <w:tc>
                <w:tcPr>
                  <w:tcW w:w="1148" w:type="dxa"/>
                  <w:vAlign w:val="center"/>
                </w:tcPr>
                <w:p>
                  <w:pPr>
                    <w:jc w:val="center"/>
                    <w:rPr>
                      <w:szCs w:val="21"/>
                    </w:rPr>
                  </w:pPr>
                  <w:r>
                    <w:rPr>
                      <w:szCs w:val="21"/>
                    </w:rPr>
                    <w:t>900-041-49</w:t>
                  </w:r>
                </w:p>
              </w:tc>
              <w:tc>
                <w:tcPr>
                  <w:tcW w:w="1261" w:type="dxa"/>
                  <w:vAlign w:val="center"/>
                </w:tcPr>
                <w:p>
                  <w:pPr>
                    <w:jc w:val="center"/>
                    <w:rPr>
                      <w:szCs w:val="21"/>
                    </w:rPr>
                  </w:pPr>
                  <w:r>
                    <w:rPr>
                      <w:szCs w:val="21"/>
                    </w:rPr>
                    <w:t>0.05</w:t>
                  </w:r>
                </w:p>
              </w:tc>
              <w:tc>
                <w:tcPr>
                  <w:tcW w:w="1559" w:type="dxa"/>
                  <w:vAlign w:val="center"/>
                </w:tcPr>
                <w:p>
                  <w:pPr>
                    <w:jc w:val="center"/>
                    <w:rPr>
                      <w:szCs w:val="21"/>
                    </w:rPr>
                  </w:pPr>
                  <w:r>
                    <w:rPr>
                      <w:szCs w:val="21"/>
                    </w:rPr>
                    <w:t>漏油处理等</w:t>
                  </w:r>
                </w:p>
              </w:tc>
              <w:tc>
                <w:tcPr>
                  <w:tcW w:w="709" w:type="dxa"/>
                  <w:vAlign w:val="center"/>
                </w:tcPr>
                <w:p>
                  <w:pPr>
                    <w:jc w:val="center"/>
                    <w:rPr>
                      <w:szCs w:val="21"/>
                    </w:rPr>
                  </w:pPr>
                  <w:r>
                    <w:rPr>
                      <w:szCs w:val="21"/>
                    </w:rPr>
                    <w:t>固态</w:t>
                  </w:r>
                </w:p>
              </w:tc>
              <w:tc>
                <w:tcPr>
                  <w:tcW w:w="1133" w:type="dxa"/>
                  <w:vAlign w:val="center"/>
                </w:tcPr>
                <w:p>
                  <w:pPr>
                    <w:jc w:val="center"/>
                    <w:rPr>
                      <w:szCs w:val="21"/>
                    </w:rPr>
                  </w:pPr>
                  <w:r>
                    <w:rPr>
                      <w:szCs w:val="21"/>
                    </w:rPr>
                    <w:t>矿物油等</w:t>
                  </w:r>
                </w:p>
              </w:tc>
              <w:tc>
                <w:tcPr>
                  <w:tcW w:w="1134" w:type="dxa"/>
                  <w:vAlign w:val="center"/>
                </w:tcPr>
                <w:p>
                  <w:pPr>
                    <w:jc w:val="center"/>
                    <w:rPr>
                      <w:szCs w:val="21"/>
                    </w:rPr>
                  </w:pPr>
                  <w:r>
                    <w:rPr>
                      <w:szCs w:val="21"/>
                    </w:rPr>
                    <w:t>每天</w:t>
                  </w:r>
                </w:p>
              </w:tc>
              <w:tc>
                <w:tcPr>
                  <w:tcW w:w="1134" w:type="dxa"/>
                  <w:vAlign w:val="center"/>
                </w:tcPr>
                <w:p>
                  <w:pPr>
                    <w:jc w:val="center"/>
                    <w:rPr>
                      <w:szCs w:val="21"/>
                    </w:rPr>
                  </w:pPr>
                  <w:r>
                    <w:rPr>
                      <w:szCs w:val="21"/>
                    </w:rPr>
                    <w:t>T、In</w:t>
                  </w:r>
                </w:p>
              </w:tc>
              <w:tc>
                <w:tcPr>
                  <w:tcW w:w="1784" w:type="dxa"/>
                  <w:vMerge w:val="continue"/>
                  <w:vAlign w:val="center"/>
                </w:tcPr>
                <w:p>
                  <w:pPr>
                    <w:jc w:val="center"/>
                    <w:rPr>
                      <w:szCs w:val="21"/>
                    </w:rPr>
                  </w:pPr>
                </w:p>
              </w:tc>
            </w:tr>
          </w:tbl>
          <w:p>
            <w:pPr>
              <w:spacing w:before="120" w:beforeLines="50" w:line="276" w:lineRule="auto"/>
              <w:jc w:val="center"/>
              <w:rPr>
                <w:b/>
              </w:rPr>
            </w:pPr>
            <w:r>
              <w:rPr>
                <w:b/>
              </w:rPr>
              <w:t>表4-14  项目危险废物贮存场所基本情况表</w:t>
            </w:r>
          </w:p>
          <w:tbl>
            <w:tblPr>
              <w:tblStyle w:val="21"/>
              <w:tblW w:w="12620" w:type="dxa"/>
              <w:tblInd w:w="6"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1564"/>
              <w:gridCol w:w="2409"/>
              <w:gridCol w:w="1418"/>
              <w:gridCol w:w="1559"/>
              <w:gridCol w:w="992"/>
              <w:gridCol w:w="661"/>
              <w:gridCol w:w="1466"/>
              <w:gridCol w:w="1212"/>
              <w:gridCol w:w="133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19" w:hRule="atLeast"/>
              </w:trPr>
              <w:tc>
                <w:tcPr>
                  <w:tcW w:w="1564" w:type="dxa"/>
                  <w:vAlign w:val="center"/>
                </w:tcPr>
                <w:p>
                  <w:pPr>
                    <w:jc w:val="center"/>
                    <w:rPr>
                      <w:kern w:val="18"/>
                      <w:szCs w:val="21"/>
                    </w:rPr>
                  </w:pPr>
                  <w:r>
                    <w:rPr>
                      <w:kern w:val="18"/>
                      <w:szCs w:val="21"/>
                    </w:rPr>
                    <w:t>贮存场所名称</w:t>
                  </w:r>
                </w:p>
              </w:tc>
              <w:tc>
                <w:tcPr>
                  <w:tcW w:w="2409" w:type="dxa"/>
                  <w:vAlign w:val="center"/>
                </w:tcPr>
                <w:p>
                  <w:pPr>
                    <w:jc w:val="center"/>
                    <w:rPr>
                      <w:kern w:val="18"/>
                      <w:szCs w:val="21"/>
                    </w:rPr>
                  </w:pPr>
                  <w:r>
                    <w:rPr>
                      <w:kern w:val="18"/>
                      <w:szCs w:val="21"/>
                    </w:rPr>
                    <w:t>危废名称</w:t>
                  </w:r>
                </w:p>
              </w:tc>
              <w:tc>
                <w:tcPr>
                  <w:tcW w:w="1418" w:type="dxa"/>
                  <w:vAlign w:val="center"/>
                </w:tcPr>
                <w:p>
                  <w:pPr>
                    <w:jc w:val="center"/>
                    <w:rPr>
                      <w:kern w:val="18"/>
                      <w:szCs w:val="21"/>
                    </w:rPr>
                  </w:pPr>
                  <w:r>
                    <w:rPr>
                      <w:kern w:val="18"/>
                      <w:szCs w:val="21"/>
                    </w:rPr>
                    <w:t>危废类别</w:t>
                  </w:r>
                </w:p>
              </w:tc>
              <w:tc>
                <w:tcPr>
                  <w:tcW w:w="1559" w:type="dxa"/>
                  <w:vAlign w:val="center"/>
                </w:tcPr>
                <w:p>
                  <w:pPr>
                    <w:jc w:val="center"/>
                    <w:rPr>
                      <w:kern w:val="18"/>
                      <w:szCs w:val="21"/>
                    </w:rPr>
                  </w:pPr>
                  <w:r>
                    <w:rPr>
                      <w:kern w:val="18"/>
                      <w:szCs w:val="21"/>
                    </w:rPr>
                    <w:t>危废代码</w:t>
                  </w:r>
                </w:p>
              </w:tc>
              <w:tc>
                <w:tcPr>
                  <w:tcW w:w="992" w:type="dxa"/>
                  <w:vAlign w:val="center"/>
                </w:tcPr>
                <w:p>
                  <w:pPr>
                    <w:jc w:val="center"/>
                    <w:rPr>
                      <w:kern w:val="18"/>
                      <w:szCs w:val="21"/>
                    </w:rPr>
                  </w:pPr>
                  <w:r>
                    <w:rPr>
                      <w:kern w:val="18"/>
                      <w:szCs w:val="21"/>
                    </w:rPr>
                    <w:t>位置</w:t>
                  </w:r>
                </w:p>
              </w:tc>
              <w:tc>
                <w:tcPr>
                  <w:tcW w:w="661" w:type="dxa"/>
                  <w:vAlign w:val="center"/>
                </w:tcPr>
                <w:p>
                  <w:pPr>
                    <w:jc w:val="center"/>
                    <w:rPr>
                      <w:kern w:val="18"/>
                      <w:szCs w:val="21"/>
                    </w:rPr>
                  </w:pPr>
                  <w:r>
                    <w:rPr>
                      <w:kern w:val="18"/>
                      <w:szCs w:val="21"/>
                    </w:rPr>
                    <w:t>面积</w:t>
                  </w:r>
                </w:p>
              </w:tc>
              <w:tc>
                <w:tcPr>
                  <w:tcW w:w="1466" w:type="dxa"/>
                  <w:vAlign w:val="center"/>
                </w:tcPr>
                <w:p>
                  <w:pPr>
                    <w:spacing w:line="240" w:lineRule="exact"/>
                    <w:jc w:val="center"/>
                    <w:rPr>
                      <w:kern w:val="18"/>
                      <w:szCs w:val="21"/>
                    </w:rPr>
                  </w:pPr>
                  <w:r>
                    <w:rPr>
                      <w:kern w:val="18"/>
                      <w:szCs w:val="21"/>
                    </w:rPr>
                    <w:t>贮存方式及要求</w:t>
                  </w:r>
                </w:p>
              </w:tc>
              <w:tc>
                <w:tcPr>
                  <w:tcW w:w="1212" w:type="dxa"/>
                  <w:vAlign w:val="center"/>
                </w:tcPr>
                <w:p>
                  <w:pPr>
                    <w:jc w:val="center"/>
                    <w:rPr>
                      <w:kern w:val="18"/>
                      <w:szCs w:val="21"/>
                    </w:rPr>
                  </w:pPr>
                  <w:r>
                    <w:rPr>
                      <w:kern w:val="18"/>
                      <w:szCs w:val="21"/>
                    </w:rPr>
                    <w:t>贮存能力</w:t>
                  </w:r>
                </w:p>
              </w:tc>
              <w:tc>
                <w:tcPr>
                  <w:tcW w:w="1339" w:type="dxa"/>
                  <w:vAlign w:val="center"/>
                </w:tcPr>
                <w:p>
                  <w:pPr>
                    <w:jc w:val="center"/>
                    <w:rPr>
                      <w:szCs w:val="21"/>
                    </w:rPr>
                  </w:pPr>
                  <w:r>
                    <w:rPr>
                      <w:szCs w:val="21"/>
                    </w:rPr>
                    <w:t>贮存周期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trPr>
              <w:tc>
                <w:tcPr>
                  <w:tcW w:w="1564" w:type="dxa"/>
                  <w:vMerge w:val="restart"/>
                  <w:vAlign w:val="center"/>
                </w:tcPr>
                <w:p>
                  <w:pPr>
                    <w:jc w:val="center"/>
                    <w:rPr>
                      <w:kern w:val="18"/>
                      <w:szCs w:val="21"/>
                    </w:rPr>
                  </w:pPr>
                  <w:r>
                    <w:rPr>
                      <w:kern w:val="18"/>
                      <w:szCs w:val="21"/>
                    </w:rPr>
                    <w:t>危废暂存间</w:t>
                  </w:r>
                </w:p>
              </w:tc>
              <w:tc>
                <w:tcPr>
                  <w:tcW w:w="2409" w:type="dxa"/>
                  <w:vAlign w:val="center"/>
                </w:tcPr>
                <w:p>
                  <w:pPr>
                    <w:jc w:val="center"/>
                    <w:rPr>
                      <w:szCs w:val="21"/>
                    </w:rPr>
                  </w:pPr>
                  <w:r>
                    <w:rPr>
                      <w:szCs w:val="21"/>
                    </w:rPr>
                    <w:t>储罐、回收装置废油渣</w:t>
                  </w:r>
                </w:p>
              </w:tc>
              <w:tc>
                <w:tcPr>
                  <w:tcW w:w="1418" w:type="dxa"/>
                  <w:vAlign w:val="center"/>
                </w:tcPr>
                <w:p>
                  <w:pPr>
                    <w:jc w:val="center"/>
                    <w:rPr>
                      <w:szCs w:val="21"/>
                    </w:rPr>
                  </w:pPr>
                  <w:r>
                    <w:rPr>
                      <w:szCs w:val="21"/>
                    </w:rPr>
                    <w:t>HW08</w:t>
                  </w:r>
                </w:p>
              </w:tc>
              <w:tc>
                <w:tcPr>
                  <w:tcW w:w="1559" w:type="dxa"/>
                  <w:vAlign w:val="center"/>
                </w:tcPr>
                <w:p>
                  <w:pPr>
                    <w:jc w:val="center"/>
                    <w:rPr>
                      <w:szCs w:val="21"/>
                    </w:rPr>
                  </w:pPr>
                  <w:r>
                    <w:rPr>
                      <w:bCs/>
                      <w:szCs w:val="21"/>
                    </w:rPr>
                    <w:t>900-221-08</w:t>
                  </w:r>
                </w:p>
              </w:tc>
              <w:tc>
                <w:tcPr>
                  <w:tcW w:w="992" w:type="dxa"/>
                  <w:vMerge w:val="restart"/>
                  <w:vAlign w:val="center"/>
                </w:tcPr>
                <w:p>
                  <w:pPr>
                    <w:jc w:val="center"/>
                    <w:rPr>
                      <w:kern w:val="18"/>
                      <w:szCs w:val="21"/>
                    </w:rPr>
                  </w:pPr>
                  <w:r>
                    <w:rPr>
                      <w:kern w:val="18"/>
                      <w:szCs w:val="21"/>
                    </w:rPr>
                    <w:t>站房内储物间</w:t>
                  </w:r>
                </w:p>
              </w:tc>
              <w:tc>
                <w:tcPr>
                  <w:tcW w:w="661" w:type="dxa"/>
                  <w:vMerge w:val="restart"/>
                  <w:vAlign w:val="center"/>
                </w:tcPr>
                <w:p>
                  <w:pPr>
                    <w:jc w:val="center"/>
                    <w:rPr>
                      <w:kern w:val="18"/>
                      <w:szCs w:val="21"/>
                    </w:rPr>
                  </w:pPr>
                  <w:r>
                    <w:rPr>
                      <w:kern w:val="18"/>
                      <w:szCs w:val="21"/>
                    </w:rPr>
                    <w:t>2m</w:t>
                  </w:r>
                  <w:r>
                    <w:rPr>
                      <w:kern w:val="18"/>
                      <w:szCs w:val="21"/>
                      <w:vertAlign w:val="superscript"/>
                    </w:rPr>
                    <w:t>2</w:t>
                  </w:r>
                </w:p>
              </w:tc>
              <w:tc>
                <w:tcPr>
                  <w:tcW w:w="1466" w:type="dxa"/>
                  <w:vMerge w:val="restart"/>
                  <w:vAlign w:val="center"/>
                </w:tcPr>
                <w:p>
                  <w:pPr>
                    <w:spacing w:line="240" w:lineRule="exact"/>
                    <w:jc w:val="center"/>
                    <w:rPr>
                      <w:kern w:val="18"/>
                      <w:szCs w:val="21"/>
                    </w:rPr>
                  </w:pPr>
                  <w:r>
                    <w:rPr>
                      <w:kern w:val="0"/>
                      <w:szCs w:val="21"/>
                    </w:rPr>
                    <w:t>桶装储存</w:t>
                  </w:r>
                </w:p>
              </w:tc>
              <w:tc>
                <w:tcPr>
                  <w:tcW w:w="1212" w:type="dxa"/>
                  <w:vMerge w:val="restart"/>
                  <w:vAlign w:val="center"/>
                </w:tcPr>
                <w:p>
                  <w:pPr>
                    <w:jc w:val="center"/>
                    <w:rPr>
                      <w:kern w:val="18"/>
                      <w:szCs w:val="21"/>
                    </w:rPr>
                  </w:pPr>
                  <w:r>
                    <w:rPr>
                      <w:kern w:val="18"/>
                      <w:szCs w:val="21"/>
                    </w:rPr>
                    <w:t>1t</w:t>
                  </w:r>
                </w:p>
              </w:tc>
              <w:tc>
                <w:tcPr>
                  <w:tcW w:w="1339" w:type="dxa"/>
                  <w:vMerge w:val="restart"/>
                  <w:vAlign w:val="center"/>
                </w:tcPr>
                <w:p>
                  <w:pPr>
                    <w:topLinePunct/>
                    <w:adjustRightInd w:val="0"/>
                    <w:snapToGrid w:val="0"/>
                    <w:jc w:val="center"/>
                    <w:rPr>
                      <w:kern w:val="0"/>
                      <w:szCs w:val="21"/>
                    </w:rPr>
                  </w:pPr>
                  <w:r>
                    <w:rPr>
                      <w:kern w:val="0"/>
                      <w:szCs w:val="21"/>
                    </w:rPr>
                    <w:t>半年</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trPr>
              <w:tc>
                <w:tcPr>
                  <w:tcW w:w="1564" w:type="dxa"/>
                  <w:vMerge w:val="continue"/>
                  <w:vAlign w:val="center"/>
                </w:tcPr>
                <w:p>
                  <w:pPr>
                    <w:jc w:val="center"/>
                    <w:rPr>
                      <w:kern w:val="18"/>
                      <w:szCs w:val="21"/>
                    </w:rPr>
                  </w:pPr>
                </w:p>
              </w:tc>
              <w:tc>
                <w:tcPr>
                  <w:tcW w:w="2409" w:type="dxa"/>
                  <w:vAlign w:val="center"/>
                </w:tcPr>
                <w:p>
                  <w:pPr>
                    <w:jc w:val="center"/>
                    <w:rPr>
                      <w:szCs w:val="21"/>
                    </w:rPr>
                  </w:pPr>
                  <w:r>
                    <w:rPr>
                      <w:szCs w:val="21"/>
                    </w:rPr>
                    <w:t>隔油沉淀池废油泥</w:t>
                  </w:r>
                </w:p>
              </w:tc>
              <w:tc>
                <w:tcPr>
                  <w:tcW w:w="1418" w:type="dxa"/>
                  <w:vAlign w:val="center"/>
                </w:tcPr>
                <w:p>
                  <w:pPr>
                    <w:jc w:val="center"/>
                    <w:rPr>
                      <w:szCs w:val="21"/>
                    </w:rPr>
                  </w:pPr>
                  <w:r>
                    <w:rPr>
                      <w:szCs w:val="21"/>
                    </w:rPr>
                    <w:t>HW08</w:t>
                  </w:r>
                </w:p>
              </w:tc>
              <w:tc>
                <w:tcPr>
                  <w:tcW w:w="1559" w:type="dxa"/>
                  <w:vAlign w:val="center"/>
                </w:tcPr>
                <w:p>
                  <w:pPr>
                    <w:jc w:val="center"/>
                    <w:rPr>
                      <w:szCs w:val="21"/>
                    </w:rPr>
                  </w:pPr>
                  <w:r>
                    <w:rPr>
                      <w:szCs w:val="21"/>
                    </w:rPr>
                    <w:t>900-210-08</w:t>
                  </w:r>
                </w:p>
              </w:tc>
              <w:tc>
                <w:tcPr>
                  <w:tcW w:w="992" w:type="dxa"/>
                  <w:vMerge w:val="continue"/>
                  <w:vAlign w:val="center"/>
                </w:tcPr>
                <w:p>
                  <w:pPr>
                    <w:jc w:val="center"/>
                    <w:rPr>
                      <w:kern w:val="18"/>
                      <w:szCs w:val="21"/>
                    </w:rPr>
                  </w:pPr>
                </w:p>
              </w:tc>
              <w:tc>
                <w:tcPr>
                  <w:tcW w:w="661" w:type="dxa"/>
                  <w:vMerge w:val="continue"/>
                  <w:vAlign w:val="center"/>
                </w:tcPr>
                <w:p>
                  <w:pPr>
                    <w:jc w:val="center"/>
                    <w:rPr>
                      <w:kern w:val="18"/>
                      <w:szCs w:val="21"/>
                    </w:rPr>
                  </w:pPr>
                </w:p>
              </w:tc>
              <w:tc>
                <w:tcPr>
                  <w:tcW w:w="1466" w:type="dxa"/>
                  <w:vMerge w:val="continue"/>
                  <w:vAlign w:val="center"/>
                </w:tcPr>
                <w:p>
                  <w:pPr>
                    <w:spacing w:line="240" w:lineRule="exact"/>
                    <w:jc w:val="center"/>
                    <w:rPr>
                      <w:kern w:val="18"/>
                      <w:szCs w:val="21"/>
                    </w:rPr>
                  </w:pPr>
                </w:p>
              </w:tc>
              <w:tc>
                <w:tcPr>
                  <w:tcW w:w="1212" w:type="dxa"/>
                  <w:vMerge w:val="continue"/>
                  <w:vAlign w:val="center"/>
                </w:tcPr>
                <w:p>
                  <w:pPr>
                    <w:jc w:val="center"/>
                    <w:rPr>
                      <w:kern w:val="18"/>
                      <w:szCs w:val="21"/>
                    </w:rPr>
                  </w:pPr>
                </w:p>
              </w:tc>
              <w:tc>
                <w:tcPr>
                  <w:tcW w:w="1339" w:type="dxa"/>
                  <w:vMerge w:val="continue"/>
                  <w:vAlign w:val="center"/>
                </w:tcPr>
                <w:p>
                  <w:pPr>
                    <w:topLinePunct/>
                    <w:adjustRightInd w:val="0"/>
                    <w:snapToGrid w:val="0"/>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trPr>
              <w:tc>
                <w:tcPr>
                  <w:tcW w:w="1564" w:type="dxa"/>
                  <w:vMerge w:val="continue"/>
                  <w:vAlign w:val="center"/>
                </w:tcPr>
                <w:p>
                  <w:pPr>
                    <w:jc w:val="center"/>
                    <w:rPr>
                      <w:kern w:val="18"/>
                      <w:szCs w:val="21"/>
                    </w:rPr>
                  </w:pPr>
                </w:p>
              </w:tc>
              <w:tc>
                <w:tcPr>
                  <w:tcW w:w="2409" w:type="dxa"/>
                  <w:vAlign w:val="center"/>
                </w:tcPr>
                <w:p>
                  <w:pPr>
                    <w:pStyle w:val="78"/>
                    <w:rPr>
                      <w:rFonts w:eastAsia="宋体"/>
                      <w:sz w:val="21"/>
                    </w:rPr>
                  </w:pPr>
                  <w:r>
                    <w:rPr>
                      <w:rFonts w:eastAsia="宋体"/>
                      <w:sz w:val="21"/>
                    </w:rPr>
                    <w:t>废吸油棉</w:t>
                  </w:r>
                </w:p>
              </w:tc>
              <w:tc>
                <w:tcPr>
                  <w:tcW w:w="1418" w:type="dxa"/>
                  <w:vAlign w:val="center"/>
                </w:tcPr>
                <w:p>
                  <w:pPr>
                    <w:jc w:val="center"/>
                    <w:rPr>
                      <w:szCs w:val="21"/>
                    </w:rPr>
                  </w:pPr>
                  <w:r>
                    <w:rPr>
                      <w:szCs w:val="21"/>
                    </w:rPr>
                    <w:t>HW49</w:t>
                  </w:r>
                </w:p>
              </w:tc>
              <w:tc>
                <w:tcPr>
                  <w:tcW w:w="1559" w:type="dxa"/>
                  <w:vAlign w:val="center"/>
                </w:tcPr>
                <w:p>
                  <w:pPr>
                    <w:jc w:val="center"/>
                    <w:rPr>
                      <w:szCs w:val="21"/>
                    </w:rPr>
                  </w:pPr>
                  <w:r>
                    <w:rPr>
                      <w:szCs w:val="21"/>
                    </w:rPr>
                    <w:t>900-041-49</w:t>
                  </w:r>
                </w:p>
              </w:tc>
              <w:tc>
                <w:tcPr>
                  <w:tcW w:w="992" w:type="dxa"/>
                  <w:vMerge w:val="continue"/>
                  <w:vAlign w:val="center"/>
                </w:tcPr>
                <w:p>
                  <w:pPr>
                    <w:jc w:val="center"/>
                    <w:rPr>
                      <w:kern w:val="18"/>
                      <w:szCs w:val="21"/>
                    </w:rPr>
                  </w:pPr>
                </w:p>
              </w:tc>
              <w:tc>
                <w:tcPr>
                  <w:tcW w:w="661" w:type="dxa"/>
                  <w:vMerge w:val="continue"/>
                  <w:vAlign w:val="center"/>
                </w:tcPr>
                <w:p>
                  <w:pPr>
                    <w:jc w:val="center"/>
                    <w:rPr>
                      <w:kern w:val="18"/>
                      <w:szCs w:val="21"/>
                    </w:rPr>
                  </w:pPr>
                </w:p>
              </w:tc>
              <w:tc>
                <w:tcPr>
                  <w:tcW w:w="1466" w:type="dxa"/>
                  <w:vMerge w:val="continue"/>
                  <w:vAlign w:val="center"/>
                </w:tcPr>
                <w:p>
                  <w:pPr>
                    <w:spacing w:line="240" w:lineRule="exact"/>
                    <w:jc w:val="center"/>
                    <w:rPr>
                      <w:kern w:val="18"/>
                      <w:szCs w:val="21"/>
                    </w:rPr>
                  </w:pPr>
                </w:p>
              </w:tc>
              <w:tc>
                <w:tcPr>
                  <w:tcW w:w="1212" w:type="dxa"/>
                  <w:vMerge w:val="continue"/>
                  <w:vAlign w:val="center"/>
                </w:tcPr>
                <w:p>
                  <w:pPr>
                    <w:jc w:val="center"/>
                    <w:rPr>
                      <w:kern w:val="18"/>
                      <w:szCs w:val="21"/>
                    </w:rPr>
                  </w:pPr>
                </w:p>
              </w:tc>
              <w:tc>
                <w:tcPr>
                  <w:tcW w:w="1339" w:type="dxa"/>
                  <w:vMerge w:val="continue"/>
                  <w:vAlign w:val="center"/>
                </w:tcPr>
                <w:p>
                  <w:pPr>
                    <w:topLinePunct/>
                    <w:adjustRightInd w:val="0"/>
                    <w:snapToGrid w:val="0"/>
                    <w:jc w:val="center"/>
                    <w:rPr>
                      <w:kern w:val="0"/>
                      <w:szCs w:val="21"/>
                    </w:rPr>
                  </w:pPr>
                </w:p>
              </w:tc>
            </w:tr>
          </w:tbl>
          <w:p>
            <w:pPr>
              <w:autoSpaceDE w:val="0"/>
              <w:autoSpaceDN w:val="0"/>
              <w:adjustRightInd w:val="0"/>
              <w:jc w:val="left"/>
              <w:rPr>
                <w:kern w:val="0"/>
                <w:sz w:val="24"/>
              </w:rPr>
            </w:pPr>
          </w:p>
          <w:p>
            <w:pPr>
              <w:autoSpaceDE w:val="0"/>
              <w:autoSpaceDN w:val="0"/>
              <w:adjustRightInd w:val="0"/>
              <w:spacing w:line="360" w:lineRule="auto"/>
              <w:ind w:firstLine="420" w:firstLineChars="200"/>
              <w:jc w:val="left"/>
              <w:rPr>
                <w:kern w:val="0"/>
                <w:szCs w:val="21"/>
              </w:rPr>
            </w:pPr>
            <w:r>
              <w:rPr>
                <w:kern w:val="0"/>
                <w:szCs w:val="21"/>
              </w:rPr>
              <w:t>项目</w:t>
            </w:r>
            <w:r>
              <w:rPr>
                <w:kern w:val="21"/>
                <w:szCs w:val="21"/>
              </w:rPr>
              <w:t>在站区内，站房北侧储物间设置1个危废暂存间，</w:t>
            </w:r>
            <w:r>
              <w:rPr>
                <w:rFonts w:hint="eastAsia"/>
                <w:kern w:val="21"/>
                <w:szCs w:val="21"/>
              </w:rPr>
              <w:t>设置围堰。</w:t>
            </w:r>
            <w:r>
              <w:rPr>
                <w:kern w:val="21"/>
                <w:szCs w:val="21"/>
              </w:rPr>
              <w:t>按《危险废物贮存污染控制标准》（GB18597-2001）及其修改单要求设计、建设和管理</w:t>
            </w:r>
            <w:r>
              <w:rPr>
                <w:kern w:val="0"/>
                <w:szCs w:val="21"/>
              </w:rPr>
              <w:t>，设置专人管理，建立进出台账。危险废物暂存间设置“四防”（防风、防雨、防晒、防渗漏）措施，危险废物设置分区，粘贴警示标识。根据《危险废物贮存污染物控制标准》（GB18597-2001）要求，本项目危险废物的贮存、运输及管理措施如下：</w:t>
            </w:r>
          </w:p>
          <w:p>
            <w:pPr>
              <w:autoSpaceDE w:val="0"/>
              <w:autoSpaceDN w:val="0"/>
              <w:adjustRightInd w:val="0"/>
              <w:spacing w:line="360" w:lineRule="auto"/>
              <w:ind w:firstLine="420" w:firstLineChars="200"/>
              <w:jc w:val="left"/>
              <w:rPr>
                <w:kern w:val="0"/>
                <w:szCs w:val="21"/>
              </w:rPr>
            </w:pPr>
            <w:r>
              <w:rPr>
                <w:kern w:val="0"/>
                <w:szCs w:val="21"/>
              </w:rPr>
              <w:t>采用专用的容器贮存在危废暂存处，定期运出至有资质的相应单位进行处置。该类危险废物储存场所地面需作防雨、防渗、防腐处理，液态危废用桶装/罐进行储存，固态和含液固态危废用双层不泄漏的包装袋包装储存。项目对生产过程中产生危险废物的收集、运输、贮存、管理以及转运应严格按照《危险废物污染防治技术政策》（环发[2001]199号）、《危险废物转移联单管理办法》（国家环境保护总局令第5号）和《危险废物贮存污染控制标准》（GB18597－2001）实行。</w:t>
            </w:r>
          </w:p>
          <w:p>
            <w:pPr>
              <w:autoSpaceDE w:val="0"/>
              <w:autoSpaceDN w:val="0"/>
              <w:adjustRightInd w:val="0"/>
              <w:spacing w:line="360" w:lineRule="auto"/>
              <w:ind w:firstLine="420" w:firstLineChars="200"/>
              <w:jc w:val="left"/>
              <w:rPr>
                <w:kern w:val="0"/>
                <w:szCs w:val="21"/>
              </w:rPr>
            </w:pPr>
            <w:r>
              <w:rPr>
                <w:kern w:val="0"/>
                <w:szCs w:val="21"/>
              </w:rPr>
              <w:t>对危险废物贮存设施建设的要求如下：</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①</w:t>
            </w:r>
            <w:r>
              <w:rPr>
                <w:kern w:val="0"/>
                <w:szCs w:val="21"/>
              </w:rPr>
              <w:t>应建有堵截泄漏的裙脚，地面和裙脚要用坚固防渗的材料建造。应有隔离设施、报警装置和防风、防雨设施；</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②</w:t>
            </w:r>
            <w:r>
              <w:rPr>
                <w:kern w:val="0"/>
                <w:szCs w:val="21"/>
              </w:rPr>
              <w:t>基础防渗层应有厚度为1m 以上的粘土层或2 毫米厚高密度聚乙烯，防渗的面层结构应足以承受一般负荷及移动容器时所产生的磨损，不会污染土壤和地下水；</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③</w:t>
            </w:r>
            <w:r>
              <w:rPr>
                <w:kern w:val="0"/>
                <w:szCs w:val="21"/>
              </w:rPr>
              <w:t>堆放危险废物的场所高度应根据地面承载能力确定；</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④</w:t>
            </w:r>
            <w:r>
              <w:rPr>
                <w:kern w:val="0"/>
                <w:szCs w:val="21"/>
              </w:rPr>
              <w:t>衬里放在一个基础或底座上，衬里要能够覆盖危险废物或其溶出物可能涉及到的范围，衬里材料与堆放危险废物相容。</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⑤</w:t>
            </w:r>
            <w:r>
              <w:rPr>
                <w:kern w:val="0"/>
                <w:szCs w:val="21"/>
              </w:rPr>
              <w:t>地基采用砾石水泥混泥土材质，设计要求满足承载能力，避免地基下沉。</w:t>
            </w:r>
          </w:p>
          <w:p>
            <w:pPr>
              <w:autoSpaceDE w:val="0"/>
              <w:autoSpaceDN w:val="0"/>
              <w:adjustRightInd w:val="0"/>
              <w:spacing w:line="360" w:lineRule="auto"/>
              <w:ind w:left="105" w:firstLine="315" w:firstLineChars="150"/>
              <w:jc w:val="left"/>
              <w:rPr>
                <w:kern w:val="0"/>
                <w:szCs w:val="21"/>
              </w:rPr>
            </w:pPr>
            <w:r>
              <w:rPr>
                <w:rFonts w:hint="eastAsia" w:ascii="宋体" w:hAnsi="宋体" w:cs="宋体"/>
                <w:kern w:val="0"/>
                <w:szCs w:val="21"/>
              </w:rPr>
              <w:t>⑥</w:t>
            </w:r>
            <w:r>
              <w:rPr>
                <w:kern w:val="0"/>
                <w:szCs w:val="21"/>
              </w:rPr>
              <w:t>贮存场不可混入生活垃圾。</w:t>
            </w:r>
          </w:p>
          <w:p>
            <w:pPr>
              <w:spacing w:line="360" w:lineRule="auto"/>
              <w:ind w:firstLine="480"/>
              <w:rPr>
                <w:b/>
                <w:szCs w:val="21"/>
              </w:rPr>
            </w:pPr>
            <w:r>
              <w:rPr>
                <w:szCs w:val="21"/>
              </w:rPr>
              <w:t>综上所述，</w:t>
            </w:r>
            <w:r>
              <w:rPr>
                <w:kern w:val="0"/>
                <w:szCs w:val="21"/>
              </w:rPr>
              <w:t>本项目产生的固体废弃物经过分类处理处置后可达到《中华人民共和国固体废物污染环境防治法》的要求和相关管理规定，</w:t>
            </w:r>
            <w:r>
              <w:rPr>
                <w:szCs w:val="21"/>
              </w:rPr>
              <w:t>采取以上措施后本项目产生的固体废物均可以得到有效控制，对环境造成污染影响较小。</w:t>
            </w:r>
          </w:p>
          <w:p>
            <w:pPr>
              <w:tabs>
                <w:tab w:val="left" w:pos="1275"/>
              </w:tabs>
              <w:spacing w:line="360" w:lineRule="auto"/>
              <w:ind w:firstLine="422" w:firstLineChars="200"/>
              <w:rPr>
                <w:b/>
                <w:szCs w:val="21"/>
              </w:rPr>
            </w:pPr>
            <w:r>
              <w:rPr>
                <w:b/>
                <w:szCs w:val="21"/>
              </w:rPr>
              <w:t>5、地下水</w:t>
            </w:r>
          </w:p>
          <w:p>
            <w:pPr>
              <w:pStyle w:val="7"/>
              <w:spacing w:before="0" w:after="0" w:line="360" w:lineRule="auto"/>
              <w:ind w:firstLine="482"/>
              <w:rPr>
                <w:b/>
                <w:sz w:val="21"/>
                <w:szCs w:val="21"/>
              </w:rPr>
            </w:pPr>
            <w:r>
              <w:rPr>
                <w:b/>
                <w:sz w:val="21"/>
                <w:szCs w:val="21"/>
              </w:rPr>
              <w:t>5.1、污染途径分析</w:t>
            </w:r>
          </w:p>
          <w:p>
            <w:pPr>
              <w:pStyle w:val="67"/>
              <w:ind w:firstLine="420"/>
              <w:rPr>
                <w:sz w:val="21"/>
                <w:szCs w:val="21"/>
              </w:rPr>
            </w:pPr>
            <w:r>
              <w:rPr>
                <w:sz w:val="21"/>
                <w:szCs w:val="21"/>
              </w:rPr>
              <w:t>加油站储油罐和管线渗漏以及油品运输和销售过程中的跑、冒、滴、漏将会导致油品进入地下水，造成石油烃污染。在加强运营管理的基础上，可以有效控制油品运输和加油过程中的汽油泄漏，因此，加油站主要造成地下水的污染途径是储罐泄漏造成汽油长期泄漏对地下水造成影响。</w:t>
            </w:r>
          </w:p>
          <w:p>
            <w:pPr>
              <w:pStyle w:val="67"/>
              <w:ind w:firstLine="420"/>
              <w:rPr>
                <w:sz w:val="21"/>
                <w:szCs w:val="21"/>
              </w:rPr>
            </w:pPr>
            <w:r>
              <w:rPr>
                <w:sz w:val="21"/>
                <w:szCs w:val="21"/>
              </w:rPr>
              <w:t>造成加油站地下水污染的主要原因是：加油站的地下设施（埋地油罐、输油管线等）因长期使用、维护不利或材料老化、腐蚀等原因易造成油品泄漏。油品中的有毒有害物质，易在土壤中长距离迁移进入地下水，成为影响地下水环境的重要风险源。污染对象主要为浅部含水层，污染程度除受污染物化学成分、浓度及当地的降水、径流和入渗等条件影响外，还受地质结构、岩土成分、厚度、饱和和非饱和渗透性能以及对污染物的吸附滞留能力的影响。</w:t>
            </w:r>
          </w:p>
          <w:p>
            <w:pPr>
              <w:pStyle w:val="7"/>
              <w:spacing w:before="0" w:after="0" w:line="360" w:lineRule="auto"/>
              <w:ind w:firstLine="482"/>
              <w:rPr>
                <w:b/>
                <w:sz w:val="21"/>
                <w:szCs w:val="21"/>
              </w:rPr>
            </w:pPr>
            <w:r>
              <w:rPr>
                <w:b/>
                <w:sz w:val="21"/>
                <w:szCs w:val="21"/>
              </w:rPr>
              <w:t>5.2、污染防治措施</w:t>
            </w:r>
          </w:p>
          <w:p>
            <w:pPr>
              <w:pStyle w:val="67"/>
              <w:ind w:firstLine="420"/>
              <w:rPr>
                <w:sz w:val="21"/>
                <w:szCs w:val="21"/>
              </w:rPr>
            </w:pPr>
            <w:r>
              <w:rPr>
                <w:sz w:val="21"/>
                <w:szCs w:val="21"/>
              </w:rPr>
              <w:t>1）源头控制措施</w:t>
            </w:r>
          </w:p>
          <w:p>
            <w:pPr>
              <w:pStyle w:val="67"/>
              <w:ind w:firstLine="420"/>
              <w:rPr>
                <w:sz w:val="21"/>
                <w:szCs w:val="21"/>
              </w:rPr>
            </w:pPr>
            <w:r>
              <w:rPr>
                <w:sz w:val="21"/>
                <w:szCs w:val="21"/>
              </w:rPr>
              <w:t>在工程设计过程中，采用先进的技术、工艺、设备，实施清洁生产，防止跑冒滴漏，防止污染物泄漏；采用双层埋地油罐，道路硬化，注意工作场所地面、排水管道及化粪池的防腐防渗要求，腐蚀性等级为中等腐蚀，防止污染物下渗，污染土壤和地下水环境。</w:t>
            </w:r>
          </w:p>
          <w:p>
            <w:pPr>
              <w:pStyle w:val="67"/>
              <w:ind w:firstLine="420"/>
              <w:rPr>
                <w:sz w:val="21"/>
                <w:szCs w:val="21"/>
              </w:rPr>
            </w:pPr>
            <w:r>
              <w:rPr>
                <w:sz w:val="21"/>
                <w:szCs w:val="21"/>
              </w:rPr>
              <w:t>2）防渗分区措施</w:t>
            </w:r>
          </w:p>
          <w:p>
            <w:pPr>
              <w:pStyle w:val="67"/>
              <w:ind w:firstLine="420"/>
              <w:rPr>
                <w:sz w:val="21"/>
                <w:szCs w:val="21"/>
              </w:rPr>
            </w:pPr>
            <w:r>
              <w:rPr>
                <w:sz w:val="21"/>
                <w:szCs w:val="21"/>
              </w:rPr>
              <w:t>针对本工程可能造成的地下水污染，地下水污染防治措施按照“源头控制、分区防治、污染监控、应急响应”相结合的原则，从污染物的产生、入渗、扩散、应急响应全方位进行控制。</w:t>
            </w:r>
          </w:p>
          <w:p>
            <w:pPr>
              <w:pStyle w:val="67"/>
              <w:ind w:firstLine="420"/>
              <w:rPr>
                <w:sz w:val="21"/>
                <w:szCs w:val="21"/>
              </w:rPr>
            </w:pPr>
            <w:r>
              <w:rPr>
                <w:sz w:val="21"/>
                <w:szCs w:val="21"/>
              </w:rPr>
              <w:t>对厂区可能泄漏污染物的污染区地面应进行防渗处理，并及时地将泄漏/渗漏的污染物收集起来进行处理，可有效防止污染物渗入地下。</w:t>
            </w:r>
          </w:p>
          <w:p>
            <w:pPr>
              <w:pStyle w:val="67"/>
              <w:ind w:firstLine="420"/>
              <w:rPr>
                <w:sz w:val="21"/>
                <w:szCs w:val="21"/>
              </w:rPr>
            </w:pPr>
          </w:p>
          <w:p>
            <w:pPr>
              <w:pStyle w:val="67"/>
              <w:ind w:firstLine="420"/>
              <w:rPr>
                <w:sz w:val="21"/>
                <w:szCs w:val="21"/>
              </w:rPr>
            </w:pPr>
            <w:r>
              <w:rPr>
                <w:sz w:val="21"/>
                <w:szCs w:val="21"/>
              </w:rPr>
              <w:t>根据本工程的特点，将厂区不同的区域划分为重点污染防治区和一般污染防治区。项目重点防渗区主要为地埋储罐区、加油区、危废暂存间等区域。一般防渗区主要包括加油设备区、化粪池、生活污水、隔油沉淀池埋地管道等区域。简单污染防治区主要包括站房。</w:t>
            </w:r>
          </w:p>
          <w:p>
            <w:pPr>
              <w:pStyle w:val="67"/>
              <w:ind w:firstLine="420"/>
              <w:rPr>
                <w:szCs w:val="21"/>
              </w:rPr>
            </w:pPr>
            <w:r>
              <w:rPr>
                <w:sz w:val="21"/>
                <w:szCs w:val="21"/>
              </w:rPr>
              <w:t>对可能泄漏污染物的污染区和装置进行防渗处理，并及时地将泄漏、渗漏的污染物收集起来进行处理，可有效防止污染物渗入地下。根据国家相关标准和规范，结合目前施工过程中的可操作性和技术水平，针对不同的防渗区域采用不同的防治和防渗措施，在具体设计中可根据实际情况在满足防渗标准的前提下作必要调整。</w:t>
            </w:r>
          </w:p>
          <w:p>
            <w:pPr>
              <w:autoSpaceDE w:val="0"/>
              <w:autoSpaceDN w:val="0"/>
              <w:adjustRightInd w:val="0"/>
              <w:spacing w:line="360" w:lineRule="auto"/>
              <w:ind w:firstLine="420" w:firstLineChars="200"/>
              <w:jc w:val="left"/>
              <w:rPr>
                <w:kern w:val="0"/>
                <w:szCs w:val="21"/>
              </w:rPr>
            </w:pPr>
            <w:r>
              <w:rPr>
                <w:kern w:val="0"/>
                <w:szCs w:val="21"/>
              </w:rPr>
              <w:t>石油化工防渗工程的设计标准应符合下列要求：</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①</w:t>
            </w:r>
            <w:r>
              <w:rPr>
                <w:kern w:val="0"/>
                <w:szCs w:val="21"/>
              </w:rPr>
              <w:t>石油化工防渗工程的设计使用年限宜按50 年进行设计。</w:t>
            </w:r>
          </w:p>
          <w:p>
            <w:pPr>
              <w:autoSpaceDE w:val="0"/>
              <w:autoSpaceDN w:val="0"/>
              <w:adjustRightInd w:val="0"/>
              <w:spacing w:line="360" w:lineRule="auto"/>
              <w:ind w:firstLine="420" w:firstLineChars="200"/>
              <w:jc w:val="left"/>
              <w:rPr>
                <w:kern w:val="0"/>
                <w:szCs w:val="21"/>
              </w:rPr>
            </w:pPr>
            <w:r>
              <w:rPr>
                <w:rFonts w:hint="eastAsia" w:ascii="宋体" w:hAnsi="宋体" w:cs="宋体"/>
                <w:kern w:val="0"/>
                <w:szCs w:val="21"/>
              </w:rPr>
              <w:t>②</w:t>
            </w:r>
            <w:r>
              <w:rPr>
                <w:kern w:val="0"/>
                <w:szCs w:val="21"/>
              </w:rPr>
              <w:t>重点防渗区和一般防渗区应设置防渗层，防渗层的渗透系数不应大于1.0×10</w:t>
            </w:r>
            <w:r>
              <w:rPr>
                <w:kern w:val="0"/>
                <w:szCs w:val="21"/>
                <w:vertAlign w:val="superscript"/>
              </w:rPr>
              <w:t>-7</w:t>
            </w:r>
            <w:r>
              <w:rPr>
                <w:kern w:val="0"/>
                <w:szCs w:val="21"/>
              </w:rPr>
              <w:t>cm/s。一般防渗区的防渗性能应与1.5m 厚粘土层(渗透系数1.0×10</w:t>
            </w:r>
            <w:r>
              <w:rPr>
                <w:kern w:val="0"/>
                <w:szCs w:val="21"/>
                <w:vertAlign w:val="superscript"/>
              </w:rPr>
              <w:t>-7</w:t>
            </w:r>
            <w:r>
              <w:rPr>
                <w:kern w:val="0"/>
                <w:szCs w:val="21"/>
              </w:rPr>
              <w:t>cm/s)等效；重点防渗区的防渗性能应与6.0m 厚粘土层(渗透系数1.0×10</w:t>
            </w:r>
            <w:r>
              <w:rPr>
                <w:kern w:val="0"/>
                <w:szCs w:val="21"/>
                <w:vertAlign w:val="superscript"/>
              </w:rPr>
              <w:t>-10</w:t>
            </w:r>
            <w:r>
              <w:rPr>
                <w:kern w:val="0"/>
                <w:szCs w:val="21"/>
              </w:rPr>
              <w:t>cm/s)等效。</w:t>
            </w:r>
          </w:p>
          <w:p>
            <w:pPr>
              <w:adjustRightInd w:val="0"/>
              <w:snapToGrid w:val="0"/>
              <w:spacing w:line="360" w:lineRule="auto"/>
              <w:ind w:firstLine="480"/>
              <w:rPr>
                <w:kern w:val="0"/>
                <w:szCs w:val="21"/>
              </w:rPr>
            </w:pPr>
            <w:r>
              <w:rPr>
                <w:kern w:val="0"/>
                <w:szCs w:val="21"/>
              </w:rPr>
              <w:t>按照《加油站地下水污染防治技术指南（试行）》要求，本项目要求采取以下防渗措施：</w:t>
            </w:r>
          </w:p>
          <w:p>
            <w:pPr>
              <w:adjustRightInd w:val="0"/>
              <w:snapToGrid w:val="0"/>
              <w:spacing w:line="360" w:lineRule="auto"/>
              <w:ind w:firstLine="480"/>
              <w:rPr>
                <w:kern w:val="0"/>
                <w:szCs w:val="21"/>
              </w:rPr>
            </w:pPr>
            <w:r>
              <w:rPr>
                <w:kern w:val="0"/>
                <w:szCs w:val="21"/>
              </w:rPr>
              <w:t>（1）油罐</w:t>
            </w:r>
          </w:p>
          <w:p>
            <w:pPr>
              <w:adjustRightInd w:val="0"/>
              <w:snapToGrid w:val="0"/>
              <w:spacing w:line="360" w:lineRule="auto"/>
              <w:ind w:firstLine="480"/>
              <w:rPr>
                <w:kern w:val="0"/>
                <w:szCs w:val="21"/>
              </w:rPr>
            </w:pPr>
            <w:r>
              <w:rPr>
                <w:kern w:val="0"/>
                <w:szCs w:val="21"/>
              </w:rPr>
              <w:t>油罐应设置防渗罐池。</w:t>
            </w:r>
          </w:p>
          <w:p>
            <w:pPr>
              <w:adjustRightInd w:val="0"/>
              <w:snapToGrid w:val="0"/>
              <w:spacing w:line="360" w:lineRule="auto"/>
              <w:ind w:firstLine="480"/>
              <w:rPr>
                <w:kern w:val="0"/>
                <w:szCs w:val="21"/>
              </w:rPr>
            </w:pPr>
            <w:r>
              <w:rPr>
                <w:rFonts w:hint="eastAsia" w:ascii="宋体" w:hAnsi="宋体" w:cs="宋体"/>
                <w:kern w:val="0"/>
                <w:szCs w:val="21"/>
              </w:rPr>
              <w:t>①</w:t>
            </w:r>
            <w:r>
              <w:rPr>
                <w:kern w:val="0"/>
                <w:szCs w:val="21"/>
              </w:rPr>
              <w:t>防渗罐池应采用防渗钢筋混凝土整体浇筑，并应符合现行国家标准《地下工程防水技术规范》（GB50108）的有关规定。</w:t>
            </w:r>
          </w:p>
          <w:p>
            <w:pPr>
              <w:adjustRightInd w:val="0"/>
              <w:snapToGrid w:val="0"/>
              <w:spacing w:line="360" w:lineRule="auto"/>
              <w:ind w:firstLine="480"/>
              <w:rPr>
                <w:kern w:val="0"/>
                <w:szCs w:val="21"/>
              </w:rPr>
            </w:pPr>
            <w:r>
              <w:rPr>
                <w:rFonts w:hint="eastAsia" w:ascii="宋体" w:hAnsi="宋体" w:cs="宋体"/>
                <w:kern w:val="0"/>
                <w:szCs w:val="21"/>
              </w:rPr>
              <w:t>②</w:t>
            </w:r>
            <w:r>
              <w:rPr>
                <w:kern w:val="0"/>
                <w:szCs w:val="21"/>
              </w:rPr>
              <w:t>防渗罐池的数量应根据油罐的数量设置隔池，一个隔池内的油罐不应多于两座。</w:t>
            </w:r>
          </w:p>
          <w:p>
            <w:pPr>
              <w:adjustRightInd w:val="0"/>
              <w:snapToGrid w:val="0"/>
              <w:spacing w:line="360" w:lineRule="auto"/>
              <w:ind w:firstLine="480"/>
              <w:rPr>
                <w:kern w:val="0"/>
                <w:szCs w:val="21"/>
              </w:rPr>
            </w:pPr>
            <w:r>
              <w:rPr>
                <w:rFonts w:hint="eastAsia" w:ascii="宋体" w:hAnsi="宋体" w:cs="宋体"/>
                <w:kern w:val="0"/>
                <w:szCs w:val="21"/>
              </w:rPr>
              <w:t>③</w:t>
            </w:r>
            <w:r>
              <w:rPr>
                <w:kern w:val="0"/>
                <w:szCs w:val="21"/>
              </w:rPr>
              <w:t>防渗罐池的池壁顶应高于池内罐顶标高，池底宜低于罐底设计标高200mm，墙面与罐壁之间的间距不应小于500mm。</w:t>
            </w:r>
          </w:p>
          <w:p>
            <w:pPr>
              <w:adjustRightInd w:val="0"/>
              <w:snapToGrid w:val="0"/>
              <w:spacing w:line="360" w:lineRule="auto"/>
              <w:ind w:firstLine="480"/>
              <w:rPr>
                <w:kern w:val="0"/>
                <w:szCs w:val="21"/>
              </w:rPr>
            </w:pPr>
            <w:r>
              <w:rPr>
                <w:rFonts w:hint="eastAsia" w:ascii="宋体" w:hAnsi="宋体" w:cs="宋体"/>
                <w:kern w:val="0"/>
                <w:szCs w:val="21"/>
              </w:rPr>
              <w:t>④</w:t>
            </w:r>
            <w:r>
              <w:rPr>
                <w:kern w:val="0"/>
                <w:szCs w:val="21"/>
              </w:rPr>
              <w:t>防渗罐池的内表面应衬玻璃钢或其他材料防渗层。</w:t>
            </w:r>
          </w:p>
          <w:p>
            <w:pPr>
              <w:adjustRightInd w:val="0"/>
              <w:snapToGrid w:val="0"/>
              <w:spacing w:line="360" w:lineRule="auto"/>
              <w:ind w:firstLine="480"/>
              <w:rPr>
                <w:kern w:val="0"/>
                <w:szCs w:val="21"/>
              </w:rPr>
            </w:pPr>
            <w:r>
              <w:rPr>
                <w:rFonts w:hint="eastAsia" w:ascii="宋体" w:hAnsi="宋体" w:cs="宋体"/>
                <w:kern w:val="0"/>
                <w:szCs w:val="21"/>
              </w:rPr>
              <w:t>⑤</w:t>
            </w:r>
            <w:r>
              <w:rPr>
                <w:kern w:val="0"/>
                <w:szCs w:val="21"/>
              </w:rPr>
              <w:t>防渗罐池内的空间，应采用中性沙回填。</w:t>
            </w:r>
          </w:p>
          <w:p>
            <w:pPr>
              <w:adjustRightInd w:val="0"/>
              <w:snapToGrid w:val="0"/>
              <w:spacing w:line="360" w:lineRule="auto"/>
              <w:ind w:firstLine="480"/>
              <w:rPr>
                <w:kern w:val="0"/>
                <w:szCs w:val="21"/>
              </w:rPr>
            </w:pPr>
            <w:r>
              <w:rPr>
                <w:rFonts w:hint="eastAsia" w:ascii="宋体" w:hAnsi="宋体" w:cs="宋体"/>
                <w:kern w:val="0"/>
                <w:szCs w:val="21"/>
              </w:rPr>
              <w:t>⑥</w:t>
            </w:r>
            <w:r>
              <w:rPr>
                <w:kern w:val="0"/>
                <w:szCs w:val="21"/>
              </w:rPr>
              <w:t>防渗罐池的上部，应采取防止雨水、地表水和外部泄漏油品渗入池内的措施。</w:t>
            </w:r>
          </w:p>
          <w:p>
            <w:pPr>
              <w:adjustRightInd w:val="0"/>
              <w:snapToGrid w:val="0"/>
              <w:spacing w:line="360" w:lineRule="auto"/>
              <w:ind w:firstLine="480"/>
              <w:rPr>
                <w:kern w:val="0"/>
                <w:szCs w:val="21"/>
              </w:rPr>
            </w:pPr>
            <w:r>
              <w:rPr>
                <w:rFonts w:hint="eastAsia" w:ascii="宋体" w:hAnsi="宋体" w:cs="宋体"/>
                <w:kern w:val="0"/>
                <w:szCs w:val="21"/>
              </w:rPr>
              <w:t>⑦</w:t>
            </w:r>
            <w:r>
              <w:rPr>
                <w:kern w:val="0"/>
                <w:szCs w:val="21"/>
              </w:rPr>
              <w:t>防渗罐池的各隔池内应设检测立管，一有渗漏就能马上发现。</w:t>
            </w:r>
          </w:p>
          <w:p>
            <w:pPr>
              <w:adjustRightInd w:val="0"/>
              <w:snapToGrid w:val="0"/>
              <w:spacing w:line="360" w:lineRule="auto"/>
              <w:ind w:firstLine="480"/>
              <w:rPr>
                <w:kern w:val="0"/>
                <w:szCs w:val="21"/>
              </w:rPr>
            </w:pPr>
            <w:r>
              <w:rPr>
                <w:kern w:val="0"/>
                <w:szCs w:val="21"/>
              </w:rPr>
              <w:t>（2）埋地加油管道</w:t>
            </w:r>
          </w:p>
          <w:p>
            <w:pPr>
              <w:adjustRightInd w:val="0"/>
              <w:snapToGrid w:val="0"/>
              <w:spacing w:line="360" w:lineRule="auto"/>
              <w:ind w:firstLine="480"/>
              <w:rPr>
                <w:kern w:val="0"/>
                <w:szCs w:val="21"/>
              </w:rPr>
            </w:pPr>
            <w:r>
              <w:rPr>
                <w:rFonts w:hint="eastAsia" w:ascii="宋体" w:hAnsi="宋体" w:cs="宋体"/>
                <w:kern w:val="0"/>
                <w:szCs w:val="21"/>
              </w:rPr>
              <w:t>①</w:t>
            </w:r>
            <w:r>
              <w:rPr>
                <w:kern w:val="0"/>
                <w:szCs w:val="21"/>
              </w:rPr>
              <w:t>埋地加油管道应采用双层管道。</w:t>
            </w:r>
          </w:p>
          <w:p>
            <w:pPr>
              <w:adjustRightInd w:val="0"/>
              <w:snapToGrid w:val="0"/>
              <w:spacing w:line="360" w:lineRule="auto"/>
              <w:ind w:firstLine="480"/>
              <w:rPr>
                <w:kern w:val="0"/>
                <w:szCs w:val="21"/>
              </w:rPr>
            </w:pPr>
            <w:r>
              <w:rPr>
                <w:rFonts w:hint="eastAsia" w:ascii="宋体" w:hAnsi="宋体" w:cs="宋体"/>
                <w:kern w:val="0"/>
                <w:szCs w:val="21"/>
              </w:rPr>
              <w:t>②</w:t>
            </w:r>
            <w:r>
              <w:rPr>
                <w:kern w:val="0"/>
                <w:szCs w:val="21"/>
              </w:rPr>
              <w:t>采用双层非金属管道时，外层管应满足耐油、耐腐蚀、耐老化和系统试验压力的要求。</w:t>
            </w:r>
          </w:p>
          <w:p>
            <w:pPr>
              <w:adjustRightInd w:val="0"/>
              <w:snapToGrid w:val="0"/>
              <w:spacing w:line="360" w:lineRule="auto"/>
              <w:ind w:firstLine="480"/>
              <w:rPr>
                <w:kern w:val="0"/>
                <w:szCs w:val="21"/>
              </w:rPr>
            </w:pPr>
            <w:r>
              <w:rPr>
                <w:rFonts w:hint="eastAsia" w:ascii="宋体" w:hAnsi="宋体" w:cs="宋体"/>
                <w:kern w:val="0"/>
                <w:szCs w:val="21"/>
              </w:rPr>
              <w:t>③</w:t>
            </w:r>
            <w:r>
              <w:rPr>
                <w:kern w:val="0"/>
                <w:szCs w:val="21"/>
              </w:rPr>
              <w:t>采用双层钢质管道时，外层管的壁厚不应小于5mm。</w:t>
            </w:r>
          </w:p>
          <w:p>
            <w:pPr>
              <w:adjustRightInd w:val="0"/>
              <w:snapToGrid w:val="0"/>
              <w:spacing w:line="360" w:lineRule="auto"/>
              <w:ind w:firstLine="480"/>
              <w:rPr>
                <w:kern w:val="0"/>
                <w:szCs w:val="21"/>
              </w:rPr>
            </w:pPr>
            <w:r>
              <w:rPr>
                <w:rFonts w:hint="eastAsia" w:ascii="宋体" w:hAnsi="宋体" w:cs="宋体"/>
                <w:kern w:val="0"/>
                <w:szCs w:val="21"/>
              </w:rPr>
              <w:t>④</w:t>
            </w:r>
            <w:r>
              <w:rPr>
                <w:kern w:val="0"/>
                <w:szCs w:val="21"/>
              </w:rPr>
              <w:t>双层管道系统的内层管和外层管之间的缝隙应贯通。</w:t>
            </w:r>
          </w:p>
          <w:p>
            <w:pPr>
              <w:adjustRightInd w:val="0"/>
              <w:snapToGrid w:val="0"/>
              <w:spacing w:line="360" w:lineRule="auto"/>
              <w:ind w:firstLine="480"/>
              <w:rPr>
                <w:kern w:val="0"/>
                <w:szCs w:val="21"/>
              </w:rPr>
            </w:pPr>
            <w:r>
              <w:rPr>
                <w:rFonts w:hint="eastAsia" w:ascii="宋体" w:hAnsi="宋体" w:cs="宋体"/>
                <w:kern w:val="0"/>
                <w:szCs w:val="21"/>
              </w:rPr>
              <w:t>⑤</w:t>
            </w:r>
            <w:r>
              <w:rPr>
                <w:kern w:val="0"/>
                <w:szCs w:val="21"/>
              </w:rPr>
              <w:t>双层管道系统的最低点应设置检漏点。</w:t>
            </w:r>
          </w:p>
          <w:p>
            <w:pPr>
              <w:adjustRightInd w:val="0"/>
              <w:snapToGrid w:val="0"/>
              <w:spacing w:line="360" w:lineRule="auto"/>
              <w:ind w:firstLine="480"/>
              <w:rPr>
                <w:kern w:val="0"/>
                <w:szCs w:val="21"/>
              </w:rPr>
            </w:pPr>
            <w:r>
              <w:rPr>
                <w:rFonts w:hint="eastAsia" w:ascii="宋体" w:hAnsi="宋体" w:cs="宋体"/>
                <w:kern w:val="0"/>
                <w:szCs w:val="21"/>
              </w:rPr>
              <w:t>⑥</w:t>
            </w:r>
            <w:r>
              <w:rPr>
                <w:kern w:val="0"/>
                <w:szCs w:val="21"/>
              </w:rPr>
              <w:t>双层管道坡向检漏点的坡度，不应小于5‰，并应保证内层管和外层管任何部位出现渗漏均能在检漏点处被发现。</w:t>
            </w:r>
          </w:p>
          <w:p>
            <w:pPr>
              <w:adjustRightInd w:val="0"/>
              <w:snapToGrid w:val="0"/>
              <w:spacing w:line="360" w:lineRule="auto"/>
              <w:ind w:firstLine="480"/>
              <w:rPr>
                <w:kern w:val="0"/>
                <w:szCs w:val="21"/>
              </w:rPr>
            </w:pPr>
            <w:r>
              <w:rPr>
                <w:rFonts w:hint="eastAsia" w:ascii="宋体" w:hAnsi="宋体" w:cs="宋体"/>
                <w:kern w:val="0"/>
                <w:szCs w:val="21"/>
              </w:rPr>
              <w:t>⑦</w:t>
            </w:r>
            <w:r>
              <w:rPr>
                <w:kern w:val="0"/>
                <w:szCs w:val="21"/>
              </w:rPr>
              <w:t>管道系统的渗漏检测宜采用在线监测系统。</w:t>
            </w:r>
          </w:p>
          <w:p>
            <w:pPr>
              <w:adjustRightInd w:val="0"/>
              <w:snapToGrid w:val="0"/>
              <w:spacing w:line="360" w:lineRule="auto"/>
              <w:ind w:firstLine="480"/>
              <w:rPr>
                <w:kern w:val="0"/>
                <w:szCs w:val="21"/>
              </w:rPr>
            </w:pPr>
            <w:r>
              <w:rPr>
                <w:kern w:val="0"/>
                <w:szCs w:val="21"/>
              </w:rPr>
              <w:t>（3）加油站地面</w:t>
            </w:r>
          </w:p>
          <w:p>
            <w:pPr>
              <w:adjustRightInd w:val="0"/>
              <w:snapToGrid w:val="0"/>
              <w:spacing w:line="360" w:lineRule="auto"/>
              <w:ind w:firstLine="480"/>
              <w:rPr>
                <w:kern w:val="0"/>
                <w:szCs w:val="21"/>
              </w:rPr>
            </w:pPr>
            <w:r>
              <w:rPr>
                <w:kern w:val="0"/>
                <w:szCs w:val="21"/>
              </w:rPr>
              <w:t>加油站地面做防渗处理，地表做防渗沟。</w:t>
            </w:r>
          </w:p>
          <w:p>
            <w:pPr>
              <w:autoSpaceDE w:val="0"/>
              <w:autoSpaceDN w:val="0"/>
              <w:adjustRightInd w:val="0"/>
              <w:spacing w:line="360" w:lineRule="auto"/>
              <w:ind w:firstLine="420" w:firstLineChars="200"/>
              <w:jc w:val="left"/>
              <w:rPr>
                <w:kern w:val="0"/>
                <w:szCs w:val="21"/>
              </w:rPr>
            </w:pPr>
            <w:r>
              <w:rPr>
                <w:kern w:val="0"/>
                <w:szCs w:val="21"/>
              </w:rPr>
              <w:t>（4）装有潜油泵的油罐人孔操作井、卸油口井、加油机底槽等可能发生油品渗漏的部位，也应采取相应的防渗措施。</w:t>
            </w:r>
          </w:p>
          <w:p>
            <w:pPr>
              <w:pStyle w:val="7"/>
              <w:autoSpaceDE w:val="0"/>
              <w:autoSpaceDN w:val="0"/>
              <w:spacing w:after="0" w:line="360" w:lineRule="auto"/>
              <w:ind w:firstLine="420" w:firstLineChars="200"/>
              <w:rPr>
                <w:sz w:val="21"/>
                <w:szCs w:val="21"/>
              </w:rPr>
            </w:pPr>
            <w:bookmarkStart w:id="4" w:name="_Toc25741"/>
            <w:r>
              <w:rPr>
                <w:sz w:val="21"/>
                <w:szCs w:val="21"/>
              </w:rPr>
              <w:t>3）地下水污染监控</w:t>
            </w:r>
            <w:bookmarkEnd w:id="4"/>
          </w:p>
          <w:p>
            <w:pPr>
              <w:pStyle w:val="7"/>
              <w:autoSpaceDE w:val="0"/>
              <w:autoSpaceDN w:val="0"/>
              <w:spacing w:after="0" w:line="360" w:lineRule="auto"/>
              <w:ind w:firstLine="420" w:firstLineChars="200"/>
              <w:rPr>
                <w:sz w:val="21"/>
                <w:szCs w:val="21"/>
              </w:rPr>
            </w:pPr>
            <w:r>
              <w:rPr>
                <w:sz w:val="21"/>
                <w:szCs w:val="21"/>
              </w:rPr>
              <w:t>为了及时准确地掌握厂区周围地下水环境污染控制状况，本项目应建立地下水监控体系，包括建立完善的监测制度、配备先进的检测仪器和设备、科学、合理设置地下水污染监控井，及时发现污染、及时控制。</w:t>
            </w:r>
          </w:p>
          <w:p>
            <w:pPr>
              <w:tabs>
                <w:tab w:val="left" w:pos="1275"/>
              </w:tabs>
              <w:spacing w:line="360" w:lineRule="auto"/>
              <w:ind w:firstLine="420" w:firstLineChars="200"/>
              <w:rPr>
                <w:kern w:val="0"/>
                <w:szCs w:val="21"/>
              </w:rPr>
            </w:pPr>
            <w:r>
              <w:rPr>
                <w:kern w:val="0"/>
                <w:szCs w:val="21"/>
              </w:rPr>
              <w:t>根据《加油站地下水污染防治技术指南（试行）》要求，处于地下水饮用水水源保护区和补给径流区外的加油站，可设一个地下水监测井；地下水监测井尽量设置在加油站内。当现场只需布设一个地下水监测井时，地下水监测井应设在埋地油罐区地下水流向的下游，在保证安全的情况下，尽可能靠近埋地油罐。地下水监测井结构采用一孔成井工艺。设计需结合当地水文地质条件，并充分考虑区域10年内地下水位变幅，滤水管长度和设置位置应覆盖水位变幅。</w:t>
            </w:r>
            <w:r>
              <w:rPr>
                <w:rFonts w:hint="eastAsia"/>
                <w:kern w:val="0"/>
                <w:szCs w:val="21"/>
              </w:rPr>
              <w:t>根据《地下水监测井建设规范》（D</w:t>
            </w:r>
            <w:r>
              <w:rPr>
                <w:kern w:val="0"/>
                <w:szCs w:val="21"/>
              </w:rPr>
              <w:t>Z/T 0270-2014</w:t>
            </w:r>
            <w:r>
              <w:rPr>
                <w:rFonts w:hint="eastAsia"/>
                <w:kern w:val="0"/>
                <w:szCs w:val="21"/>
              </w:rPr>
              <w:t>）在厂区内选定位置进行地下水监测井的建设，监测井设计深度要揭穿目的含水层，监测井的井径应满足洗井维护的要求，应在监测井井口设置标牌与警示标志。</w:t>
            </w:r>
          </w:p>
          <w:p>
            <w:pPr>
              <w:tabs>
                <w:tab w:val="left" w:pos="1275"/>
              </w:tabs>
              <w:spacing w:line="360" w:lineRule="auto"/>
              <w:ind w:firstLine="420" w:firstLineChars="200"/>
              <w:rPr>
                <w:szCs w:val="21"/>
              </w:rPr>
            </w:pPr>
            <w:r>
              <w:rPr>
                <w:szCs w:val="21"/>
              </w:rPr>
              <w:t>通过地下水监测井监测数据及反馈启动应急处置方案，及时发现地下水污染事故及其影响范围和程度，为启动地下水应急措施提供信息保障。监测时如发现水质异常，应及时按要求对场址地下水防渗、防腐措施进行调增，杜绝对地下水造成污染。</w:t>
            </w:r>
          </w:p>
          <w:p>
            <w:pPr>
              <w:pStyle w:val="7"/>
              <w:spacing w:before="0" w:after="0" w:line="360" w:lineRule="auto"/>
              <w:ind w:right="0" w:firstLine="422" w:firstLineChars="200"/>
              <w:rPr>
                <w:b/>
                <w:sz w:val="21"/>
                <w:szCs w:val="21"/>
              </w:rPr>
            </w:pPr>
            <w:r>
              <w:rPr>
                <w:b/>
                <w:sz w:val="21"/>
                <w:szCs w:val="21"/>
              </w:rPr>
              <w:t>跟踪监测要求：</w:t>
            </w:r>
          </w:p>
          <w:p>
            <w:pPr>
              <w:pStyle w:val="10"/>
              <w:adjustRightInd w:val="0"/>
              <w:snapToGrid w:val="0"/>
              <w:spacing w:line="276" w:lineRule="auto"/>
              <w:ind w:left="479" w:leftChars="228"/>
              <w:jc w:val="center"/>
              <w:rPr>
                <w:rFonts w:ascii="Times New Roman" w:hAnsi="Times New Roman"/>
                <w:b/>
                <w:sz w:val="21"/>
                <w:szCs w:val="21"/>
              </w:rPr>
            </w:pPr>
            <w:r>
              <w:rPr>
                <w:rStyle w:val="71"/>
                <w:rFonts w:ascii="Times New Roman" w:hAnsi="Times New Roman"/>
                <w:b/>
              </w:rPr>
              <w:t>表4-15  污染源监测计划表</w:t>
            </w:r>
          </w:p>
          <w:tbl>
            <w:tblPr>
              <w:tblStyle w:val="21"/>
              <w:tblW w:w="12627"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03"/>
              <w:gridCol w:w="1781"/>
              <w:gridCol w:w="5164"/>
              <w:gridCol w:w="1560"/>
              <w:gridCol w:w="311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1003" w:type="dxa"/>
                  <w:vAlign w:val="center"/>
                </w:tcPr>
                <w:p>
                  <w:pPr>
                    <w:jc w:val="center"/>
                    <w:rPr>
                      <w:b/>
                      <w:bCs/>
                      <w:szCs w:val="21"/>
                    </w:rPr>
                  </w:pPr>
                  <w:r>
                    <w:rPr>
                      <w:b/>
                      <w:bCs/>
                      <w:szCs w:val="21"/>
                    </w:rPr>
                    <w:t>项目</w:t>
                  </w:r>
                </w:p>
              </w:tc>
              <w:tc>
                <w:tcPr>
                  <w:tcW w:w="1781" w:type="dxa"/>
                  <w:vAlign w:val="center"/>
                </w:tcPr>
                <w:p>
                  <w:pPr>
                    <w:jc w:val="center"/>
                    <w:rPr>
                      <w:b/>
                      <w:bCs/>
                      <w:szCs w:val="21"/>
                    </w:rPr>
                  </w:pPr>
                  <w:r>
                    <w:rPr>
                      <w:b/>
                      <w:bCs/>
                      <w:szCs w:val="21"/>
                    </w:rPr>
                    <w:t>监测点位</w:t>
                  </w:r>
                </w:p>
              </w:tc>
              <w:tc>
                <w:tcPr>
                  <w:tcW w:w="5164" w:type="dxa"/>
                  <w:vAlign w:val="center"/>
                </w:tcPr>
                <w:p>
                  <w:pPr>
                    <w:jc w:val="center"/>
                    <w:rPr>
                      <w:b/>
                      <w:bCs/>
                      <w:szCs w:val="21"/>
                    </w:rPr>
                  </w:pPr>
                  <w:r>
                    <w:rPr>
                      <w:b/>
                      <w:bCs/>
                      <w:szCs w:val="21"/>
                    </w:rPr>
                    <w:t>监测项目</w:t>
                  </w:r>
                </w:p>
              </w:tc>
              <w:tc>
                <w:tcPr>
                  <w:tcW w:w="1560" w:type="dxa"/>
                  <w:vAlign w:val="center"/>
                </w:tcPr>
                <w:p>
                  <w:pPr>
                    <w:jc w:val="center"/>
                    <w:rPr>
                      <w:b/>
                      <w:bCs/>
                      <w:szCs w:val="21"/>
                    </w:rPr>
                  </w:pPr>
                  <w:r>
                    <w:rPr>
                      <w:b/>
                      <w:bCs/>
                      <w:szCs w:val="21"/>
                    </w:rPr>
                    <w:t>监测频率</w:t>
                  </w:r>
                </w:p>
              </w:tc>
              <w:tc>
                <w:tcPr>
                  <w:tcW w:w="3119" w:type="dxa"/>
                  <w:vAlign w:val="center"/>
                </w:tcPr>
                <w:p>
                  <w:pPr>
                    <w:jc w:val="center"/>
                    <w:rPr>
                      <w:b/>
                      <w:bCs/>
                      <w:szCs w:val="21"/>
                    </w:rPr>
                  </w:pPr>
                  <w:r>
                    <w:rPr>
                      <w:b/>
                      <w:bCs/>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003" w:type="dxa"/>
                  <w:vAlign w:val="center"/>
                </w:tcPr>
                <w:p>
                  <w:pPr>
                    <w:jc w:val="center"/>
                    <w:rPr>
                      <w:bCs/>
                      <w:szCs w:val="21"/>
                    </w:rPr>
                  </w:pPr>
                  <w:r>
                    <w:rPr>
                      <w:bCs/>
                      <w:szCs w:val="21"/>
                    </w:rPr>
                    <w:t>地下水</w:t>
                  </w:r>
                </w:p>
              </w:tc>
              <w:tc>
                <w:tcPr>
                  <w:tcW w:w="1781" w:type="dxa"/>
                  <w:vAlign w:val="center"/>
                </w:tcPr>
                <w:p>
                  <w:pPr>
                    <w:ind w:left="-92" w:leftChars="-44" w:right="-42" w:rightChars="-20"/>
                    <w:jc w:val="center"/>
                    <w:rPr>
                      <w:bCs/>
                      <w:szCs w:val="21"/>
                    </w:rPr>
                  </w:pPr>
                  <w:r>
                    <w:rPr>
                      <w:szCs w:val="21"/>
                    </w:rPr>
                    <w:t>厂区地下监控井</w:t>
                  </w:r>
                </w:p>
              </w:tc>
              <w:tc>
                <w:tcPr>
                  <w:tcW w:w="5164" w:type="dxa"/>
                  <w:vAlign w:val="center"/>
                </w:tcPr>
                <w:p>
                  <w:pPr>
                    <w:jc w:val="center"/>
                    <w:rPr>
                      <w:szCs w:val="21"/>
                    </w:rPr>
                  </w:pPr>
                  <w:r>
                    <w:rPr>
                      <w:bCs/>
                      <w:szCs w:val="21"/>
                    </w:rPr>
                    <w:t>萘、苯、甲苯、乙苯、邻二甲苯、间（对）二甲苯、甲基叔丁基醚、铅、二氯乙烷、</w:t>
                  </w:r>
                  <w:r>
                    <w:rPr>
                      <w:szCs w:val="21"/>
                    </w:rPr>
                    <w:t>石油类</w:t>
                  </w:r>
                </w:p>
              </w:tc>
              <w:tc>
                <w:tcPr>
                  <w:tcW w:w="1560" w:type="dxa"/>
                  <w:vAlign w:val="center"/>
                </w:tcPr>
                <w:p>
                  <w:pPr>
                    <w:jc w:val="center"/>
                    <w:rPr>
                      <w:bCs/>
                      <w:szCs w:val="21"/>
                    </w:rPr>
                  </w:pPr>
                  <w:r>
                    <w:rPr>
                      <w:bCs/>
                      <w:szCs w:val="21"/>
                    </w:rPr>
                    <w:t>每年1次</w:t>
                  </w:r>
                </w:p>
              </w:tc>
              <w:tc>
                <w:tcPr>
                  <w:tcW w:w="3119" w:type="dxa"/>
                  <w:vAlign w:val="center"/>
                </w:tcPr>
                <w:p>
                  <w:pPr>
                    <w:jc w:val="center"/>
                    <w:rPr>
                      <w:bCs/>
                      <w:kern w:val="21"/>
                      <w:szCs w:val="21"/>
                    </w:rPr>
                  </w:pPr>
                  <w:r>
                    <w:rPr>
                      <w:szCs w:val="21"/>
                    </w:rPr>
                    <w:t xml:space="preserve">《地下水环境质量标准》 </w:t>
                  </w:r>
                  <w:r>
                    <w:t>（GB/T14848-2017）</w:t>
                  </w:r>
                  <w:r>
                    <w:rPr>
                      <w:szCs w:val="21"/>
                    </w:rPr>
                    <w:t>中Ⅲ类标准</w:t>
                  </w:r>
                </w:p>
              </w:tc>
            </w:tr>
          </w:tbl>
          <w:p>
            <w:pPr>
              <w:pStyle w:val="73"/>
              <w:spacing w:line="240" w:lineRule="auto"/>
              <w:ind w:firstLine="420"/>
              <w:rPr>
                <w:rFonts w:ascii="Times New Roman" w:hAnsi="Times New Roman" w:cs="Times New Roman"/>
                <w:sz w:val="21"/>
                <w:szCs w:val="21"/>
              </w:rPr>
            </w:pPr>
            <w:r>
              <w:rPr>
                <w:rFonts w:ascii="Times New Roman" w:hAnsi="Times New Roman" w:cs="Times New Roman"/>
                <w:sz w:val="21"/>
                <w:szCs w:val="21"/>
              </w:rPr>
              <w:t>注：石油类参照《地表水环境质量标准》（GB3838-2002）中Ⅲ类标准。</w:t>
            </w:r>
          </w:p>
          <w:p>
            <w:pPr>
              <w:tabs>
                <w:tab w:val="left" w:pos="1275"/>
              </w:tabs>
              <w:ind w:firstLine="422" w:firstLineChars="200"/>
              <w:rPr>
                <w:b/>
                <w:szCs w:val="21"/>
              </w:rPr>
            </w:pPr>
          </w:p>
          <w:p>
            <w:pPr>
              <w:tabs>
                <w:tab w:val="left" w:pos="1275"/>
              </w:tabs>
              <w:spacing w:line="360" w:lineRule="auto"/>
              <w:ind w:firstLine="422" w:firstLineChars="200"/>
              <w:rPr>
                <w:b/>
                <w:szCs w:val="21"/>
              </w:rPr>
            </w:pPr>
            <w:r>
              <w:rPr>
                <w:b/>
                <w:szCs w:val="21"/>
              </w:rPr>
              <w:t>6、土壤</w:t>
            </w:r>
          </w:p>
          <w:p>
            <w:pPr>
              <w:tabs>
                <w:tab w:val="left" w:pos="1275"/>
              </w:tabs>
              <w:spacing w:line="360" w:lineRule="auto"/>
              <w:ind w:firstLine="420" w:firstLineChars="200"/>
              <w:rPr>
                <w:szCs w:val="21"/>
              </w:rPr>
            </w:pPr>
            <w:r>
              <w:rPr>
                <w:szCs w:val="21"/>
              </w:rPr>
              <w:t>本项目将按《汽车加油加气加氢站技术标准》（GB50156-2021）的要求进行设计和施工，储油设备采用地埋式SF双层卧式油罐，油路管线采用无缝钢管，使用焊接工艺，敷设于地下，钢罐和管进行加强级防腐处理，即采用玻璃布、沥青、聚氯乙烯工业膜等材料做成多层防腐涂层（其总厚度不小于5.5 厘米），以防止钢罐和钢管腐蚀造成油品泄漏而污染土壤及地下水。根据地下水污染途径分析，在储油罐等衬底不发生破损、不发生地质灾害情况下，油品泄漏对地下水的污染和影响可控制在可接受的范围和程度之内。类比分析事故泄漏产生的污染物进入土壤对土壤的污染和影响也是可控制在可接受的范围和程度之内。</w:t>
            </w:r>
          </w:p>
          <w:p>
            <w:pPr>
              <w:tabs>
                <w:tab w:val="left" w:pos="1275"/>
              </w:tabs>
              <w:spacing w:line="360" w:lineRule="auto"/>
              <w:ind w:firstLine="420" w:firstLineChars="200"/>
              <w:rPr>
                <w:szCs w:val="21"/>
              </w:rPr>
            </w:pPr>
            <w:r>
              <w:rPr>
                <w:szCs w:val="21"/>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w:t>
            </w:r>
          </w:p>
          <w:p>
            <w:pPr>
              <w:tabs>
                <w:tab w:val="left" w:pos="1275"/>
              </w:tabs>
              <w:spacing w:line="360" w:lineRule="auto"/>
              <w:ind w:firstLine="420" w:firstLineChars="200"/>
              <w:rPr>
                <w:szCs w:val="21"/>
              </w:rPr>
            </w:pPr>
            <w:r>
              <w:rPr>
                <w:szCs w:val="21"/>
              </w:rPr>
              <w:t>综上所述，在采取上述措施后，项目运营对土壤环境无明显影响。</w:t>
            </w:r>
          </w:p>
          <w:p>
            <w:pPr>
              <w:pStyle w:val="7"/>
              <w:spacing w:before="0" w:after="0" w:line="360" w:lineRule="auto"/>
              <w:ind w:right="0" w:firstLine="422" w:firstLineChars="200"/>
              <w:rPr>
                <w:b/>
                <w:sz w:val="21"/>
                <w:szCs w:val="21"/>
              </w:rPr>
            </w:pPr>
            <w:r>
              <w:rPr>
                <w:b/>
                <w:sz w:val="21"/>
                <w:szCs w:val="21"/>
              </w:rPr>
              <w:t>跟踪监测要求：</w:t>
            </w:r>
          </w:p>
          <w:p>
            <w:pPr>
              <w:pStyle w:val="10"/>
              <w:adjustRightInd w:val="0"/>
              <w:snapToGrid w:val="0"/>
              <w:spacing w:line="276" w:lineRule="auto"/>
              <w:ind w:left="479" w:leftChars="228"/>
              <w:jc w:val="center"/>
              <w:rPr>
                <w:rStyle w:val="71"/>
                <w:rFonts w:ascii="Times New Roman" w:hAnsi="Times New Roman"/>
                <w:b/>
              </w:rPr>
            </w:pPr>
          </w:p>
          <w:p>
            <w:pPr>
              <w:pStyle w:val="10"/>
              <w:adjustRightInd w:val="0"/>
              <w:snapToGrid w:val="0"/>
              <w:spacing w:line="276" w:lineRule="auto"/>
              <w:ind w:left="479" w:leftChars="228"/>
              <w:jc w:val="center"/>
              <w:rPr>
                <w:rFonts w:ascii="Times New Roman" w:hAnsi="Times New Roman"/>
                <w:b/>
                <w:sz w:val="21"/>
                <w:szCs w:val="21"/>
              </w:rPr>
            </w:pPr>
            <w:r>
              <w:rPr>
                <w:rStyle w:val="71"/>
                <w:rFonts w:ascii="Times New Roman" w:hAnsi="Times New Roman"/>
                <w:b/>
              </w:rPr>
              <w:t>表4-16 污染源监测计划表</w:t>
            </w:r>
          </w:p>
          <w:tbl>
            <w:tblPr>
              <w:tblStyle w:val="21"/>
              <w:tblW w:w="1262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1003"/>
              <w:gridCol w:w="1842"/>
              <w:gridCol w:w="4111"/>
              <w:gridCol w:w="1276"/>
              <w:gridCol w:w="439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1003" w:type="dxa"/>
                  <w:vAlign w:val="center"/>
                </w:tcPr>
                <w:p>
                  <w:pPr>
                    <w:jc w:val="center"/>
                    <w:rPr>
                      <w:b/>
                      <w:bCs/>
                      <w:szCs w:val="21"/>
                    </w:rPr>
                  </w:pPr>
                  <w:r>
                    <w:rPr>
                      <w:b/>
                      <w:bCs/>
                      <w:szCs w:val="21"/>
                    </w:rPr>
                    <w:t>项目</w:t>
                  </w:r>
                </w:p>
              </w:tc>
              <w:tc>
                <w:tcPr>
                  <w:tcW w:w="1842" w:type="dxa"/>
                  <w:vAlign w:val="center"/>
                </w:tcPr>
                <w:p>
                  <w:pPr>
                    <w:jc w:val="center"/>
                    <w:rPr>
                      <w:b/>
                      <w:bCs/>
                      <w:szCs w:val="21"/>
                    </w:rPr>
                  </w:pPr>
                  <w:r>
                    <w:rPr>
                      <w:b/>
                      <w:bCs/>
                      <w:szCs w:val="21"/>
                    </w:rPr>
                    <w:t>监测点位</w:t>
                  </w:r>
                </w:p>
              </w:tc>
              <w:tc>
                <w:tcPr>
                  <w:tcW w:w="4111" w:type="dxa"/>
                  <w:vAlign w:val="center"/>
                </w:tcPr>
                <w:p>
                  <w:pPr>
                    <w:jc w:val="center"/>
                    <w:rPr>
                      <w:b/>
                      <w:bCs/>
                      <w:szCs w:val="21"/>
                    </w:rPr>
                  </w:pPr>
                  <w:r>
                    <w:rPr>
                      <w:b/>
                      <w:bCs/>
                      <w:szCs w:val="21"/>
                    </w:rPr>
                    <w:t>监测项目</w:t>
                  </w:r>
                </w:p>
              </w:tc>
              <w:tc>
                <w:tcPr>
                  <w:tcW w:w="1276" w:type="dxa"/>
                  <w:vAlign w:val="center"/>
                </w:tcPr>
                <w:p>
                  <w:pPr>
                    <w:jc w:val="center"/>
                    <w:rPr>
                      <w:b/>
                      <w:bCs/>
                      <w:szCs w:val="21"/>
                    </w:rPr>
                  </w:pPr>
                  <w:r>
                    <w:rPr>
                      <w:b/>
                      <w:bCs/>
                      <w:szCs w:val="21"/>
                    </w:rPr>
                    <w:t>监测频率</w:t>
                  </w:r>
                </w:p>
              </w:tc>
              <w:tc>
                <w:tcPr>
                  <w:tcW w:w="4394" w:type="dxa"/>
                  <w:vAlign w:val="center"/>
                </w:tcPr>
                <w:p>
                  <w:pPr>
                    <w:jc w:val="center"/>
                    <w:rPr>
                      <w:b/>
                      <w:bCs/>
                      <w:szCs w:val="21"/>
                    </w:rPr>
                  </w:pPr>
                  <w:r>
                    <w:rPr>
                      <w:b/>
                      <w:bCs/>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rPr>
              <w:tc>
                <w:tcPr>
                  <w:tcW w:w="1003" w:type="dxa"/>
                  <w:vAlign w:val="center"/>
                </w:tcPr>
                <w:p>
                  <w:pPr>
                    <w:jc w:val="center"/>
                    <w:rPr>
                      <w:bCs/>
                      <w:szCs w:val="21"/>
                    </w:rPr>
                  </w:pPr>
                  <w:r>
                    <w:rPr>
                      <w:bCs/>
                      <w:szCs w:val="21"/>
                    </w:rPr>
                    <w:t>土壤</w:t>
                  </w:r>
                </w:p>
              </w:tc>
              <w:tc>
                <w:tcPr>
                  <w:tcW w:w="1842" w:type="dxa"/>
                  <w:vAlign w:val="center"/>
                </w:tcPr>
                <w:p>
                  <w:pPr>
                    <w:ind w:left="-92" w:leftChars="-44" w:right="-42" w:rightChars="-20"/>
                    <w:jc w:val="center"/>
                    <w:rPr>
                      <w:bCs/>
                      <w:szCs w:val="21"/>
                    </w:rPr>
                  </w:pPr>
                  <w:r>
                    <w:rPr>
                      <w:szCs w:val="21"/>
                    </w:rPr>
                    <w:t>厂区范围内</w:t>
                  </w:r>
                </w:p>
              </w:tc>
              <w:tc>
                <w:tcPr>
                  <w:tcW w:w="4111" w:type="dxa"/>
                  <w:vAlign w:val="center"/>
                </w:tcPr>
                <w:p>
                  <w:pPr>
                    <w:jc w:val="center"/>
                    <w:rPr>
                      <w:szCs w:val="21"/>
                    </w:rPr>
                  </w:pPr>
                  <w:r>
                    <w:t>铅、石油烃、萘、苯、甲苯、乙苯、邻二甲苯、间（对）二甲苯、二氯乙烷</w:t>
                  </w:r>
                </w:p>
              </w:tc>
              <w:tc>
                <w:tcPr>
                  <w:tcW w:w="1276" w:type="dxa"/>
                  <w:vAlign w:val="center"/>
                </w:tcPr>
                <w:p>
                  <w:pPr>
                    <w:jc w:val="center"/>
                    <w:rPr>
                      <w:bCs/>
                      <w:szCs w:val="21"/>
                    </w:rPr>
                  </w:pPr>
                  <w:r>
                    <w:rPr>
                      <w:bCs/>
                      <w:szCs w:val="21"/>
                    </w:rPr>
                    <w:t>每5年</w:t>
                  </w:r>
                </w:p>
                <w:p>
                  <w:pPr>
                    <w:jc w:val="center"/>
                    <w:rPr>
                      <w:bCs/>
                      <w:szCs w:val="21"/>
                    </w:rPr>
                  </w:pPr>
                  <w:r>
                    <w:rPr>
                      <w:bCs/>
                      <w:szCs w:val="21"/>
                    </w:rPr>
                    <w:t>1次</w:t>
                  </w:r>
                </w:p>
              </w:tc>
              <w:tc>
                <w:tcPr>
                  <w:tcW w:w="4394" w:type="dxa"/>
                  <w:vAlign w:val="center"/>
                </w:tcPr>
                <w:p>
                  <w:pPr>
                    <w:jc w:val="center"/>
                    <w:rPr>
                      <w:bCs/>
                      <w:kern w:val="21"/>
                      <w:szCs w:val="21"/>
                    </w:rPr>
                  </w:pPr>
                  <w:r>
                    <w:rPr>
                      <w:szCs w:val="21"/>
                    </w:rPr>
                    <w:t>《建设用地土壤污染风险管控标准（试行）》（DB36 1282-2020）表 1第二类用地风险筛选值</w:t>
                  </w:r>
                </w:p>
              </w:tc>
            </w:tr>
          </w:tbl>
          <w:p>
            <w:pPr>
              <w:tabs>
                <w:tab w:val="left" w:pos="1275"/>
              </w:tabs>
              <w:ind w:firstLine="422" w:firstLineChars="200"/>
              <w:rPr>
                <w:b/>
                <w:szCs w:val="21"/>
              </w:rPr>
            </w:pPr>
          </w:p>
          <w:p>
            <w:pPr>
              <w:tabs>
                <w:tab w:val="left" w:pos="1275"/>
              </w:tabs>
              <w:spacing w:line="360" w:lineRule="auto"/>
              <w:ind w:firstLine="422" w:firstLineChars="200"/>
              <w:rPr>
                <w:b/>
                <w:szCs w:val="21"/>
              </w:rPr>
            </w:pPr>
            <w:r>
              <w:rPr>
                <w:b/>
                <w:szCs w:val="21"/>
              </w:rPr>
              <w:t>7、环境风险</w:t>
            </w:r>
          </w:p>
          <w:p>
            <w:pPr>
              <w:pStyle w:val="7"/>
              <w:spacing w:before="0" w:after="0" w:line="360" w:lineRule="auto"/>
              <w:ind w:firstLine="482"/>
              <w:rPr>
                <w:b/>
                <w:sz w:val="21"/>
                <w:szCs w:val="21"/>
              </w:rPr>
            </w:pPr>
            <w:r>
              <w:rPr>
                <w:b/>
                <w:sz w:val="21"/>
                <w:szCs w:val="21"/>
              </w:rPr>
              <w:t>7.1、风险源分布情况</w:t>
            </w:r>
          </w:p>
          <w:p>
            <w:pPr>
              <w:spacing w:line="360" w:lineRule="auto"/>
              <w:ind w:firstLine="420" w:firstLineChars="200"/>
            </w:pPr>
            <w:r>
              <w:t>本项目为加油、充电站项目，项目存储/销售的汽油、柴油为易燃液体，具有一定的潜在的危险性；项目充电桩在非正常运行状态下也可能会产生火灾风险。在突发性的事故状态下，如果不采取有效措施，将会对环境造成不利甚至严重影响。除此之外，本项目营运期内加柴油过程中会对部分燃柴油车辆加入少量车用尿素以降低柴油车尾气中污染物排放，项目设置1台尿素机，</w:t>
            </w:r>
            <w:r>
              <w:rPr>
                <w:rFonts w:hint="eastAsia"/>
              </w:rPr>
              <w:t>为一体式尿素机，自带1</w:t>
            </w:r>
            <w:r>
              <w:t>000</w:t>
            </w:r>
            <w:r>
              <w:rPr>
                <w:rFonts w:hint="eastAsia"/>
              </w:rPr>
              <w:t>升容量箱</w:t>
            </w:r>
            <w:r>
              <w:t>尿素液不属于《建设项目环境风险评价技术导则》（HJ 169-2018）中附录B及国家《危险化学品名录》，且尿素常用作农肥改良土壤，因此，少量尿素泄露在被及时发现的情况下不会对环境产生严重危害。</w:t>
            </w:r>
          </w:p>
          <w:p>
            <w:pPr>
              <w:spacing w:line="360" w:lineRule="auto"/>
              <w:ind w:firstLine="420" w:firstLineChars="200"/>
            </w:pPr>
            <w:r>
              <w:t>项目危险物质调查清单见表4-17。</w:t>
            </w:r>
          </w:p>
          <w:p>
            <w:pPr>
              <w:pStyle w:val="57"/>
              <w:spacing w:line="276" w:lineRule="auto"/>
              <w:ind w:firstLine="422"/>
              <w:jc w:val="center"/>
              <w:rPr>
                <w:rFonts w:ascii="Times New Roman" w:cs="Times New Roman"/>
                <w:b/>
                <w:bCs/>
                <w:color w:val="auto"/>
                <w:kern w:val="2"/>
                <w:sz w:val="21"/>
                <w:szCs w:val="21"/>
              </w:rPr>
            </w:pPr>
            <w:r>
              <w:rPr>
                <w:rFonts w:ascii="Times New Roman" w:cs="Times New Roman"/>
                <w:b/>
                <w:bCs/>
                <w:color w:val="auto"/>
                <w:kern w:val="2"/>
                <w:sz w:val="21"/>
                <w:szCs w:val="21"/>
              </w:rPr>
              <w:t>表4-17 建设项目危险物质调查清单</w:t>
            </w:r>
          </w:p>
          <w:tbl>
            <w:tblPr>
              <w:tblStyle w:val="21"/>
              <w:tblW w:w="1262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44"/>
              <w:gridCol w:w="1985"/>
              <w:gridCol w:w="1701"/>
              <w:gridCol w:w="2693"/>
              <w:gridCol w:w="1701"/>
              <w:gridCol w:w="1869"/>
              <w:gridCol w:w="153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44" w:type="dxa"/>
                  <w:vAlign w:val="center"/>
                </w:tcPr>
                <w:p>
                  <w:pPr>
                    <w:jc w:val="center"/>
                    <w:rPr>
                      <w:b/>
                      <w:bCs/>
                      <w:kern w:val="0"/>
                    </w:rPr>
                  </w:pPr>
                  <w:r>
                    <w:rPr>
                      <w:b/>
                      <w:bCs/>
                      <w:kern w:val="0"/>
                    </w:rPr>
                    <w:t>序号</w:t>
                  </w:r>
                </w:p>
              </w:tc>
              <w:tc>
                <w:tcPr>
                  <w:tcW w:w="1985" w:type="dxa"/>
                  <w:vAlign w:val="center"/>
                </w:tcPr>
                <w:p>
                  <w:pPr>
                    <w:jc w:val="center"/>
                    <w:rPr>
                      <w:b/>
                      <w:bCs/>
                      <w:kern w:val="0"/>
                    </w:rPr>
                  </w:pPr>
                  <w:r>
                    <w:rPr>
                      <w:b/>
                      <w:bCs/>
                      <w:kern w:val="0"/>
                    </w:rPr>
                    <w:t>危险物质名称</w:t>
                  </w:r>
                </w:p>
              </w:tc>
              <w:tc>
                <w:tcPr>
                  <w:tcW w:w="1701" w:type="dxa"/>
                  <w:vAlign w:val="center"/>
                </w:tcPr>
                <w:p>
                  <w:pPr>
                    <w:jc w:val="center"/>
                    <w:rPr>
                      <w:b/>
                      <w:bCs/>
                      <w:kern w:val="0"/>
                    </w:rPr>
                  </w:pPr>
                  <w:r>
                    <w:rPr>
                      <w:b/>
                      <w:bCs/>
                      <w:kern w:val="0"/>
                    </w:rPr>
                    <w:t>CAS号</w:t>
                  </w:r>
                </w:p>
              </w:tc>
              <w:tc>
                <w:tcPr>
                  <w:tcW w:w="2693" w:type="dxa"/>
                  <w:vAlign w:val="center"/>
                </w:tcPr>
                <w:p>
                  <w:pPr>
                    <w:jc w:val="center"/>
                    <w:rPr>
                      <w:b/>
                      <w:bCs/>
                      <w:kern w:val="0"/>
                    </w:rPr>
                  </w:pPr>
                  <w:r>
                    <w:rPr>
                      <w:b/>
                      <w:bCs/>
                      <w:kern w:val="0"/>
                    </w:rPr>
                    <w:t>危险性类别</w:t>
                  </w:r>
                </w:p>
              </w:tc>
              <w:tc>
                <w:tcPr>
                  <w:tcW w:w="1701" w:type="dxa"/>
                  <w:vAlign w:val="center"/>
                </w:tcPr>
                <w:p>
                  <w:pPr>
                    <w:jc w:val="center"/>
                    <w:rPr>
                      <w:b/>
                      <w:bCs/>
                      <w:kern w:val="0"/>
                    </w:rPr>
                  </w:pPr>
                  <w:r>
                    <w:rPr>
                      <w:b/>
                      <w:bCs/>
                      <w:kern w:val="0"/>
                    </w:rPr>
                    <w:t>贮存位置</w:t>
                  </w:r>
                </w:p>
              </w:tc>
              <w:tc>
                <w:tcPr>
                  <w:tcW w:w="1869" w:type="dxa"/>
                  <w:vAlign w:val="center"/>
                </w:tcPr>
                <w:p>
                  <w:pPr>
                    <w:jc w:val="center"/>
                    <w:rPr>
                      <w:b/>
                      <w:bCs/>
                      <w:kern w:val="0"/>
                    </w:rPr>
                  </w:pPr>
                  <w:r>
                    <w:rPr>
                      <w:b/>
                      <w:bCs/>
                      <w:kern w:val="0"/>
                    </w:rPr>
                    <w:t>最大存储量</w:t>
                  </w:r>
                </w:p>
              </w:tc>
              <w:tc>
                <w:tcPr>
                  <w:tcW w:w="1533" w:type="dxa"/>
                  <w:vAlign w:val="center"/>
                </w:tcPr>
                <w:p>
                  <w:pPr>
                    <w:jc w:val="center"/>
                    <w:rPr>
                      <w:b/>
                      <w:bCs/>
                      <w:kern w:val="0"/>
                    </w:rPr>
                  </w:pPr>
                  <w:r>
                    <w:rPr>
                      <w:b/>
                      <w:bCs/>
                      <w:kern w:val="0"/>
                    </w:rPr>
                    <w:t>生产单元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44" w:type="dxa"/>
                  <w:vAlign w:val="center"/>
                </w:tcPr>
                <w:p>
                  <w:pPr>
                    <w:jc w:val="center"/>
                    <w:rPr>
                      <w:kern w:val="0"/>
                    </w:rPr>
                  </w:pPr>
                  <w:r>
                    <w:rPr>
                      <w:kern w:val="0"/>
                    </w:rPr>
                    <w:t>1</w:t>
                  </w:r>
                </w:p>
              </w:tc>
              <w:tc>
                <w:tcPr>
                  <w:tcW w:w="1985" w:type="dxa"/>
                  <w:vAlign w:val="center"/>
                </w:tcPr>
                <w:p>
                  <w:pPr>
                    <w:jc w:val="center"/>
                    <w:rPr>
                      <w:kern w:val="0"/>
                    </w:rPr>
                  </w:pPr>
                  <w:r>
                    <w:rPr>
                      <w:kern w:val="0"/>
                    </w:rPr>
                    <w:t>柴油</w:t>
                  </w:r>
                </w:p>
              </w:tc>
              <w:tc>
                <w:tcPr>
                  <w:tcW w:w="1701" w:type="dxa"/>
                  <w:vAlign w:val="center"/>
                </w:tcPr>
                <w:p>
                  <w:pPr>
                    <w:jc w:val="center"/>
                    <w:rPr>
                      <w:kern w:val="0"/>
                    </w:rPr>
                  </w:pPr>
                  <w:r>
                    <w:rPr>
                      <w:kern w:val="0"/>
                    </w:rPr>
                    <w:t>68334-30-5</w:t>
                  </w:r>
                </w:p>
              </w:tc>
              <w:tc>
                <w:tcPr>
                  <w:tcW w:w="2693" w:type="dxa"/>
                  <w:vAlign w:val="center"/>
                </w:tcPr>
                <w:p>
                  <w:pPr>
                    <w:jc w:val="center"/>
                    <w:rPr>
                      <w:kern w:val="0"/>
                    </w:rPr>
                  </w:pPr>
                  <w:r>
                    <w:rPr>
                      <w:kern w:val="0"/>
                    </w:rPr>
                    <w:t>易燃液体类别1</w:t>
                  </w:r>
                </w:p>
              </w:tc>
              <w:tc>
                <w:tcPr>
                  <w:tcW w:w="1701" w:type="dxa"/>
                  <w:vAlign w:val="center"/>
                </w:tcPr>
                <w:p>
                  <w:pPr>
                    <w:jc w:val="center"/>
                    <w:rPr>
                      <w:kern w:val="0"/>
                    </w:rPr>
                  </w:pPr>
                  <w:r>
                    <w:rPr>
                      <w:kern w:val="0"/>
                    </w:rPr>
                    <w:t>储罐区</w:t>
                  </w:r>
                </w:p>
              </w:tc>
              <w:tc>
                <w:tcPr>
                  <w:tcW w:w="1869" w:type="dxa"/>
                  <w:vAlign w:val="center"/>
                </w:tcPr>
                <w:p>
                  <w:pPr>
                    <w:jc w:val="center"/>
                    <w:rPr>
                      <w:kern w:val="0"/>
                    </w:rPr>
                  </w:pPr>
                  <w:r>
                    <w:rPr>
                      <w:kern w:val="0"/>
                    </w:rPr>
                    <w:t>69.6t</w:t>
                  </w:r>
                </w:p>
              </w:tc>
              <w:tc>
                <w:tcPr>
                  <w:tcW w:w="1533" w:type="dxa"/>
                  <w:vAlign w:val="center"/>
                </w:tcPr>
                <w:p>
                  <w:pPr>
                    <w:jc w:val="center"/>
                    <w:rPr>
                      <w:kern w:val="0"/>
                    </w:rPr>
                  </w:pPr>
                  <w:r>
                    <w:rPr>
                      <w:kern w:val="0"/>
                    </w:rPr>
                    <w:t>储罐区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44" w:type="dxa"/>
                  <w:vAlign w:val="center"/>
                </w:tcPr>
                <w:p>
                  <w:pPr>
                    <w:jc w:val="center"/>
                    <w:rPr>
                      <w:kern w:val="0"/>
                    </w:rPr>
                  </w:pPr>
                  <w:r>
                    <w:rPr>
                      <w:kern w:val="0"/>
                    </w:rPr>
                    <w:t>2</w:t>
                  </w:r>
                </w:p>
              </w:tc>
              <w:tc>
                <w:tcPr>
                  <w:tcW w:w="1985" w:type="dxa"/>
                  <w:vAlign w:val="center"/>
                </w:tcPr>
                <w:p>
                  <w:pPr>
                    <w:jc w:val="center"/>
                    <w:rPr>
                      <w:kern w:val="0"/>
                    </w:rPr>
                  </w:pPr>
                  <w:r>
                    <w:rPr>
                      <w:kern w:val="0"/>
                    </w:rPr>
                    <w:t>汽油</w:t>
                  </w:r>
                </w:p>
              </w:tc>
              <w:tc>
                <w:tcPr>
                  <w:tcW w:w="1701" w:type="dxa"/>
                  <w:vAlign w:val="center"/>
                </w:tcPr>
                <w:p>
                  <w:pPr>
                    <w:jc w:val="center"/>
                    <w:rPr>
                      <w:kern w:val="0"/>
                    </w:rPr>
                  </w:pPr>
                  <w:r>
                    <w:rPr>
                      <w:kern w:val="0"/>
                    </w:rPr>
                    <w:t>8006-61-9</w:t>
                  </w:r>
                </w:p>
              </w:tc>
              <w:tc>
                <w:tcPr>
                  <w:tcW w:w="2693" w:type="dxa"/>
                  <w:vAlign w:val="center"/>
                </w:tcPr>
                <w:p>
                  <w:pPr>
                    <w:jc w:val="center"/>
                    <w:rPr>
                      <w:kern w:val="0"/>
                    </w:rPr>
                  </w:pPr>
                  <w:r>
                    <w:rPr>
                      <w:kern w:val="0"/>
                    </w:rPr>
                    <w:t>易燃液体类别3</w:t>
                  </w:r>
                </w:p>
              </w:tc>
              <w:tc>
                <w:tcPr>
                  <w:tcW w:w="1701" w:type="dxa"/>
                  <w:vAlign w:val="center"/>
                </w:tcPr>
                <w:p>
                  <w:pPr>
                    <w:jc w:val="center"/>
                    <w:rPr>
                      <w:kern w:val="0"/>
                    </w:rPr>
                  </w:pPr>
                  <w:r>
                    <w:rPr>
                      <w:kern w:val="0"/>
                    </w:rPr>
                    <w:t>储罐区</w:t>
                  </w:r>
                </w:p>
              </w:tc>
              <w:tc>
                <w:tcPr>
                  <w:tcW w:w="1869" w:type="dxa"/>
                  <w:vAlign w:val="center"/>
                </w:tcPr>
                <w:p>
                  <w:pPr>
                    <w:jc w:val="center"/>
                    <w:rPr>
                      <w:kern w:val="0"/>
                    </w:rPr>
                  </w:pPr>
                  <w:r>
                    <w:rPr>
                      <w:kern w:val="0"/>
                    </w:rPr>
                    <w:t>82.5t</w:t>
                  </w:r>
                </w:p>
              </w:tc>
              <w:tc>
                <w:tcPr>
                  <w:tcW w:w="1533" w:type="dxa"/>
                  <w:vAlign w:val="center"/>
                </w:tcPr>
                <w:p>
                  <w:pPr>
                    <w:jc w:val="center"/>
                    <w:rPr>
                      <w:kern w:val="0"/>
                    </w:rPr>
                  </w:pPr>
                  <w:r>
                    <w:rPr>
                      <w:kern w:val="0"/>
                    </w:rPr>
                    <w:t>储罐区</w:t>
                  </w:r>
                </w:p>
              </w:tc>
            </w:tr>
          </w:tbl>
          <w:p>
            <w:pPr>
              <w:adjustRightInd w:val="0"/>
              <w:snapToGrid w:val="0"/>
              <w:ind w:firstLine="420" w:firstLineChars="200"/>
              <w:rPr>
                <w:bCs/>
                <w:color w:val="FF0000"/>
                <w:szCs w:val="21"/>
              </w:rPr>
            </w:pPr>
          </w:p>
          <w:p>
            <w:pPr>
              <w:pStyle w:val="7"/>
              <w:spacing w:before="0" w:after="0" w:line="360" w:lineRule="auto"/>
              <w:ind w:firstLine="482"/>
              <w:rPr>
                <w:b/>
                <w:sz w:val="21"/>
                <w:szCs w:val="21"/>
              </w:rPr>
            </w:pPr>
            <w:r>
              <w:rPr>
                <w:b/>
                <w:sz w:val="21"/>
                <w:szCs w:val="21"/>
              </w:rPr>
              <w:t>7.2、影响途径分析</w:t>
            </w:r>
          </w:p>
          <w:p>
            <w:pPr>
              <w:adjustRightInd w:val="0"/>
              <w:snapToGrid w:val="0"/>
              <w:spacing w:line="360" w:lineRule="auto"/>
              <w:ind w:firstLine="420" w:firstLineChars="200"/>
              <w:rPr>
                <w:bCs/>
                <w:szCs w:val="21"/>
              </w:rPr>
            </w:pPr>
            <w:r>
              <w:rPr>
                <w:bCs/>
                <w:szCs w:val="21"/>
              </w:rPr>
              <w:t>本项目可能发生的事故主要有储罐及管线破损导致汽油渗漏，石油气与空气形成爆炸性混合气并达到爆炸极限时遇到火源发生火灾、爆炸事故，以及充电桩短路、过热、受损等情况下发生的火灾事故。其对人身安全及周围环境会产生危害。根据风险识别，本项目主要存在的事故类型有：</w:t>
            </w:r>
          </w:p>
          <w:p>
            <w:pPr>
              <w:adjustRightInd w:val="0"/>
              <w:snapToGrid w:val="0"/>
              <w:spacing w:line="360" w:lineRule="auto"/>
              <w:ind w:firstLine="420" w:firstLineChars="200"/>
              <w:rPr>
                <w:bCs/>
                <w:szCs w:val="21"/>
              </w:rPr>
            </w:pPr>
            <w:r>
              <w:rPr>
                <w:rFonts w:hint="eastAsia" w:ascii="宋体" w:hAnsi="宋体" w:cs="宋体"/>
                <w:bCs/>
                <w:szCs w:val="21"/>
              </w:rPr>
              <w:t>①</w:t>
            </w:r>
            <w:r>
              <w:rPr>
                <w:bCs/>
                <w:szCs w:val="21"/>
              </w:rPr>
              <w:t>储罐、管道破损导致汽油渗漏引起大气污染事故；</w:t>
            </w:r>
          </w:p>
          <w:p>
            <w:pPr>
              <w:adjustRightInd w:val="0"/>
              <w:snapToGrid w:val="0"/>
              <w:spacing w:line="360" w:lineRule="auto"/>
              <w:ind w:firstLine="420" w:firstLineChars="200"/>
              <w:rPr>
                <w:bCs/>
                <w:szCs w:val="21"/>
              </w:rPr>
            </w:pPr>
            <w:r>
              <w:rPr>
                <w:rFonts w:hint="eastAsia" w:ascii="宋体" w:hAnsi="宋体" w:cs="宋体"/>
                <w:bCs/>
                <w:szCs w:val="21"/>
              </w:rPr>
              <w:t>②</w:t>
            </w:r>
            <w:r>
              <w:rPr>
                <w:bCs/>
                <w:szCs w:val="21"/>
              </w:rPr>
              <w:t>汽油泄漏后遇明火发生火灾、爆炸事故。</w:t>
            </w:r>
          </w:p>
          <w:p>
            <w:pPr>
              <w:adjustRightInd w:val="0"/>
              <w:snapToGrid w:val="0"/>
              <w:spacing w:line="360" w:lineRule="auto"/>
              <w:ind w:firstLine="420" w:firstLineChars="200"/>
              <w:rPr>
                <w:bCs/>
                <w:szCs w:val="21"/>
              </w:rPr>
            </w:pPr>
            <w:r>
              <w:rPr>
                <w:rFonts w:hint="eastAsia" w:ascii="宋体" w:hAnsi="宋体" w:cs="宋体"/>
                <w:bCs/>
                <w:szCs w:val="21"/>
              </w:rPr>
              <w:t>③</w:t>
            </w:r>
            <w:r>
              <w:rPr>
                <w:bCs/>
                <w:szCs w:val="21"/>
              </w:rPr>
              <w:t>充电桩发生故障、受损后导致的火灾事故。</w:t>
            </w:r>
          </w:p>
          <w:p>
            <w:pPr>
              <w:adjustRightInd w:val="0"/>
              <w:snapToGrid w:val="0"/>
              <w:spacing w:line="360" w:lineRule="auto"/>
              <w:ind w:firstLine="420" w:firstLineChars="200"/>
              <w:rPr>
                <w:bCs/>
                <w:szCs w:val="21"/>
              </w:rPr>
            </w:pPr>
            <w:r>
              <w:rPr>
                <w:bCs/>
                <w:szCs w:val="21"/>
              </w:rPr>
              <w:t>可能发生的环境风险主要包括成品油泄漏及因泄漏发生火灾爆炸等产生的CO、SO</w:t>
            </w:r>
            <w:r>
              <w:rPr>
                <w:bCs/>
                <w:szCs w:val="21"/>
                <w:vertAlign w:val="subscript"/>
              </w:rPr>
              <w:t>2</w:t>
            </w:r>
            <w:r>
              <w:rPr>
                <w:bCs/>
                <w:szCs w:val="21"/>
              </w:rPr>
              <w:t xml:space="preserve"> 等伴生污染物对大气环境的影响。</w:t>
            </w:r>
          </w:p>
          <w:p>
            <w:pPr>
              <w:adjustRightInd w:val="0"/>
              <w:snapToGrid w:val="0"/>
              <w:spacing w:line="360" w:lineRule="auto"/>
              <w:ind w:firstLine="420" w:firstLineChars="200"/>
              <w:rPr>
                <w:bCs/>
                <w:szCs w:val="21"/>
              </w:rPr>
            </w:pPr>
            <w:r>
              <w:rPr>
                <w:bCs/>
                <w:szCs w:val="21"/>
              </w:rPr>
              <w:t>成品油泄露、溢出如果预防、处置不当，进入环境，挥发油气会污染环境空气，但对环境空气的影响是暂时的，随着突发环境事件的结束，该影响消失。</w:t>
            </w:r>
          </w:p>
          <w:p>
            <w:pPr>
              <w:adjustRightInd w:val="0"/>
              <w:snapToGrid w:val="0"/>
              <w:spacing w:line="360" w:lineRule="auto"/>
              <w:ind w:firstLine="420" w:firstLineChars="200"/>
              <w:rPr>
                <w:bCs/>
                <w:szCs w:val="21"/>
              </w:rPr>
            </w:pPr>
            <w:r>
              <w:rPr>
                <w:bCs/>
                <w:szCs w:val="21"/>
              </w:rPr>
              <w:t>泄露、溢出油品有可能污染土壤和地下水，企业距离地表水体较远，泄露溢出油品不会对直接对地表水体造成影响。泄露、溢出油品一旦进入环境，由于这种渗漏必然穿过较厚的土壤层，使土壤层中吸附了大量的燃料油，土壤层吸附的燃料油不仅会造成植物生物的死亡，而且还会随着地表水的下渗对土壤层的冲刷作用补充到地下水。被污染的土壤和地下水得到完全净化，恢复其原有的功能，需要十几年甚至上百年的时间。</w:t>
            </w:r>
          </w:p>
          <w:p>
            <w:pPr>
              <w:adjustRightInd w:val="0"/>
              <w:snapToGrid w:val="0"/>
              <w:spacing w:line="360" w:lineRule="auto"/>
              <w:ind w:firstLine="420" w:firstLineChars="200"/>
              <w:rPr>
                <w:bCs/>
                <w:szCs w:val="21"/>
              </w:rPr>
            </w:pPr>
            <w:r>
              <w:rPr>
                <w:bCs/>
                <w:szCs w:val="21"/>
              </w:rPr>
              <w:t>本项目采用复合国家标准的双层储油罐和输油管道，配套安装有高液位控制阀和液位仪。一旦加油量超过储罐90%，高液位阀会发生联动，自动停止加油。一旦发生泄露，液位仪报警器会发出警报，能及早发现泄露，及时处理。即便泄露发生，泄露油品会控制在储罐或管道的双层中间，不会轻易进入环境，除非双层罐体或管道同时发生损坏，这种几率非常小。根据《建设项目环境风险评价技术导则》（HJ169-2018）附录E 常压双包容储罐泄露孔径为10mm 孔径的泄露频率为1.0×10</w:t>
            </w:r>
            <w:r>
              <w:rPr>
                <w:bCs/>
                <w:szCs w:val="21"/>
                <w:vertAlign w:val="superscript"/>
              </w:rPr>
              <w:t>-4</w:t>
            </w:r>
            <w:r>
              <w:rPr>
                <w:bCs/>
                <w:szCs w:val="21"/>
              </w:rPr>
              <w:t>/a。项目采用环氧煤沥青特加强防腐绝缘防渗技术，同时应对储油罐内外表面、防护堤的内表面、油罐区地面、输油管线外表层均做了防腐防渗处理，并且采取了防渗漏检查孔等渗漏溢出检测设施；站内设环站沟，隔油沉淀池，泄漏的油品可回收，同时设立事故应急预案，加强操作管理，油品泄漏不会造成大面积的扩散，因此对地下水及土壤造成明显影响。</w:t>
            </w:r>
          </w:p>
          <w:p>
            <w:pPr>
              <w:adjustRightInd w:val="0"/>
              <w:snapToGrid w:val="0"/>
              <w:spacing w:line="360" w:lineRule="auto"/>
              <w:ind w:firstLine="420" w:firstLineChars="200"/>
              <w:rPr>
                <w:bCs/>
                <w:szCs w:val="21"/>
              </w:rPr>
            </w:pPr>
            <w:r>
              <w:rPr>
                <w:bCs/>
                <w:szCs w:val="21"/>
              </w:rPr>
              <w:t>充电桩若发生电路故障或因车主停车操作不当导致意外损毁都可能产生火灾风险，一旦产生火灾风险，设备、车辆燃烧会产生有害气体污染环境空气，但其同样会随突发环境事间消失而消失。项目充电区与加油区之间相隔距离较远，因此充电区产生火灾引燃加油站的风险概率极低。</w:t>
            </w:r>
          </w:p>
          <w:p>
            <w:pPr>
              <w:adjustRightInd w:val="0"/>
              <w:snapToGrid w:val="0"/>
              <w:spacing w:line="360" w:lineRule="auto"/>
              <w:ind w:firstLine="420" w:firstLineChars="200"/>
              <w:rPr>
                <w:bCs/>
                <w:szCs w:val="21"/>
              </w:rPr>
            </w:pPr>
            <w:r>
              <w:rPr>
                <w:bCs/>
                <w:szCs w:val="21"/>
              </w:rPr>
              <w:t>油品的泄露、溢出和充电桩发生故障、受损引发的火灾、爆炸事故，油品不完全燃烧及设备、设施燃烧产生的有毒有害气体会进入环境空气，但对环境空气的影响是暂时的，随着突发环境事件的结束，对环境空气的影响消失。泄露、火灾产生的场地洗消废水和消防废水如果控制不当会进入环境，污染土壤和地下水。故要求企业妥当处置突发环境事件产生的消洗废水和消防废水。</w:t>
            </w:r>
          </w:p>
          <w:p>
            <w:pPr>
              <w:pStyle w:val="7"/>
              <w:spacing w:before="0" w:after="0" w:line="360" w:lineRule="auto"/>
              <w:ind w:firstLine="482"/>
              <w:rPr>
                <w:bCs/>
                <w:szCs w:val="21"/>
              </w:rPr>
            </w:pPr>
            <w:r>
              <w:rPr>
                <w:b/>
                <w:sz w:val="21"/>
                <w:szCs w:val="21"/>
              </w:rPr>
              <w:t>7.3、</w:t>
            </w:r>
            <w:r>
              <w:rPr>
                <w:b/>
                <w:bCs/>
                <w:sz w:val="21"/>
                <w:szCs w:val="21"/>
              </w:rPr>
              <w:t>环境风险防范措施</w:t>
            </w:r>
          </w:p>
          <w:p>
            <w:pPr>
              <w:adjustRightInd w:val="0"/>
              <w:snapToGrid w:val="0"/>
              <w:spacing w:line="360" w:lineRule="auto"/>
              <w:ind w:firstLine="420" w:firstLineChars="200"/>
              <w:rPr>
                <w:bCs/>
                <w:szCs w:val="21"/>
              </w:rPr>
            </w:pPr>
            <w:r>
              <w:rPr>
                <w:bCs/>
                <w:szCs w:val="21"/>
              </w:rPr>
              <w:t>（1）项目总图布置</w:t>
            </w:r>
          </w:p>
          <w:p>
            <w:pPr>
              <w:adjustRightInd w:val="0"/>
              <w:snapToGrid w:val="0"/>
              <w:spacing w:line="360" w:lineRule="auto"/>
              <w:ind w:firstLine="420" w:firstLineChars="200"/>
              <w:rPr>
                <w:bCs/>
                <w:szCs w:val="21"/>
              </w:rPr>
            </w:pPr>
            <w:r>
              <w:rPr>
                <w:bCs/>
                <w:szCs w:val="21"/>
              </w:rPr>
              <w:t>项目总平面布置符合《汽车加油加气加氢站技术标准》（GB50156-2021）、《爆炸和火灾危险环境电力装置设计规范》和《建筑设计防火规范》，各生产和辅助装置按功能分别布置，车辆进、出口分开设置，站内平面布置按进站汽车、槽车正向行使设计。站区设环行消防车道并保证有足够的路面净空高度，合理设置消火栓、灭火器，相应的防火、防触电安全警示、标志。本项目加油岛、地埋式油罐、通气管管口、密闭卸油点、加油机、站房、围墙等相互防火间距符合规范要求。除此之外，项目充电区与加油区相隔较远，若充电桩出现火灾，不容易将加油站油气点燃引发更大的风险事故。</w:t>
            </w:r>
          </w:p>
          <w:p>
            <w:pPr>
              <w:adjustRightInd w:val="0"/>
              <w:snapToGrid w:val="0"/>
              <w:spacing w:line="360" w:lineRule="auto"/>
              <w:ind w:firstLine="420" w:firstLineChars="200"/>
              <w:rPr>
                <w:bCs/>
                <w:szCs w:val="21"/>
              </w:rPr>
            </w:pPr>
            <w:r>
              <w:rPr>
                <w:bCs/>
                <w:szCs w:val="21"/>
              </w:rPr>
              <w:t>在常温条件下，油气将下沉，因此为防止油气积聚，加油站内不允许设置排水明渠或明沟，以避免油气积聚后遇火花或摩擦导致积聚的油气爆炸。</w:t>
            </w:r>
          </w:p>
          <w:p>
            <w:pPr>
              <w:adjustRightInd w:val="0"/>
              <w:snapToGrid w:val="0"/>
              <w:spacing w:line="360" w:lineRule="auto"/>
              <w:ind w:firstLine="420" w:firstLineChars="200"/>
              <w:rPr>
                <w:bCs/>
                <w:szCs w:val="21"/>
              </w:rPr>
            </w:pPr>
            <w:r>
              <w:rPr>
                <w:bCs/>
                <w:szCs w:val="21"/>
              </w:rPr>
              <w:t>（2）加油区、油罐区从工艺设计和管理上采取相应措施，降低油罐渗漏、油品跑冒等造成环境和地下水污染等环境风险。</w:t>
            </w:r>
          </w:p>
          <w:p>
            <w:pPr>
              <w:adjustRightInd w:val="0"/>
              <w:snapToGrid w:val="0"/>
              <w:spacing w:line="360" w:lineRule="auto"/>
              <w:ind w:firstLine="420" w:firstLineChars="200"/>
              <w:rPr>
                <w:bCs/>
                <w:szCs w:val="21"/>
              </w:rPr>
            </w:pPr>
            <w:r>
              <w:rPr>
                <w:bCs/>
                <w:szCs w:val="21"/>
              </w:rPr>
              <w:t>1、加油站的汽油罐（撬装式加油装置所配置的防火防爆油罐除外）应埋地设置，严禁设在室内或地下室内。</w:t>
            </w:r>
          </w:p>
          <w:p>
            <w:pPr>
              <w:adjustRightInd w:val="0"/>
              <w:snapToGrid w:val="0"/>
              <w:spacing w:line="360" w:lineRule="auto"/>
              <w:ind w:firstLine="420" w:firstLineChars="200"/>
              <w:rPr>
                <w:bCs/>
                <w:szCs w:val="21"/>
              </w:rPr>
            </w:pPr>
            <w:r>
              <w:rPr>
                <w:bCs/>
                <w:szCs w:val="21"/>
              </w:rPr>
              <w:t>2、当油罐受地下水或雨水作用有上浮的可能时，应采取防止油罐上浮的措施。</w:t>
            </w:r>
          </w:p>
          <w:p>
            <w:pPr>
              <w:adjustRightInd w:val="0"/>
              <w:snapToGrid w:val="0"/>
              <w:spacing w:line="360" w:lineRule="auto"/>
              <w:ind w:firstLine="420" w:firstLineChars="200"/>
              <w:rPr>
                <w:bCs/>
                <w:szCs w:val="21"/>
              </w:rPr>
            </w:pPr>
            <w:r>
              <w:rPr>
                <w:bCs/>
                <w:szCs w:val="21"/>
              </w:rPr>
              <w:t>3、油罐的顶部覆土厚度不应小于0.5m。</w:t>
            </w:r>
          </w:p>
          <w:p>
            <w:pPr>
              <w:adjustRightInd w:val="0"/>
              <w:snapToGrid w:val="0"/>
              <w:spacing w:line="360" w:lineRule="auto"/>
              <w:ind w:firstLine="420" w:firstLineChars="200"/>
              <w:rPr>
                <w:bCs/>
                <w:szCs w:val="21"/>
              </w:rPr>
            </w:pPr>
            <w:r>
              <w:rPr>
                <w:bCs/>
                <w:szCs w:val="21"/>
              </w:rPr>
              <w:t>4、油罐的周围，应回填干净的沙子或细土，其厚度不应小于0.3m。及时清理受污染的土壤，受污染的弃土可交由有资质的部门处理。</w:t>
            </w:r>
          </w:p>
          <w:p>
            <w:pPr>
              <w:adjustRightInd w:val="0"/>
              <w:snapToGrid w:val="0"/>
              <w:spacing w:line="360" w:lineRule="auto"/>
              <w:ind w:firstLine="420" w:firstLineChars="200"/>
              <w:rPr>
                <w:bCs/>
                <w:szCs w:val="21"/>
              </w:rPr>
            </w:pPr>
            <w:r>
              <w:rPr>
                <w:bCs/>
                <w:szCs w:val="21"/>
              </w:rPr>
              <w:t>5、油罐的人孔，应设操作井。</w:t>
            </w:r>
          </w:p>
          <w:p>
            <w:pPr>
              <w:adjustRightInd w:val="0"/>
              <w:snapToGrid w:val="0"/>
              <w:spacing w:line="360" w:lineRule="auto"/>
              <w:ind w:firstLine="420" w:firstLineChars="200"/>
              <w:rPr>
                <w:bCs/>
                <w:szCs w:val="21"/>
              </w:rPr>
            </w:pPr>
            <w:r>
              <w:rPr>
                <w:bCs/>
                <w:szCs w:val="21"/>
              </w:rPr>
              <w:t>6、工程施工中为防止油罐渗漏对地下水的污染，在加油站规划中应考虑在储油罐周围设计检查孔或检查通道，为及时发现油罐渗漏提供条件。采用玻璃钢防腐技术对储油罐内外表面，储油罐外周检查通道、油罐区地面基础输油管线外表面做防腐防渗处理。在储油罐周围修建围堰，防止成品油意外事故渗漏时造成大面积的环境污染。</w:t>
            </w:r>
          </w:p>
          <w:p>
            <w:pPr>
              <w:adjustRightInd w:val="0"/>
              <w:snapToGrid w:val="0"/>
              <w:spacing w:line="360" w:lineRule="auto"/>
              <w:ind w:firstLine="420" w:firstLineChars="200"/>
              <w:rPr>
                <w:bCs/>
                <w:szCs w:val="21"/>
              </w:rPr>
            </w:pPr>
            <w:r>
              <w:rPr>
                <w:bCs/>
                <w:szCs w:val="21"/>
              </w:rPr>
              <w:t>一旦油品发生意外渗漏，造成地下水污染，可紧急采取以下措施：</w:t>
            </w:r>
          </w:p>
          <w:p>
            <w:pPr>
              <w:adjustRightInd w:val="0"/>
              <w:snapToGrid w:val="0"/>
              <w:spacing w:line="360" w:lineRule="auto"/>
              <w:ind w:firstLine="420" w:firstLineChars="200"/>
              <w:rPr>
                <w:bCs/>
                <w:szCs w:val="21"/>
              </w:rPr>
            </w:pPr>
            <w:r>
              <w:rPr>
                <w:bCs/>
                <w:szCs w:val="21"/>
              </w:rPr>
              <w:t>立即对储罐进行转移或对储罐内成品油转移，防止油品进一步渗漏；采取强排方式尽力抽取已污染的地下水，同时人工补给干净的水，使得受污染的地下水得到一定的稀释和净化；对已污染的区域做防渗墙或防渗帷幕进行堵塞或截流；利用现有技术手段，采用物理、化学和生物方法对已污染的地下水进行处理。</w:t>
            </w:r>
          </w:p>
          <w:p>
            <w:pPr>
              <w:adjustRightInd w:val="0"/>
              <w:snapToGrid w:val="0"/>
              <w:spacing w:line="360" w:lineRule="auto"/>
              <w:ind w:firstLine="420" w:firstLineChars="200"/>
              <w:rPr>
                <w:bCs/>
                <w:szCs w:val="21"/>
              </w:rPr>
            </w:pPr>
            <w:r>
              <w:rPr>
                <w:bCs/>
                <w:szCs w:val="21"/>
              </w:rPr>
              <w:t>7、油罐的外表面防腐设计应符合国家现行标准《钢质管道及储罐腐蚀控制工程设计规范》SY 0007 的有关规定，并应采用不低于加强级的防腐绝缘保护层。</w:t>
            </w:r>
          </w:p>
          <w:p>
            <w:pPr>
              <w:adjustRightInd w:val="0"/>
              <w:snapToGrid w:val="0"/>
              <w:spacing w:line="360" w:lineRule="auto"/>
              <w:ind w:firstLine="420" w:firstLineChars="200"/>
              <w:rPr>
                <w:bCs/>
                <w:szCs w:val="21"/>
              </w:rPr>
            </w:pPr>
            <w:r>
              <w:rPr>
                <w:bCs/>
                <w:szCs w:val="21"/>
              </w:rPr>
              <w:t>8、油罐车卸油必须采用密闭卸油方式。</w:t>
            </w:r>
          </w:p>
          <w:p>
            <w:pPr>
              <w:adjustRightInd w:val="0"/>
              <w:snapToGrid w:val="0"/>
              <w:spacing w:line="360" w:lineRule="auto"/>
              <w:ind w:firstLine="420" w:firstLineChars="200"/>
              <w:rPr>
                <w:bCs/>
                <w:szCs w:val="21"/>
              </w:rPr>
            </w:pPr>
            <w:r>
              <w:rPr>
                <w:bCs/>
                <w:szCs w:val="21"/>
              </w:rPr>
              <w:t>9、按照《汽车加油加气加氢站技术标准》（GB50156-2021）、《建筑设计防火规范》（GB50016-2006）及消防要求，加油站的地面必须建成防火地面，在易泄漏部位安装防火报警装置，并配备灭火器材。储罐应设置全启封闭式安全阀，且不应少于2 个，其中1 个应为备用。安全阀的设置由符合现行行业标准《固定式压力容器安全技术监察规程》（TSG R0004）的有关规定。安全阕与储罐之间应设切断阀，切断阀在正常操作时应处于铅封开启状态。</w:t>
            </w:r>
          </w:p>
          <w:p>
            <w:pPr>
              <w:adjustRightInd w:val="0"/>
              <w:snapToGrid w:val="0"/>
              <w:spacing w:line="360" w:lineRule="auto"/>
              <w:ind w:firstLine="420" w:firstLineChars="200"/>
              <w:rPr>
                <w:bCs/>
                <w:szCs w:val="21"/>
              </w:rPr>
            </w:pPr>
            <w:r>
              <w:rPr>
                <w:bCs/>
                <w:szCs w:val="21"/>
              </w:rPr>
              <w:t>10、防爆：加油站按甲类危险场所进行防爆设计，电气设备和仪表均选用防爆型，灯具也应选防爆灯具，加强管理，严禁区内有明火出现。</w:t>
            </w:r>
          </w:p>
          <w:p>
            <w:pPr>
              <w:adjustRightInd w:val="0"/>
              <w:snapToGrid w:val="0"/>
              <w:spacing w:line="360" w:lineRule="auto"/>
              <w:ind w:firstLine="420" w:firstLineChars="200"/>
              <w:rPr>
                <w:bCs/>
                <w:szCs w:val="21"/>
              </w:rPr>
            </w:pPr>
            <w:r>
              <w:rPr>
                <w:bCs/>
                <w:szCs w:val="21"/>
              </w:rPr>
              <w:t>11、防雷：项目应进行严格的防雷和防静电设计，以避雷带和避雷针相结合防范直击雷，在各级配电母线上设置感应雷避雷器来防范感应雷。</w:t>
            </w:r>
          </w:p>
          <w:p>
            <w:pPr>
              <w:adjustRightInd w:val="0"/>
              <w:snapToGrid w:val="0"/>
              <w:spacing w:line="360" w:lineRule="auto"/>
              <w:ind w:firstLine="420" w:firstLineChars="200"/>
              <w:rPr>
                <w:bCs/>
                <w:szCs w:val="21"/>
              </w:rPr>
            </w:pPr>
            <w:r>
              <w:rPr>
                <w:bCs/>
                <w:szCs w:val="21"/>
              </w:rPr>
              <w:t>12、加油站的埋地油罐应符合《钢制焊接常压容器》（JB/T4735）的有关规定要求；应设密闭式量油装置；应设带有高液位报警功能的液位计。</w:t>
            </w:r>
          </w:p>
          <w:p>
            <w:pPr>
              <w:adjustRightInd w:val="0"/>
              <w:snapToGrid w:val="0"/>
              <w:spacing w:line="360" w:lineRule="auto"/>
              <w:ind w:firstLine="420" w:firstLineChars="200"/>
              <w:rPr>
                <w:bCs/>
                <w:szCs w:val="21"/>
              </w:rPr>
            </w:pPr>
            <w:r>
              <w:rPr>
                <w:bCs/>
                <w:szCs w:val="21"/>
              </w:rPr>
              <w:t>13 、加油机不得设在室内， 宜采用自封式加油枪， 流量不应大于60L/min。</w:t>
            </w:r>
          </w:p>
          <w:p>
            <w:pPr>
              <w:adjustRightInd w:val="0"/>
              <w:snapToGrid w:val="0"/>
              <w:spacing w:line="360" w:lineRule="auto"/>
              <w:ind w:firstLine="420" w:firstLineChars="200"/>
              <w:rPr>
                <w:bCs/>
                <w:szCs w:val="21"/>
              </w:rPr>
            </w:pPr>
            <w:r>
              <w:rPr>
                <w:bCs/>
                <w:szCs w:val="21"/>
              </w:rPr>
              <w:t>14、加油站的固定工艺管道宜采用无缝钢管。埋地钢管的连接应采用焊接。在对钢管有严重腐蚀作用的土壤地段直埋管道时，可选用耐油、耐土壤腐蚀、导静电的复合管材；应埋地敷设，且不得穿过站房等建、构筑物。当油品管道与管沟、电线沟和排水沟相交叉时，应采取相应的防渗漏措施。</w:t>
            </w:r>
          </w:p>
          <w:p>
            <w:pPr>
              <w:adjustRightInd w:val="0"/>
              <w:snapToGrid w:val="0"/>
              <w:spacing w:line="360" w:lineRule="auto"/>
              <w:ind w:firstLine="420" w:firstLineChars="200"/>
              <w:rPr>
                <w:bCs/>
                <w:szCs w:val="21"/>
              </w:rPr>
            </w:pPr>
            <w:r>
              <w:rPr>
                <w:bCs/>
                <w:szCs w:val="21"/>
              </w:rPr>
              <w:t>15、油罐通气管的设置，尚应符合下列规定：</w:t>
            </w:r>
          </w:p>
          <w:p>
            <w:pPr>
              <w:adjustRightInd w:val="0"/>
              <w:snapToGrid w:val="0"/>
              <w:spacing w:line="360" w:lineRule="auto"/>
              <w:ind w:firstLine="420" w:firstLineChars="200"/>
              <w:rPr>
                <w:bCs/>
                <w:szCs w:val="21"/>
              </w:rPr>
            </w:pPr>
            <w:r>
              <w:rPr>
                <w:bCs/>
                <w:szCs w:val="21"/>
              </w:rPr>
              <w:t>管口应高出地面 4m 及以上。沿建筑物的墙（柱）向上敷设的通气管管口，应高出建筑物的顶面1.5m及以上。 当采用卸油油气回收系统时，通气管管口与围墙的距离可适当减少，但不得小于2m。通气管管口应安装阻火器。</w:t>
            </w:r>
          </w:p>
          <w:p>
            <w:pPr>
              <w:adjustRightInd w:val="0"/>
              <w:snapToGrid w:val="0"/>
              <w:spacing w:line="360" w:lineRule="auto"/>
              <w:ind w:firstLine="420" w:firstLineChars="200"/>
              <w:rPr>
                <w:bCs/>
                <w:szCs w:val="21"/>
              </w:rPr>
            </w:pPr>
            <w:r>
              <w:rPr>
                <w:bCs/>
                <w:szCs w:val="21"/>
              </w:rPr>
              <w:t>16、站内应设环站沟，三级隔油沉淀池（事故应急池，容积约15m</w:t>
            </w:r>
            <w:r>
              <w:rPr>
                <w:bCs/>
                <w:szCs w:val="21"/>
                <w:vertAlign w:val="superscript"/>
              </w:rPr>
              <w:t>3）</w:t>
            </w:r>
            <w:r>
              <w:rPr>
                <w:bCs/>
                <w:szCs w:val="21"/>
              </w:rPr>
              <w:t>，泄漏的油品可回收。</w:t>
            </w:r>
          </w:p>
          <w:p>
            <w:pPr>
              <w:adjustRightInd w:val="0"/>
              <w:snapToGrid w:val="0"/>
              <w:spacing w:line="360" w:lineRule="auto"/>
              <w:ind w:firstLine="420" w:firstLineChars="200"/>
              <w:rPr>
                <w:bCs/>
                <w:szCs w:val="21"/>
              </w:rPr>
            </w:pPr>
            <w:r>
              <w:rPr>
                <w:bCs/>
                <w:szCs w:val="21"/>
              </w:rPr>
              <w:t>17、为了从根本上保证公路运输过程中油品的运输安全，严格按照《危险化学品安全管理条例》规定，运输时必须遵照《汽车危险货物运输规则》（JT3130-88）执行。</w:t>
            </w:r>
          </w:p>
          <w:p>
            <w:pPr>
              <w:adjustRightInd w:val="0"/>
              <w:snapToGrid w:val="0"/>
              <w:spacing w:line="360" w:lineRule="auto"/>
              <w:ind w:firstLine="420" w:firstLineChars="200"/>
              <w:rPr>
                <w:bCs/>
                <w:szCs w:val="21"/>
              </w:rPr>
            </w:pPr>
            <w:r>
              <w:rPr>
                <w:bCs/>
                <w:szCs w:val="21"/>
              </w:rPr>
              <w:t>18、加强管理，控制消除引燃能源。加油站内禁止明火，需动火作业时必须得到站长或安全负责人的批准，并采取必要的安全防范措施后才能进行；站内禁止吸烟，禁止使用打火机等。加油站内禁止使用易产生火花的工具和易产生火花的作业，如抛掷或拖拉金属器件、使用非防爆的工具等。加油站内的电气设备应根据不同的危险区域采用防爆型、增安型设备；禁止使用手机、传呼等非防爆的移动通讯工具；定期检查、检测电气设备，防止短路、漏电等情况的发生。</w:t>
            </w:r>
          </w:p>
          <w:p>
            <w:pPr>
              <w:adjustRightInd w:val="0"/>
              <w:snapToGrid w:val="0"/>
              <w:spacing w:line="360" w:lineRule="auto"/>
              <w:ind w:firstLine="420" w:firstLineChars="200"/>
              <w:rPr>
                <w:bCs/>
                <w:szCs w:val="21"/>
              </w:rPr>
            </w:pPr>
            <w:r>
              <w:rPr>
                <w:bCs/>
                <w:szCs w:val="21"/>
              </w:rPr>
              <w:t>19、采取安全标志对策措施：在醒目与安全有关的地方应设立“禁止烟火”、“禁止吸烟” 、“当心火灾”、“火警电话”、“禁用手机”等安全标志。除临时安全标志外，不得将安全标志设在可移动的物体上。站区内外设置标有危险等级和注意事项的警示牌，标示储存物质的特性，发生火灾、爆炸泄漏等事故时的应对措施等。加油区、控制室内张贴《安全操作规程》、《注意事项》等规程。</w:t>
            </w:r>
          </w:p>
          <w:p>
            <w:pPr>
              <w:adjustRightInd w:val="0"/>
              <w:snapToGrid w:val="0"/>
              <w:spacing w:line="360" w:lineRule="auto"/>
              <w:ind w:firstLine="420" w:firstLineChars="200"/>
              <w:rPr>
                <w:bCs/>
                <w:szCs w:val="21"/>
              </w:rPr>
            </w:pPr>
            <w:r>
              <w:rPr>
                <w:bCs/>
                <w:szCs w:val="21"/>
              </w:rPr>
              <w:t>（3）充电区采用合规的充电桩及配套设施，并完善消防设施</w:t>
            </w:r>
          </w:p>
          <w:p>
            <w:pPr>
              <w:adjustRightInd w:val="0"/>
              <w:snapToGrid w:val="0"/>
              <w:spacing w:line="360" w:lineRule="auto"/>
              <w:ind w:firstLine="420" w:firstLineChars="200"/>
              <w:rPr>
                <w:bCs/>
                <w:szCs w:val="21"/>
              </w:rPr>
            </w:pPr>
            <w:r>
              <w:rPr>
                <w:bCs/>
                <w:szCs w:val="21"/>
              </w:rPr>
              <w:t>1、室外充电桩需采取一定的防雨、防晒、防尘措施，以免设备露天损坏、老化。</w:t>
            </w:r>
          </w:p>
          <w:p>
            <w:pPr>
              <w:adjustRightInd w:val="0"/>
              <w:snapToGrid w:val="0"/>
              <w:spacing w:line="360" w:lineRule="auto"/>
              <w:ind w:firstLine="420" w:firstLineChars="200"/>
              <w:rPr>
                <w:bCs/>
                <w:szCs w:val="21"/>
              </w:rPr>
            </w:pPr>
            <w:r>
              <w:rPr>
                <w:bCs/>
                <w:szCs w:val="21"/>
              </w:rPr>
              <w:t>2、充电桩需设有供电监控系统，可对充电桩供电系统开关状态、保护信号、电压、电流、有功功率、无功功率、功率因数和电能计量信息进行实时在线监控，以此保证充电设备的正常运行，使得充电系统电路故障可被及时发现。</w:t>
            </w:r>
          </w:p>
          <w:p>
            <w:pPr>
              <w:adjustRightInd w:val="0"/>
              <w:snapToGrid w:val="0"/>
              <w:spacing w:line="360" w:lineRule="auto"/>
              <w:ind w:firstLine="420" w:firstLineChars="200"/>
              <w:rPr>
                <w:bCs/>
                <w:szCs w:val="21"/>
              </w:rPr>
            </w:pPr>
            <w:r>
              <w:rPr>
                <w:bCs/>
                <w:szCs w:val="21"/>
              </w:rPr>
              <w:t>3、充电桩配备的供电监控系统应能够控制系统负荷开关或断路器的分合。</w:t>
            </w:r>
          </w:p>
          <w:p>
            <w:pPr>
              <w:adjustRightInd w:val="0"/>
              <w:snapToGrid w:val="0"/>
              <w:spacing w:line="360" w:lineRule="auto"/>
              <w:ind w:firstLine="420" w:firstLineChars="200"/>
              <w:rPr>
                <w:bCs/>
                <w:szCs w:val="21"/>
              </w:rPr>
            </w:pPr>
            <w:r>
              <w:rPr>
                <w:bCs/>
                <w:szCs w:val="21"/>
              </w:rPr>
              <w:t>4、项目采用的充电桩需符合《电动汽车充电站设计规范》（GB50966-2014）中相关要求，需具备急停开关，在充电过程中可使用该装置紧急切断输出电源，具备过负荷保护、短路保护和漏电保护功能，具备自检及故障报警功能，在充电过程中，当充电连接异常时，交流充电桩应立即自动切断电源。</w:t>
            </w:r>
          </w:p>
          <w:p>
            <w:pPr>
              <w:adjustRightInd w:val="0"/>
              <w:snapToGrid w:val="0"/>
              <w:spacing w:line="360" w:lineRule="auto"/>
              <w:ind w:firstLine="420" w:firstLineChars="200"/>
              <w:rPr>
                <w:bCs/>
                <w:szCs w:val="21"/>
              </w:rPr>
            </w:pPr>
            <w:r>
              <w:rPr>
                <w:bCs/>
                <w:szCs w:val="21"/>
              </w:rPr>
              <w:t>5、充电桩的安装和布置需符合《电动汽车充电站设计规范》（GB50966-2014）中相关要求，电源进线宜采用阻燃电缆及电缆护管，并应安装具有漏电保护功能的空气开关，保护接地端子应可靠接地。</w:t>
            </w:r>
          </w:p>
          <w:p>
            <w:pPr>
              <w:adjustRightInd w:val="0"/>
              <w:snapToGrid w:val="0"/>
              <w:spacing w:line="360" w:lineRule="auto"/>
              <w:ind w:firstLine="420" w:firstLineChars="200"/>
              <w:rPr>
                <w:bCs/>
                <w:szCs w:val="21"/>
              </w:rPr>
            </w:pPr>
            <w:r>
              <w:rPr>
                <w:bCs/>
                <w:szCs w:val="21"/>
              </w:rPr>
              <w:t>6、室外充电区灭火器的配置应符合下列要求：</w:t>
            </w:r>
            <w:r>
              <w:rPr>
                <w:rFonts w:hint="eastAsia" w:ascii="宋体" w:hAnsi="宋体" w:cs="宋体"/>
                <w:bCs/>
                <w:szCs w:val="21"/>
              </w:rPr>
              <w:t>①</w:t>
            </w:r>
            <w:r>
              <w:rPr>
                <w:bCs/>
                <w:szCs w:val="21"/>
              </w:rPr>
              <w:t>不考虑插电式混合动力汽车进入时，充电站应按轻危险级配置灭火器。</w:t>
            </w:r>
            <w:r>
              <w:rPr>
                <w:rFonts w:hint="eastAsia" w:ascii="宋体" w:hAnsi="宋体" w:cs="宋体"/>
                <w:bCs/>
                <w:szCs w:val="21"/>
              </w:rPr>
              <w:t>②</w:t>
            </w:r>
            <w:r>
              <w:rPr>
                <w:bCs/>
                <w:szCs w:val="21"/>
              </w:rPr>
              <w:t>考虑插电式混合动力汽车进入时，充电站应按严重危险级配置灭火器。</w:t>
            </w:r>
          </w:p>
          <w:p>
            <w:pPr>
              <w:adjustRightInd w:val="0"/>
              <w:snapToGrid w:val="0"/>
              <w:spacing w:line="360" w:lineRule="auto"/>
              <w:ind w:firstLine="420" w:firstLineChars="200"/>
              <w:rPr>
                <w:bCs/>
                <w:szCs w:val="21"/>
              </w:rPr>
            </w:pPr>
            <w:r>
              <w:rPr>
                <w:bCs/>
                <w:szCs w:val="21"/>
              </w:rPr>
              <w:t>7、项目充电区应设置有专门的安防监控系统与站房相连接。</w:t>
            </w:r>
          </w:p>
          <w:p>
            <w:pPr>
              <w:adjustRightInd w:val="0"/>
              <w:snapToGrid w:val="0"/>
              <w:spacing w:line="360" w:lineRule="auto"/>
              <w:ind w:firstLine="420" w:firstLineChars="200"/>
              <w:rPr>
                <w:bCs/>
                <w:szCs w:val="21"/>
              </w:rPr>
            </w:pPr>
            <w:r>
              <w:rPr>
                <w:bCs/>
                <w:szCs w:val="21"/>
              </w:rPr>
              <w:t>（4）风险应急预案</w:t>
            </w:r>
          </w:p>
          <w:p>
            <w:pPr>
              <w:adjustRightInd w:val="0"/>
              <w:snapToGrid w:val="0"/>
              <w:spacing w:line="360" w:lineRule="auto"/>
              <w:ind w:firstLine="420" w:firstLineChars="200"/>
              <w:rPr>
                <w:bCs/>
                <w:szCs w:val="21"/>
              </w:rPr>
            </w:pPr>
            <w:r>
              <w:rPr>
                <w:bCs/>
                <w:szCs w:val="21"/>
              </w:rPr>
              <w:t>根据《企业事业单位突发环境事件应急预案备案管理办法(试行）》（环发[2015]4 号），本项目应制定合理、可靠的环境风险应急预案。</w:t>
            </w:r>
          </w:p>
          <w:p>
            <w:pPr>
              <w:adjustRightInd w:val="0"/>
              <w:snapToGrid w:val="0"/>
              <w:spacing w:line="360" w:lineRule="auto"/>
              <w:ind w:firstLine="420" w:firstLineChars="200"/>
              <w:rPr>
                <w:bCs/>
                <w:szCs w:val="21"/>
              </w:rPr>
            </w:pPr>
            <w:r>
              <w:rPr>
                <w:bCs/>
                <w:szCs w:val="21"/>
              </w:rPr>
              <w:t>1、应急计划区</w:t>
            </w:r>
          </w:p>
          <w:p>
            <w:pPr>
              <w:adjustRightInd w:val="0"/>
              <w:snapToGrid w:val="0"/>
              <w:spacing w:line="360" w:lineRule="auto"/>
              <w:ind w:firstLine="420" w:firstLineChars="200"/>
              <w:rPr>
                <w:bCs/>
                <w:szCs w:val="21"/>
              </w:rPr>
            </w:pPr>
            <w:r>
              <w:rPr>
                <w:bCs/>
                <w:szCs w:val="21"/>
              </w:rPr>
              <w:t>项目的危险目标主要为油罐区；主要环境保护目标为周边的村庄、居住区等。</w:t>
            </w:r>
          </w:p>
          <w:p>
            <w:pPr>
              <w:adjustRightInd w:val="0"/>
              <w:snapToGrid w:val="0"/>
              <w:spacing w:line="360" w:lineRule="auto"/>
              <w:ind w:firstLine="420" w:firstLineChars="200"/>
              <w:rPr>
                <w:bCs/>
                <w:szCs w:val="21"/>
              </w:rPr>
            </w:pPr>
            <w:r>
              <w:rPr>
                <w:bCs/>
                <w:szCs w:val="21"/>
              </w:rPr>
              <w:t>2、应急系统人员组成及职责</w:t>
            </w:r>
          </w:p>
          <w:p>
            <w:pPr>
              <w:adjustRightInd w:val="0"/>
              <w:snapToGrid w:val="0"/>
              <w:spacing w:line="360" w:lineRule="auto"/>
              <w:ind w:firstLine="420" w:firstLineChars="200"/>
              <w:rPr>
                <w:bCs/>
                <w:szCs w:val="21"/>
              </w:rPr>
            </w:pPr>
            <w:r>
              <w:rPr>
                <w:bCs/>
                <w:szCs w:val="21"/>
              </w:rPr>
              <w:t>1）人员组成</w:t>
            </w:r>
          </w:p>
          <w:p>
            <w:pPr>
              <w:adjustRightInd w:val="0"/>
              <w:snapToGrid w:val="0"/>
              <w:spacing w:line="360" w:lineRule="auto"/>
              <w:ind w:firstLine="420" w:firstLineChars="200"/>
              <w:rPr>
                <w:bCs/>
                <w:szCs w:val="21"/>
              </w:rPr>
            </w:pPr>
            <w:r>
              <w:rPr>
                <w:bCs/>
                <w:szCs w:val="21"/>
              </w:rPr>
              <w:t>当加油（充电）站发生各类事故时，加油（充电）站成立事故应急指挥部，组长为站长，现场指挥为值班班长，成员为各班组成员。</w:t>
            </w:r>
          </w:p>
          <w:p>
            <w:pPr>
              <w:adjustRightInd w:val="0"/>
              <w:snapToGrid w:val="0"/>
              <w:spacing w:line="360" w:lineRule="auto"/>
              <w:ind w:firstLine="420" w:firstLineChars="200"/>
              <w:rPr>
                <w:bCs/>
                <w:szCs w:val="21"/>
              </w:rPr>
            </w:pPr>
            <w:r>
              <w:rPr>
                <w:bCs/>
                <w:szCs w:val="21"/>
              </w:rPr>
              <w:t>2）主要职责</w:t>
            </w:r>
          </w:p>
          <w:p>
            <w:pPr>
              <w:adjustRightInd w:val="0"/>
              <w:snapToGrid w:val="0"/>
              <w:spacing w:line="360" w:lineRule="auto"/>
              <w:ind w:firstLine="420" w:firstLineChars="200"/>
              <w:rPr>
                <w:bCs/>
                <w:szCs w:val="21"/>
              </w:rPr>
            </w:pPr>
            <w:r>
              <w:rPr>
                <w:bCs/>
                <w:szCs w:val="21"/>
              </w:rPr>
              <w:t>组长职责：制定本部门环保应急预案，定期组织各岗位员工进行环保预案演练，发生环保事故时向本公司领导报告，并组织有限力量进行抢救、对外来人员及车辆进行疏散。根据灾情向有关部门报警（消防 119、救护 120、治安 110、交通事故 122），并向上级主管部门报告。对发生环保事故周边危险距离内的易燃、易爆物品进行及时疏散及清理，最大限度的减少对周边环境的污染和破坏；并对事故现场进行警戒，对无关人员及车辆进行疏散，对负伤人员及时送就近医院抢救。</w:t>
            </w:r>
          </w:p>
          <w:p>
            <w:pPr>
              <w:adjustRightInd w:val="0"/>
              <w:snapToGrid w:val="0"/>
              <w:spacing w:line="360" w:lineRule="auto"/>
              <w:ind w:firstLine="420" w:firstLineChars="200"/>
              <w:rPr>
                <w:bCs/>
                <w:szCs w:val="21"/>
              </w:rPr>
            </w:pPr>
            <w:r>
              <w:rPr>
                <w:bCs/>
                <w:szCs w:val="21"/>
              </w:rPr>
              <w:t>值班班长、成员职责：积极参加公司及站内组织的环保应急预案演练，掌握各自在应急预案中的职责，分别承担抢险、消防、警戒、疏散及救护等工作。根据灾情向有关部门报警（消防 119、救护 120、治安 110、交通事故 122），并向站长或上级主管部门报告。</w:t>
            </w:r>
          </w:p>
          <w:p>
            <w:pPr>
              <w:adjustRightInd w:val="0"/>
              <w:snapToGrid w:val="0"/>
              <w:spacing w:line="360" w:lineRule="auto"/>
              <w:ind w:firstLine="420" w:firstLineChars="200"/>
              <w:rPr>
                <w:bCs/>
                <w:szCs w:val="21"/>
              </w:rPr>
            </w:pPr>
            <w:r>
              <w:rPr>
                <w:bCs/>
                <w:szCs w:val="21"/>
              </w:rPr>
              <w:t>3）报警及通讯联络方式</w:t>
            </w:r>
          </w:p>
          <w:p>
            <w:pPr>
              <w:adjustRightInd w:val="0"/>
              <w:snapToGrid w:val="0"/>
              <w:spacing w:line="360" w:lineRule="auto"/>
              <w:ind w:firstLine="420" w:firstLineChars="200"/>
              <w:rPr>
                <w:bCs/>
                <w:szCs w:val="21"/>
              </w:rPr>
            </w:pPr>
            <w:r>
              <w:rPr>
                <w:bCs/>
                <w:szCs w:val="21"/>
              </w:rPr>
              <w:t>火警电话：119；急救电话：120；治安电话：110；交通事故报警电话：122。站内值班、报警电话，必须 24 小时保持完好，有人接听。</w:t>
            </w:r>
          </w:p>
          <w:p>
            <w:pPr>
              <w:adjustRightInd w:val="0"/>
              <w:snapToGrid w:val="0"/>
              <w:spacing w:line="360" w:lineRule="auto"/>
              <w:ind w:firstLine="420" w:firstLineChars="200"/>
              <w:rPr>
                <w:bCs/>
                <w:szCs w:val="21"/>
              </w:rPr>
            </w:pPr>
            <w:r>
              <w:rPr>
                <w:bCs/>
                <w:szCs w:val="21"/>
              </w:rPr>
              <w:t>3、应急程序</w:t>
            </w:r>
          </w:p>
          <w:p>
            <w:pPr>
              <w:adjustRightInd w:val="0"/>
              <w:snapToGrid w:val="0"/>
              <w:spacing w:line="360" w:lineRule="auto"/>
              <w:ind w:firstLine="420" w:firstLineChars="200"/>
              <w:rPr>
                <w:bCs/>
                <w:szCs w:val="21"/>
              </w:rPr>
            </w:pPr>
            <w:r>
              <w:rPr>
                <w:bCs/>
                <w:szCs w:val="21"/>
              </w:rPr>
              <w:t>当发生事故后，由加油（充电）站站长或在场最高管理者启动应急预案。同时立即向站长、公司领导及有关部门报告，并根据事故性质、严重程度向 119、120 报警，向联防单位求援。报警时应说明出事地点、火灾情况、联系电话等。</w:t>
            </w:r>
          </w:p>
          <w:p>
            <w:pPr>
              <w:adjustRightInd w:val="0"/>
              <w:snapToGrid w:val="0"/>
              <w:spacing w:line="360" w:lineRule="auto"/>
              <w:ind w:firstLine="420" w:firstLineChars="200"/>
              <w:rPr>
                <w:bCs/>
                <w:szCs w:val="21"/>
              </w:rPr>
            </w:pPr>
            <w:r>
              <w:rPr>
                <w:bCs/>
                <w:szCs w:val="21"/>
              </w:rPr>
              <w:t>在发生事故后，立即停止加油、充电，切断加油机或充电桩电源，指挥车辆及无关人员迅速离开油站、充电站，封闭进出口；疏散员工在安全地带观察；终止加油（充电）站内一切生产作业活动，关闭所有油品输送闸阀；处理现场易燃易爆物品，防止次生事故发生。</w:t>
            </w:r>
          </w:p>
          <w:p>
            <w:pPr>
              <w:adjustRightInd w:val="0"/>
              <w:snapToGrid w:val="0"/>
              <w:spacing w:line="360" w:lineRule="auto"/>
              <w:ind w:firstLine="420" w:firstLineChars="200"/>
              <w:rPr>
                <w:bCs/>
                <w:szCs w:val="21"/>
              </w:rPr>
            </w:pPr>
            <w:r>
              <w:rPr>
                <w:bCs/>
                <w:szCs w:val="21"/>
              </w:rPr>
              <w:t>由组长指挥现场车辆及无关人员迅速撤离，并对场所、设施及周围情况进行监控、分析，决定是否下达现场人员紧急撤离命令。</w:t>
            </w:r>
          </w:p>
          <w:p>
            <w:pPr>
              <w:adjustRightInd w:val="0"/>
              <w:snapToGrid w:val="0"/>
              <w:spacing w:line="360" w:lineRule="auto"/>
              <w:ind w:firstLine="420" w:firstLineChars="200"/>
              <w:rPr>
                <w:bCs/>
                <w:szCs w:val="21"/>
              </w:rPr>
            </w:pPr>
            <w:r>
              <w:rPr>
                <w:bCs/>
                <w:szCs w:val="21"/>
              </w:rPr>
              <w:t>发生事故后，应对现场周围实行警戒，指定员工在路口引导救援队伍入站，确保消防道路畅通，配合做好外围的警戒和疏导工作，禁止无关人员及车辆进入警戒区域。</w:t>
            </w:r>
          </w:p>
          <w:p>
            <w:pPr>
              <w:adjustRightInd w:val="0"/>
              <w:snapToGrid w:val="0"/>
              <w:spacing w:line="360" w:lineRule="auto"/>
              <w:ind w:firstLine="420" w:firstLineChars="200"/>
              <w:rPr>
                <w:bCs/>
                <w:szCs w:val="21"/>
              </w:rPr>
            </w:pPr>
            <w:r>
              <w:rPr>
                <w:bCs/>
                <w:szCs w:val="21"/>
              </w:rPr>
              <w:t>如事故影响较大，本单位抢险抢救力量不足或有可能危及社会安全时，则由指挥领导小组向安监局和生态环境局报警，接到报警后，按规定启动应急预案。</w:t>
            </w:r>
          </w:p>
          <w:p>
            <w:pPr>
              <w:adjustRightInd w:val="0"/>
              <w:snapToGrid w:val="0"/>
              <w:spacing w:line="360" w:lineRule="auto"/>
              <w:ind w:firstLine="420" w:firstLineChars="200"/>
              <w:rPr>
                <w:bCs/>
                <w:szCs w:val="21"/>
              </w:rPr>
            </w:pPr>
            <w:r>
              <w:rPr>
                <w:bCs/>
                <w:szCs w:val="21"/>
              </w:rPr>
              <w:t>企业所使用的化学品等在运输过程中发生灾害事故时，应按就近救援的原则，先由运输人员自救，同时请示事故所在地的社会救援部门组织救援，并同时向单位报告，由企业应急组织进一步协调处理。</w:t>
            </w:r>
          </w:p>
          <w:p>
            <w:pPr>
              <w:adjustRightInd w:val="0"/>
              <w:snapToGrid w:val="0"/>
              <w:spacing w:line="360" w:lineRule="auto"/>
              <w:ind w:firstLine="420" w:firstLineChars="200"/>
              <w:rPr>
                <w:bCs/>
                <w:szCs w:val="21"/>
              </w:rPr>
            </w:pPr>
            <w:r>
              <w:rPr>
                <w:bCs/>
                <w:szCs w:val="21"/>
              </w:rPr>
              <w:t>4、预防与预警</w:t>
            </w:r>
          </w:p>
          <w:p>
            <w:pPr>
              <w:adjustRightInd w:val="0"/>
              <w:snapToGrid w:val="0"/>
              <w:spacing w:line="360" w:lineRule="auto"/>
              <w:ind w:firstLine="420" w:firstLineChars="200"/>
              <w:rPr>
                <w:bCs/>
                <w:szCs w:val="21"/>
              </w:rPr>
            </w:pPr>
            <w:r>
              <w:rPr>
                <w:bCs/>
                <w:szCs w:val="21"/>
              </w:rPr>
              <w:t>1）对危险源的安全管理</w:t>
            </w:r>
          </w:p>
          <w:p>
            <w:pPr>
              <w:adjustRightInd w:val="0"/>
              <w:snapToGrid w:val="0"/>
              <w:spacing w:line="360" w:lineRule="auto"/>
              <w:ind w:firstLine="420" w:firstLineChars="200"/>
              <w:rPr>
                <w:bCs/>
                <w:szCs w:val="21"/>
              </w:rPr>
            </w:pPr>
            <w:r>
              <w:rPr>
                <w:bCs/>
                <w:szCs w:val="21"/>
              </w:rPr>
              <w:t>加油站汽油的储存虽然没有构成重大危险源，但仍存在发生火灾爆炸的风险。加油站制定了日常安全检查制度，站长对加油站各设施设备进行不定时地安全检查，专职安全员每工作日进行安全巡查，各班组兼职安全员每班进行巡查。各级人员检查如发现问题，及时向站长汇报，积极采取措施进行整改。同时，加油站对所有员工进行经常性的安全培训，以提高员工的安全经营的基础知识和安全意识。加油站严格按规范要求，配备了灭火器等消防器材，并由安全员管理。加油站在不同岗位，设置了醒目的安全警示标志，并由员工随时提醒来加油的司机朋友注意安全行驶，杜绝烟火。</w:t>
            </w:r>
          </w:p>
          <w:p>
            <w:pPr>
              <w:adjustRightInd w:val="0"/>
              <w:snapToGrid w:val="0"/>
              <w:spacing w:line="360" w:lineRule="auto"/>
              <w:ind w:firstLine="420" w:firstLineChars="200"/>
              <w:rPr>
                <w:bCs/>
                <w:szCs w:val="21"/>
              </w:rPr>
            </w:pPr>
            <w:r>
              <w:rPr>
                <w:bCs/>
                <w:szCs w:val="21"/>
              </w:rPr>
              <w:t>2）预警行动</w:t>
            </w:r>
          </w:p>
          <w:p>
            <w:pPr>
              <w:adjustRightInd w:val="0"/>
              <w:snapToGrid w:val="0"/>
              <w:spacing w:line="360" w:lineRule="auto"/>
              <w:ind w:firstLine="420" w:firstLineChars="200"/>
              <w:rPr>
                <w:bCs/>
                <w:szCs w:val="21"/>
              </w:rPr>
            </w:pPr>
            <w:r>
              <w:rPr>
                <w:bCs/>
                <w:szCs w:val="21"/>
              </w:rPr>
              <w:t>当供电监控系统发现充电桩处于非正常工作状况时，应及时向站长和安全员报告，需及时切断故障充电桩电源，并对其进行检修与故障排查。当加油工或其他人员发现汽油等泄漏时或有大量油气挥发时，应及时向站长和安全员报告，站长立即带领安全员携带防爆工具对相关设备设施进行检查，并通知在岗人员要立即做好应急准备。</w:t>
            </w:r>
          </w:p>
          <w:p>
            <w:pPr>
              <w:adjustRightInd w:val="0"/>
              <w:snapToGrid w:val="0"/>
              <w:spacing w:line="360" w:lineRule="auto"/>
              <w:ind w:firstLine="420" w:firstLineChars="200"/>
              <w:rPr>
                <w:bCs/>
                <w:szCs w:val="21"/>
              </w:rPr>
            </w:pPr>
            <w:r>
              <w:rPr>
                <w:bCs/>
                <w:szCs w:val="21"/>
              </w:rPr>
              <w:t>3）信息报告与处置</w:t>
            </w:r>
          </w:p>
          <w:p>
            <w:pPr>
              <w:adjustRightInd w:val="0"/>
              <w:snapToGrid w:val="0"/>
              <w:spacing w:line="360" w:lineRule="auto"/>
              <w:ind w:firstLine="420" w:firstLineChars="200"/>
              <w:rPr>
                <w:bCs/>
                <w:szCs w:val="21"/>
              </w:rPr>
            </w:pPr>
            <w:r>
              <w:rPr>
                <w:bCs/>
                <w:szCs w:val="21"/>
              </w:rPr>
              <w:t>a.信息报告与通知</w:t>
            </w:r>
          </w:p>
          <w:p>
            <w:pPr>
              <w:adjustRightInd w:val="0"/>
              <w:snapToGrid w:val="0"/>
              <w:spacing w:line="360" w:lineRule="auto"/>
              <w:ind w:firstLine="420" w:firstLineChars="200"/>
              <w:rPr>
                <w:bCs/>
                <w:szCs w:val="21"/>
              </w:rPr>
            </w:pPr>
            <w:r>
              <w:rPr>
                <w:bCs/>
                <w:szCs w:val="21"/>
              </w:rPr>
              <w:t>站内：事故发现的第一人应立即大声呼喊，以通知当时在岗的所有加油站员工。如站长或安全员处于事故现场较远位置或不在站内，要及时拨打其手机，报告事故情况。</w:t>
            </w:r>
          </w:p>
          <w:p>
            <w:pPr>
              <w:adjustRightInd w:val="0"/>
              <w:snapToGrid w:val="0"/>
              <w:spacing w:line="360" w:lineRule="auto"/>
              <w:ind w:firstLine="420" w:firstLineChars="200"/>
              <w:rPr>
                <w:bCs/>
                <w:szCs w:val="21"/>
              </w:rPr>
            </w:pPr>
            <w:r>
              <w:rPr>
                <w:bCs/>
                <w:szCs w:val="21"/>
              </w:rPr>
              <w:t>求助：如事故靠加油站自身力量得不到控制时，由后勤保障组向消防支队、急救中心等社会救援力量报警求助，报警求助内容要简要、清晰，应包括：企业名称、企业详细地理位置、发生的事故类型(火灾爆炸、油品泄漏等)、事故可能涉及到的危险物质及数量、人员伤亡情况等。</w:t>
            </w:r>
          </w:p>
          <w:p>
            <w:pPr>
              <w:adjustRightInd w:val="0"/>
              <w:snapToGrid w:val="0"/>
              <w:spacing w:line="360" w:lineRule="auto"/>
              <w:ind w:firstLine="420" w:firstLineChars="200"/>
              <w:rPr>
                <w:bCs/>
                <w:szCs w:val="21"/>
              </w:rPr>
            </w:pPr>
            <w:r>
              <w:rPr>
                <w:bCs/>
                <w:szCs w:val="21"/>
              </w:rPr>
              <w:t>b.信息上报</w:t>
            </w:r>
          </w:p>
          <w:p>
            <w:pPr>
              <w:adjustRightInd w:val="0"/>
              <w:snapToGrid w:val="0"/>
              <w:spacing w:line="360" w:lineRule="auto"/>
              <w:ind w:firstLine="420" w:firstLineChars="200"/>
              <w:rPr>
                <w:bCs/>
                <w:szCs w:val="21"/>
              </w:rPr>
            </w:pPr>
            <w:r>
              <w:rPr>
                <w:bCs/>
                <w:szCs w:val="21"/>
              </w:rPr>
              <w:t>事故发生后，由站长及时向地方政府和安全生产监督管理局、生态环境局等单位报告事故情况，报告采用书面形式，传真报送。情况紧急时，可先电话报告，随后补报书面报告。事故报告时间：事故发生 1 小时内。事故报告内容：事故发生单位概况；事故发生的时间、地点以及事故现场情况；事故的简要经过；事故已经造成或者可能造成的伤亡人数(包括下落不明的人数)和初步估计的直接经济损失；已经采取的措施；其他应当报告的情况。事故报告后出现新情况的，应当及时补报。</w:t>
            </w:r>
          </w:p>
          <w:p>
            <w:pPr>
              <w:adjustRightInd w:val="0"/>
              <w:snapToGrid w:val="0"/>
              <w:spacing w:line="360" w:lineRule="auto"/>
              <w:ind w:firstLine="420" w:firstLineChars="200"/>
              <w:rPr>
                <w:bCs/>
                <w:szCs w:val="21"/>
              </w:rPr>
            </w:pPr>
            <w:r>
              <w:rPr>
                <w:bCs/>
                <w:szCs w:val="21"/>
              </w:rPr>
              <w:t>c.信息传递：事故发生后，由后勤保障组及时向总部及周边其他单位进行事故通报，以便其采取相应的应急处置措施。</w:t>
            </w:r>
          </w:p>
          <w:p>
            <w:pPr>
              <w:adjustRightInd w:val="0"/>
              <w:snapToGrid w:val="0"/>
              <w:spacing w:line="360" w:lineRule="auto"/>
              <w:ind w:firstLine="420" w:firstLineChars="200"/>
              <w:rPr>
                <w:bCs/>
                <w:szCs w:val="21"/>
              </w:rPr>
            </w:pPr>
            <w:r>
              <w:rPr>
                <w:bCs/>
                <w:szCs w:val="21"/>
              </w:rPr>
              <w:t>5、应急响应</w:t>
            </w:r>
          </w:p>
          <w:p>
            <w:pPr>
              <w:adjustRightInd w:val="0"/>
              <w:snapToGrid w:val="0"/>
              <w:spacing w:line="360" w:lineRule="auto"/>
              <w:ind w:firstLine="420" w:firstLineChars="200"/>
              <w:rPr>
                <w:bCs/>
                <w:szCs w:val="21"/>
              </w:rPr>
            </w:pPr>
            <w:r>
              <w:rPr>
                <w:bCs/>
                <w:szCs w:val="21"/>
              </w:rPr>
              <w:t>1）响应分级</w:t>
            </w:r>
          </w:p>
          <w:p>
            <w:pPr>
              <w:adjustRightInd w:val="0"/>
              <w:snapToGrid w:val="0"/>
              <w:spacing w:line="360" w:lineRule="auto"/>
              <w:ind w:firstLine="420" w:firstLineChars="200"/>
              <w:rPr>
                <w:bCs/>
                <w:szCs w:val="21"/>
              </w:rPr>
            </w:pPr>
            <w:r>
              <w:rPr>
                <w:bCs/>
                <w:szCs w:val="21"/>
              </w:rPr>
              <w:t>加油站事故应急响应一般分两级：二级响应和一级响应，其响应对象分别为一般事故和重大事故。</w:t>
            </w:r>
          </w:p>
          <w:p>
            <w:pPr>
              <w:adjustRightInd w:val="0"/>
              <w:snapToGrid w:val="0"/>
              <w:spacing w:line="360" w:lineRule="auto"/>
              <w:ind w:firstLine="420" w:firstLineChars="200"/>
              <w:rPr>
                <w:bCs/>
                <w:szCs w:val="21"/>
              </w:rPr>
            </w:pPr>
            <w:r>
              <w:rPr>
                <w:bCs/>
                <w:szCs w:val="21"/>
              </w:rPr>
              <w:t>二级响应：主要针对发生少量汽油等泄漏，但没有造成大面积漫延和挥发，没有引起火灾爆炸，或是由于其它原因引起的非汽油等物质的初期火灾，由本站员工及时采取措施而得到控制的一般事故的响应。</w:t>
            </w:r>
          </w:p>
          <w:p>
            <w:pPr>
              <w:adjustRightInd w:val="0"/>
              <w:snapToGrid w:val="0"/>
              <w:spacing w:line="360" w:lineRule="auto"/>
              <w:ind w:firstLine="420" w:firstLineChars="200"/>
              <w:rPr>
                <w:bCs/>
                <w:szCs w:val="21"/>
              </w:rPr>
            </w:pPr>
            <w:r>
              <w:rPr>
                <w:bCs/>
                <w:szCs w:val="21"/>
              </w:rPr>
              <w:t>一级响应：当加油站由于一般事故没有得到有效控制而引发更加严重的火灾爆炸事故或突发大的火灾爆炸事故等重大事故时，加油站启动一级事故应急响应。重大事故在进行一级响应后，在进行自救的同时，及时向当地政府和社会救援力量求助，在政府启动相应事故应急救援预案后，积极配合政府和社会救援力量做好应急救援工作。</w:t>
            </w:r>
          </w:p>
          <w:p>
            <w:pPr>
              <w:adjustRightInd w:val="0"/>
              <w:snapToGrid w:val="0"/>
              <w:spacing w:line="360" w:lineRule="auto"/>
              <w:ind w:firstLine="420" w:firstLineChars="200"/>
              <w:rPr>
                <w:bCs/>
                <w:szCs w:val="21"/>
              </w:rPr>
            </w:pPr>
            <w:r>
              <w:rPr>
                <w:bCs/>
                <w:szCs w:val="21"/>
              </w:rPr>
              <w:t>2）响应程序</w:t>
            </w:r>
          </w:p>
          <w:p>
            <w:pPr>
              <w:adjustRightInd w:val="0"/>
              <w:snapToGrid w:val="0"/>
              <w:spacing w:line="360" w:lineRule="auto"/>
              <w:ind w:firstLine="420" w:firstLineChars="200"/>
              <w:rPr>
                <w:bCs/>
                <w:szCs w:val="21"/>
              </w:rPr>
            </w:pPr>
            <w:r>
              <w:rPr>
                <w:bCs/>
                <w:szCs w:val="21"/>
              </w:rPr>
              <w:t>a.报警</w:t>
            </w:r>
          </w:p>
          <w:p>
            <w:pPr>
              <w:adjustRightInd w:val="0"/>
              <w:snapToGrid w:val="0"/>
              <w:spacing w:line="360" w:lineRule="auto"/>
              <w:ind w:firstLine="420" w:firstLineChars="200"/>
              <w:rPr>
                <w:bCs/>
                <w:szCs w:val="21"/>
              </w:rPr>
            </w:pPr>
            <w:r>
              <w:rPr>
                <w:bCs/>
                <w:szCs w:val="21"/>
              </w:rPr>
              <w:t>本加油（充电）站在发生各类事故时，最早发现者应立即向站长或安全员报告。</w:t>
            </w:r>
          </w:p>
          <w:p>
            <w:pPr>
              <w:adjustRightInd w:val="0"/>
              <w:snapToGrid w:val="0"/>
              <w:spacing w:line="360" w:lineRule="auto"/>
              <w:ind w:firstLine="420" w:firstLineChars="200"/>
              <w:rPr>
                <w:bCs/>
                <w:szCs w:val="21"/>
              </w:rPr>
            </w:pPr>
            <w:r>
              <w:rPr>
                <w:bCs/>
                <w:szCs w:val="21"/>
              </w:rPr>
              <w:t>b.启动预案</w:t>
            </w:r>
          </w:p>
          <w:p>
            <w:pPr>
              <w:adjustRightInd w:val="0"/>
              <w:snapToGrid w:val="0"/>
              <w:spacing w:line="360" w:lineRule="auto"/>
              <w:ind w:firstLine="420" w:firstLineChars="200"/>
              <w:rPr>
                <w:bCs/>
                <w:szCs w:val="21"/>
              </w:rPr>
            </w:pPr>
            <w:r>
              <w:rPr>
                <w:bCs/>
                <w:szCs w:val="21"/>
              </w:rPr>
              <w:t>接到事故报告后，站长立即宣布启动事故应急预案，成立事故应急指挥部，指令所有员工按预案立即展开应急处置。</w:t>
            </w:r>
          </w:p>
          <w:p>
            <w:pPr>
              <w:adjustRightInd w:val="0"/>
              <w:snapToGrid w:val="0"/>
              <w:spacing w:line="360" w:lineRule="auto"/>
              <w:ind w:firstLine="420" w:firstLineChars="200"/>
              <w:rPr>
                <w:bCs/>
                <w:szCs w:val="21"/>
              </w:rPr>
            </w:pPr>
            <w:r>
              <w:rPr>
                <w:bCs/>
                <w:szCs w:val="21"/>
              </w:rPr>
              <w:t>c.应急处置</w:t>
            </w:r>
          </w:p>
          <w:p>
            <w:pPr>
              <w:adjustRightInd w:val="0"/>
              <w:snapToGrid w:val="0"/>
              <w:spacing w:line="360" w:lineRule="auto"/>
              <w:ind w:firstLine="420" w:firstLineChars="200"/>
              <w:rPr>
                <w:bCs/>
                <w:szCs w:val="21"/>
              </w:rPr>
            </w:pPr>
            <w:r>
              <w:rPr>
                <w:bCs/>
                <w:szCs w:val="21"/>
              </w:rPr>
              <w:t>按各类事故预定处置程序和方案，展开灭火或防止汽油等继续泄漏的应急处置。如有受伤人员，将受伤人员抬至安全区域，进行救护。如是汽油等槽车泄漏或起火，应协助司机在进行初步处置后，将车辆开至安全区域内。</w:t>
            </w:r>
          </w:p>
          <w:p>
            <w:pPr>
              <w:adjustRightInd w:val="0"/>
              <w:snapToGrid w:val="0"/>
              <w:spacing w:line="360" w:lineRule="auto"/>
              <w:ind w:firstLine="420" w:firstLineChars="200"/>
              <w:rPr>
                <w:bCs/>
                <w:szCs w:val="21"/>
              </w:rPr>
            </w:pPr>
            <w:r>
              <w:rPr>
                <w:bCs/>
                <w:szCs w:val="21"/>
              </w:rPr>
              <w:t>对受伤人员现场进行简单救护，及时联系附近医务人员和救护医院，护送转移伤员。紧急协调事故应急物资。按总指挥的指令，向消防队等社会救援力量报警请求救援。外来应急救援力量到达时，到路口引导救援力量。</w:t>
            </w:r>
          </w:p>
          <w:p>
            <w:pPr>
              <w:adjustRightInd w:val="0"/>
              <w:snapToGrid w:val="0"/>
              <w:spacing w:line="360" w:lineRule="auto"/>
              <w:ind w:firstLine="420" w:firstLineChars="200"/>
              <w:rPr>
                <w:bCs/>
                <w:szCs w:val="21"/>
              </w:rPr>
            </w:pPr>
            <w:r>
              <w:rPr>
                <w:bCs/>
                <w:szCs w:val="21"/>
              </w:rPr>
              <w:t>3）应急结束</w:t>
            </w:r>
          </w:p>
          <w:p>
            <w:pPr>
              <w:adjustRightInd w:val="0"/>
              <w:snapToGrid w:val="0"/>
              <w:spacing w:line="360" w:lineRule="auto"/>
              <w:ind w:firstLine="420" w:firstLineChars="200"/>
              <w:rPr>
                <w:bCs/>
                <w:szCs w:val="21"/>
              </w:rPr>
            </w:pPr>
            <w:r>
              <w:rPr>
                <w:bCs/>
                <w:szCs w:val="21"/>
              </w:rPr>
              <w:t>当泄漏得到有效控制，泄漏的汽油等得到妥善处理不再挥发蒸气，起火被彻底扑灭，没有发生次生或衍生事故的条件时，由总指挥宣布应急处置工作结束。</w:t>
            </w:r>
          </w:p>
          <w:p>
            <w:pPr>
              <w:adjustRightInd w:val="0"/>
              <w:snapToGrid w:val="0"/>
              <w:spacing w:line="360" w:lineRule="auto"/>
              <w:ind w:firstLine="420" w:firstLineChars="200"/>
              <w:rPr>
                <w:bCs/>
                <w:szCs w:val="21"/>
              </w:rPr>
            </w:pPr>
            <w:r>
              <w:rPr>
                <w:bCs/>
                <w:szCs w:val="21"/>
              </w:rPr>
              <w:t>应急工作结束后，由应急总指挥对应急工作进行简要总结，核实与先前上报的事故情况是否相符，如有变动应由总指挥及时向上级部门补报事故情况。</w:t>
            </w:r>
          </w:p>
          <w:p>
            <w:pPr>
              <w:adjustRightInd w:val="0"/>
              <w:snapToGrid w:val="0"/>
              <w:spacing w:line="360" w:lineRule="auto"/>
              <w:ind w:firstLine="420" w:firstLineChars="200"/>
              <w:rPr>
                <w:bCs/>
                <w:szCs w:val="21"/>
              </w:rPr>
            </w:pPr>
            <w:r>
              <w:rPr>
                <w:bCs/>
                <w:szCs w:val="21"/>
              </w:rPr>
              <w:t>6、信息发布</w:t>
            </w:r>
          </w:p>
          <w:p>
            <w:pPr>
              <w:adjustRightInd w:val="0"/>
              <w:snapToGrid w:val="0"/>
              <w:spacing w:line="360" w:lineRule="auto"/>
              <w:ind w:firstLine="420" w:firstLineChars="200"/>
              <w:rPr>
                <w:bCs/>
                <w:szCs w:val="21"/>
              </w:rPr>
            </w:pPr>
            <w:r>
              <w:rPr>
                <w:bCs/>
                <w:szCs w:val="21"/>
              </w:rPr>
              <w:t>必要时，本着实事求是的原则，事故后由站长向社会媒体发布事故相关信息。</w:t>
            </w:r>
          </w:p>
          <w:p>
            <w:pPr>
              <w:adjustRightInd w:val="0"/>
              <w:snapToGrid w:val="0"/>
              <w:spacing w:line="360" w:lineRule="auto"/>
              <w:ind w:firstLine="420" w:firstLineChars="200"/>
              <w:rPr>
                <w:bCs/>
                <w:szCs w:val="21"/>
              </w:rPr>
            </w:pPr>
            <w:r>
              <w:rPr>
                <w:bCs/>
                <w:szCs w:val="21"/>
              </w:rPr>
              <w:t>7、后期处置</w:t>
            </w:r>
          </w:p>
          <w:p>
            <w:pPr>
              <w:adjustRightInd w:val="0"/>
              <w:snapToGrid w:val="0"/>
              <w:spacing w:line="360" w:lineRule="auto"/>
              <w:ind w:firstLine="420" w:firstLineChars="200"/>
              <w:rPr>
                <w:bCs/>
                <w:szCs w:val="21"/>
              </w:rPr>
            </w:pPr>
            <w:r>
              <w:rPr>
                <w:bCs/>
                <w:szCs w:val="21"/>
              </w:rPr>
              <w:t>1）对事故现场进行彻底清理，对于事故中产生的消防污水进行统一收集，联系污水处理场用槽车运走进行处理。</w:t>
            </w:r>
          </w:p>
          <w:p>
            <w:pPr>
              <w:adjustRightInd w:val="0"/>
              <w:snapToGrid w:val="0"/>
              <w:spacing w:line="360" w:lineRule="auto"/>
              <w:ind w:firstLine="420" w:firstLineChars="200"/>
              <w:rPr>
                <w:bCs/>
                <w:szCs w:val="21"/>
              </w:rPr>
            </w:pPr>
            <w:r>
              <w:rPr>
                <w:bCs/>
                <w:szCs w:val="21"/>
              </w:rPr>
              <w:t>2）对于处理泄漏的汽油所产生的废棉纱等物品，收集到一起，运到安全区域或场所进行焚烧。</w:t>
            </w:r>
          </w:p>
          <w:p>
            <w:pPr>
              <w:adjustRightInd w:val="0"/>
              <w:snapToGrid w:val="0"/>
              <w:spacing w:line="360" w:lineRule="auto"/>
              <w:ind w:firstLine="420" w:firstLineChars="200"/>
              <w:rPr>
                <w:bCs/>
                <w:szCs w:val="21"/>
              </w:rPr>
            </w:pPr>
            <w:r>
              <w:rPr>
                <w:bCs/>
                <w:szCs w:val="21"/>
              </w:rPr>
              <w:t>3）对于在事故的损坏的设备，及时请专业人员进行维修，维修时注意施工作业时的安全，防止发生窒息、火灾爆炸事故。</w:t>
            </w:r>
          </w:p>
          <w:p>
            <w:pPr>
              <w:adjustRightInd w:val="0"/>
              <w:snapToGrid w:val="0"/>
              <w:spacing w:line="360" w:lineRule="auto"/>
              <w:ind w:firstLine="420" w:firstLineChars="200"/>
              <w:rPr>
                <w:bCs/>
                <w:szCs w:val="21"/>
              </w:rPr>
            </w:pPr>
            <w:r>
              <w:rPr>
                <w:bCs/>
                <w:szCs w:val="21"/>
              </w:rPr>
              <w:t>4）事故现场得到彻底清理和经营设备设施得到维修后，总指挥安排恢复营业。</w:t>
            </w:r>
          </w:p>
          <w:p>
            <w:pPr>
              <w:adjustRightInd w:val="0"/>
              <w:snapToGrid w:val="0"/>
              <w:spacing w:line="360" w:lineRule="auto"/>
              <w:ind w:firstLine="420" w:firstLineChars="200"/>
              <w:rPr>
                <w:bCs/>
                <w:szCs w:val="21"/>
              </w:rPr>
            </w:pPr>
            <w:r>
              <w:rPr>
                <w:bCs/>
                <w:szCs w:val="21"/>
              </w:rPr>
              <w:t>5）对于在事故中受伤的人员，要妥善安排好后续医治和陪护工作。</w:t>
            </w:r>
          </w:p>
          <w:p>
            <w:pPr>
              <w:adjustRightInd w:val="0"/>
              <w:snapToGrid w:val="0"/>
              <w:spacing w:line="360" w:lineRule="auto"/>
              <w:ind w:firstLine="420" w:firstLineChars="200"/>
              <w:rPr>
                <w:bCs/>
                <w:szCs w:val="21"/>
              </w:rPr>
            </w:pPr>
            <w:r>
              <w:rPr>
                <w:bCs/>
                <w:szCs w:val="21"/>
              </w:rPr>
              <w:t>6）事故应急管理办公室对事故应急处置工作进行全面总结，对加油站现有的应急资源如配备的应急器材和员工的应急能力进行评估，提出整改建议，必要时对预案进行修订。</w:t>
            </w:r>
          </w:p>
          <w:p>
            <w:pPr>
              <w:adjustRightInd w:val="0"/>
              <w:snapToGrid w:val="0"/>
              <w:spacing w:line="360" w:lineRule="auto"/>
              <w:ind w:firstLine="420" w:firstLineChars="200"/>
              <w:rPr>
                <w:bCs/>
                <w:szCs w:val="21"/>
              </w:rPr>
            </w:pPr>
            <w:r>
              <w:rPr>
                <w:bCs/>
                <w:szCs w:val="21"/>
              </w:rPr>
              <w:t>8、保障措施</w:t>
            </w:r>
          </w:p>
          <w:p>
            <w:pPr>
              <w:adjustRightInd w:val="0"/>
              <w:snapToGrid w:val="0"/>
              <w:spacing w:line="360" w:lineRule="auto"/>
              <w:ind w:firstLine="420" w:firstLineChars="200"/>
              <w:rPr>
                <w:bCs/>
                <w:szCs w:val="21"/>
              </w:rPr>
            </w:pPr>
            <w:r>
              <w:rPr>
                <w:bCs/>
                <w:szCs w:val="21"/>
              </w:rPr>
              <w:t>1）通信与信息保障</w:t>
            </w:r>
          </w:p>
          <w:p>
            <w:pPr>
              <w:adjustRightInd w:val="0"/>
              <w:snapToGrid w:val="0"/>
              <w:spacing w:line="360" w:lineRule="auto"/>
              <w:ind w:firstLine="420" w:firstLineChars="200"/>
              <w:rPr>
                <w:bCs/>
                <w:szCs w:val="21"/>
              </w:rPr>
            </w:pPr>
            <w:r>
              <w:rPr>
                <w:bCs/>
                <w:szCs w:val="21"/>
              </w:rPr>
              <w:t>站房内设有固定电话1部，均可以直接拨打外线，可快速实现内外部事故信息的传递。加油站全员员工全部配备手机，手机保证24 小时开机，保证随时通讯畅通。</w:t>
            </w:r>
          </w:p>
          <w:p>
            <w:pPr>
              <w:adjustRightInd w:val="0"/>
              <w:snapToGrid w:val="0"/>
              <w:spacing w:line="360" w:lineRule="auto"/>
              <w:ind w:firstLine="420" w:firstLineChars="200"/>
              <w:rPr>
                <w:bCs/>
                <w:szCs w:val="21"/>
              </w:rPr>
            </w:pPr>
            <w:r>
              <w:rPr>
                <w:bCs/>
                <w:szCs w:val="21"/>
              </w:rPr>
              <w:t>2）应急队伍保障</w:t>
            </w:r>
          </w:p>
          <w:p>
            <w:pPr>
              <w:adjustRightInd w:val="0"/>
              <w:snapToGrid w:val="0"/>
              <w:spacing w:line="360" w:lineRule="auto"/>
              <w:ind w:firstLine="420" w:firstLineChars="200"/>
              <w:rPr>
                <w:bCs/>
                <w:szCs w:val="21"/>
              </w:rPr>
            </w:pPr>
            <w:r>
              <w:rPr>
                <w:bCs/>
                <w:szCs w:val="21"/>
              </w:rPr>
              <w:t>由于加油站员工少，没有专业应急救援队伍，事故时由在岗的员工进行不同的分工，以保证对事故进行有效应急处置。</w:t>
            </w:r>
          </w:p>
          <w:p>
            <w:pPr>
              <w:adjustRightInd w:val="0"/>
              <w:snapToGrid w:val="0"/>
              <w:spacing w:line="360" w:lineRule="auto"/>
              <w:ind w:firstLine="420" w:firstLineChars="200"/>
              <w:rPr>
                <w:bCs/>
                <w:szCs w:val="21"/>
              </w:rPr>
            </w:pPr>
            <w:r>
              <w:rPr>
                <w:bCs/>
                <w:szCs w:val="21"/>
              </w:rPr>
              <w:t>3）应急物资保障</w:t>
            </w:r>
          </w:p>
          <w:p>
            <w:pPr>
              <w:adjustRightInd w:val="0"/>
              <w:snapToGrid w:val="0"/>
              <w:spacing w:line="360" w:lineRule="auto"/>
              <w:ind w:firstLine="420" w:firstLineChars="200"/>
              <w:rPr>
                <w:bCs/>
                <w:szCs w:val="21"/>
              </w:rPr>
            </w:pPr>
            <w:r>
              <w:rPr>
                <w:bCs/>
                <w:szCs w:val="21"/>
              </w:rPr>
              <w:t>加油站配备灭火器等应急物资，各应急物资在不同岗位固定位置存放，严禁私自挪动或挪作他用，每天班组交接班时将应急物资的完好情况作为一项重要的内容进行交接。所有应急物资由安全员登记建档，并定期进行检查其完好情况，发现问题及时进行处理，确保器材完好。</w:t>
            </w:r>
          </w:p>
          <w:p>
            <w:pPr>
              <w:adjustRightInd w:val="0"/>
              <w:snapToGrid w:val="0"/>
              <w:spacing w:line="360" w:lineRule="auto"/>
              <w:ind w:firstLine="420" w:firstLineChars="200"/>
              <w:rPr>
                <w:bCs/>
                <w:szCs w:val="21"/>
              </w:rPr>
            </w:pPr>
            <w:r>
              <w:rPr>
                <w:bCs/>
                <w:szCs w:val="21"/>
              </w:rPr>
              <w:t>9、培训与演练</w:t>
            </w:r>
          </w:p>
          <w:p>
            <w:pPr>
              <w:adjustRightInd w:val="0"/>
              <w:snapToGrid w:val="0"/>
              <w:spacing w:line="360" w:lineRule="auto"/>
              <w:ind w:firstLine="420" w:firstLineChars="200"/>
              <w:rPr>
                <w:bCs/>
                <w:szCs w:val="21"/>
              </w:rPr>
            </w:pPr>
            <w:r>
              <w:rPr>
                <w:bCs/>
                <w:szCs w:val="21"/>
              </w:rPr>
              <w:t>1）培训</w:t>
            </w:r>
          </w:p>
          <w:p>
            <w:pPr>
              <w:adjustRightInd w:val="0"/>
              <w:snapToGrid w:val="0"/>
              <w:spacing w:line="360" w:lineRule="auto"/>
              <w:ind w:firstLine="420" w:firstLineChars="200"/>
              <w:rPr>
                <w:bCs/>
                <w:szCs w:val="21"/>
              </w:rPr>
            </w:pPr>
            <w:r>
              <w:rPr>
                <w:bCs/>
                <w:szCs w:val="21"/>
              </w:rPr>
              <w:t>由中国石化销售股份有限公司江西赣州石油分公司应急管理办公室制定年度安全培训计划，按计划对全体员工每月进行一次安全培训，包括加油站安全基础知识、自救互救知识、应急器材的正确使用与保管、预案中应急处置程序、应急处置措施等内容。</w:t>
            </w:r>
          </w:p>
          <w:p>
            <w:pPr>
              <w:adjustRightInd w:val="0"/>
              <w:snapToGrid w:val="0"/>
              <w:spacing w:line="360" w:lineRule="auto"/>
              <w:ind w:firstLine="420" w:firstLineChars="200"/>
              <w:rPr>
                <w:bCs/>
                <w:szCs w:val="21"/>
              </w:rPr>
            </w:pPr>
            <w:r>
              <w:rPr>
                <w:bCs/>
                <w:szCs w:val="21"/>
              </w:rPr>
              <w:t>2）演练</w:t>
            </w:r>
          </w:p>
          <w:p>
            <w:pPr>
              <w:adjustRightInd w:val="0"/>
              <w:snapToGrid w:val="0"/>
              <w:spacing w:line="360" w:lineRule="auto"/>
              <w:ind w:firstLine="420" w:firstLineChars="200"/>
              <w:rPr>
                <w:bCs/>
                <w:szCs w:val="21"/>
              </w:rPr>
            </w:pPr>
            <w:r>
              <w:rPr>
                <w:bCs/>
                <w:szCs w:val="21"/>
              </w:rPr>
              <w:t>a. 演练类型</w:t>
            </w:r>
          </w:p>
          <w:p>
            <w:pPr>
              <w:adjustRightInd w:val="0"/>
              <w:snapToGrid w:val="0"/>
              <w:spacing w:line="360" w:lineRule="auto"/>
              <w:ind w:firstLine="420" w:firstLineChars="200"/>
              <w:rPr>
                <w:bCs/>
                <w:szCs w:val="21"/>
              </w:rPr>
            </w:pPr>
            <w:r>
              <w:rPr>
                <w:bCs/>
                <w:szCs w:val="21"/>
              </w:rPr>
              <w:t>功能演练：针对某些应急器材的使用的演练；</w:t>
            </w:r>
          </w:p>
          <w:p>
            <w:pPr>
              <w:adjustRightInd w:val="0"/>
              <w:snapToGrid w:val="0"/>
              <w:spacing w:line="360" w:lineRule="auto"/>
              <w:ind w:firstLine="420" w:firstLineChars="200"/>
              <w:rPr>
                <w:bCs/>
                <w:szCs w:val="21"/>
              </w:rPr>
            </w:pPr>
            <w:r>
              <w:rPr>
                <w:bCs/>
                <w:szCs w:val="21"/>
              </w:rPr>
              <w:t>综合演练：模拟事故应急处置的演练。</w:t>
            </w:r>
          </w:p>
          <w:p>
            <w:pPr>
              <w:adjustRightInd w:val="0"/>
              <w:snapToGrid w:val="0"/>
              <w:spacing w:line="360" w:lineRule="auto"/>
              <w:ind w:firstLine="420" w:firstLineChars="200"/>
              <w:rPr>
                <w:bCs/>
                <w:szCs w:val="21"/>
              </w:rPr>
            </w:pPr>
            <w:r>
              <w:rPr>
                <w:bCs/>
                <w:szCs w:val="21"/>
              </w:rPr>
              <w:t>b. 演练计划：由中国石化销售股份有限公司江西赣州石油分公司应急管理办公室制定年度事故应急演练计划。</w:t>
            </w:r>
          </w:p>
          <w:p>
            <w:pPr>
              <w:adjustRightInd w:val="0"/>
              <w:snapToGrid w:val="0"/>
              <w:spacing w:line="360" w:lineRule="auto"/>
              <w:ind w:firstLine="420" w:firstLineChars="200"/>
              <w:rPr>
                <w:bCs/>
                <w:szCs w:val="21"/>
              </w:rPr>
            </w:pPr>
            <w:r>
              <w:rPr>
                <w:bCs/>
                <w:szCs w:val="21"/>
              </w:rPr>
              <w:t>c.演练组织者：站长。</w:t>
            </w:r>
          </w:p>
          <w:p>
            <w:pPr>
              <w:adjustRightInd w:val="0"/>
              <w:snapToGrid w:val="0"/>
              <w:spacing w:line="360" w:lineRule="auto"/>
              <w:ind w:firstLine="420" w:firstLineChars="200"/>
              <w:rPr>
                <w:bCs/>
                <w:szCs w:val="21"/>
              </w:rPr>
            </w:pPr>
            <w:r>
              <w:rPr>
                <w:bCs/>
                <w:szCs w:val="21"/>
              </w:rPr>
              <w:t>d. 演练频次：每年至少组织综合演练一至二次，功能演练每季度至少一次。</w:t>
            </w:r>
          </w:p>
          <w:p>
            <w:pPr>
              <w:adjustRightInd w:val="0"/>
              <w:snapToGrid w:val="0"/>
              <w:spacing w:line="360" w:lineRule="auto"/>
              <w:ind w:firstLine="420" w:firstLineChars="200"/>
              <w:rPr>
                <w:bCs/>
                <w:szCs w:val="21"/>
              </w:rPr>
            </w:pPr>
            <w:r>
              <w:rPr>
                <w:bCs/>
                <w:szCs w:val="21"/>
              </w:rPr>
              <w:t>e. 演练参加人员：每次演练全体员工均参加。</w:t>
            </w:r>
          </w:p>
          <w:p>
            <w:pPr>
              <w:adjustRightInd w:val="0"/>
              <w:snapToGrid w:val="0"/>
              <w:spacing w:line="360" w:lineRule="auto"/>
              <w:ind w:firstLine="420" w:firstLineChars="200"/>
              <w:rPr>
                <w:bCs/>
                <w:szCs w:val="21"/>
              </w:rPr>
            </w:pPr>
            <w:r>
              <w:rPr>
                <w:bCs/>
                <w:szCs w:val="21"/>
              </w:rPr>
              <w:t>（5）环境风险评价小结</w:t>
            </w:r>
          </w:p>
          <w:p>
            <w:pPr>
              <w:adjustRightInd w:val="0"/>
              <w:snapToGrid w:val="0"/>
              <w:spacing w:line="360" w:lineRule="auto"/>
              <w:ind w:firstLine="420" w:firstLineChars="200"/>
              <w:rPr>
                <w:bCs/>
                <w:szCs w:val="21"/>
              </w:rPr>
            </w:pPr>
            <w:r>
              <w:rPr>
                <w:bCs/>
                <w:szCs w:val="21"/>
              </w:rPr>
              <w:t>本项目加油（充电）站为非重大危险源，项目最大可信事故为汽油泄漏进而导致火灾爆炸事故，将对周围环境造成一定的影响，企业在采取紧急风险防范处理措施并启动应急预案的情况下，可以将环境风险降到最低。</w:t>
            </w:r>
          </w:p>
          <w:p>
            <w:pPr>
              <w:adjustRightInd w:val="0"/>
              <w:snapToGrid w:val="0"/>
              <w:spacing w:line="360" w:lineRule="auto"/>
              <w:ind w:firstLine="420" w:firstLineChars="200"/>
              <w:rPr>
                <w:bCs/>
                <w:szCs w:val="21"/>
              </w:rPr>
            </w:pPr>
            <w:r>
              <w:rPr>
                <w:bCs/>
                <w:szCs w:val="21"/>
              </w:rPr>
              <w:t>由此可见，在发生事故后企业在落实上述风险防范措施的情况下，其风险水平是可以接受的。</w:t>
            </w:r>
          </w:p>
          <w:p>
            <w:pPr>
              <w:spacing w:line="360" w:lineRule="auto"/>
              <w:ind w:firstLine="480"/>
              <w:rPr>
                <w:b/>
                <w:szCs w:val="21"/>
              </w:rPr>
            </w:pPr>
            <w:r>
              <w:rPr>
                <w:b/>
                <w:kern w:val="0"/>
                <w:szCs w:val="21"/>
              </w:rPr>
              <w:t>8、</w:t>
            </w:r>
            <w:r>
              <w:rPr>
                <w:b/>
                <w:szCs w:val="21"/>
              </w:rPr>
              <w:t>环保投资估算</w:t>
            </w:r>
          </w:p>
          <w:p>
            <w:pPr>
              <w:spacing w:line="360" w:lineRule="auto"/>
              <w:ind w:firstLine="420" w:firstLineChars="200"/>
              <w:rPr>
                <w:kern w:val="0"/>
                <w:szCs w:val="21"/>
              </w:rPr>
            </w:pPr>
            <w:r>
              <w:rPr>
                <w:kern w:val="0"/>
                <w:szCs w:val="21"/>
              </w:rPr>
              <w:t>本项目总投资</w:t>
            </w:r>
            <w:r>
              <w:rPr>
                <w:szCs w:val="21"/>
              </w:rPr>
              <w:t>9000</w:t>
            </w:r>
            <w:r>
              <w:rPr>
                <w:kern w:val="0"/>
                <w:szCs w:val="21"/>
              </w:rPr>
              <w:t>万元，环保投资共计50万元，主要环保投资有施工期废水、废气、噪声、固废治理，营运期废水、废气、噪声、固废治理等，占总投资0.56%。项目环保投资估算情况见表4-18。</w:t>
            </w:r>
          </w:p>
          <w:p>
            <w:pPr>
              <w:spacing w:line="276" w:lineRule="auto"/>
              <w:jc w:val="center"/>
              <w:rPr>
                <w:b/>
                <w:bCs/>
                <w:szCs w:val="21"/>
              </w:rPr>
            </w:pPr>
            <w:r>
              <w:rPr>
                <w:b/>
                <w:bCs/>
                <w:szCs w:val="21"/>
              </w:rPr>
              <w:t>表4-18 环保设施投资估算表</w:t>
            </w:r>
          </w:p>
          <w:tbl>
            <w:tblPr>
              <w:tblStyle w:val="21"/>
              <w:tblW w:w="12618" w:type="dxa"/>
              <w:tblInd w:w="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62"/>
              <w:gridCol w:w="1600"/>
              <w:gridCol w:w="7470"/>
              <w:gridCol w:w="19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Align w:val="center"/>
                </w:tcPr>
                <w:p>
                  <w:pPr>
                    <w:jc w:val="center"/>
                    <w:rPr>
                      <w:szCs w:val="21"/>
                    </w:rPr>
                  </w:pPr>
                  <w:r>
                    <w:rPr>
                      <w:szCs w:val="21"/>
                    </w:rPr>
                    <w:t>阶段</w:t>
                  </w:r>
                </w:p>
              </w:tc>
              <w:tc>
                <w:tcPr>
                  <w:tcW w:w="634" w:type="pct"/>
                  <w:vAlign w:val="center"/>
                </w:tcPr>
                <w:p>
                  <w:pPr>
                    <w:jc w:val="center"/>
                    <w:rPr>
                      <w:szCs w:val="21"/>
                    </w:rPr>
                  </w:pPr>
                  <w:r>
                    <w:rPr>
                      <w:bCs/>
                      <w:szCs w:val="21"/>
                    </w:rPr>
                    <w:t>污染类别</w:t>
                  </w:r>
                </w:p>
              </w:tc>
              <w:tc>
                <w:tcPr>
                  <w:tcW w:w="2960" w:type="pct"/>
                  <w:vAlign w:val="center"/>
                </w:tcPr>
                <w:p>
                  <w:pPr>
                    <w:jc w:val="center"/>
                    <w:rPr>
                      <w:szCs w:val="21"/>
                    </w:rPr>
                  </w:pPr>
                  <w:r>
                    <w:rPr>
                      <w:bCs/>
                      <w:szCs w:val="21"/>
                    </w:rPr>
                    <w:t>环保措施</w:t>
                  </w:r>
                </w:p>
              </w:tc>
              <w:tc>
                <w:tcPr>
                  <w:tcW w:w="787" w:type="pct"/>
                  <w:vAlign w:val="center"/>
                </w:tcPr>
                <w:p>
                  <w:pPr>
                    <w:jc w:val="center"/>
                    <w:rPr>
                      <w:szCs w:val="21"/>
                    </w:rPr>
                  </w:pPr>
                  <w:r>
                    <w:rPr>
                      <w:szCs w:val="21"/>
                    </w:rPr>
                    <w:t>投资（万元）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restart"/>
                  <w:vAlign w:val="center"/>
                </w:tcPr>
                <w:p>
                  <w:pPr>
                    <w:jc w:val="center"/>
                    <w:rPr>
                      <w:szCs w:val="21"/>
                    </w:rPr>
                  </w:pPr>
                  <w:r>
                    <w:rPr>
                      <w:szCs w:val="21"/>
                    </w:rPr>
                    <w:t>施</w:t>
                  </w:r>
                </w:p>
                <w:p>
                  <w:pPr>
                    <w:jc w:val="center"/>
                    <w:rPr>
                      <w:szCs w:val="21"/>
                    </w:rPr>
                  </w:pPr>
                  <w:r>
                    <w:rPr>
                      <w:szCs w:val="21"/>
                    </w:rPr>
                    <w:t>工</w:t>
                  </w:r>
                </w:p>
                <w:p>
                  <w:pPr>
                    <w:jc w:val="center"/>
                    <w:rPr>
                      <w:szCs w:val="21"/>
                    </w:rPr>
                  </w:pPr>
                  <w:r>
                    <w:rPr>
                      <w:szCs w:val="21"/>
                    </w:rPr>
                    <w:t>期</w:t>
                  </w:r>
                </w:p>
              </w:tc>
              <w:tc>
                <w:tcPr>
                  <w:tcW w:w="634" w:type="pct"/>
                  <w:vAlign w:val="center"/>
                </w:tcPr>
                <w:p>
                  <w:pPr>
                    <w:snapToGrid w:val="0"/>
                    <w:spacing w:line="300" w:lineRule="exact"/>
                    <w:jc w:val="center"/>
                    <w:rPr>
                      <w:szCs w:val="21"/>
                    </w:rPr>
                  </w:pPr>
                  <w:r>
                    <w:rPr>
                      <w:szCs w:val="21"/>
                    </w:rPr>
                    <w:t>施工噪声</w:t>
                  </w:r>
                </w:p>
              </w:tc>
              <w:tc>
                <w:tcPr>
                  <w:tcW w:w="2960" w:type="pct"/>
                  <w:vAlign w:val="center"/>
                </w:tcPr>
                <w:p>
                  <w:pPr>
                    <w:jc w:val="center"/>
                    <w:rPr>
                      <w:bCs/>
                      <w:szCs w:val="21"/>
                    </w:rPr>
                  </w:pPr>
                  <w:r>
                    <w:rPr>
                      <w:szCs w:val="21"/>
                    </w:rPr>
                    <w:t>采用低噪声设备，设置临时声屏障，施工机械的选用和维护</w:t>
                  </w:r>
                </w:p>
              </w:tc>
              <w:tc>
                <w:tcPr>
                  <w:tcW w:w="787" w:type="pct"/>
                  <w:vAlign w:val="center"/>
                </w:tcPr>
                <w:p>
                  <w:pPr>
                    <w:jc w:val="center"/>
                    <w:rPr>
                      <w:szCs w:val="21"/>
                    </w:rPr>
                  </w:pPr>
                  <w:r>
                    <w:rPr>
                      <w:szCs w:val="21"/>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snapToGrid w:val="0"/>
                    <w:spacing w:line="300" w:lineRule="exact"/>
                    <w:jc w:val="center"/>
                    <w:rPr>
                      <w:szCs w:val="21"/>
                    </w:rPr>
                  </w:pPr>
                  <w:r>
                    <w:rPr>
                      <w:szCs w:val="21"/>
                    </w:rPr>
                    <w:t>施工扬尘</w:t>
                  </w:r>
                </w:p>
              </w:tc>
              <w:tc>
                <w:tcPr>
                  <w:tcW w:w="2960" w:type="pct"/>
                  <w:vAlign w:val="center"/>
                </w:tcPr>
                <w:p>
                  <w:pPr>
                    <w:jc w:val="center"/>
                    <w:rPr>
                      <w:bCs/>
                      <w:szCs w:val="21"/>
                    </w:rPr>
                  </w:pPr>
                  <w:r>
                    <w:rPr>
                      <w:szCs w:val="21"/>
                    </w:rPr>
                    <w:t>封闭或半封闭施工屏障，配备撒水车或撒水设施，运输车辆设篷布</w:t>
                  </w:r>
                </w:p>
              </w:tc>
              <w:tc>
                <w:tcPr>
                  <w:tcW w:w="787" w:type="pct"/>
                  <w:vAlign w:val="center"/>
                </w:tcPr>
                <w:p>
                  <w:pPr>
                    <w:jc w:val="center"/>
                    <w:rPr>
                      <w:szCs w:val="21"/>
                    </w:rPr>
                  </w:pPr>
                  <w:r>
                    <w:rPr>
                      <w:szCs w:val="21"/>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snapToGrid w:val="0"/>
                    <w:spacing w:line="300" w:lineRule="exact"/>
                    <w:jc w:val="center"/>
                    <w:rPr>
                      <w:szCs w:val="21"/>
                    </w:rPr>
                  </w:pPr>
                  <w:r>
                    <w:rPr>
                      <w:szCs w:val="21"/>
                    </w:rPr>
                    <w:t>施工废水</w:t>
                  </w:r>
                </w:p>
              </w:tc>
              <w:tc>
                <w:tcPr>
                  <w:tcW w:w="2960" w:type="pct"/>
                  <w:vAlign w:val="center"/>
                </w:tcPr>
                <w:p>
                  <w:pPr>
                    <w:jc w:val="center"/>
                    <w:rPr>
                      <w:bCs/>
                      <w:szCs w:val="21"/>
                    </w:rPr>
                  </w:pPr>
                  <w:r>
                    <w:rPr>
                      <w:szCs w:val="21"/>
                    </w:rPr>
                    <w:t>设置隔油沉砂池，施工人员使用周边已有公共卫生设施。</w:t>
                  </w:r>
                </w:p>
              </w:tc>
              <w:tc>
                <w:tcPr>
                  <w:tcW w:w="787" w:type="pct"/>
                  <w:vAlign w:val="center"/>
                </w:tcPr>
                <w:p>
                  <w:pPr>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snapToGrid w:val="0"/>
                    <w:spacing w:line="300" w:lineRule="exact"/>
                    <w:jc w:val="center"/>
                    <w:rPr>
                      <w:szCs w:val="21"/>
                    </w:rPr>
                  </w:pPr>
                  <w:r>
                    <w:rPr>
                      <w:szCs w:val="21"/>
                    </w:rPr>
                    <w:t>固体废物</w:t>
                  </w:r>
                </w:p>
              </w:tc>
              <w:tc>
                <w:tcPr>
                  <w:tcW w:w="2960" w:type="pct"/>
                  <w:vAlign w:val="center"/>
                </w:tcPr>
                <w:p>
                  <w:pPr>
                    <w:autoSpaceDE w:val="0"/>
                    <w:autoSpaceDN w:val="0"/>
                    <w:adjustRightInd w:val="0"/>
                    <w:jc w:val="center"/>
                    <w:rPr>
                      <w:szCs w:val="21"/>
                    </w:rPr>
                  </w:pPr>
                  <w:r>
                    <w:rPr>
                      <w:kern w:val="0"/>
                      <w:szCs w:val="21"/>
                    </w:rPr>
                    <w:t>建筑垃圾、生活垃圾收运处理</w:t>
                  </w:r>
                </w:p>
              </w:tc>
              <w:tc>
                <w:tcPr>
                  <w:tcW w:w="787" w:type="pct"/>
                  <w:vAlign w:val="center"/>
                </w:tcPr>
                <w:p>
                  <w:pPr>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restart"/>
                  <w:vAlign w:val="center"/>
                </w:tcPr>
                <w:p>
                  <w:pPr>
                    <w:jc w:val="center"/>
                    <w:rPr>
                      <w:szCs w:val="21"/>
                    </w:rPr>
                  </w:pPr>
                  <w:r>
                    <w:rPr>
                      <w:szCs w:val="21"/>
                    </w:rPr>
                    <w:t>运</w:t>
                  </w:r>
                </w:p>
                <w:p>
                  <w:pPr>
                    <w:jc w:val="center"/>
                    <w:rPr>
                      <w:szCs w:val="21"/>
                    </w:rPr>
                  </w:pPr>
                  <w:r>
                    <w:rPr>
                      <w:szCs w:val="21"/>
                    </w:rPr>
                    <w:t>营</w:t>
                  </w:r>
                </w:p>
                <w:p>
                  <w:pPr>
                    <w:jc w:val="center"/>
                    <w:rPr>
                      <w:szCs w:val="21"/>
                    </w:rPr>
                  </w:pPr>
                  <w:r>
                    <w:rPr>
                      <w:szCs w:val="21"/>
                    </w:rPr>
                    <w:t>期</w:t>
                  </w:r>
                </w:p>
              </w:tc>
              <w:tc>
                <w:tcPr>
                  <w:tcW w:w="634" w:type="pct"/>
                  <w:vAlign w:val="center"/>
                </w:tcPr>
                <w:p>
                  <w:pPr>
                    <w:jc w:val="center"/>
                    <w:rPr>
                      <w:szCs w:val="21"/>
                    </w:rPr>
                  </w:pPr>
                  <w:r>
                    <w:rPr>
                      <w:szCs w:val="21"/>
                    </w:rPr>
                    <w:t>废气治理</w:t>
                  </w:r>
                </w:p>
              </w:tc>
              <w:tc>
                <w:tcPr>
                  <w:tcW w:w="2960" w:type="pct"/>
                  <w:vAlign w:val="center"/>
                </w:tcPr>
                <w:p>
                  <w:pPr>
                    <w:jc w:val="center"/>
                    <w:rPr>
                      <w:szCs w:val="21"/>
                    </w:rPr>
                  </w:pPr>
                  <w:r>
                    <w:rPr>
                      <w:szCs w:val="21"/>
                    </w:rPr>
                    <w:t>油气回收系统</w:t>
                  </w:r>
                </w:p>
              </w:tc>
              <w:tc>
                <w:tcPr>
                  <w:tcW w:w="787" w:type="pct"/>
                  <w:vAlign w:val="center"/>
                </w:tcPr>
                <w:p>
                  <w:pPr>
                    <w:jc w:val="center"/>
                    <w:rPr>
                      <w:szCs w:val="21"/>
                    </w:rPr>
                  </w:pPr>
                  <w:r>
                    <w:rPr>
                      <w:szCs w:val="21"/>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jc w:val="center"/>
                    <w:rPr>
                      <w:szCs w:val="21"/>
                    </w:rPr>
                  </w:pPr>
                  <w:r>
                    <w:rPr>
                      <w:szCs w:val="21"/>
                    </w:rPr>
                    <w:t>废水治理</w:t>
                  </w:r>
                </w:p>
              </w:tc>
              <w:tc>
                <w:tcPr>
                  <w:tcW w:w="2960" w:type="pct"/>
                  <w:vAlign w:val="center"/>
                </w:tcPr>
                <w:p>
                  <w:pPr>
                    <w:jc w:val="center"/>
                    <w:rPr>
                      <w:szCs w:val="21"/>
                    </w:rPr>
                  </w:pPr>
                  <w:r>
                    <w:rPr>
                      <w:szCs w:val="21"/>
                    </w:rPr>
                    <w:t>化粪池、隔油沉淀池、分区防渗处理、防渗监测装置</w:t>
                  </w:r>
                </w:p>
              </w:tc>
              <w:tc>
                <w:tcPr>
                  <w:tcW w:w="787" w:type="pct"/>
                  <w:vAlign w:val="center"/>
                </w:tcPr>
                <w:p>
                  <w:pPr>
                    <w:jc w:val="center"/>
                    <w:rPr>
                      <w:szCs w:val="21"/>
                    </w:rPr>
                  </w:pPr>
                  <w:r>
                    <w:rPr>
                      <w:szCs w:val="21"/>
                    </w:rPr>
                    <w:t>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jc w:val="center"/>
                    <w:rPr>
                      <w:szCs w:val="21"/>
                    </w:rPr>
                  </w:pPr>
                  <w:r>
                    <w:rPr>
                      <w:szCs w:val="21"/>
                    </w:rPr>
                    <w:t>噪声治理</w:t>
                  </w:r>
                </w:p>
              </w:tc>
              <w:tc>
                <w:tcPr>
                  <w:tcW w:w="2960" w:type="pct"/>
                  <w:vAlign w:val="center"/>
                </w:tcPr>
                <w:p>
                  <w:pPr>
                    <w:jc w:val="center"/>
                    <w:rPr>
                      <w:szCs w:val="21"/>
                    </w:rPr>
                  </w:pPr>
                  <w:r>
                    <w:rPr>
                      <w:szCs w:val="21"/>
                    </w:rPr>
                    <w:t>选用低降噪设备，出入车辆禁鸣、限速标示牌、厂区绿化</w:t>
                  </w:r>
                </w:p>
              </w:tc>
              <w:tc>
                <w:tcPr>
                  <w:tcW w:w="787" w:type="pct"/>
                  <w:vAlign w:val="center"/>
                </w:tcPr>
                <w:p>
                  <w:pPr>
                    <w:jc w:val="center"/>
                    <w:rPr>
                      <w:szCs w:val="21"/>
                    </w:rPr>
                  </w:pPr>
                  <w:r>
                    <w:rPr>
                      <w:szCs w:val="21"/>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jc w:val="center"/>
                    <w:rPr>
                      <w:szCs w:val="21"/>
                    </w:rPr>
                  </w:pPr>
                  <w:r>
                    <w:rPr>
                      <w:szCs w:val="21"/>
                    </w:rPr>
                    <w:t>固体废物</w:t>
                  </w:r>
                </w:p>
              </w:tc>
              <w:tc>
                <w:tcPr>
                  <w:tcW w:w="2960" w:type="pct"/>
                  <w:vAlign w:val="center"/>
                </w:tcPr>
                <w:p>
                  <w:pPr>
                    <w:jc w:val="center"/>
                    <w:rPr>
                      <w:szCs w:val="21"/>
                    </w:rPr>
                  </w:pPr>
                  <w:r>
                    <w:rPr>
                      <w:szCs w:val="21"/>
                    </w:rPr>
                    <w:t>垃圾桶、危险废物暂存间</w:t>
                  </w:r>
                </w:p>
              </w:tc>
              <w:tc>
                <w:tcPr>
                  <w:tcW w:w="787" w:type="pct"/>
                  <w:vAlign w:val="center"/>
                </w:tcPr>
                <w:p>
                  <w:pPr>
                    <w:jc w:val="center"/>
                    <w:rPr>
                      <w:szCs w:val="21"/>
                    </w:rPr>
                  </w:pPr>
                  <w:r>
                    <w:rPr>
                      <w:szCs w:val="21"/>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19" w:type="pct"/>
                  <w:vMerge w:val="continue"/>
                  <w:vAlign w:val="center"/>
                </w:tcPr>
                <w:p>
                  <w:pPr>
                    <w:jc w:val="center"/>
                    <w:rPr>
                      <w:szCs w:val="21"/>
                    </w:rPr>
                  </w:pPr>
                </w:p>
              </w:tc>
              <w:tc>
                <w:tcPr>
                  <w:tcW w:w="634" w:type="pct"/>
                  <w:vAlign w:val="center"/>
                </w:tcPr>
                <w:p>
                  <w:pPr>
                    <w:jc w:val="center"/>
                    <w:rPr>
                      <w:szCs w:val="21"/>
                    </w:rPr>
                  </w:pPr>
                  <w:r>
                    <w:rPr>
                      <w:szCs w:val="21"/>
                    </w:rPr>
                    <w:t>环境风险</w:t>
                  </w:r>
                </w:p>
              </w:tc>
              <w:tc>
                <w:tcPr>
                  <w:tcW w:w="2960" w:type="pct"/>
                  <w:vAlign w:val="center"/>
                </w:tcPr>
                <w:p>
                  <w:pPr>
                    <w:autoSpaceDE w:val="0"/>
                    <w:autoSpaceDN w:val="0"/>
                    <w:adjustRightInd w:val="0"/>
                    <w:jc w:val="center"/>
                    <w:rPr>
                      <w:szCs w:val="21"/>
                    </w:rPr>
                  </w:pPr>
                  <w:r>
                    <w:rPr>
                      <w:rFonts w:hint="eastAsia"/>
                      <w:kern w:val="0"/>
                      <w:szCs w:val="21"/>
                    </w:rPr>
                    <w:t>设置油罐区围堰；</w:t>
                  </w:r>
                  <w:r>
                    <w:rPr>
                      <w:kern w:val="0"/>
                      <w:szCs w:val="21"/>
                    </w:rPr>
                    <w:t>设置风向标、安全警示标志、可燃气体报警仪等；配置灭火器等消防设施；编制应急预案；加强宣传等；设置充电桩防雨、防尘设施，供电监控、安防监控、报警系统等</w:t>
                  </w:r>
                </w:p>
              </w:tc>
              <w:tc>
                <w:tcPr>
                  <w:tcW w:w="787" w:type="pct"/>
                  <w:vAlign w:val="center"/>
                </w:tcPr>
                <w:p>
                  <w:pPr>
                    <w:jc w:val="center"/>
                    <w:rPr>
                      <w:szCs w:val="21"/>
                    </w:rPr>
                  </w:pPr>
                  <w:r>
                    <w:rPr>
                      <w:szCs w:val="21"/>
                    </w:rPr>
                    <w:t>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213" w:type="pct"/>
                  <w:gridSpan w:val="3"/>
                  <w:vAlign w:val="center"/>
                </w:tcPr>
                <w:p>
                  <w:pPr>
                    <w:jc w:val="center"/>
                    <w:rPr>
                      <w:szCs w:val="21"/>
                    </w:rPr>
                  </w:pPr>
                  <w:r>
                    <w:rPr>
                      <w:szCs w:val="21"/>
                    </w:rPr>
                    <w:t>合计</w:t>
                  </w:r>
                </w:p>
              </w:tc>
              <w:tc>
                <w:tcPr>
                  <w:tcW w:w="787" w:type="pct"/>
                  <w:vAlign w:val="center"/>
                </w:tcPr>
                <w:p>
                  <w:pPr>
                    <w:jc w:val="center"/>
                    <w:rPr>
                      <w:szCs w:val="21"/>
                    </w:rPr>
                  </w:pPr>
                  <w:r>
                    <w:rPr>
                      <w:szCs w:val="21"/>
                    </w:rPr>
                    <w:t>50</w:t>
                  </w:r>
                </w:p>
              </w:tc>
            </w:tr>
          </w:tbl>
          <w:p>
            <w:pPr>
              <w:autoSpaceDE w:val="0"/>
              <w:autoSpaceDN w:val="0"/>
              <w:adjustRightInd w:val="0"/>
              <w:snapToGrid w:val="0"/>
              <w:spacing w:line="360" w:lineRule="auto"/>
              <w:ind w:firstLine="422" w:firstLineChars="200"/>
              <w:rPr>
                <w:kern w:val="0"/>
                <w:szCs w:val="21"/>
              </w:rPr>
            </w:pPr>
            <w:r>
              <w:rPr>
                <w:b/>
                <w:kern w:val="0"/>
                <w:szCs w:val="21"/>
              </w:rPr>
              <w:t>9、三同时验收清单</w:t>
            </w:r>
          </w:p>
          <w:p>
            <w:pPr>
              <w:autoSpaceDE w:val="0"/>
              <w:autoSpaceDN w:val="0"/>
              <w:adjustRightInd w:val="0"/>
              <w:snapToGrid w:val="0"/>
              <w:spacing w:line="360" w:lineRule="auto"/>
              <w:ind w:firstLine="420" w:firstLineChars="200"/>
              <w:rPr>
                <w:szCs w:val="21"/>
              </w:rPr>
            </w:pPr>
            <w:r>
              <w:rPr>
                <w:szCs w:val="21"/>
              </w:rPr>
              <w:t>根据《建设项目环境保护管理条例》(2017 年7 月16 日修订)，建设项目设计和施工中应严格落实“三同时”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pPr>
              <w:autoSpaceDE w:val="0"/>
              <w:autoSpaceDN w:val="0"/>
              <w:adjustRightInd w:val="0"/>
              <w:snapToGrid w:val="0"/>
              <w:spacing w:line="360" w:lineRule="auto"/>
              <w:ind w:firstLine="420" w:firstLineChars="200"/>
              <w:rPr>
                <w:szCs w:val="21"/>
              </w:rPr>
            </w:pPr>
            <w:r>
              <w:rPr>
                <w:szCs w:val="21"/>
              </w:rPr>
              <w:t>建设单位是建设项目竣工环境保护验收的责任主体，应当按照《建设项目竣工环境保护验收暂行办法》(国环规环评〔2017〕4号)、《建设项目竣工环境保护验收技术指南 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pPr>
              <w:autoSpaceDE w:val="0"/>
              <w:autoSpaceDN w:val="0"/>
              <w:adjustRightInd w:val="0"/>
              <w:snapToGrid w:val="0"/>
              <w:spacing w:line="360" w:lineRule="auto"/>
              <w:ind w:firstLine="420" w:firstLineChars="200"/>
              <w:rPr>
                <w:szCs w:val="21"/>
              </w:rPr>
            </w:pPr>
            <w:r>
              <w:rPr>
                <w:szCs w:val="21"/>
              </w:rPr>
              <w:t>建设项目竣工后，除需要取得排污许可证的水和大气污染防治设施外，其他环境保护设施的验收期限一般不超过3个月，需要对该类环境保护设施进行调试或者调整的，验收期限可以适当延期，但最长不超过12个月。根据《排污许可证管理暂行规定》，建设单位属于排污许可管理范围内，应持证排污，禁止无证排污或不按证排污。</w:t>
            </w:r>
          </w:p>
          <w:p>
            <w:pPr>
              <w:autoSpaceDE w:val="0"/>
              <w:autoSpaceDN w:val="0"/>
              <w:adjustRightInd w:val="0"/>
              <w:snapToGrid w:val="0"/>
              <w:spacing w:line="360" w:lineRule="auto"/>
              <w:ind w:firstLine="420" w:firstLineChars="200"/>
              <w:rPr>
                <w:szCs w:val="21"/>
              </w:rPr>
            </w:pPr>
            <w:r>
              <w:rPr>
                <w:szCs w:val="21"/>
              </w:rPr>
              <w:t>项目竣工环保设施验收清单见表4-19。</w:t>
            </w:r>
          </w:p>
          <w:p>
            <w:pPr>
              <w:spacing w:line="276" w:lineRule="auto"/>
              <w:jc w:val="center"/>
              <w:rPr>
                <w:b/>
                <w:bCs/>
                <w:szCs w:val="21"/>
              </w:rPr>
            </w:pPr>
            <w:r>
              <w:rPr>
                <w:b/>
                <w:bCs/>
                <w:szCs w:val="21"/>
              </w:rPr>
              <w:t>表4-19 环境保护竣工验收一览表</w:t>
            </w:r>
          </w:p>
          <w:tbl>
            <w:tblPr>
              <w:tblStyle w:val="21"/>
              <w:tblW w:w="1262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861"/>
              <w:gridCol w:w="1705"/>
              <w:gridCol w:w="1980"/>
              <w:gridCol w:w="3119"/>
              <w:gridCol w:w="2268"/>
              <w:gridCol w:w="26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861" w:type="dxa"/>
                  <w:vAlign w:val="center"/>
                </w:tcPr>
                <w:p>
                  <w:pPr>
                    <w:jc w:val="center"/>
                    <w:rPr>
                      <w:spacing w:val="3"/>
                      <w:szCs w:val="21"/>
                    </w:rPr>
                  </w:pPr>
                  <w:r>
                    <w:rPr>
                      <w:spacing w:val="3"/>
                      <w:szCs w:val="21"/>
                    </w:rPr>
                    <w:t>类别</w:t>
                  </w:r>
                </w:p>
              </w:tc>
              <w:tc>
                <w:tcPr>
                  <w:tcW w:w="1705" w:type="dxa"/>
                  <w:vAlign w:val="center"/>
                </w:tcPr>
                <w:p>
                  <w:pPr>
                    <w:jc w:val="center"/>
                    <w:rPr>
                      <w:spacing w:val="3"/>
                      <w:szCs w:val="21"/>
                    </w:rPr>
                  </w:pPr>
                  <w:r>
                    <w:rPr>
                      <w:spacing w:val="3"/>
                      <w:szCs w:val="21"/>
                    </w:rPr>
                    <w:t>污染源名称</w:t>
                  </w:r>
                </w:p>
              </w:tc>
              <w:tc>
                <w:tcPr>
                  <w:tcW w:w="1980" w:type="dxa"/>
                  <w:vAlign w:val="center"/>
                </w:tcPr>
                <w:p>
                  <w:pPr>
                    <w:jc w:val="center"/>
                    <w:rPr>
                      <w:spacing w:val="3"/>
                      <w:szCs w:val="21"/>
                    </w:rPr>
                  </w:pPr>
                  <w:r>
                    <w:rPr>
                      <w:spacing w:val="3"/>
                      <w:szCs w:val="21"/>
                    </w:rPr>
                    <w:t>监测项目</w:t>
                  </w:r>
                </w:p>
              </w:tc>
              <w:tc>
                <w:tcPr>
                  <w:tcW w:w="3119" w:type="dxa"/>
                  <w:vAlign w:val="center"/>
                </w:tcPr>
                <w:p>
                  <w:pPr>
                    <w:jc w:val="center"/>
                    <w:rPr>
                      <w:spacing w:val="3"/>
                      <w:szCs w:val="21"/>
                    </w:rPr>
                  </w:pPr>
                  <w:r>
                    <w:rPr>
                      <w:spacing w:val="3"/>
                      <w:szCs w:val="21"/>
                    </w:rPr>
                    <w:t>治理措施</w:t>
                  </w:r>
                </w:p>
              </w:tc>
              <w:tc>
                <w:tcPr>
                  <w:tcW w:w="2268" w:type="dxa"/>
                  <w:vAlign w:val="center"/>
                </w:tcPr>
                <w:p>
                  <w:pPr>
                    <w:jc w:val="center"/>
                    <w:rPr>
                      <w:spacing w:val="3"/>
                      <w:szCs w:val="21"/>
                    </w:rPr>
                  </w:pPr>
                  <w:r>
                    <w:rPr>
                      <w:spacing w:val="3"/>
                      <w:szCs w:val="21"/>
                    </w:rPr>
                    <w:t>处理效率</w:t>
                  </w:r>
                </w:p>
              </w:tc>
              <w:tc>
                <w:tcPr>
                  <w:tcW w:w="2693" w:type="dxa"/>
                  <w:vAlign w:val="center"/>
                </w:tcPr>
                <w:p>
                  <w:pPr>
                    <w:jc w:val="center"/>
                    <w:rPr>
                      <w:szCs w:val="21"/>
                    </w:rPr>
                  </w:pPr>
                  <w:r>
                    <w:rPr>
                      <w:spacing w:val="3"/>
                      <w:szCs w:val="21"/>
                    </w:rPr>
                    <w:t>验收标准及要求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861" w:type="dxa"/>
                  <w:vMerge w:val="restart"/>
                  <w:vAlign w:val="center"/>
                </w:tcPr>
                <w:p>
                  <w:pPr>
                    <w:jc w:val="center"/>
                    <w:rPr>
                      <w:spacing w:val="3"/>
                      <w:szCs w:val="21"/>
                    </w:rPr>
                  </w:pPr>
                  <w:r>
                    <w:rPr>
                      <w:spacing w:val="3"/>
                      <w:szCs w:val="21"/>
                    </w:rPr>
                    <w:t>废水</w:t>
                  </w:r>
                </w:p>
              </w:tc>
              <w:tc>
                <w:tcPr>
                  <w:tcW w:w="1705" w:type="dxa"/>
                  <w:tcBorders>
                    <w:bottom w:val="single" w:color="000000" w:sz="4" w:space="0"/>
                  </w:tcBorders>
                  <w:vAlign w:val="center"/>
                </w:tcPr>
                <w:p>
                  <w:pPr>
                    <w:snapToGrid w:val="0"/>
                    <w:jc w:val="center"/>
                    <w:rPr>
                      <w:spacing w:val="3"/>
                      <w:szCs w:val="21"/>
                    </w:rPr>
                  </w:pPr>
                  <w:r>
                    <w:rPr>
                      <w:szCs w:val="21"/>
                    </w:rPr>
                    <w:t>生活污水</w:t>
                  </w:r>
                </w:p>
              </w:tc>
              <w:tc>
                <w:tcPr>
                  <w:tcW w:w="1980" w:type="dxa"/>
                  <w:vAlign w:val="center"/>
                </w:tcPr>
                <w:p>
                  <w:pPr>
                    <w:jc w:val="center"/>
                    <w:rPr>
                      <w:spacing w:val="3"/>
                      <w:szCs w:val="21"/>
                    </w:rPr>
                  </w:pPr>
                  <w:r>
                    <w:t>CODcr、BOD</w:t>
                  </w:r>
                  <w:r>
                    <w:rPr>
                      <w:vertAlign w:val="subscript"/>
                    </w:rPr>
                    <w:t>5</w:t>
                  </w:r>
                  <w:r>
                    <w:t>、SS、 NH</w:t>
                  </w:r>
                  <w:r>
                    <w:rPr>
                      <w:vertAlign w:val="subscript"/>
                    </w:rPr>
                    <w:t>3</w:t>
                  </w:r>
                  <w:r>
                    <w:t>-N</w:t>
                  </w:r>
                </w:p>
              </w:tc>
              <w:tc>
                <w:tcPr>
                  <w:tcW w:w="3119" w:type="dxa"/>
                  <w:tcBorders>
                    <w:bottom w:val="single" w:color="000000" w:sz="4" w:space="0"/>
                  </w:tcBorders>
                  <w:vAlign w:val="center"/>
                </w:tcPr>
                <w:p>
                  <w:pPr>
                    <w:jc w:val="center"/>
                    <w:rPr>
                      <w:spacing w:val="3"/>
                      <w:szCs w:val="21"/>
                    </w:rPr>
                  </w:pPr>
                  <w:r>
                    <w:rPr>
                      <w:spacing w:val="3"/>
                      <w:szCs w:val="21"/>
                    </w:rPr>
                    <w:t>化粪池</w:t>
                  </w:r>
                </w:p>
              </w:tc>
              <w:tc>
                <w:tcPr>
                  <w:tcW w:w="2268" w:type="dxa"/>
                  <w:tcBorders>
                    <w:bottom w:val="single" w:color="000000" w:sz="4" w:space="0"/>
                  </w:tcBorders>
                  <w:vAlign w:val="center"/>
                </w:tcPr>
                <w:p>
                  <w:pPr>
                    <w:jc w:val="center"/>
                    <w:rPr>
                      <w:spacing w:val="3"/>
                      <w:szCs w:val="21"/>
                    </w:rPr>
                  </w:pPr>
                  <w:r>
                    <w:rPr>
                      <w:spacing w:val="3"/>
                      <w:szCs w:val="21"/>
                    </w:rPr>
                    <w:t>CODcr：30%，BOD</w:t>
                  </w:r>
                  <w:r>
                    <w:rPr>
                      <w:spacing w:val="3"/>
                      <w:szCs w:val="21"/>
                      <w:vertAlign w:val="subscript"/>
                    </w:rPr>
                    <w:t>5</w:t>
                  </w:r>
                  <w:r>
                    <w:rPr>
                      <w:spacing w:val="3"/>
                      <w:szCs w:val="21"/>
                    </w:rPr>
                    <w:t>:20%，SS：50%，NH</w:t>
                  </w:r>
                  <w:r>
                    <w:rPr>
                      <w:spacing w:val="3"/>
                      <w:szCs w:val="21"/>
                      <w:vertAlign w:val="subscript"/>
                    </w:rPr>
                    <w:t>3</w:t>
                  </w:r>
                  <w:r>
                    <w:rPr>
                      <w:spacing w:val="3"/>
                      <w:szCs w:val="21"/>
                    </w:rPr>
                    <w:t>-N：10%</w:t>
                  </w:r>
                </w:p>
              </w:tc>
              <w:tc>
                <w:tcPr>
                  <w:tcW w:w="2693" w:type="dxa"/>
                  <w:vMerge w:val="restart"/>
                  <w:vAlign w:val="center"/>
                </w:tcPr>
                <w:p>
                  <w:pPr>
                    <w:rPr>
                      <w:szCs w:val="21"/>
                    </w:rPr>
                  </w:pPr>
                  <w:r>
                    <w:rPr>
                      <w:szCs w:val="21"/>
                    </w:rPr>
                    <w:t>满足宁都县污水处理厂接管标准，</w:t>
                  </w:r>
                  <w:r>
                    <w:t>石油类执行</w:t>
                  </w:r>
                  <w:r>
                    <w:rPr>
                      <w:szCs w:val="21"/>
                    </w:rPr>
                    <w:t>《污水综合排放标准》（GB8978-1996）三级标准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861" w:type="dxa"/>
                  <w:vMerge w:val="continue"/>
                  <w:vAlign w:val="center"/>
                </w:tcPr>
                <w:p>
                  <w:pPr>
                    <w:jc w:val="center"/>
                    <w:rPr>
                      <w:spacing w:val="3"/>
                      <w:szCs w:val="21"/>
                    </w:rPr>
                  </w:pPr>
                </w:p>
              </w:tc>
              <w:tc>
                <w:tcPr>
                  <w:tcW w:w="1705" w:type="dxa"/>
                  <w:tcBorders>
                    <w:top w:val="single" w:color="000000" w:sz="4" w:space="0"/>
                  </w:tcBorders>
                  <w:vAlign w:val="center"/>
                </w:tcPr>
                <w:p>
                  <w:pPr>
                    <w:jc w:val="center"/>
                    <w:rPr>
                      <w:szCs w:val="21"/>
                    </w:rPr>
                  </w:pPr>
                  <w:r>
                    <w:rPr>
                      <w:szCs w:val="21"/>
                    </w:rPr>
                    <w:t>地面冲洗废水</w:t>
                  </w:r>
                </w:p>
              </w:tc>
              <w:tc>
                <w:tcPr>
                  <w:tcW w:w="1980" w:type="dxa"/>
                  <w:vAlign w:val="center"/>
                </w:tcPr>
                <w:p>
                  <w:pPr>
                    <w:jc w:val="center"/>
                    <w:rPr>
                      <w:spacing w:val="3"/>
                      <w:szCs w:val="21"/>
                    </w:rPr>
                  </w:pPr>
                  <w:r>
                    <w:t>CODcr、SS、石油类</w:t>
                  </w:r>
                </w:p>
              </w:tc>
              <w:tc>
                <w:tcPr>
                  <w:tcW w:w="3119" w:type="dxa"/>
                  <w:tcBorders>
                    <w:top w:val="single" w:color="000000" w:sz="4" w:space="0"/>
                  </w:tcBorders>
                  <w:vAlign w:val="center"/>
                </w:tcPr>
                <w:p>
                  <w:pPr>
                    <w:jc w:val="center"/>
                    <w:rPr>
                      <w:spacing w:val="3"/>
                      <w:szCs w:val="21"/>
                    </w:rPr>
                  </w:pPr>
                  <w:r>
                    <w:rPr>
                      <w:spacing w:val="3"/>
                      <w:szCs w:val="21"/>
                    </w:rPr>
                    <w:t>隔油沉淀池</w:t>
                  </w:r>
                </w:p>
              </w:tc>
              <w:tc>
                <w:tcPr>
                  <w:tcW w:w="2268" w:type="dxa"/>
                  <w:tcBorders>
                    <w:top w:val="single" w:color="000000" w:sz="4" w:space="0"/>
                  </w:tcBorders>
                  <w:vAlign w:val="center"/>
                </w:tcPr>
                <w:p>
                  <w:pPr>
                    <w:jc w:val="center"/>
                    <w:rPr>
                      <w:spacing w:val="3"/>
                      <w:szCs w:val="21"/>
                    </w:rPr>
                  </w:pPr>
                  <w:r>
                    <w:rPr>
                      <w:spacing w:val="3"/>
                      <w:szCs w:val="21"/>
                    </w:rPr>
                    <w:t>SS：80%，石油类：90%</w:t>
                  </w:r>
                </w:p>
              </w:tc>
              <w:tc>
                <w:tcPr>
                  <w:tcW w:w="2693" w:type="dxa"/>
                  <w:vMerge w:val="continue"/>
                  <w:vAlign w:val="center"/>
                </w:tcPr>
                <w:p>
                  <w:pPr>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861" w:type="dxa"/>
                  <w:vAlign w:val="center"/>
                </w:tcPr>
                <w:p>
                  <w:pPr>
                    <w:jc w:val="center"/>
                    <w:rPr>
                      <w:spacing w:val="3"/>
                      <w:szCs w:val="21"/>
                    </w:rPr>
                  </w:pPr>
                  <w:r>
                    <w:rPr>
                      <w:spacing w:val="3"/>
                      <w:szCs w:val="21"/>
                    </w:rPr>
                    <w:t>废气</w:t>
                  </w:r>
                </w:p>
              </w:tc>
              <w:tc>
                <w:tcPr>
                  <w:tcW w:w="1705" w:type="dxa"/>
                  <w:vAlign w:val="center"/>
                </w:tcPr>
                <w:p>
                  <w:pPr>
                    <w:jc w:val="center"/>
                    <w:rPr>
                      <w:spacing w:val="3"/>
                      <w:szCs w:val="21"/>
                    </w:rPr>
                  </w:pPr>
                  <w:r>
                    <w:rPr>
                      <w:szCs w:val="21"/>
                    </w:rPr>
                    <w:t>油罐区、加油区</w:t>
                  </w:r>
                </w:p>
              </w:tc>
              <w:tc>
                <w:tcPr>
                  <w:tcW w:w="1980" w:type="dxa"/>
                  <w:vAlign w:val="center"/>
                </w:tcPr>
                <w:p>
                  <w:pPr>
                    <w:jc w:val="center"/>
                    <w:rPr>
                      <w:spacing w:val="3"/>
                      <w:szCs w:val="21"/>
                    </w:rPr>
                  </w:pPr>
                  <w:r>
                    <w:rPr>
                      <w:spacing w:val="3"/>
                      <w:szCs w:val="21"/>
                    </w:rPr>
                    <w:t>非甲烷总烃</w:t>
                  </w:r>
                </w:p>
              </w:tc>
              <w:tc>
                <w:tcPr>
                  <w:tcW w:w="3119" w:type="dxa"/>
                  <w:vAlign w:val="center"/>
                </w:tcPr>
                <w:p>
                  <w:pPr>
                    <w:jc w:val="center"/>
                    <w:rPr>
                      <w:spacing w:val="3"/>
                      <w:szCs w:val="21"/>
                    </w:rPr>
                  </w:pPr>
                  <w:r>
                    <w:rPr>
                      <w:spacing w:val="3"/>
                      <w:szCs w:val="21"/>
                    </w:rPr>
                    <w:t>油气回收装置</w:t>
                  </w:r>
                </w:p>
              </w:tc>
              <w:tc>
                <w:tcPr>
                  <w:tcW w:w="2268" w:type="dxa"/>
                  <w:vAlign w:val="center"/>
                </w:tcPr>
                <w:p>
                  <w:pPr>
                    <w:jc w:val="center"/>
                    <w:rPr>
                      <w:spacing w:val="3"/>
                      <w:szCs w:val="21"/>
                    </w:rPr>
                  </w:pPr>
                  <w:r>
                    <w:rPr>
                      <w:spacing w:val="3"/>
                      <w:szCs w:val="21"/>
                    </w:rPr>
                    <w:t>汽油回收效率95%</w:t>
                  </w:r>
                </w:p>
              </w:tc>
              <w:tc>
                <w:tcPr>
                  <w:tcW w:w="2693" w:type="dxa"/>
                  <w:vAlign w:val="center"/>
                </w:tcPr>
                <w:p>
                  <w:pPr>
                    <w:autoSpaceDE w:val="0"/>
                    <w:autoSpaceDN w:val="0"/>
                    <w:adjustRightInd w:val="0"/>
                    <w:rPr>
                      <w:szCs w:val="21"/>
                    </w:rPr>
                  </w:pPr>
                  <w:r>
                    <w:rPr>
                      <w:kern w:val="0"/>
                      <w:szCs w:val="21"/>
                    </w:rPr>
                    <w:t>满足《加油站大气污染物排放标准》(GB20952-2020)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861" w:type="dxa"/>
                  <w:vAlign w:val="center"/>
                </w:tcPr>
                <w:p>
                  <w:pPr>
                    <w:jc w:val="center"/>
                    <w:rPr>
                      <w:spacing w:val="3"/>
                      <w:szCs w:val="21"/>
                    </w:rPr>
                  </w:pPr>
                  <w:r>
                    <w:rPr>
                      <w:spacing w:val="3"/>
                      <w:szCs w:val="21"/>
                    </w:rPr>
                    <w:t>噪声</w:t>
                  </w:r>
                </w:p>
              </w:tc>
              <w:tc>
                <w:tcPr>
                  <w:tcW w:w="1705" w:type="dxa"/>
                  <w:vAlign w:val="center"/>
                </w:tcPr>
                <w:p>
                  <w:pPr>
                    <w:jc w:val="center"/>
                    <w:rPr>
                      <w:spacing w:val="3"/>
                      <w:szCs w:val="21"/>
                    </w:rPr>
                  </w:pPr>
                  <w:r>
                    <w:rPr>
                      <w:spacing w:val="3"/>
                      <w:szCs w:val="21"/>
                    </w:rPr>
                    <w:t>生产</w:t>
                  </w:r>
                </w:p>
              </w:tc>
              <w:tc>
                <w:tcPr>
                  <w:tcW w:w="1980" w:type="dxa"/>
                  <w:vAlign w:val="center"/>
                </w:tcPr>
                <w:p>
                  <w:pPr>
                    <w:jc w:val="center"/>
                    <w:rPr>
                      <w:kern w:val="0"/>
                      <w:szCs w:val="21"/>
                    </w:rPr>
                  </w:pPr>
                  <w:r>
                    <w:rPr>
                      <w:kern w:val="0"/>
                      <w:szCs w:val="21"/>
                    </w:rPr>
                    <w:t>设备噪声</w:t>
                  </w:r>
                </w:p>
              </w:tc>
              <w:tc>
                <w:tcPr>
                  <w:tcW w:w="3119" w:type="dxa"/>
                  <w:vAlign w:val="center"/>
                </w:tcPr>
                <w:p>
                  <w:pPr>
                    <w:jc w:val="center"/>
                    <w:rPr>
                      <w:spacing w:val="3"/>
                      <w:szCs w:val="21"/>
                    </w:rPr>
                  </w:pPr>
                  <w:r>
                    <w:t>选用低降噪设备，出入车辆禁鸣、限速标示牌、厂区绿化</w:t>
                  </w:r>
                </w:p>
              </w:tc>
              <w:tc>
                <w:tcPr>
                  <w:tcW w:w="2268" w:type="dxa"/>
                  <w:vAlign w:val="center"/>
                </w:tcPr>
                <w:p>
                  <w:pPr>
                    <w:jc w:val="center"/>
                    <w:rPr>
                      <w:spacing w:val="3"/>
                      <w:szCs w:val="21"/>
                    </w:rPr>
                  </w:pPr>
                  <w:r>
                    <w:rPr>
                      <w:spacing w:val="3"/>
                      <w:szCs w:val="21"/>
                    </w:rPr>
                    <w:t>—</w:t>
                  </w:r>
                </w:p>
              </w:tc>
              <w:tc>
                <w:tcPr>
                  <w:tcW w:w="2693" w:type="dxa"/>
                  <w:vAlign w:val="center"/>
                </w:tcPr>
                <w:p>
                  <w:pPr>
                    <w:autoSpaceDE w:val="0"/>
                    <w:autoSpaceDN w:val="0"/>
                    <w:adjustRightInd w:val="0"/>
                    <w:rPr>
                      <w:szCs w:val="21"/>
                    </w:rPr>
                  </w:pPr>
                  <w:r>
                    <w:rPr>
                      <w:kern w:val="0"/>
                      <w:szCs w:val="21"/>
                    </w:rPr>
                    <w:t>场界噪声满足《工业企业厂界环境噪声排放标准》（GB12348-2008）2类、4a类标准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861" w:type="dxa"/>
                  <w:vMerge w:val="restart"/>
                  <w:vAlign w:val="center"/>
                </w:tcPr>
                <w:p>
                  <w:pPr>
                    <w:jc w:val="center"/>
                    <w:rPr>
                      <w:spacing w:val="3"/>
                      <w:szCs w:val="21"/>
                    </w:rPr>
                  </w:pPr>
                  <w:r>
                    <w:rPr>
                      <w:spacing w:val="3"/>
                      <w:szCs w:val="21"/>
                    </w:rPr>
                    <w:t>固体废物</w:t>
                  </w:r>
                </w:p>
              </w:tc>
              <w:tc>
                <w:tcPr>
                  <w:tcW w:w="1705" w:type="dxa"/>
                  <w:vAlign w:val="center"/>
                </w:tcPr>
                <w:p>
                  <w:pPr>
                    <w:jc w:val="center"/>
                    <w:rPr>
                      <w:spacing w:val="3"/>
                      <w:szCs w:val="21"/>
                    </w:rPr>
                  </w:pPr>
                  <w:r>
                    <w:rPr>
                      <w:spacing w:val="3"/>
                      <w:szCs w:val="21"/>
                    </w:rPr>
                    <w:t>生活</w:t>
                  </w:r>
                </w:p>
              </w:tc>
              <w:tc>
                <w:tcPr>
                  <w:tcW w:w="1980" w:type="dxa"/>
                  <w:vAlign w:val="center"/>
                </w:tcPr>
                <w:p>
                  <w:pPr>
                    <w:jc w:val="center"/>
                    <w:rPr>
                      <w:spacing w:val="3"/>
                      <w:szCs w:val="21"/>
                    </w:rPr>
                  </w:pPr>
                  <w:r>
                    <w:rPr>
                      <w:spacing w:val="3"/>
                      <w:szCs w:val="21"/>
                    </w:rPr>
                    <w:t>生活垃圾</w:t>
                  </w:r>
                </w:p>
              </w:tc>
              <w:tc>
                <w:tcPr>
                  <w:tcW w:w="3119" w:type="dxa"/>
                  <w:vAlign w:val="center"/>
                </w:tcPr>
                <w:p>
                  <w:pPr>
                    <w:jc w:val="center"/>
                    <w:rPr>
                      <w:spacing w:val="3"/>
                      <w:szCs w:val="21"/>
                    </w:rPr>
                  </w:pPr>
                  <w:r>
                    <w:rPr>
                      <w:spacing w:val="3"/>
                      <w:szCs w:val="21"/>
                    </w:rPr>
                    <w:t>收集后交环卫部门处理</w:t>
                  </w:r>
                </w:p>
              </w:tc>
              <w:tc>
                <w:tcPr>
                  <w:tcW w:w="2268" w:type="dxa"/>
                  <w:vAlign w:val="center"/>
                </w:tcPr>
                <w:p>
                  <w:pPr>
                    <w:jc w:val="center"/>
                    <w:rPr>
                      <w:spacing w:val="3"/>
                      <w:szCs w:val="21"/>
                    </w:rPr>
                  </w:pPr>
                  <w:r>
                    <w:rPr>
                      <w:spacing w:val="3"/>
                      <w:szCs w:val="21"/>
                    </w:rPr>
                    <w:t>收集率：100%</w:t>
                  </w:r>
                </w:p>
              </w:tc>
              <w:tc>
                <w:tcPr>
                  <w:tcW w:w="2693" w:type="dxa"/>
                  <w:vMerge w:val="restart"/>
                  <w:vAlign w:val="center"/>
                </w:tcPr>
                <w:p>
                  <w:pPr>
                    <w:rPr>
                      <w:spacing w:val="3"/>
                      <w:szCs w:val="21"/>
                    </w:rPr>
                  </w:pPr>
                  <w:r>
                    <w:rPr>
                      <w:spacing w:val="3"/>
                      <w:szCs w:val="21"/>
                    </w:rPr>
                    <w:t>资源化、无害化、减量化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861" w:type="dxa"/>
                  <w:vMerge w:val="continue"/>
                  <w:vAlign w:val="center"/>
                </w:tcPr>
                <w:p>
                  <w:pPr>
                    <w:jc w:val="center"/>
                    <w:rPr>
                      <w:spacing w:val="3"/>
                      <w:szCs w:val="21"/>
                    </w:rPr>
                  </w:pPr>
                </w:p>
              </w:tc>
              <w:tc>
                <w:tcPr>
                  <w:tcW w:w="1705" w:type="dxa"/>
                  <w:tcBorders>
                    <w:bottom w:val="single" w:color="auto" w:sz="4" w:space="0"/>
                  </w:tcBorders>
                  <w:vAlign w:val="center"/>
                </w:tcPr>
                <w:p>
                  <w:pPr>
                    <w:jc w:val="center"/>
                    <w:rPr>
                      <w:spacing w:val="3"/>
                      <w:szCs w:val="21"/>
                    </w:rPr>
                  </w:pPr>
                  <w:r>
                    <w:rPr>
                      <w:spacing w:val="3"/>
                      <w:szCs w:val="21"/>
                    </w:rPr>
                    <w:t>生产运营</w:t>
                  </w:r>
                </w:p>
              </w:tc>
              <w:tc>
                <w:tcPr>
                  <w:tcW w:w="1980" w:type="dxa"/>
                  <w:tcBorders>
                    <w:bottom w:val="single" w:color="auto" w:sz="4" w:space="0"/>
                  </w:tcBorders>
                  <w:vAlign w:val="center"/>
                </w:tcPr>
                <w:p>
                  <w:pPr>
                    <w:jc w:val="center"/>
                    <w:rPr>
                      <w:spacing w:val="3"/>
                      <w:szCs w:val="21"/>
                    </w:rPr>
                  </w:pPr>
                  <w:r>
                    <w:rPr>
                      <w:spacing w:val="3"/>
                      <w:szCs w:val="21"/>
                    </w:rPr>
                    <w:t>废吸油棉</w:t>
                  </w:r>
                </w:p>
              </w:tc>
              <w:tc>
                <w:tcPr>
                  <w:tcW w:w="3119" w:type="dxa"/>
                  <w:vMerge w:val="restart"/>
                  <w:vAlign w:val="center"/>
                </w:tcPr>
                <w:p>
                  <w:pPr>
                    <w:rPr>
                      <w:szCs w:val="21"/>
                    </w:rPr>
                  </w:pPr>
                  <w:r>
                    <w:rPr>
                      <w:rFonts w:hint="eastAsia"/>
                      <w:spacing w:val="3"/>
                      <w:szCs w:val="21"/>
                    </w:rPr>
                    <w:t>北侧储藏室</w:t>
                  </w:r>
                  <w:r>
                    <w:rPr>
                      <w:szCs w:val="21"/>
                    </w:rPr>
                    <w:t>设有危废暂存</w:t>
                  </w:r>
                  <w:r>
                    <w:rPr>
                      <w:spacing w:val="3"/>
                      <w:szCs w:val="21"/>
                    </w:rPr>
                    <w:t>间1间，</w:t>
                  </w:r>
                  <w:r>
                    <w:rPr>
                      <w:rFonts w:hint="eastAsia"/>
                      <w:spacing w:val="3"/>
                      <w:szCs w:val="21"/>
                    </w:rPr>
                    <w:t>，设置围堰，</w:t>
                  </w:r>
                  <w:r>
                    <w:rPr>
                      <w:spacing w:val="3"/>
                      <w:szCs w:val="21"/>
                    </w:rPr>
                    <w:t>定期</w:t>
                  </w:r>
                  <w:r>
                    <w:rPr>
                      <w:szCs w:val="21"/>
                    </w:rPr>
                    <w:t>委托有资质单位处理</w:t>
                  </w:r>
                </w:p>
              </w:tc>
              <w:tc>
                <w:tcPr>
                  <w:tcW w:w="2268" w:type="dxa"/>
                  <w:vMerge w:val="restart"/>
                  <w:vAlign w:val="center"/>
                </w:tcPr>
                <w:p>
                  <w:pPr>
                    <w:jc w:val="center"/>
                    <w:rPr>
                      <w:spacing w:val="3"/>
                      <w:szCs w:val="21"/>
                    </w:rPr>
                  </w:pPr>
                  <w:r>
                    <w:rPr>
                      <w:spacing w:val="3"/>
                      <w:szCs w:val="21"/>
                    </w:rPr>
                    <w:t>收集率：100%</w:t>
                  </w:r>
                </w:p>
              </w:tc>
              <w:tc>
                <w:tcPr>
                  <w:tcW w:w="2693" w:type="dxa"/>
                  <w:vMerge w:val="continue"/>
                  <w:vAlign w:val="center"/>
                </w:tcPr>
                <w:p>
                  <w:pP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861" w:type="dxa"/>
                  <w:vMerge w:val="continue"/>
                  <w:vAlign w:val="center"/>
                </w:tcPr>
                <w:p>
                  <w:pPr>
                    <w:jc w:val="center"/>
                    <w:rPr>
                      <w:spacing w:val="3"/>
                      <w:szCs w:val="21"/>
                    </w:rPr>
                  </w:pPr>
                </w:p>
              </w:tc>
              <w:tc>
                <w:tcPr>
                  <w:tcW w:w="1705" w:type="dxa"/>
                  <w:tcBorders>
                    <w:bottom w:val="single" w:color="auto" w:sz="4" w:space="0"/>
                  </w:tcBorders>
                  <w:vAlign w:val="center"/>
                </w:tcPr>
                <w:p>
                  <w:pPr>
                    <w:jc w:val="center"/>
                    <w:rPr>
                      <w:kern w:val="21"/>
                      <w:szCs w:val="21"/>
                    </w:rPr>
                  </w:pPr>
                  <w:r>
                    <w:rPr>
                      <w:spacing w:val="3"/>
                      <w:szCs w:val="21"/>
                    </w:rPr>
                    <w:t>废油渣、</w:t>
                  </w:r>
                  <w:r>
                    <w:rPr>
                      <w:szCs w:val="21"/>
                    </w:rPr>
                    <w:t>隔油沉淀池废油</w:t>
                  </w:r>
                  <w:r>
                    <w:rPr>
                      <w:spacing w:val="3"/>
                      <w:szCs w:val="21"/>
                    </w:rPr>
                    <w:t>泥</w:t>
                  </w:r>
                </w:p>
              </w:tc>
              <w:tc>
                <w:tcPr>
                  <w:tcW w:w="1980" w:type="dxa"/>
                  <w:tcBorders>
                    <w:bottom w:val="single" w:color="auto" w:sz="4" w:space="0"/>
                  </w:tcBorders>
                  <w:vAlign w:val="center"/>
                </w:tcPr>
                <w:p>
                  <w:pPr>
                    <w:jc w:val="center"/>
                    <w:rPr>
                      <w:szCs w:val="21"/>
                    </w:rPr>
                  </w:pPr>
                  <w:r>
                    <w:rPr>
                      <w:spacing w:val="3"/>
                      <w:szCs w:val="21"/>
                    </w:rPr>
                    <w:t>废油渣、</w:t>
                  </w:r>
                  <w:r>
                    <w:rPr>
                      <w:szCs w:val="21"/>
                    </w:rPr>
                    <w:t>隔油沉淀池废油</w:t>
                  </w:r>
                  <w:r>
                    <w:rPr>
                      <w:spacing w:val="3"/>
                      <w:szCs w:val="21"/>
                    </w:rPr>
                    <w:t>泥</w:t>
                  </w:r>
                </w:p>
              </w:tc>
              <w:tc>
                <w:tcPr>
                  <w:tcW w:w="3119" w:type="dxa"/>
                  <w:vMerge w:val="continue"/>
                  <w:tcBorders>
                    <w:bottom w:val="single" w:color="auto" w:sz="4" w:space="0"/>
                  </w:tcBorders>
                  <w:vAlign w:val="center"/>
                </w:tcPr>
                <w:p>
                  <w:pPr>
                    <w:rPr>
                      <w:kern w:val="21"/>
                      <w:szCs w:val="21"/>
                    </w:rPr>
                  </w:pPr>
                </w:p>
              </w:tc>
              <w:tc>
                <w:tcPr>
                  <w:tcW w:w="2268" w:type="dxa"/>
                  <w:vMerge w:val="continue"/>
                  <w:tcBorders>
                    <w:bottom w:val="single" w:color="auto" w:sz="4" w:space="0"/>
                  </w:tcBorders>
                  <w:vAlign w:val="center"/>
                </w:tcPr>
                <w:p>
                  <w:pPr>
                    <w:jc w:val="center"/>
                    <w:rPr>
                      <w:spacing w:val="3"/>
                      <w:szCs w:val="21"/>
                    </w:rPr>
                  </w:pPr>
                </w:p>
              </w:tc>
              <w:tc>
                <w:tcPr>
                  <w:tcW w:w="2693" w:type="dxa"/>
                  <w:vMerge w:val="continue"/>
                  <w:vAlign w:val="center"/>
                </w:tcPr>
                <w:p>
                  <w:pPr>
                    <w:rPr>
                      <w:spacing w:val="3"/>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861" w:type="dxa"/>
                  <w:tcBorders>
                    <w:right w:val="single" w:color="auto" w:sz="4" w:space="0"/>
                  </w:tcBorders>
                  <w:vAlign w:val="center"/>
                </w:tcPr>
                <w:p>
                  <w:pPr>
                    <w:jc w:val="center"/>
                    <w:rPr>
                      <w:spacing w:val="3"/>
                      <w:szCs w:val="21"/>
                    </w:rPr>
                  </w:pPr>
                  <w:r>
                    <w:rPr>
                      <w:spacing w:val="3"/>
                      <w:szCs w:val="21"/>
                    </w:rPr>
                    <w:t>地下水</w:t>
                  </w:r>
                </w:p>
              </w:tc>
              <w:tc>
                <w:tcPr>
                  <w:tcW w:w="1705" w:type="dxa"/>
                  <w:tcBorders>
                    <w:left w:val="single" w:color="auto" w:sz="4" w:space="0"/>
                  </w:tcBorders>
                  <w:vAlign w:val="center"/>
                </w:tcPr>
                <w:p>
                  <w:pPr>
                    <w:jc w:val="center"/>
                    <w:rPr>
                      <w:spacing w:val="3"/>
                      <w:szCs w:val="21"/>
                    </w:rPr>
                  </w:pPr>
                  <w:r>
                    <w:t>埋地储油罐区、加油区、油品埋地管道区域</w:t>
                  </w:r>
                </w:p>
              </w:tc>
              <w:tc>
                <w:tcPr>
                  <w:tcW w:w="1980" w:type="dxa"/>
                  <w:vAlign w:val="center"/>
                </w:tcPr>
                <w:p>
                  <w:pPr>
                    <w:autoSpaceDE w:val="0"/>
                    <w:autoSpaceDN w:val="0"/>
                    <w:adjustRightInd w:val="0"/>
                    <w:jc w:val="center"/>
                    <w:rPr>
                      <w:kern w:val="0"/>
                      <w:szCs w:val="21"/>
                    </w:rPr>
                  </w:pPr>
                  <w:r>
                    <w:rPr>
                      <w:kern w:val="0"/>
                      <w:szCs w:val="21"/>
                    </w:rPr>
                    <w:t>石油类</w:t>
                  </w:r>
                </w:p>
              </w:tc>
              <w:tc>
                <w:tcPr>
                  <w:tcW w:w="5387" w:type="dxa"/>
                  <w:gridSpan w:val="2"/>
                  <w:tcBorders>
                    <w:right w:val="single" w:color="auto" w:sz="4" w:space="0"/>
                  </w:tcBorders>
                  <w:vAlign w:val="center"/>
                </w:tcPr>
                <w:p>
                  <w:pPr>
                    <w:autoSpaceDE w:val="0"/>
                    <w:autoSpaceDN w:val="0"/>
                    <w:adjustRightInd w:val="0"/>
                    <w:jc w:val="left"/>
                    <w:rPr>
                      <w:spacing w:val="3"/>
                      <w:szCs w:val="21"/>
                    </w:rPr>
                  </w:pPr>
                  <w:r>
                    <w:rPr>
                      <w:kern w:val="0"/>
                      <w:szCs w:val="21"/>
                    </w:rPr>
                    <w:t>使用双层油罐、场地防渗分区管理、重点防渗区域采取防渗防漏措施等。</w:t>
                  </w:r>
                </w:p>
              </w:tc>
              <w:tc>
                <w:tcPr>
                  <w:tcW w:w="2693" w:type="dxa"/>
                  <w:tcBorders>
                    <w:left w:val="single" w:color="auto" w:sz="4" w:space="0"/>
                  </w:tcBorders>
                  <w:vAlign w:val="center"/>
                </w:tcPr>
                <w:p>
                  <w:pPr>
                    <w:autoSpaceDE w:val="0"/>
                    <w:autoSpaceDN w:val="0"/>
                    <w:adjustRightInd w:val="0"/>
                    <w:jc w:val="left"/>
                    <w:rPr>
                      <w:spacing w:val="3"/>
                      <w:szCs w:val="21"/>
                    </w:rPr>
                  </w:pPr>
                  <w:r>
                    <w:t>减轻对周边环境的影响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861" w:type="dxa"/>
                  <w:tcBorders>
                    <w:right w:val="single" w:color="auto" w:sz="4" w:space="0"/>
                  </w:tcBorders>
                  <w:vAlign w:val="center"/>
                </w:tcPr>
                <w:p>
                  <w:pPr>
                    <w:jc w:val="center"/>
                    <w:rPr>
                      <w:spacing w:val="3"/>
                      <w:szCs w:val="21"/>
                    </w:rPr>
                  </w:pPr>
                  <w:r>
                    <w:rPr>
                      <w:spacing w:val="3"/>
                      <w:szCs w:val="21"/>
                    </w:rPr>
                    <w:t>环境风险</w:t>
                  </w:r>
                </w:p>
              </w:tc>
              <w:tc>
                <w:tcPr>
                  <w:tcW w:w="1705" w:type="dxa"/>
                  <w:tcBorders>
                    <w:left w:val="single" w:color="auto" w:sz="4" w:space="0"/>
                  </w:tcBorders>
                  <w:vAlign w:val="center"/>
                </w:tcPr>
                <w:p>
                  <w:pPr>
                    <w:jc w:val="center"/>
                    <w:rPr>
                      <w:spacing w:val="3"/>
                      <w:szCs w:val="21"/>
                    </w:rPr>
                  </w:pPr>
                  <w:r>
                    <w:t>储罐区、加油区</w:t>
                  </w:r>
                </w:p>
              </w:tc>
              <w:tc>
                <w:tcPr>
                  <w:tcW w:w="1980" w:type="dxa"/>
                  <w:vAlign w:val="center"/>
                </w:tcPr>
                <w:p>
                  <w:pPr>
                    <w:autoSpaceDE w:val="0"/>
                    <w:autoSpaceDN w:val="0"/>
                    <w:adjustRightInd w:val="0"/>
                    <w:jc w:val="center"/>
                    <w:rPr>
                      <w:kern w:val="0"/>
                      <w:szCs w:val="21"/>
                    </w:rPr>
                  </w:pPr>
                  <w:r>
                    <w:rPr>
                      <w:kern w:val="0"/>
                      <w:szCs w:val="21"/>
                    </w:rPr>
                    <w:t>火灾、泄漏</w:t>
                  </w:r>
                </w:p>
              </w:tc>
              <w:tc>
                <w:tcPr>
                  <w:tcW w:w="5387" w:type="dxa"/>
                  <w:gridSpan w:val="2"/>
                  <w:tcBorders>
                    <w:right w:val="single" w:color="auto" w:sz="4" w:space="0"/>
                  </w:tcBorders>
                  <w:vAlign w:val="center"/>
                </w:tcPr>
                <w:p>
                  <w:pPr>
                    <w:autoSpaceDE w:val="0"/>
                    <w:autoSpaceDN w:val="0"/>
                    <w:adjustRightInd w:val="0"/>
                    <w:jc w:val="left"/>
                    <w:rPr>
                      <w:spacing w:val="3"/>
                      <w:szCs w:val="21"/>
                    </w:rPr>
                  </w:pPr>
                  <w:r>
                    <w:rPr>
                      <w:rFonts w:hint="eastAsia"/>
                      <w:kern w:val="0"/>
                      <w:szCs w:val="21"/>
                    </w:rPr>
                    <w:t>设置油罐区围堰，</w:t>
                  </w:r>
                  <w:r>
                    <w:rPr>
                      <w:kern w:val="0"/>
                      <w:szCs w:val="21"/>
                    </w:rPr>
                    <w:t>设置消防围堰，消防砂池、设置可燃气体监控、火灾报警系统、制定应急预案、消防设施验收等，制定安全评价并根据安评结论完善风险防范措施</w:t>
                  </w:r>
                  <w:r>
                    <w:rPr>
                      <w:kern w:val="18"/>
                      <w:szCs w:val="21"/>
                    </w:rPr>
                    <w:t>。</w:t>
                  </w:r>
                  <w:r>
                    <w:rPr>
                      <w:kern w:val="0"/>
                      <w:szCs w:val="21"/>
                    </w:rPr>
                    <w:t>设置充电桩防雨、防尘设施，供电监控、安防监控、报警系统等。</w:t>
                  </w:r>
                </w:p>
              </w:tc>
              <w:tc>
                <w:tcPr>
                  <w:tcW w:w="2693" w:type="dxa"/>
                  <w:tcBorders>
                    <w:left w:val="single" w:color="auto" w:sz="4" w:space="0"/>
                  </w:tcBorders>
                  <w:vAlign w:val="center"/>
                </w:tcPr>
                <w:p>
                  <w:pPr>
                    <w:autoSpaceDE w:val="0"/>
                    <w:autoSpaceDN w:val="0"/>
                    <w:adjustRightInd w:val="0"/>
                    <w:jc w:val="left"/>
                    <w:rPr>
                      <w:spacing w:val="3"/>
                      <w:szCs w:val="21"/>
                    </w:rPr>
                  </w:pPr>
                  <w:r>
                    <w:t>减轻对周边环境的影响</w:t>
                  </w:r>
                </w:p>
              </w:tc>
            </w:tr>
          </w:tbl>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rPr>
                <w:bCs/>
                <w:color w:val="FF0000"/>
                <w:spacing w:val="-10"/>
                <w:szCs w:val="21"/>
              </w:rPr>
            </w:pPr>
          </w:p>
          <w:p>
            <w:pPr>
              <w:adjustRightInd w:val="0"/>
              <w:snapToGrid w:val="0"/>
              <w:spacing w:line="360" w:lineRule="auto"/>
              <w:rPr>
                <w:bCs/>
                <w:color w:val="FF0000"/>
                <w:spacing w:val="-10"/>
                <w:szCs w:val="21"/>
              </w:rPr>
            </w:pPr>
          </w:p>
          <w:p>
            <w:pPr>
              <w:adjustRightInd w:val="0"/>
              <w:snapToGrid w:val="0"/>
              <w:spacing w:line="360" w:lineRule="auto"/>
              <w:rPr>
                <w:bCs/>
                <w:color w:val="FF0000"/>
                <w:spacing w:val="-10"/>
                <w:szCs w:val="21"/>
              </w:rPr>
            </w:pPr>
          </w:p>
          <w:p>
            <w:pPr>
              <w:adjustRightInd w:val="0"/>
              <w:snapToGrid w:val="0"/>
              <w:spacing w:line="360" w:lineRule="auto"/>
              <w:rPr>
                <w:bCs/>
                <w:color w:val="FF0000"/>
                <w:spacing w:val="-10"/>
                <w:szCs w:val="21"/>
              </w:rPr>
            </w:pPr>
          </w:p>
          <w:p>
            <w:pPr>
              <w:adjustRightInd w:val="0"/>
              <w:snapToGrid w:val="0"/>
              <w:spacing w:line="360" w:lineRule="auto"/>
              <w:rPr>
                <w:rFonts w:hint="eastAsia"/>
                <w:bCs/>
                <w:color w:val="FF0000"/>
                <w:spacing w:val="-10"/>
                <w:szCs w:val="21"/>
              </w:rPr>
            </w:pPr>
          </w:p>
        </w:tc>
      </w:tr>
    </w:tbl>
    <w:p>
      <w:pPr>
        <w:adjustRightInd w:val="0"/>
        <w:snapToGrid w:val="0"/>
        <w:spacing w:line="360" w:lineRule="auto"/>
        <w:rPr>
          <w:b/>
          <w:color w:val="FF0000"/>
          <w:kern w:val="0"/>
          <w:sz w:val="28"/>
          <w:szCs w:val="28"/>
        </w:rPr>
        <w:sectPr>
          <w:pgSz w:w="16840" w:h="11907" w:orient="landscape"/>
          <w:pgMar w:top="1531" w:right="1701" w:bottom="1531" w:left="2127" w:header="851" w:footer="851" w:gutter="0"/>
          <w:cols w:space="720" w:num="1"/>
          <w:docGrid w:linePitch="312" w:charSpace="0"/>
        </w:sectPr>
      </w:pPr>
    </w:p>
    <w:p>
      <w:pPr>
        <w:pStyle w:val="17"/>
        <w:jc w:val="center"/>
        <w:outlineLvl w:val="0"/>
        <w:rPr>
          <w:rFonts w:ascii="Times New Roman" w:hAnsi="Times New Roman"/>
          <w:snapToGrid w:val="0"/>
          <w:sz w:val="30"/>
          <w:szCs w:val="30"/>
        </w:rPr>
      </w:pPr>
      <w:r>
        <w:rPr>
          <w:rFonts w:ascii="Times New Roman" w:hAnsi="Times New Roman"/>
          <w:snapToGrid w:val="0"/>
          <w:sz w:val="30"/>
          <w:szCs w:val="30"/>
        </w:rPr>
        <w:t>五、</w:t>
      </w:r>
      <w:bookmarkStart w:id="5" w:name="_Hlk54167917"/>
      <w:r>
        <w:rPr>
          <w:rFonts w:ascii="Times New Roman" w:hAnsi="Times New Roman"/>
          <w:snapToGrid w:val="0"/>
          <w:sz w:val="30"/>
          <w:szCs w:val="30"/>
        </w:rPr>
        <w:t>环境保护措施监督检查清单</w:t>
      </w:r>
      <w:bookmarkEnd w:id="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1755"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755" w:type="dxa"/>
            <w:vAlign w:val="center"/>
          </w:tcPr>
          <w:p>
            <w:pPr>
              <w:adjustRightInd w:val="0"/>
              <w:snapToGrid w:val="0"/>
              <w:jc w:val="center"/>
              <w:rPr>
                <w:szCs w:val="21"/>
              </w:rPr>
            </w:pPr>
            <w:r>
              <w:rPr>
                <w:szCs w:val="21"/>
              </w:rPr>
              <w:t>污染物项目</w:t>
            </w:r>
          </w:p>
        </w:tc>
        <w:tc>
          <w:tcPr>
            <w:tcW w:w="1755" w:type="dxa"/>
            <w:vAlign w:val="center"/>
          </w:tcPr>
          <w:p>
            <w:pPr>
              <w:adjustRightInd w:val="0"/>
              <w:snapToGrid w:val="0"/>
              <w:jc w:val="center"/>
              <w:rPr>
                <w:szCs w:val="21"/>
              </w:rPr>
            </w:pPr>
            <w:r>
              <w:rPr>
                <w:szCs w:val="21"/>
              </w:rPr>
              <w:t>环境保护措施</w:t>
            </w:r>
          </w:p>
        </w:tc>
        <w:tc>
          <w:tcPr>
            <w:tcW w:w="1757"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szCs w:val="21"/>
              </w:rPr>
            </w:pPr>
            <w:r>
              <w:rPr>
                <w:szCs w:val="21"/>
              </w:rPr>
              <w:t>大气环境</w:t>
            </w:r>
          </w:p>
        </w:tc>
        <w:tc>
          <w:tcPr>
            <w:tcW w:w="1755" w:type="dxa"/>
            <w:vAlign w:val="center"/>
          </w:tcPr>
          <w:p>
            <w:pPr>
              <w:adjustRightInd w:val="0"/>
              <w:snapToGrid w:val="0"/>
              <w:jc w:val="center"/>
              <w:rPr>
                <w:szCs w:val="21"/>
              </w:rPr>
            </w:pPr>
            <w:r>
              <w:rPr>
                <w:szCs w:val="21"/>
              </w:rPr>
              <w:t>加油区、卸油区、油罐区</w:t>
            </w:r>
          </w:p>
        </w:tc>
        <w:tc>
          <w:tcPr>
            <w:tcW w:w="1755" w:type="dxa"/>
            <w:vAlign w:val="center"/>
          </w:tcPr>
          <w:p>
            <w:pPr>
              <w:adjustRightInd w:val="0"/>
              <w:snapToGrid w:val="0"/>
              <w:jc w:val="center"/>
              <w:rPr>
                <w:szCs w:val="21"/>
              </w:rPr>
            </w:pPr>
            <w:r>
              <w:rPr>
                <w:szCs w:val="21"/>
              </w:rPr>
              <w:t>非甲烷总烃</w:t>
            </w:r>
          </w:p>
        </w:tc>
        <w:tc>
          <w:tcPr>
            <w:tcW w:w="1755" w:type="dxa"/>
            <w:vAlign w:val="center"/>
          </w:tcPr>
          <w:p>
            <w:pPr>
              <w:adjustRightInd w:val="0"/>
              <w:snapToGrid w:val="0"/>
              <w:jc w:val="center"/>
              <w:rPr>
                <w:szCs w:val="21"/>
              </w:rPr>
            </w:pPr>
            <w:r>
              <w:rPr>
                <w:szCs w:val="21"/>
              </w:rPr>
              <w:t xml:space="preserve">采用埋地式油罐，采用自封式加油枪、密闭加卸油油气回收系统 </w:t>
            </w:r>
          </w:p>
        </w:tc>
        <w:tc>
          <w:tcPr>
            <w:tcW w:w="1757" w:type="dxa"/>
            <w:vAlign w:val="center"/>
          </w:tcPr>
          <w:p>
            <w:pPr>
              <w:adjustRightInd w:val="0"/>
              <w:snapToGrid w:val="0"/>
              <w:jc w:val="center"/>
              <w:rPr>
                <w:szCs w:val="21"/>
              </w:rPr>
            </w:pPr>
            <w:r>
              <w:rPr>
                <w:szCs w:val="21"/>
              </w:rPr>
              <w:t>厂界浓度执行《加油站大气污染物排放标准》（GB20952-20207）表3中无组织排放限值，厂区内无组织排放监控点浓度执行《挥发性有机物无组织排放控制标准》(GB37822-2019)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Cs w:val="21"/>
              </w:rPr>
            </w:pPr>
          </w:p>
        </w:tc>
        <w:tc>
          <w:tcPr>
            <w:tcW w:w="1755" w:type="dxa"/>
            <w:vAlign w:val="center"/>
          </w:tcPr>
          <w:p>
            <w:pPr>
              <w:adjustRightInd w:val="0"/>
              <w:snapToGrid w:val="0"/>
              <w:jc w:val="center"/>
              <w:rPr>
                <w:szCs w:val="21"/>
              </w:rPr>
            </w:pPr>
            <w:r>
              <w:rPr>
                <w:szCs w:val="21"/>
              </w:rPr>
              <w:t>来往车辆</w:t>
            </w:r>
          </w:p>
        </w:tc>
        <w:tc>
          <w:tcPr>
            <w:tcW w:w="1755" w:type="dxa"/>
            <w:vAlign w:val="center"/>
          </w:tcPr>
          <w:p>
            <w:pPr>
              <w:adjustRightInd w:val="0"/>
              <w:snapToGrid w:val="0"/>
              <w:jc w:val="center"/>
              <w:rPr>
                <w:szCs w:val="21"/>
              </w:rPr>
            </w:pPr>
            <w:r>
              <w:rPr>
                <w:szCs w:val="21"/>
              </w:rPr>
              <w:t>汽车尾气</w:t>
            </w:r>
          </w:p>
        </w:tc>
        <w:tc>
          <w:tcPr>
            <w:tcW w:w="1755" w:type="dxa"/>
            <w:vAlign w:val="center"/>
          </w:tcPr>
          <w:p>
            <w:pPr>
              <w:adjustRightInd w:val="0"/>
              <w:snapToGrid w:val="0"/>
              <w:jc w:val="center"/>
              <w:rPr>
                <w:szCs w:val="21"/>
              </w:rPr>
            </w:pPr>
            <w:r>
              <w:rPr>
                <w:szCs w:val="21"/>
              </w:rPr>
              <w:t>加强进站车辆管理，减少站内停车怠速运行时间</w:t>
            </w:r>
          </w:p>
        </w:tc>
        <w:tc>
          <w:tcPr>
            <w:tcW w:w="1757"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szCs w:val="21"/>
              </w:rPr>
            </w:pPr>
            <w:r>
              <w:rPr>
                <w:szCs w:val="21"/>
              </w:rPr>
              <w:t>地表水环境</w:t>
            </w:r>
          </w:p>
        </w:tc>
        <w:tc>
          <w:tcPr>
            <w:tcW w:w="1755" w:type="dxa"/>
            <w:vAlign w:val="center"/>
          </w:tcPr>
          <w:p>
            <w:pPr>
              <w:adjustRightInd w:val="0"/>
              <w:snapToGrid w:val="0"/>
              <w:jc w:val="center"/>
              <w:rPr>
                <w:szCs w:val="21"/>
              </w:rPr>
            </w:pPr>
            <w:r>
              <w:rPr>
                <w:szCs w:val="21"/>
              </w:rPr>
              <w:t>员工及顾客生活污水</w:t>
            </w:r>
          </w:p>
        </w:tc>
        <w:tc>
          <w:tcPr>
            <w:tcW w:w="1755" w:type="dxa"/>
            <w:vAlign w:val="center"/>
          </w:tcPr>
          <w:p>
            <w:pPr>
              <w:jc w:val="center"/>
              <w:rPr>
                <w:szCs w:val="21"/>
              </w:rPr>
            </w:pPr>
            <w:r>
              <w:rPr>
                <w:szCs w:val="21"/>
              </w:rPr>
              <w:t>pH、BOD</w:t>
            </w:r>
            <w:r>
              <w:rPr>
                <w:szCs w:val="21"/>
                <w:vertAlign w:val="subscript"/>
              </w:rPr>
              <w:t>5</w:t>
            </w:r>
            <w:r>
              <w:rPr>
                <w:szCs w:val="21"/>
              </w:rPr>
              <w:t>、CODcr、SS、NH</w:t>
            </w:r>
            <w:r>
              <w:rPr>
                <w:szCs w:val="21"/>
                <w:vertAlign w:val="subscript"/>
              </w:rPr>
              <w:t>3</w:t>
            </w:r>
            <w:r>
              <w:rPr>
                <w:szCs w:val="21"/>
              </w:rPr>
              <w:t xml:space="preserve">-N </w:t>
            </w:r>
          </w:p>
        </w:tc>
        <w:tc>
          <w:tcPr>
            <w:tcW w:w="1755" w:type="dxa"/>
            <w:vAlign w:val="center"/>
          </w:tcPr>
          <w:p>
            <w:pPr>
              <w:snapToGrid w:val="0"/>
              <w:jc w:val="center"/>
              <w:rPr>
                <w:szCs w:val="21"/>
              </w:rPr>
            </w:pPr>
            <w:r>
              <w:rPr>
                <w:szCs w:val="21"/>
              </w:rPr>
              <w:t>化粪池</w:t>
            </w:r>
          </w:p>
        </w:tc>
        <w:tc>
          <w:tcPr>
            <w:tcW w:w="1757" w:type="dxa"/>
            <w:vMerge w:val="restart"/>
            <w:vAlign w:val="center"/>
          </w:tcPr>
          <w:p>
            <w:pPr>
              <w:adjustRightInd w:val="0"/>
              <w:snapToGrid w:val="0"/>
              <w:jc w:val="center"/>
              <w:rPr>
                <w:szCs w:val="21"/>
              </w:rPr>
            </w:pPr>
            <w:r>
              <w:rPr>
                <w:szCs w:val="21"/>
              </w:rPr>
              <w:t>宁都县污水处理厂接管标准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Cs w:val="21"/>
              </w:rPr>
            </w:pPr>
          </w:p>
        </w:tc>
        <w:tc>
          <w:tcPr>
            <w:tcW w:w="1755" w:type="dxa"/>
            <w:vAlign w:val="center"/>
          </w:tcPr>
          <w:p>
            <w:pPr>
              <w:adjustRightInd w:val="0"/>
              <w:snapToGrid w:val="0"/>
              <w:jc w:val="center"/>
              <w:rPr>
                <w:szCs w:val="21"/>
              </w:rPr>
            </w:pPr>
            <w:r>
              <w:rPr>
                <w:szCs w:val="21"/>
              </w:rPr>
              <w:t>地面冲洗废水</w:t>
            </w:r>
          </w:p>
        </w:tc>
        <w:tc>
          <w:tcPr>
            <w:tcW w:w="1755" w:type="dxa"/>
            <w:vAlign w:val="center"/>
          </w:tcPr>
          <w:p>
            <w:pPr>
              <w:adjustRightInd w:val="0"/>
              <w:snapToGrid w:val="0"/>
              <w:jc w:val="center"/>
              <w:rPr>
                <w:szCs w:val="21"/>
              </w:rPr>
            </w:pPr>
            <w:r>
              <w:rPr>
                <w:szCs w:val="21"/>
              </w:rPr>
              <w:t>CODcr、SS、石油类</w:t>
            </w:r>
          </w:p>
        </w:tc>
        <w:tc>
          <w:tcPr>
            <w:tcW w:w="1755" w:type="dxa"/>
            <w:vAlign w:val="center"/>
          </w:tcPr>
          <w:p>
            <w:pPr>
              <w:adjustRightInd w:val="0"/>
              <w:snapToGrid w:val="0"/>
              <w:jc w:val="center"/>
              <w:rPr>
                <w:szCs w:val="21"/>
              </w:rPr>
            </w:pPr>
            <w:r>
              <w:rPr>
                <w:szCs w:val="21"/>
              </w:rPr>
              <w:t>隔油沉淀池</w:t>
            </w:r>
          </w:p>
        </w:tc>
        <w:tc>
          <w:tcPr>
            <w:tcW w:w="1757"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Cs w:val="21"/>
              </w:rPr>
            </w:pPr>
            <w:r>
              <w:rPr>
                <w:szCs w:val="21"/>
              </w:rPr>
              <w:t>声环境</w:t>
            </w:r>
          </w:p>
        </w:tc>
        <w:tc>
          <w:tcPr>
            <w:tcW w:w="1755" w:type="dxa"/>
            <w:vAlign w:val="center"/>
          </w:tcPr>
          <w:p>
            <w:pPr>
              <w:jc w:val="center"/>
            </w:pPr>
            <w:r>
              <w:rPr>
                <w:spacing w:val="3"/>
              </w:rPr>
              <w:t>加油机、进出车辆等</w:t>
            </w:r>
          </w:p>
        </w:tc>
        <w:tc>
          <w:tcPr>
            <w:tcW w:w="1755" w:type="dxa"/>
            <w:vAlign w:val="center"/>
          </w:tcPr>
          <w:p>
            <w:pPr>
              <w:jc w:val="center"/>
            </w:pPr>
            <w:r>
              <w:t>等效连续A声级</w:t>
            </w:r>
          </w:p>
        </w:tc>
        <w:tc>
          <w:tcPr>
            <w:tcW w:w="1755" w:type="dxa"/>
            <w:vAlign w:val="center"/>
          </w:tcPr>
          <w:p>
            <w:pPr>
              <w:snapToGrid w:val="0"/>
              <w:jc w:val="center"/>
            </w:pPr>
            <w:r>
              <w:rPr>
                <w:kern w:val="0"/>
              </w:rPr>
              <w:t>隔声、减振降噪措施</w:t>
            </w:r>
          </w:p>
        </w:tc>
        <w:tc>
          <w:tcPr>
            <w:tcW w:w="1757" w:type="dxa"/>
            <w:vAlign w:val="center"/>
          </w:tcPr>
          <w:p>
            <w:pPr>
              <w:snapToGrid w:val="0"/>
              <w:jc w:val="center"/>
              <w:rPr>
                <w:spacing w:val="3"/>
              </w:rPr>
            </w:pPr>
            <w:r>
              <w:rPr>
                <w:spacing w:val="3"/>
              </w:rPr>
              <w:t>《工业企业厂界环境噪声排放标准》（GB12348</w:t>
            </w:r>
          </w:p>
          <w:p>
            <w:pPr>
              <w:snapToGrid w:val="0"/>
              <w:jc w:val="center"/>
            </w:pPr>
            <w:r>
              <w:rPr>
                <w:spacing w:val="3"/>
              </w:rPr>
              <w:t>-2008）2类、4类标准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Cs w:val="21"/>
              </w:rPr>
            </w:pPr>
            <w:r>
              <w:rPr>
                <w:szCs w:val="21"/>
              </w:rPr>
              <w:t>电磁辐射</w:t>
            </w:r>
          </w:p>
        </w:tc>
        <w:tc>
          <w:tcPr>
            <w:tcW w:w="1755" w:type="dxa"/>
            <w:vAlign w:val="center"/>
          </w:tcPr>
          <w:p>
            <w:pPr>
              <w:adjustRightInd w:val="0"/>
              <w:snapToGrid w:val="0"/>
              <w:jc w:val="center"/>
              <w:rPr>
                <w:szCs w:val="21"/>
              </w:rPr>
            </w:pPr>
            <w:r>
              <w:rPr>
                <w:szCs w:val="21"/>
              </w:rPr>
              <w:t>/</w:t>
            </w:r>
          </w:p>
        </w:tc>
        <w:tc>
          <w:tcPr>
            <w:tcW w:w="1755" w:type="dxa"/>
            <w:vAlign w:val="center"/>
          </w:tcPr>
          <w:p>
            <w:pPr>
              <w:adjustRightInd w:val="0"/>
              <w:snapToGrid w:val="0"/>
              <w:jc w:val="center"/>
              <w:rPr>
                <w:szCs w:val="21"/>
              </w:rPr>
            </w:pPr>
            <w:r>
              <w:rPr>
                <w:szCs w:val="21"/>
              </w:rPr>
              <w:t>/</w:t>
            </w:r>
          </w:p>
        </w:tc>
        <w:tc>
          <w:tcPr>
            <w:tcW w:w="1755" w:type="dxa"/>
            <w:vAlign w:val="center"/>
          </w:tcPr>
          <w:p>
            <w:pPr>
              <w:adjustRightInd w:val="0"/>
              <w:snapToGrid w:val="0"/>
              <w:jc w:val="center"/>
              <w:rPr>
                <w:szCs w:val="21"/>
              </w:rPr>
            </w:pPr>
            <w:r>
              <w:rPr>
                <w:szCs w:val="21"/>
              </w:rPr>
              <w:t>/</w:t>
            </w:r>
          </w:p>
        </w:tc>
        <w:tc>
          <w:tcPr>
            <w:tcW w:w="1757"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778" w:type="dxa"/>
            <w:vAlign w:val="center"/>
          </w:tcPr>
          <w:p>
            <w:pPr>
              <w:adjustRightInd w:val="0"/>
              <w:snapToGrid w:val="0"/>
              <w:jc w:val="center"/>
              <w:rPr>
                <w:szCs w:val="21"/>
              </w:rPr>
            </w:pPr>
            <w:r>
              <w:rPr>
                <w:szCs w:val="21"/>
              </w:rPr>
              <w:t>固体废物</w:t>
            </w:r>
          </w:p>
        </w:tc>
        <w:tc>
          <w:tcPr>
            <w:tcW w:w="7022" w:type="dxa"/>
            <w:gridSpan w:val="4"/>
            <w:vAlign w:val="center"/>
          </w:tcPr>
          <w:p>
            <w:pPr>
              <w:pStyle w:val="57"/>
              <w:jc w:val="center"/>
              <w:rPr>
                <w:rFonts w:ascii="Times New Roman" w:cs="Times New Roman"/>
                <w:color w:val="auto"/>
                <w:szCs w:val="21"/>
              </w:rPr>
            </w:pPr>
            <w:r>
              <w:rPr>
                <w:rFonts w:ascii="Times New Roman" w:cs="Times New Roman"/>
                <w:bCs/>
                <w:color w:val="auto"/>
                <w:sz w:val="21"/>
                <w:szCs w:val="21"/>
              </w:rPr>
              <w:t>废油渣、隔油沉淀池废油泥和废吸油棉等危险废物收集暂存于危废暂存间</w:t>
            </w:r>
            <w:r>
              <w:rPr>
                <w:rFonts w:hint="eastAsia" w:ascii="Times New Roman" w:cs="Times New Roman"/>
                <w:bCs/>
                <w:color w:val="auto"/>
                <w:sz w:val="21"/>
                <w:szCs w:val="21"/>
              </w:rPr>
              <w:t>（北侧储藏室，设置围堰），</w:t>
            </w:r>
            <w:r>
              <w:rPr>
                <w:rFonts w:ascii="Times New Roman" w:cs="Times New Roman"/>
                <w:bCs/>
                <w:color w:val="auto"/>
                <w:sz w:val="21"/>
                <w:szCs w:val="21"/>
              </w:rPr>
              <w:t>后定期委托有资质的危险废物处理单位处理；</w:t>
            </w:r>
            <w:r>
              <w:rPr>
                <w:rFonts w:ascii="Times New Roman" w:cs="Times New Roman"/>
                <w:color w:val="auto"/>
                <w:sz w:val="21"/>
                <w:szCs w:val="21"/>
              </w:rPr>
              <w:t>生活垃圾收集后交由环卫部门统一清运处理。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022" w:type="dxa"/>
            <w:gridSpan w:val="4"/>
            <w:vAlign w:val="center"/>
          </w:tcPr>
          <w:p>
            <w:pPr>
              <w:adjustRightInd w:val="0"/>
              <w:snapToGrid w:val="0"/>
              <w:jc w:val="center"/>
              <w:rPr>
                <w:szCs w:val="21"/>
              </w:rPr>
            </w:pPr>
            <w:r>
              <w:rPr>
                <w:kern w:val="0"/>
                <w:szCs w:val="21"/>
              </w:rPr>
              <w:t>使用双层油罐、场地防渗分区管理、重点防渗区域采取防渗防漏措施。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szCs w:val="21"/>
              </w:rPr>
            </w:pPr>
            <w:r>
              <w:rPr>
                <w:szCs w:val="21"/>
              </w:rPr>
              <w:t>生态保护措施</w:t>
            </w:r>
          </w:p>
        </w:tc>
        <w:tc>
          <w:tcPr>
            <w:tcW w:w="7022" w:type="dxa"/>
            <w:gridSpan w:val="4"/>
            <w:vAlign w:val="center"/>
          </w:tcPr>
          <w:p>
            <w:pPr>
              <w:adjustRightInd w:val="0"/>
              <w:snapToGrid w:val="0"/>
              <w:jc w:val="center"/>
              <w:rPr>
                <w:szCs w:val="21"/>
              </w:rPr>
            </w:pPr>
            <w:r>
              <w:rPr>
                <w:szCs w:val="21"/>
              </w:rPr>
              <w:t>在站区周围空闲地带进行绿化，在项目区空地及道路两旁种植树木、草皮。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022" w:type="dxa"/>
            <w:gridSpan w:val="4"/>
            <w:vAlign w:val="center"/>
          </w:tcPr>
          <w:p>
            <w:pPr>
              <w:adjustRightInd w:val="0"/>
              <w:snapToGrid w:val="0"/>
              <w:jc w:val="center"/>
              <w:rPr>
                <w:szCs w:val="21"/>
              </w:rPr>
            </w:pPr>
            <w:r>
              <w:rPr>
                <w:rFonts w:hint="eastAsia"/>
                <w:szCs w:val="21"/>
              </w:rPr>
              <w:t>油罐区设置围堰，</w:t>
            </w:r>
            <w:r>
              <w:rPr>
                <w:kern w:val="0"/>
                <w:szCs w:val="21"/>
              </w:rPr>
              <w:t>设置消防围堰，消防砂池、设置可燃气体监控、火灾报警系统、制定应急预案、消防设施验收等，制定安全评价并根据安评结论完善风险防范措施。设置充电桩防雨、防尘设施，供电监控、安防监控、报警系统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022" w:type="dxa"/>
            <w:gridSpan w:val="4"/>
            <w:vAlign w:val="center"/>
          </w:tcPr>
          <w:p>
            <w:pPr>
              <w:pStyle w:val="10"/>
              <w:adjustRightInd w:val="0"/>
              <w:snapToGrid w:val="0"/>
              <w:spacing w:line="360" w:lineRule="auto"/>
              <w:ind w:left="479" w:leftChars="228"/>
              <w:rPr>
                <w:rFonts w:ascii="Times New Roman" w:hAnsi="Times New Roman"/>
                <w:b/>
                <w:sz w:val="21"/>
                <w:szCs w:val="21"/>
              </w:rPr>
            </w:pPr>
            <w:r>
              <w:rPr>
                <w:rFonts w:ascii="Times New Roman" w:hAnsi="Times New Roman"/>
                <w:b/>
                <w:sz w:val="21"/>
                <w:szCs w:val="21"/>
              </w:rPr>
              <w:t>1、环境管理</w:t>
            </w:r>
          </w:p>
          <w:p>
            <w:pPr>
              <w:pStyle w:val="10"/>
              <w:adjustRightInd w:val="0"/>
              <w:snapToGrid w:val="0"/>
              <w:spacing w:line="360" w:lineRule="auto"/>
              <w:ind w:left="479" w:leftChars="228"/>
              <w:rPr>
                <w:rFonts w:ascii="Times New Roman" w:hAnsi="Times New Roman"/>
                <w:sz w:val="21"/>
                <w:szCs w:val="21"/>
              </w:rPr>
            </w:pPr>
            <w:r>
              <w:rPr>
                <w:rFonts w:ascii="Times New Roman" w:hAnsi="Times New Roman"/>
                <w:sz w:val="21"/>
                <w:szCs w:val="21"/>
              </w:rPr>
              <w:t>（1）环境保护机构的设置</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根据《建设项目环境保护设计规定》有关要求，应设置环境管理机构，定员1-2人。也可委托当地环境监测部门进行日常监测，为环境管理提供可靠的依据。建设单位委托具有监测资质单位进行定期监测。</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（2）环境管理要点</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1）“三同时”验收</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根据《建设项目竣工环境保护验收暂行办法》中的规定要求，建设项目竣工后，建设单位应进行自主竣工验收，然后方可正式投产运行。</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2）制定环境管理文件及实施细则</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根据国家、地方政府对企业环境管理的基本要求，结合项目的具体情况，制定环境管理文件和实施细则。</w:t>
            </w:r>
          </w:p>
          <w:p>
            <w:pPr>
              <w:pStyle w:val="10"/>
              <w:adjustRightInd w:val="0"/>
              <w:snapToGrid w:val="0"/>
              <w:spacing w:line="360" w:lineRule="auto"/>
              <w:ind w:firstLine="420" w:firstLineChars="200"/>
              <w:rPr>
                <w:rFonts w:ascii="Times New Roman" w:hAnsi="Times New Roman"/>
                <w:sz w:val="21"/>
                <w:szCs w:val="21"/>
              </w:rPr>
            </w:pPr>
            <w:r>
              <w:rPr>
                <w:rFonts w:ascii="Times New Roman" w:hAnsi="Times New Roman"/>
                <w:sz w:val="21"/>
                <w:szCs w:val="21"/>
              </w:rPr>
              <w:t>3）信息公开</w:t>
            </w:r>
          </w:p>
          <w:p>
            <w:pPr>
              <w:pStyle w:val="73"/>
              <w:ind w:firstLine="420"/>
              <w:jc w:val="both"/>
              <w:rPr>
                <w:rFonts w:ascii="Times New Roman" w:hAnsi="Times New Roman" w:cs="Times New Roman"/>
                <w:sz w:val="21"/>
                <w:szCs w:val="21"/>
              </w:rPr>
            </w:pPr>
            <w:r>
              <w:rPr>
                <w:rFonts w:ascii="Times New Roman" w:hAnsi="Times New Roman" w:cs="Times New Roman"/>
                <w:sz w:val="21"/>
                <w:szCs w:val="21"/>
              </w:rPr>
              <w:t>根据《建设项目环境保护事中事后监督管理办法（试行）》要求，建设单位应当主动向社会公开建设项目环境影响评价文件、污染防治设施建设运行情况、污染物排放情况、突发环境事件应急预案及应对情况等环境信息。</w:t>
            </w:r>
          </w:p>
          <w:p>
            <w:pPr>
              <w:pStyle w:val="73"/>
              <w:numPr>
                <w:ilvl w:val="0"/>
                <w:numId w:val="2"/>
              </w:numPr>
              <w:ind w:firstLineChars="0"/>
              <w:rPr>
                <w:rFonts w:ascii="Times New Roman" w:hAnsi="Times New Roman" w:cs="Times New Roman"/>
                <w:b/>
                <w:sz w:val="21"/>
                <w:szCs w:val="21"/>
              </w:rPr>
            </w:pPr>
            <w:r>
              <w:rPr>
                <w:rFonts w:ascii="Times New Roman" w:hAnsi="Times New Roman" w:cs="Times New Roman"/>
                <w:b/>
                <w:sz w:val="21"/>
                <w:szCs w:val="21"/>
              </w:rPr>
              <w:t>环境监测计划</w:t>
            </w:r>
          </w:p>
          <w:p>
            <w:pPr>
              <w:pStyle w:val="91"/>
              <w:ind w:firstLine="420"/>
              <w:rPr>
                <w:sz w:val="21"/>
                <w:szCs w:val="21"/>
              </w:rPr>
            </w:pPr>
            <w:r>
              <w:rPr>
                <w:sz w:val="21"/>
                <w:szCs w:val="21"/>
              </w:rPr>
              <w:t>环境监测是环境管理技术的重要支持，其主要职责是对本工程污染源和区域的环境质量进行监测，并对监测数据进行统计、分析，以便环境管理部门及时、准确地掌握本工程的污染动态和区域环境质量变化情况。</w:t>
            </w:r>
          </w:p>
          <w:p>
            <w:pPr>
              <w:pStyle w:val="91"/>
              <w:ind w:firstLine="420"/>
              <w:rPr>
                <w:sz w:val="21"/>
                <w:szCs w:val="21"/>
              </w:rPr>
            </w:pPr>
            <w:r>
              <w:rPr>
                <w:sz w:val="21"/>
                <w:szCs w:val="21"/>
              </w:rPr>
              <w:t>根据《排污单位自行监测技术指南总则》（HJ819-2017）和《排污许可证申请与核发技术规范储油库、加油站》（HJ1118-2020），制定建设单位自行监测方案。本次报告建议制定如下监测计划，如发现废气、废水和噪声超标，应及时进行整改，以降低周边环境的影响。</w:t>
            </w:r>
          </w:p>
          <w:p>
            <w:pPr>
              <w:pStyle w:val="93"/>
              <w:ind w:firstLine="422"/>
              <w:rPr>
                <w:bCs/>
                <w:kern w:val="2"/>
                <w:sz w:val="21"/>
                <w:szCs w:val="21"/>
              </w:rPr>
            </w:pPr>
            <w:r>
              <w:rPr>
                <w:bCs/>
                <w:kern w:val="2"/>
                <w:sz w:val="21"/>
                <w:szCs w:val="21"/>
              </w:rPr>
              <w:t>表5-1  污染源监测计划表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19"/>
              <w:gridCol w:w="1183"/>
              <w:gridCol w:w="1099"/>
              <w:gridCol w:w="878"/>
              <w:gridCol w:w="25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Align w:val="center"/>
                </w:tcPr>
                <w:p>
                  <w:pPr>
                    <w:widowControl/>
                    <w:jc w:val="center"/>
                    <w:textAlignment w:val="center"/>
                    <w:rPr>
                      <w:b/>
                      <w:szCs w:val="21"/>
                    </w:rPr>
                  </w:pPr>
                  <w:r>
                    <w:rPr>
                      <w:b/>
                      <w:szCs w:val="21"/>
                    </w:rPr>
                    <w:t>污染源</w:t>
                  </w:r>
                </w:p>
              </w:tc>
              <w:tc>
                <w:tcPr>
                  <w:tcW w:w="873" w:type="pct"/>
                  <w:vAlign w:val="center"/>
                </w:tcPr>
                <w:p>
                  <w:pPr>
                    <w:widowControl/>
                    <w:jc w:val="center"/>
                    <w:textAlignment w:val="center"/>
                    <w:rPr>
                      <w:b/>
                      <w:szCs w:val="21"/>
                    </w:rPr>
                  </w:pPr>
                  <w:r>
                    <w:rPr>
                      <w:b/>
                      <w:szCs w:val="21"/>
                    </w:rPr>
                    <w:t>监测点位</w:t>
                  </w:r>
                </w:p>
              </w:tc>
              <w:tc>
                <w:tcPr>
                  <w:tcW w:w="811" w:type="pct"/>
                  <w:vAlign w:val="center"/>
                </w:tcPr>
                <w:p>
                  <w:pPr>
                    <w:widowControl/>
                    <w:jc w:val="center"/>
                    <w:textAlignment w:val="center"/>
                    <w:rPr>
                      <w:b/>
                      <w:szCs w:val="21"/>
                    </w:rPr>
                  </w:pPr>
                  <w:r>
                    <w:rPr>
                      <w:b/>
                      <w:szCs w:val="21"/>
                    </w:rPr>
                    <w:t>监测指标</w:t>
                  </w:r>
                </w:p>
              </w:tc>
              <w:tc>
                <w:tcPr>
                  <w:tcW w:w="648" w:type="pct"/>
                  <w:vAlign w:val="center"/>
                </w:tcPr>
                <w:p>
                  <w:pPr>
                    <w:widowControl/>
                    <w:jc w:val="center"/>
                    <w:textAlignment w:val="center"/>
                    <w:rPr>
                      <w:b/>
                      <w:szCs w:val="21"/>
                    </w:rPr>
                  </w:pPr>
                  <w:r>
                    <w:rPr>
                      <w:b/>
                      <w:szCs w:val="21"/>
                    </w:rPr>
                    <w:t>监测频次</w:t>
                  </w:r>
                </w:p>
              </w:tc>
              <w:tc>
                <w:tcPr>
                  <w:tcW w:w="1915" w:type="pct"/>
                  <w:vAlign w:val="center"/>
                </w:tcPr>
                <w:p>
                  <w:pPr>
                    <w:widowControl/>
                    <w:jc w:val="center"/>
                    <w:textAlignment w:val="center"/>
                    <w:rPr>
                      <w:b/>
                      <w:szCs w:val="21"/>
                    </w:rPr>
                  </w:pPr>
                  <w:r>
                    <w:rPr>
                      <w:b/>
                      <w:szCs w:val="21"/>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Merge w:val="restart"/>
                  <w:vAlign w:val="center"/>
                </w:tcPr>
                <w:p>
                  <w:pPr>
                    <w:pStyle w:val="94"/>
                    <w:rPr>
                      <w:szCs w:val="21"/>
                    </w:rPr>
                  </w:pPr>
                  <w:r>
                    <w:rPr>
                      <w:szCs w:val="21"/>
                    </w:rPr>
                    <w:t>废气</w:t>
                  </w:r>
                </w:p>
              </w:tc>
              <w:tc>
                <w:tcPr>
                  <w:tcW w:w="873" w:type="pct"/>
                  <w:vAlign w:val="center"/>
                </w:tcPr>
                <w:p>
                  <w:pPr>
                    <w:pStyle w:val="94"/>
                    <w:rPr>
                      <w:szCs w:val="21"/>
                    </w:rPr>
                  </w:pPr>
                  <w:r>
                    <w:rPr>
                      <w:szCs w:val="21"/>
                    </w:rPr>
                    <w:t>厂界边界无组织排放监控点</w:t>
                  </w:r>
                </w:p>
              </w:tc>
              <w:tc>
                <w:tcPr>
                  <w:tcW w:w="811" w:type="pct"/>
                  <w:vAlign w:val="center"/>
                </w:tcPr>
                <w:p>
                  <w:pPr>
                    <w:pStyle w:val="94"/>
                    <w:rPr>
                      <w:szCs w:val="21"/>
                    </w:rPr>
                  </w:pPr>
                  <w:r>
                    <w:rPr>
                      <w:szCs w:val="21"/>
                    </w:rPr>
                    <w:t>非甲烷总烃</w:t>
                  </w:r>
                </w:p>
              </w:tc>
              <w:tc>
                <w:tcPr>
                  <w:tcW w:w="648" w:type="pct"/>
                  <w:vAlign w:val="center"/>
                </w:tcPr>
                <w:p>
                  <w:pPr>
                    <w:pStyle w:val="94"/>
                    <w:rPr>
                      <w:szCs w:val="21"/>
                    </w:rPr>
                  </w:pPr>
                  <w:r>
                    <w:rPr>
                      <w:szCs w:val="21"/>
                    </w:rPr>
                    <w:t>1次/年</w:t>
                  </w:r>
                </w:p>
              </w:tc>
              <w:tc>
                <w:tcPr>
                  <w:tcW w:w="1915" w:type="pct"/>
                  <w:vMerge w:val="restart"/>
                  <w:vAlign w:val="center"/>
                </w:tcPr>
                <w:p>
                  <w:pPr>
                    <w:pStyle w:val="94"/>
                    <w:rPr>
                      <w:szCs w:val="21"/>
                    </w:rPr>
                  </w:pPr>
                  <w:r>
                    <w:rPr>
                      <w:szCs w:val="21"/>
                    </w:rPr>
                    <w:t>《加油站大气污染物排放标准》（GB20952-2007）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Merge w:val="continue"/>
                  <w:vAlign w:val="center"/>
                </w:tcPr>
                <w:p>
                  <w:pPr>
                    <w:pStyle w:val="94"/>
                    <w:rPr>
                      <w:szCs w:val="21"/>
                    </w:rPr>
                  </w:pPr>
                </w:p>
              </w:tc>
              <w:tc>
                <w:tcPr>
                  <w:tcW w:w="873" w:type="pct"/>
                  <w:vAlign w:val="center"/>
                </w:tcPr>
                <w:p>
                  <w:pPr>
                    <w:pStyle w:val="94"/>
                    <w:rPr>
                      <w:szCs w:val="21"/>
                    </w:rPr>
                  </w:pPr>
                  <w:r>
                    <w:rPr>
                      <w:szCs w:val="21"/>
                    </w:rPr>
                    <w:t>油气处理装置排气筒</w:t>
                  </w:r>
                </w:p>
              </w:tc>
              <w:tc>
                <w:tcPr>
                  <w:tcW w:w="811" w:type="pct"/>
                  <w:vAlign w:val="center"/>
                </w:tcPr>
                <w:p>
                  <w:pPr>
                    <w:pStyle w:val="94"/>
                    <w:rPr>
                      <w:szCs w:val="21"/>
                    </w:rPr>
                  </w:pPr>
                  <w:r>
                    <w:rPr>
                      <w:szCs w:val="21"/>
                    </w:rPr>
                    <w:t>非甲烷总烃</w:t>
                  </w:r>
                </w:p>
              </w:tc>
              <w:tc>
                <w:tcPr>
                  <w:tcW w:w="648" w:type="pct"/>
                  <w:vAlign w:val="center"/>
                </w:tcPr>
                <w:p>
                  <w:pPr>
                    <w:pStyle w:val="94"/>
                    <w:rPr>
                      <w:szCs w:val="21"/>
                    </w:rPr>
                  </w:pPr>
                  <w:r>
                    <w:rPr>
                      <w:szCs w:val="21"/>
                    </w:rPr>
                    <w:t>1次/年</w:t>
                  </w:r>
                </w:p>
              </w:tc>
              <w:tc>
                <w:tcPr>
                  <w:tcW w:w="1915" w:type="pct"/>
                  <w:vMerge w:val="continue"/>
                  <w:vAlign w:val="center"/>
                </w:tcPr>
                <w:p>
                  <w:pPr>
                    <w:pStyle w:val="94"/>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752" w:type="pct"/>
                  <w:vMerge w:val="continue"/>
                  <w:vAlign w:val="center"/>
                </w:tcPr>
                <w:p>
                  <w:pPr>
                    <w:pStyle w:val="94"/>
                    <w:rPr>
                      <w:szCs w:val="21"/>
                    </w:rPr>
                  </w:pPr>
                </w:p>
              </w:tc>
              <w:tc>
                <w:tcPr>
                  <w:tcW w:w="873" w:type="pct"/>
                  <w:vAlign w:val="center"/>
                </w:tcPr>
                <w:p>
                  <w:pPr>
                    <w:pStyle w:val="94"/>
                    <w:rPr>
                      <w:szCs w:val="21"/>
                    </w:rPr>
                  </w:pPr>
                  <w:r>
                    <w:rPr>
                      <w:szCs w:val="21"/>
                    </w:rPr>
                    <w:t>油气回收系统</w:t>
                  </w:r>
                </w:p>
              </w:tc>
              <w:tc>
                <w:tcPr>
                  <w:tcW w:w="811" w:type="pct"/>
                  <w:vAlign w:val="center"/>
                </w:tcPr>
                <w:p>
                  <w:pPr>
                    <w:pStyle w:val="94"/>
                    <w:rPr>
                      <w:szCs w:val="21"/>
                    </w:rPr>
                  </w:pPr>
                  <w:r>
                    <w:rPr>
                      <w:szCs w:val="21"/>
                    </w:rPr>
                    <w:t>气液比、液阻、密闭性</w:t>
                  </w:r>
                </w:p>
              </w:tc>
              <w:tc>
                <w:tcPr>
                  <w:tcW w:w="648" w:type="pct"/>
                  <w:vAlign w:val="center"/>
                </w:tcPr>
                <w:p>
                  <w:pPr>
                    <w:pStyle w:val="94"/>
                    <w:rPr>
                      <w:szCs w:val="21"/>
                    </w:rPr>
                  </w:pPr>
                  <w:r>
                    <w:rPr>
                      <w:szCs w:val="21"/>
                    </w:rPr>
                    <w:t>1次/年</w:t>
                  </w:r>
                </w:p>
              </w:tc>
              <w:tc>
                <w:tcPr>
                  <w:tcW w:w="1915" w:type="pct"/>
                  <w:vMerge w:val="continue"/>
                  <w:vAlign w:val="center"/>
                </w:tcPr>
                <w:p>
                  <w:pPr>
                    <w:pStyle w:val="94"/>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Align w:val="center"/>
                </w:tcPr>
                <w:p>
                  <w:pPr>
                    <w:pStyle w:val="94"/>
                    <w:rPr>
                      <w:szCs w:val="21"/>
                    </w:rPr>
                  </w:pPr>
                  <w:r>
                    <w:rPr>
                      <w:szCs w:val="21"/>
                    </w:rPr>
                    <w:t>废水</w:t>
                  </w:r>
                </w:p>
              </w:tc>
              <w:tc>
                <w:tcPr>
                  <w:tcW w:w="873" w:type="pct"/>
                  <w:vAlign w:val="center"/>
                </w:tcPr>
                <w:p>
                  <w:pPr>
                    <w:pStyle w:val="94"/>
                    <w:rPr>
                      <w:szCs w:val="21"/>
                    </w:rPr>
                  </w:pPr>
                  <w:r>
                    <w:rPr>
                      <w:szCs w:val="21"/>
                    </w:rPr>
                    <w:t>厂区废水总排口</w:t>
                  </w:r>
                </w:p>
              </w:tc>
              <w:tc>
                <w:tcPr>
                  <w:tcW w:w="811" w:type="pct"/>
                  <w:vAlign w:val="center"/>
                </w:tcPr>
                <w:p>
                  <w:pPr>
                    <w:pStyle w:val="94"/>
                    <w:rPr>
                      <w:szCs w:val="21"/>
                    </w:rPr>
                  </w:pPr>
                  <w:r>
                    <w:rPr>
                      <w:szCs w:val="21"/>
                    </w:rPr>
                    <w:t>流量、pH、COD、BOD</w:t>
                  </w:r>
                  <w:r>
                    <w:rPr>
                      <w:szCs w:val="21"/>
                      <w:vertAlign w:val="subscript"/>
                    </w:rPr>
                    <w:t>5</w:t>
                  </w:r>
                  <w:r>
                    <w:rPr>
                      <w:szCs w:val="21"/>
                    </w:rPr>
                    <w:t>、NH</w:t>
                  </w:r>
                  <w:r>
                    <w:rPr>
                      <w:szCs w:val="21"/>
                      <w:vertAlign w:val="subscript"/>
                    </w:rPr>
                    <w:t>3</w:t>
                  </w:r>
                  <w:r>
                    <w:rPr>
                      <w:szCs w:val="21"/>
                    </w:rPr>
                    <w:t>-N、SS、石油类</w:t>
                  </w:r>
                </w:p>
              </w:tc>
              <w:tc>
                <w:tcPr>
                  <w:tcW w:w="648" w:type="pct"/>
                  <w:vAlign w:val="center"/>
                </w:tcPr>
                <w:p>
                  <w:pPr>
                    <w:pStyle w:val="94"/>
                    <w:rPr>
                      <w:szCs w:val="21"/>
                    </w:rPr>
                  </w:pPr>
                  <w:r>
                    <w:rPr>
                      <w:szCs w:val="21"/>
                    </w:rPr>
                    <w:t>1次/年</w:t>
                  </w:r>
                </w:p>
              </w:tc>
              <w:tc>
                <w:tcPr>
                  <w:tcW w:w="1915" w:type="pct"/>
                  <w:vAlign w:val="center"/>
                </w:tcPr>
                <w:p>
                  <w:pPr>
                    <w:pStyle w:val="94"/>
                    <w:rPr>
                      <w:szCs w:val="21"/>
                    </w:rPr>
                  </w:pPr>
                  <w:r>
                    <w:rPr>
                      <w:szCs w:val="21"/>
                    </w:rPr>
                    <w:t>CODcr、BOD</w:t>
                  </w:r>
                  <w:r>
                    <w:rPr>
                      <w:szCs w:val="21"/>
                      <w:vertAlign w:val="subscript"/>
                    </w:rPr>
                    <w:t>5</w:t>
                  </w:r>
                  <w:r>
                    <w:rPr>
                      <w:szCs w:val="21"/>
                    </w:rPr>
                    <w:t>、SS、NH</w:t>
                  </w:r>
                  <w:r>
                    <w:rPr>
                      <w:szCs w:val="21"/>
                      <w:vertAlign w:val="subscript"/>
                    </w:rPr>
                    <w:t>3</w:t>
                  </w:r>
                  <w:r>
                    <w:rPr>
                      <w:szCs w:val="21"/>
                    </w:rPr>
                    <w:t>-N执行宁都县污水处理厂接管标准，石油类执行《污水综合排放标准》（GB8978-1996）三级标准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Align w:val="center"/>
                </w:tcPr>
                <w:p>
                  <w:pPr>
                    <w:pStyle w:val="94"/>
                    <w:rPr>
                      <w:szCs w:val="21"/>
                    </w:rPr>
                  </w:pPr>
                  <w:r>
                    <w:rPr>
                      <w:szCs w:val="21"/>
                    </w:rPr>
                    <w:t>噪声</w:t>
                  </w:r>
                </w:p>
              </w:tc>
              <w:tc>
                <w:tcPr>
                  <w:tcW w:w="873" w:type="pct"/>
                  <w:vAlign w:val="center"/>
                </w:tcPr>
                <w:p>
                  <w:pPr>
                    <w:pStyle w:val="94"/>
                    <w:rPr>
                      <w:szCs w:val="21"/>
                    </w:rPr>
                  </w:pPr>
                  <w:r>
                    <w:rPr>
                      <w:szCs w:val="21"/>
                    </w:rPr>
                    <w:t>厂界</w:t>
                  </w:r>
                </w:p>
              </w:tc>
              <w:tc>
                <w:tcPr>
                  <w:tcW w:w="811" w:type="pct"/>
                  <w:vAlign w:val="center"/>
                </w:tcPr>
                <w:p>
                  <w:pPr>
                    <w:pStyle w:val="94"/>
                    <w:rPr>
                      <w:szCs w:val="21"/>
                    </w:rPr>
                  </w:pPr>
                  <w:r>
                    <w:rPr>
                      <w:szCs w:val="21"/>
                    </w:rPr>
                    <w:t>等效连续A声级</w:t>
                  </w:r>
                </w:p>
              </w:tc>
              <w:tc>
                <w:tcPr>
                  <w:tcW w:w="648" w:type="pct"/>
                  <w:vAlign w:val="center"/>
                </w:tcPr>
                <w:p>
                  <w:pPr>
                    <w:pStyle w:val="94"/>
                    <w:rPr>
                      <w:szCs w:val="21"/>
                    </w:rPr>
                  </w:pPr>
                  <w:r>
                    <w:rPr>
                      <w:szCs w:val="21"/>
                    </w:rPr>
                    <w:t>昼夜各1次/季度</w:t>
                  </w:r>
                </w:p>
              </w:tc>
              <w:tc>
                <w:tcPr>
                  <w:tcW w:w="1915" w:type="pct"/>
                  <w:vAlign w:val="center"/>
                </w:tcPr>
                <w:p>
                  <w:pPr>
                    <w:pStyle w:val="94"/>
                    <w:rPr>
                      <w:szCs w:val="21"/>
                    </w:rPr>
                  </w:pPr>
                  <w:r>
                    <w:rPr>
                      <w:szCs w:val="21"/>
                    </w:rPr>
                    <w:t>《工业企业厂界环境噪声排放标准》(GB12348-2008)标准2类、4a类标准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Align w:val="center"/>
                </w:tcPr>
                <w:p>
                  <w:pPr>
                    <w:pStyle w:val="94"/>
                    <w:rPr>
                      <w:szCs w:val="21"/>
                    </w:rPr>
                  </w:pPr>
                  <w:r>
                    <w:rPr>
                      <w:szCs w:val="21"/>
                    </w:rPr>
                    <w:t>固体废物</w:t>
                  </w:r>
                </w:p>
              </w:tc>
              <w:tc>
                <w:tcPr>
                  <w:tcW w:w="873" w:type="pct"/>
                  <w:vAlign w:val="center"/>
                </w:tcPr>
                <w:p>
                  <w:pPr>
                    <w:pStyle w:val="94"/>
                    <w:rPr>
                      <w:szCs w:val="21"/>
                    </w:rPr>
                  </w:pPr>
                  <w:r>
                    <w:rPr>
                      <w:bCs/>
                      <w:szCs w:val="28"/>
                    </w:rPr>
                    <w:t>危废暂存间</w:t>
                  </w:r>
                </w:p>
              </w:tc>
              <w:tc>
                <w:tcPr>
                  <w:tcW w:w="811" w:type="pct"/>
                  <w:vAlign w:val="center"/>
                </w:tcPr>
                <w:p>
                  <w:pPr>
                    <w:pStyle w:val="94"/>
                    <w:rPr>
                      <w:szCs w:val="21"/>
                    </w:rPr>
                  </w:pPr>
                  <w:r>
                    <w:rPr>
                      <w:bCs/>
                      <w:szCs w:val="28"/>
                    </w:rPr>
                    <w:t>调查统计危废的产生量、去向等</w:t>
                  </w:r>
                </w:p>
              </w:tc>
              <w:tc>
                <w:tcPr>
                  <w:tcW w:w="648" w:type="pct"/>
                  <w:vAlign w:val="center"/>
                </w:tcPr>
                <w:p>
                  <w:pPr>
                    <w:pStyle w:val="94"/>
                    <w:rPr>
                      <w:szCs w:val="21"/>
                    </w:rPr>
                  </w:pPr>
                  <w:r>
                    <w:rPr>
                      <w:bCs/>
                      <w:szCs w:val="28"/>
                    </w:rPr>
                    <w:t>暂存处理、处置过程随时记录</w:t>
                  </w:r>
                  <w:r>
                    <w:rPr>
                      <w:szCs w:val="21"/>
                    </w:rPr>
                    <w:t xml:space="preserve"> </w:t>
                  </w:r>
                </w:p>
              </w:tc>
              <w:tc>
                <w:tcPr>
                  <w:tcW w:w="1915" w:type="pct"/>
                  <w:vAlign w:val="center"/>
                </w:tcPr>
                <w:p>
                  <w:pPr>
                    <w:pStyle w:val="94"/>
                    <w:rPr>
                      <w:szCs w:val="21"/>
                    </w:rPr>
                  </w:pPr>
                  <w:r>
                    <w:rPr>
                      <w:bCs/>
                      <w:szCs w:val="28"/>
                    </w:rPr>
                    <w:t>按危险废物有关规定进行管理与处置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752" w:type="pct"/>
                  <w:vAlign w:val="center"/>
                </w:tcPr>
                <w:p>
                  <w:pPr>
                    <w:pStyle w:val="94"/>
                    <w:rPr>
                      <w:szCs w:val="21"/>
                    </w:rPr>
                  </w:pPr>
                  <w:r>
                    <w:rPr>
                      <w:szCs w:val="21"/>
                    </w:rPr>
                    <w:t>地下水</w:t>
                  </w:r>
                </w:p>
              </w:tc>
              <w:tc>
                <w:tcPr>
                  <w:tcW w:w="873" w:type="pct"/>
                  <w:vAlign w:val="center"/>
                </w:tcPr>
                <w:p>
                  <w:pPr>
                    <w:pStyle w:val="94"/>
                    <w:rPr>
                      <w:szCs w:val="21"/>
                    </w:rPr>
                  </w:pPr>
                  <w:r>
                    <w:rPr>
                      <w:szCs w:val="21"/>
                    </w:rPr>
                    <w:t>厂区监测井</w:t>
                  </w:r>
                </w:p>
              </w:tc>
              <w:tc>
                <w:tcPr>
                  <w:tcW w:w="811" w:type="pct"/>
                  <w:vAlign w:val="center"/>
                </w:tcPr>
                <w:p>
                  <w:pPr>
                    <w:pStyle w:val="94"/>
                    <w:rPr>
                      <w:szCs w:val="21"/>
                    </w:rPr>
                  </w:pPr>
                  <w:r>
                    <w:t>按照《加油站地下水污染防治技术指南（试行）》进行监测，见表4-15</w:t>
                  </w:r>
                </w:p>
              </w:tc>
              <w:tc>
                <w:tcPr>
                  <w:tcW w:w="648" w:type="pct"/>
                  <w:vAlign w:val="center"/>
                </w:tcPr>
                <w:p>
                  <w:pPr>
                    <w:pStyle w:val="94"/>
                    <w:rPr>
                      <w:szCs w:val="21"/>
                    </w:rPr>
                  </w:pPr>
                  <w:r>
                    <w:rPr>
                      <w:szCs w:val="21"/>
                    </w:rPr>
                    <w:t>1次/年</w:t>
                  </w:r>
                </w:p>
              </w:tc>
              <w:tc>
                <w:tcPr>
                  <w:tcW w:w="1915" w:type="pct"/>
                  <w:vAlign w:val="center"/>
                </w:tcPr>
                <w:p>
                  <w:pPr>
                    <w:autoSpaceDE w:val="0"/>
                    <w:autoSpaceDN w:val="0"/>
                    <w:adjustRightInd w:val="0"/>
                    <w:jc w:val="center"/>
                    <w:rPr>
                      <w:szCs w:val="21"/>
                    </w:rPr>
                  </w:pPr>
                  <w:r>
                    <w:rPr>
                      <w:kern w:val="0"/>
                      <w:szCs w:val="21"/>
                    </w:rPr>
                    <w:t>《地下水质量标准》（GB/T14848-2017）中的Ⅲ类标准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752" w:type="pct"/>
                  <w:vAlign w:val="center"/>
                </w:tcPr>
                <w:p>
                  <w:pPr>
                    <w:pStyle w:val="94"/>
                    <w:rPr>
                      <w:szCs w:val="21"/>
                    </w:rPr>
                  </w:pPr>
                  <w:r>
                    <w:rPr>
                      <w:szCs w:val="21"/>
                    </w:rPr>
                    <w:t>土壤</w:t>
                  </w:r>
                </w:p>
              </w:tc>
              <w:tc>
                <w:tcPr>
                  <w:tcW w:w="873" w:type="pct"/>
                  <w:vAlign w:val="center"/>
                </w:tcPr>
                <w:p>
                  <w:pPr>
                    <w:pStyle w:val="94"/>
                    <w:rPr>
                      <w:szCs w:val="21"/>
                    </w:rPr>
                  </w:pPr>
                  <w:r>
                    <w:rPr>
                      <w:szCs w:val="21"/>
                    </w:rPr>
                    <w:t>厂区内</w:t>
                  </w:r>
                </w:p>
              </w:tc>
              <w:tc>
                <w:tcPr>
                  <w:tcW w:w="811" w:type="pct"/>
                  <w:vAlign w:val="center"/>
                </w:tcPr>
                <w:p>
                  <w:pPr>
                    <w:pStyle w:val="94"/>
                    <w:rPr>
                      <w:szCs w:val="21"/>
                    </w:rPr>
                  </w:pPr>
                  <w:r>
                    <w:rPr>
                      <w:szCs w:val="21"/>
                    </w:rPr>
                    <w:t>见表4-16</w:t>
                  </w:r>
                </w:p>
              </w:tc>
              <w:tc>
                <w:tcPr>
                  <w:tcW w:w="648" w:type="pct"/>
                  <w:vAlign w:val="center"/>
                </w:tcPr>
                <w:p>
                  <w:pPr>
                    <w:pStyle w:val="94"/>
                    <w:rPr>
                      <w:szCs w:val="21"/>
                    </w:rPr>
                  </w:pPr>
                  <w:r>
                    <w:rPr>
                      <w:szCs w:val="21"/>
                    </w:rPr>
                    <w:t>1次/5年</w:t>
                  </w:r>
                </w:p>
              </w:tc>
              <w:tc>
                <w:tcPr>
                  <w:tcW w:w="1915" w:type="pct"/>
                  <w:vAlign w:val="center"/>
                </w:tcPr>
                <w:p>
                  <w:pPr>
                    <w:pStyle w:val="94"/>
                    <w:rPr>
                      <w:szCs w:val="21"/>
                    </w:rPr>
                  </w:pPr>
                  <w:r>
                    <w:rPr>
                      <w:szCs w:val="21"/>
                    </w:rPr>
                    <w:t>《建设用地土壤污染风险管控标准（试行）》（DB36 1282-2020）表 1 第二类用地筛选值标准</w:t>
                  </w:r>
                </w:p>
              </w:tc>
            </w:tr>
          </w:tbl>
          <w:p>
            <w:pPr>
              <w:pStyle w:val="73"/>
              <w:spacing w:line="240" w:lineRule="auto"/>
              <w:ind w:left="434" w:firstLine="0" w:firstLineChars="0"/>
              <w:rPr>
                <w:rFonts w:ascii="Times New Roman" w:hAnsi="Times New Roman" w:cs="Times New Roman"/>
                <w:b/>
                <w:sz w:val="21"/>
                <w:szCs w:val="21"/>
              </w:rPr>
            </w:pPr>
          </w:p>
          <w:p>
            <w:pPr>
              <w:pStyle w:val="73"/>
              <w:numPr>
                <w:ilvl w:val="0"/>
                <w:numId w:val="2"/>
              </w:numPr>
              <w:ind w:firstLineChars="0"/>
              <w:rPr>
                <w:rFonts w:ascii="Times New Roman" w:hAnsi="Times New Roman" w:cs="Times New Roman"/>
                <w:b/>
                <w:sz w:val="21"/>
                <w:szCs w:val="21"/>
              </w:rPr>
            </w:pPr>
            <w:r>
              <w:rPr>
                <w:rFonts w:ascii="Times New Roman" w:hAnsi="Times New Roman" w:cs="Times New Roman"/>
                <w:b/>
                <w:sz w:val="21"/>
                <w:szCs w:val="21"/>
              </w:rPr>
              <w:t>排污口规范化设置</w:t>
            </w:r>
          </w:p>
          <w:p>
            <w:pPr>
              <w:adjustRightInd w:val="0"/>
              <w:snapToGrid w:val="0"/>
              <w:spacing w:line="360" w:lineRule="auto"/>
              <w:ind w:firstLine="420" w:firstLineChars="200"/>
              <w:rPr>
                <w:kern w:val="18"/>
                <w:szCs w:val="21"/>
              </w:rPr>
            </w:pPr>
            <w:r>
              <w:rPr>
                <w:kern w:val="18"/>
                <w:szCs w:val="21"/>
              </w:rPr>
              <w:t>废水排放口、固定</w:t>
            </w:r>
            <w:bookmarkStart w:id="6" w:name="_Toc169957686"/>
            <w:bookmarkStart w:id="7" w:name="_Toc154538749"/>
            <w:bookmarkStart w:id="8" w:name="_Toc230258884"/>
            <w:bookmarkStart w:id="9" w:name="_Toc123749712"/>
            <w:bookmarkStart w:id="10" w:name="_Toc70330603"/>
            <w:bookmarkStart w:id="11" w:name="_Toc183772597"/>
            <w:bookmarkStart w:id="12" w:name="_Toc172346805"/>
            <w:bookmarkStart w:id="13" w:name="_Toc146276280"/>
            <w:bookmarkStart w:id="14" w:name="_Toc114480042"/>
            <w:r>
              <w:rPr>
                <w:kern w:val="18"/>
                <w:szCs w:val="21"/>
              </w:rPr>
              <w:t>噪声源、固体废物贮存和排气</w:t>
            </w:r>
            <w:bookmarkEnd w:id="6"/>
            <w:bookmarkEnd w:id="7"/>
            <w:bookmarkEnd w:id="8"/>
            <w:bookmarkEnd w:id="9"/>
            <w:bookmarkEnd w:id="10"/>
            <w:bookmarkEnd w:id="11"/>
            <w:bookmarkEnd w:id="12"/>
            <w:bookmarkEnd w:id="13"/>
            <w:bookmarkEnd w:id="14"/>
            <w:r>
              <w:rPr>
                <w:kern w:val="18"/>
                <w:szCs w:val="21"/>
              </w:rPr>
              <w:t>筒和危险废物等必须按照国家和江西省的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pPr>
              <w:adjustRightInd w:val="0"/>
              <w:snapToGrid w:val="0"/>
              <w:spacing w:line="360" w:lineRule="auto"/>
              <w:ind w:firstLine="420" w:firstLineChars="200"/>
              <w:rPr>
                <w:kern w:val="18"/>
                <w:szCs w:val="21"/>
              </w:rPr>
            </w:pPr>
            <w:r>
              <w:rPr>
                <w:kern w:val="18"/>
                <w:szCs w:val="21"/>
              </w:rPr>
              <w:t>（1）排气筒设置取样口，并具备采样监测条件，废水排放口附近树立图形标志牌。</w:t>
            </w:r>
          </w:p>
          <w:p>
            <w:pPr>
              <w:adjustRightInd w:val="0"/>
              <w:snapToGrid w:val="0"/>
              <w:spacing w:line="360" w:lineRule="auto"/>
              <w:ind w:firstLine="420" w:firstLineChars="200"/>
              <w:rPr>
                <w:kern w:val="18"/>
                <w:szCs w:val="21"/>
              </w:rPr>
            </w:pPr>
            <w:r>
              <w:rPr>
                <w:kern w:val="18"/>
                <w:szCs w:val="21"/>
              </w:rPr>
              <w:t>（2）排污口管理。建设单位应在各个排污口处树立标志牌，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pPr>
              <w:adjustRightInd w:val="0"/>
              <w:snapToGrid w:val="0"/>
              <w:spacing w:line="360" w:lineRule="auto"/>
              <w:ind w:firstLine="420" w:firstLineChars="200"/>
              <w:rPr>
                <w:kern w:val="18"/>
                <w:szCs w:val="21"/>
              </w:rPr>
            </w:pPr>
            <w:r>
              <w:rPr>
                <w:kern w:val="18"/>
                <w:szCs w:val="21"/>
              </w:rPr>
              <w:t>（3）环境保护图形标志</w:t>
            </w:r>
          </w:p>
          <w:p>
            <w:pPr>
              <w:adjustRightInd w:val="0"/>
              <w:snapToGrid w:val="0"/>
              <w:spacing w:line="360" w:lineRule="auto"/>
              <w:ind w:firstLine="420" w:firstLineChars="200"/>
              <w:rPr>
                <w:kern w:val="18"/>
                <w:szCs w:val="21"/>
              </w:rPr>
            </w:pPr>
            <w:r>
              <w:rPr>
                <w:kern w:val="18"/>
                <w:szCs w:val="21"/>
              </w:rPr>
              <w:t>在厂区的废气排放源、固体废物贮存处置场应设置环境保护图形标志，图形符号分为提示图形和警告图形符号两种，分别按GB15562.1-1995、GB15562.2-1995执行。环境保护图形标志的形状及颜色见表5-2，环境保护图形符号见表5-3。</w:t>
            </w:r>
          </w:p>
          <w:p>
            <w:pPr>
              <w:adjustRightInd w:val="0"/>
              <w:snapToGrid w:val="0"/>
              <w:spacing w:line="276" w:lineRule="auto"/>
              <w:ind w:firstLine="422" w:firstLineChars="200"/>
              <w:jc w:val="center"/>
              <w:rPr>
                <w:b/>
                <w:bCs/>
                <w:szCs w:val="21"/>
              </w:rPr>
            </w:pPr>
            <w:r>
              <w:rPr>
                <w:b/>
                <w:bCs/>
                <w:szCs w:val="21"/>
              </w:rPr>
              <w:t>表5-2  环境保护图形标志的形状及颜色表</w:t>
            </w:r>
          </w:p>
          <w:tbl>
            <w:tblPr>
              <w:tblStyle w:val="21"/>
              <w:tblW w:w="6824"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626"/>
              <w:gridCol w:w="1492"/>
              <w:gridCol w:w="193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75" w:type="dxa"/>
                  <w:vAlign w:val="center"/>
                </w:tcPr>
                <w:p>
                  <w:pPr>
                    <w:adjustRightInd w:val="0"/>
                    <w:snapToGrid w:val="0"/>
                    <w:jc w:val="center"/>
                    <w:rPr>
                      <w:b/>
                      <w:kern w:val="18"/>
                      <w:szCs w:val="21"/>
                    </w:rPr>
                  </w:pPr>
                  <w:r>
                    <w:rPr>
                      <w:b/>
                      <w:kern w:val="18"/>
                      <w:szCs w:val="21"/>
                    </w:rPr>
                    <w:t>标志名称</w:t>
                  </w:r>
                </w:p>
              </w:tc>
              <w:tc>
                <w:tcPr>
                  <w:tcW w:w="1626" w:type="dxa"/>
                  <w:vAlign w:val="center"/>
                </w:tcPr>
                <w:p>
                  <w:pPr>
                    <w:adjustRightInd w:val="0"/>
                    <w:snapToGrid w:val="0"/>
                    <w:jc w:val="center"/>
                    <w:rPr>
                      <w:b/>
                      <w:kern w:val="18"/>
                      <w:szCs w:val="21"/>
                    </w:rPr>
                  </w:pPr>
                  <w:r>
                    <w:rPr>
                      <w:b/>
                      <w:kern w:val="18"/>
                      <w:szCs w:val="21"/>
                    </w:rPr>
                    <w:t>形状</w:t>
                  </w:r>
                </w:p>
              </w:tc>
              <w:tc>
                <w:tcPr>
                  <w:tcW w:w="1492" w:type="dxa"/>
                  <w:vAlign w:val="center"/>
                </w:tcPr>
                <w:p>
                  <w:pPr>
                    <w:adjustRightInd w:val="0"/>
                    <w:snapToGrid w:val="0"/>
                    <w:jc w:val="center"/>
                    <w:rPr>
                      <w:b/>
                      <w:kern w:val="18"/>
                      <w:szCs w:val="21"/>
                    </w:rPr>
                  </w:pPr>
                  <w:r>
                    <w:rPr>
                      <w:b/>
                      <w:kern w:val="18"/>
                      <w:szCs w:val="21"/>
                    </w:rPr>
                    <w:t>背景颜色</w:t>
                  </w:r>
                </w:p>
              </w:tc>
              <w:tc>
                <w:tcPr>
                  <w:tcW w:w="1931" w:type="dxa"/>
                  <w:vAlign w:val="center"/>
                </w:tcPr>
                <w:p>
                  <w:pPr>
                    <w:adjustRightInd w:val="0"/>
                    <w:snapToGrid w:val="0"/>
                    <w:jc w:val="center"/>
                    <w:rPr>
                      <w:b/>
                      <w:kern w:val="18"/>
                      <w:szCs w:val="21"/>
                    </w:rPr>
                  </w:pPr>
                  <w:r>
                    <w:rPr>
                      <w:b/>
                      <w:kern w:val="18"/>
                      <w:szCs w:val="21"/>
                    </w:rPr>
                    <w:t>图形颜色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75" w:type="dxa"/>
                  <w:vAlign w:val="center"/>
                </w:tcPr>
                <w:p>
                  <w:pPr>
                    <w:adjustRightInd w:val="0"/>
                    <w:snapToGrid w:val="0"/>
                    <w:jc w:val="center"/>
                    <w:rPr>
                      <w:kern w:val="18"/>
                      <w:szCs w:val="21"/>
                    </w:rPr>
                  </w:pPr>
                  <w:r>
                    <w:rPr>
                      <w:kern w:val="18"/>
                      <w:szCs w:val="21"/>
                    </w:rPr>
                    <w:t>警告标志</w:t>
                  </w:r>
                </w:p>
              </w:tc>
              <w:tc>
                <w:tcPr>
                  <w:tcW w:w="1626" w:type="dxa"/>
                  <w:vAlign w:val="center"/>
                </w:tcPr>
                <w:p>
                  <w:pPr>
                    <w:adjustRightInd w:val="0"/>
                    <w:snapToGrid w:val="0"/>
                    <w:jc w:val="center"/>
                    <w:rPr>
                      <w:kern w:val="18"/>
                      <w:szCs w:val="21"/>
                    </w:rPr>
                  </w:pPr>
                  <w:r>
                    <w:rPr>
                      <w:kern w:val="18"/>
                      <w:szCs w:val="21"/>
                    </w:rPr>
                    <w:t>三角形边框</w:t>
                  </w:r>
                </w:p>
              </w:tc>
              <w:tc>
                <w:tcPr>
                  <w:tcW w:w="1492" w:type="dxa"/>
                  <w:vAlign w:val="center"/>
                </w:tcPr>
                <w:p>
                  <w:pPr>
                    <w:adjustRightInd w:val="0"/>
                    <w:snapToGrid w:val="0"/>
                    <w:jc w:val="center"/>
                    <w:rPr>
                      <w:kern w:val="18"/>
                      <w:szCs w:val="21"/>
                    </w:rPr>
                  </w:pPr>
                  <w:r>
                    <w:rPr>
                      <w:kern w:val="18"/>
                      <w:szCs w:val="21"/>
                    </w:rPr>
                    <w:t>黄色</w:t>
                  </w:r>
                </w:p>
              </w:tc>
              <w:tc>
                <w:tcPr>
                  <w:tcW w:w="1931" w:type="dxa"/>
                  <w:vAlign w:val="center"/>
                </w:tcPr>
                <w:p>
                  <w:pPr>
                    <w:adjustRightInd w:val="0"/>
                    <w:snapToGrid w:val="0"/>
                    <w:jc w:val="center"/>
                    <w:rPr>
                      <w:kern w:val="18"/>
                      <w:szCs w:val="21"/>
                    </w:rPr>
                  </w:pPr>
                  <w:r>
                    <w:rPr>
                      <w:kern w:val="18"/>
                      <w:szCs w:val="21"/>
                    </w:rPr>
                    <w:t>黑色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75" w:type="dxa"/>
                  <w:vAlign w:val="center"/>
                </w:tcPr>
                <w:p>
                  <w:pPr>
                    <w:adjustRightInd w:val="0"/>
                    <w:snapToGrid w:val="0"/>
                    <w:jc w:val="center"/>
                    <w:rPr>
                      <w:kern w:val="18"/>
                      <w:szCs w:val="21"/>
                    </w:rPr>
                  </w:pPr>
                  <w:r>
                    <w:rPr>
                      <w:kern w:val="18"/>
                      <w:szCs w:val="21"/>
                    </w:rPr>
                    <w:t>提示标志</w:t>
                  </w:r>
                </w:p>
              </w:tc>
              <w:tc>
                <w:tcPr>
                  <w:tcW w:w="1626" w:type="dxa"/>
                  <w:vAlign w:val="center"/>
                </w:tcPr>
                <w:p>
                  <w:pPr>
                    <w:adjustRightInd w:val="0"/>
                    <w:snapToGrid w:val="0"/>
                    <w:jc w:val="center"/>
                    <w:rPr>
                      <w:kern w:val="18"/>
                      <w:szCs w:val="21"/>
                    </w:rPr>
                  </w:pPr>
                  <w:r>
                    <w:rPr>
                      <w:kern w:val="18"/>
                      <w:szCs w:val="21"/>
                    </w:rPr>
                    <w:t>正方形边框</w:t>
                  </w:r>
                </w:p>
              </w:tc>
              <w:tc>
                <w:tcPr>
                  <w:tcW w:w="1492" w:type="dxa"/>
                  <w:vAlign w:val="center"/>
                </w:tcPr>
                <w:p>
                  <w:pPr>
                    <w:adjustRightInd w:val="0"/>
                    <w:snapToGrid w:val="0"/>
                    <w:jc w:val="center"/>
                    <w:rPr>
                      <w:kern w:val="18"/>
                      <w:szCs w:val="21"/>
                    </w:rPr>
                  </w:pPr>
                  <w:r>
                    <w:rPr>
                      <w:kern w:val="18"/>
                      <w:szCs w:val="21"/>
                    </w:rPr>
                    <w:t>绿色</w:t>
                  </w:r>
                </w:p>
              </w:tc>
              <w:tc>
                <w:tcPr>
                  <w:tcW w:w="1931" w:type="dxa"/>
                  <w:vAlign w:val="center"/>
                </w:tcPr>
                <w:p>
                  <w:pPr>
                    <w:adjustRightInd w:val="0"/>
                    <w:snapToGrid w:val="0"/>
                    <w:jc w:val="center"/>
                    <w:rPr>
                      <w:kern w:val="18"/>
                      <w:szCs w:val="21"/>
                    </w:rPr>
                  </w:pPr>
                  <w:r>
                    <w:rPr>
                      <w:kern w:val="18"/>
                      <w:szCs w:val="21"/>
                    </w:rPr>
                    <w:t>白色</w:t>
                  </w:r>
                </w:p>
              </w:tc>
            </w:tr>
          </w:tbl>
          <w:p>
            <w:pPr>
              <w:pStyle w:val="74"/>
              <w:tabs>
                <w:tab w:val="clear" w:pos="0"/>
              </w:tabs>
              <w:spacing w:before="120" w:beforeLines="0" w:line="276" w:lineRule="auto"/>
              <w:ind w:firstLine="210"/>
              <w:rPr>
                <w:rFonts w:ascii="Times New Roman" w:eastAsia="宋体"/>
                <w:bCs/>
                <w:snapToGrid/>
                <w:kern w:val="2"/>
                <w:sz w:val="21"/>
                <w:szCs w:val="21"/>
              </w:rPr>
            </w:pPr>
          </w:p>
          <w:p>
            <w:pPr>
              <w:pStyle w:val="74"/>
              <w:tabs>
                <w:tab w:val="clear" w:pos="0"/>
              </w:tabs>
              <w:spacing w:before="120" w:beforeLines="0" w:line="276" w:lineRule="auto"/>
              <w:ind w:firstLine="210"/>
              <w:rPr>
                <w:rFonts w:ascii="Times New Roman" w:eastAsia="宋体"/>
                <w:bCs/>
                <w:snapToGrid/>
                <w:kern w:val="2"/>
                <w:sz w:val="21"/>
                <w:szCs w:val="21"/>
              </w:rPr>
            </w:pPr>
            <w:r>
              <w:rPr>
                <w:rFonts w:ascii="Times New Roman" w:eastAsia="宋体"/>
                <w:bCs/>
                <w:snapToGrid/>
                <w:kern w:val="2"/>
                <w:sz w:val="21"/>
                <w:szCs w:val="21"/>
              </w:rPr>
              <w:t>表5-3  环境保护图形符号一览表</w:t>
            </w:r>
          </w:p>
          <w:tbl>
            <w:tblPr>
              <w:tblStyle w:val="21"/>
              <w:tblW w:w="6824"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24"/>
              <w:gridCol w:w="1134"/>
              <w:gridCol w:w="1275"/>
              <w:gridCol w:w="249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b/>
                      <w:kern w:val="18"/>
                      <w:szCs w:val="21"/>
                    </w:rPr>
                  </w:pPr>
                  <w:r>
                    <w:rPr>
                      <w:b/>
                      <w:kern w:val="18"/>
                      <w:szCs w:val="21"/>
                    </w:rPr>
                    <w:t>序号</w:t>
                  </w:r>
                </w:p>
              </w:tc>
              <w:tc>
                <w:tcPr>
                  <w:tcW w:w="1224" w:type="dxa"/>
                  <w:vAlign w:val="center"/>
                </w:tcPr>
                <w:p>
                  <w:pPr>
                    <w:adjustRightInd w:val="0"/>
                    <w:snapToGrid w:val="0"/>
                    <w:jc w:val="center"/>
                    <w:rPr>
                      <w:b/>
                      <w:kern w:val="18"/>
                      <w:szCs w:val="21"/>
                    </w:rPr>
                  </w:pPr>
                  <w:r>
                    <w:rPr>
                      <w:b/>
                      <w:kern w:val="18"/>
                      <w:szCs w:val="21"/>
                    </w:rPr>
                    <w:t>提示图形符号</w:t>
                  </w:r>
                </w:p>
              </w:tc>
              <w:tc>
                <w:tcPr>
                  <w:tcW w:w="1134" w:type="dxa"/>
                  <w:vAlign w:val="center"/>
                </w:tcPr>
                <w:p>
                  <w:pPr>
                    <w:adjustRightInd w:val="0"/>
                    <w:snapToGrid w:val="0"/>
                    <w:jc w:val="center"/>
                    <w:rPr>
                      <w:b/>
                      <w:kern w:val="18"/>
                      <w:szCs w:val="21"/>
                    </w:rPr>
                  </w:pPr>
                  <w:r>
                    <w:rPr>
                      <w:b/>
                      <w:kern w:val="18"/>
                      <w:szCs w:val="21"/>
                    </w:rPr>
                    <w:t>警告图形符号</w:t>
                  </w:r>
                </w:p>
              </w:tc>
              <w:tc>
                <w:tcPr>
                  <w:tcW w:w="1275" w:type="dxa"/>
                  <w:vAlign w:val="center"/>
                </w:tcPr>
                <w:p>
                  <w:pPr>
                    <w:adjustRightInd w:val="0"/>
                    <w:snapToGrid w:val="0"/>
                    <w:jc w:val="center"/>
                    <w:rPr>
                      <w:b/>
                      <w:kern w:val="18"/>
                      <w:szCs w:val="21"/>
                    </w:rPr>
                  </w:pPr>
                  <w:r>
                    <w:rPr>
                      <w:b/>
                      <w:kern w:val="18"/>
                      <w:szCs w:val="21"/>
                    </w:rPr>
                    <w:t>名称</w:t>
                  </w:r>
                </w:p>
              </w:tc>
              <w:tc>
                <w:tcPr>
                  <w:tcW w:w="2498" w:type="dxa"/>
                  <w:vAlign w:val="center"/>
                </w:tcPr>
                <w:p>
                  <w:pPr>
                    <w:adjustRightInd w:val="0"/>
                    <w:snapToGrid w:val="0"/>
                    <w:jc w:val="center"/>
                    <w:rPr>
                      <w:b/>
                      <w:kern w:val="18"/>
                      <w:szCs w:val="21"/>
                    </w:rPr>
                  </w:pPr>
                  <w:r>
                    <w:rPr>
                      <w:b/>
                      <w:kern w:val="18"/>
                      <w:szCs w:val="21"/>
                    </w:rPr>
                    <w:t>功能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kern w:val="18"/>
                      <w:szCs w:val="21"/>
                    </w:rPr>
                  </w:pPr>
                  <w:r>
                    <w:rPr>
                      <w:kern w:val="18"/>
                      <w:szCs w:val="21"/>
                    </w:rPr>
                    <w:t>1</w:t>
                  </w:r>
                </w:p>
              </w:tc>
              <w:tc>
                <w:tcPr>
                  <w:tcW w:w="1224" w:type="dxa"/>
                  <w:vAlign w:val="center"/>
                </w:tcPr>
                <w:p>
                  <w:pPr>
                    <w:adjustRightInd w:val="0"/>
                    <w:snapToGrid w:val="0"/>
                    <w:jc w:val="center"/>
                    <w:rPr>
                      <w:kern w:val="18"/>
                      <w:szCs w:val="21"/>
                    </w:rPr>
                  </w:pPr>
                  <w:r>
                    <w:rPr>
                      <w:kern w:val="18"/>
                      <w:szCs w:val="21"/>
                    </w:rPr>
                    <w:drawing>
                      <wp:inline distT="0" distB="0" distL="114300" distR="114300">
                        <wp:extent cx="438785" cy="438785"/>
                        <wp:effectExtent l="0" t="0" r="18415" b="18415"/>
                        <wp:docPr id="42" name="图片 10"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descr="13001"/>
                                <pic:cNvPicPr>
                                  <a:picLocks noChangeAspect="1"/>
                                </pic:cNvPicPr>
                              </pic:nvPicPr>
                              <pic:blipFill>
                                <a:blip r:embed="rId21"/>
                                <a:stretch>
                                  <a:fillRect/>
                                </a:stretch>
                              </pic:blipFill>
                              <pic:spPr>
                                <a:xfrm>
                                  <a:off x="0" y="0"/>
                                  <a:ext cx="438785" cy="438785"/>
                                </a:xfrm>
                                <a:prstGeom prst="rect">
                                  <a:avLst/>
                                </a:prstGeom>
                                <a:noFill/>
                                <a:ln>
                                  <a:noFill/>
                                </a:ln>
                              </pic:spPr>
                            </pic:pic>
                          </a:graphicData>
                        </a:graphic>
                      </wp:inline>
                    </w:drawing>
                  </w:r>
                </w:p>
              </w:tc>
              <w:tc>
                <w:tcPr>
                  <w:tcW w:w="1134" w:type="dxa"/>
                  <w:vAlign w:val="center"/>
                </w:tcPr>
                <w:p>
                  <w:pPr>
                    <w:adjustRightInd w:val="0"/>
                    <w:snapToGrid w:val="0"/>
                    <w:jc w:val="center"/>
                    <w:rPr>
                      <w:kern w:val="18"/>
                      <w:szCs w:val="21"/>
                    </w:rPr>
                  </w:pPr>
                  <w:r>
                    <w:rPr>
                      <w:kern w:val="18"/>
                      <w:szCs w:val="21"/>
                    </w:rPr>
                    <w:drawing>
                      <wp:inline distT="0" distB="0" distL="114300" distR="114300">
                        <wp:extent cx="380365" cy="438785"/>
                        <wp:effectExtent l="0" t="0" r="635" b="18415"/>
                        <wp:docPr id="43" name="图片 11"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13002"/>
                                <pic:cNvPicPr>
                                  <a:picLocks noChangeAspect="1"/>
                                </pic:cNvPicPr>
                              </pic:nvPicPr>
                              <pic:blipFill>
                                <a:blip r:embed="rId22"/>
                                <a:stretch>
                                  <a:fillRect/>
                                </a:stretch>
                              </pic:blipFill>
                              <pic:spPr>
                                <a:xfrm>
                                  <a:off x="0" y="0"/>
                                  <a:ext cx="380365" cy="438785"/>
                                </a:xfrm>
                                <a:prstGeom prst="rect">
                                  <a:avLst/>
                                </a:prstGeom>
                                <a:noFill/>
                                <a:ln>
                                  <a:noFill/>
                                </a:ln>
                              </pic:spPr>
                            </pic:pic>
                          </a:graphicData>
                        </a:graphic>
                      </wp:inline>
                    </w:drawing>
                  </w:r>
                </w:p>
              </w:tc>
              <w:tc>
                <w:tcPr>
                  <w:tcW w:w="1275" w:type="dxa"/>
                  <w:vAlign w:val="center"/>
                </w:tcPr>
                <w:p>
                  <w:pPr>
                    <w:adjustRightInd w:val="0"/>
                    <w:snapToGrid w:val="0"/>
                    <w:jc w:val="center"/>
                    <w:rPr>
                      <w:kern w:val="18"/>
                      <w:szCs w:val="21"/>
                    </w:rPr>
                  </w:pPr>
                  <w:r>
                    <w:rPr>
                      <w:kern w:val="18"/>
                      <w:szCs w:val="21"/>
                    </w:rPr>
                    <w:t>废水排放口</w:t>
                  </w:r>
                </w:p>
              </w:tc>
              <w:tc>
                <w:tcPr>
                  <w:tcW w:w="2498" w:type="dxa"/>
                  <w:vAlign w:val="center"/>
                </w:tcPr>
                <w:p>
                  <w:pPr>
                    <w:adjustRightInd w:val="0"/>
                    <w:snapToGrid w:val="0"/>
                    <w:jc w:val="center"/>
                    <w:rPr>
                      <w:kern w:val="18"/>
                      <w:szCs w:val="21"/>
                    </w:rPr>
                  </w:pPr>
                  <w:r>
                    <w:rPr>
                      <w:kern w:val="18"/>
                      <w:szCs w:val="21"/>
                    </w:rPr>
                    <w:t>表示废水向地表水环境排放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kern w:val="18"/>
                      <w:szCs w:val="21"/>
                    </w:rPr>
                  </w:pPr>
                  <w:r>
                    <w:rPr>
                      <w:kern w:val="18"/>
                      <w:szCs w:val="21"/>
                    </w:rPr>
                    <w:t>2</w:t>
                  </w:r>
                </w:p>
              </w:tc>
              <w:tc>
                <w:tcPr>
                  <w:tcW w:w="1224" w:type="dxa"/>
                  <w:vAlign w:val="center"/>
                </w:tcPr>
                <w:p>
                  <w:pPr>
                    <w:adjustRightInd w:val="0"/>
                    <w:snapToGrid w:val="0"/>
                    <w:jc w:val="center"/>
                    <w:rPr>
                      <w:kern w:val="18"/>
                      <w:szCs w:val="21"/>
                    </w:rPr>
                  </w:pPr>
                  <w:r>
                    <w:rPr>
                      <w:kern w:val="18"/>
                      <w:szCs w:val="21"/>
                    </w:rPr>
                    <w:drawing>
                      <wp:inline distT="0" distB="0" distL="114300" distR="114300">
                        <wp:extent cx="438785" cy="438785"/>
                        <wp:effectExtent l="0" t="0" r="18415" b="18415"/>
                        <wp:docPr id="44" name="图片 12"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13003"/>
                                <pic:cNvPicPr>
                                  <a:picLocks noChangeAspect="1"/>
                                </pic:cNvPicPr>
                              </pic:nvPicPr>
                              <pic:blipFill>
                                <a:blip r:embed="rId23"/>
                                <a:stretch>
                                  <a:fillRect/>
                                </a:stretch>
                              </pic:blipFill>
                              <pic:spPr>
                                <a:xfrm>
                                  <a:off x="0" y="0"/>
                                  <a:ext cx="438785" cy="438785"/>
                                </a:xfrm>
                                <a:prstGeom prst="rect">
                                  <a:avLst/>
                                </a:prstGeom>
                                <a:noFill/>
                                <a:ln>
                                  <a:noFill/>
                                </a:ln>
                              </pic:spPr>
                            </pic:pic>
                          </a:graphicData>
                        </a:graphic>
                      </wp:inline>
                    </w:drawing>
                  </w:r>
                </w:p>
              </w:tc>
              <w:tc>
                <w:tcPr>
                  <w:tcW w:w="1134" w:type="dxa"/>
                  <w:vAlign w:val="center"/>
                </w:tcPr>
                <w:p>
                  <w:pPr>
                    <w:adjustRightInd w:val="0"/>
                    <w:snapToGrid w:val="0"/>
                    <w:jc w:val="center"/>
                    <w:rPr>
                      <w:kern w:val="18"/>
                      <w:szCs w:val="21"/>
                    </w:rPr>
                  </w:pPr>
                  <w:r>
                    <w:rPr>
                      <w:kern w:val="18"/>
                      <w:szCs w:val="21"/>
                    </w:rPr>
                    <w:drawing>
                      <wp:inline distT="0" distB="0" distL="114300" distR="114300">
                        <wp:extent cx="380365" cy="380365"/>
                        <wp:effectExtent l="0" t="0" r="635" b="635"/>
                        <wp:docPr id="45"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descr="4"/>
                                <pic:cNvPicPr>
                                  <a:picLocks noChangeAspect="1"/>
                                </pic:cNvPicPr>
                              </pic:nvPicPr>
                              <pic:blipFill>
                                <a:blip r:embed="rId24"/>
                                <a:stretch>
                                  <a:fillRect/>
                                </a:stretch>
                              </pic:blipFill>
                              <pic:spPr>
                                <a:xfrm>
                                  <a:off x="0" y="0"/>
                                  <a:ext cx="380365" cy="380365"/>
                                </a:xfrm>
                                <a:prstGeom prst="rect">
                                  <a:avLst/>
                                </a:prstGeom>
                                <a:noFill/>
                                <a:ln>
                                  <a:noFill/>
                                </a:ln>
                              </pic:spPr>
                            </pic:pic>
                          </a:graphicData>
                        </a:graphic>
                      </wp:inline>
                    </w:drawing>
                  </w:r>
                </w:p>
              </w:tc>
              <w:tc>
                <w:tcPr>
                  <w:tcW w:w="1275" w:type="dxa"/>
                  <w:vAlign w:val="center"/>
                </w:tcPr>
                <w:p>
                  <w:pPr>
                    <w:adjustRightInd w:val="0"/>
                    <w:snapToGrid w:val="0"/>
                    <w:jc w:val="center"/>
                    <w:rPr>
                      <w:kern w:val="18"/>
                      <w:szCs w:val="21"/>
                    </w:rPr>
                  </w:pPr>
                  <w:r>
                    <w:rPr>
                      <w:kern w:val="18"/>
                      <w:szCs w:val="21"/>
                    </w:rPr>
                    <w:t>废气排放口</w:t>
                  </w:r>
                </w:p>
              </w:tc>
              <w:tc>
                <w:tcPr>
                  <w:tcW w:w="2498" w:type="dxa"/>
                  <w:vAlign w:val="center"/>
                </w:tcPr>
                <w:p>
                  <w:pPr>
                    <w:adjustRightInd w:val="0"/>
                    <w:snapToGrid w:val="0"/>
                    <w:jc w:val="center"/>
                    <w:rPr>
                      <w:kern w:val="18"/>
                      <w:szCs w:val="21"/>
                    </w:rPr>
                  </w:pPr>
                  <w:r>
                    <w:rPr>
                      <w:kern w:val="18"/>
                      <w:szCs w:val="21"/>
                    </w:rPr>
                    <w:t>表示废气向大气环境排放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kern w:val="18"/>
                      <w:szCs w:val="21"/>
                    </w:rPr>
                  </w:pPr>
                  <w:r>
                    <w:rPr>
                      <w:kern w:val="18"/>
                      <w:szCs w:val="21"/>
                    </w:rPr>
                    <w:t>3</w:t>
                  </w:r>
                </w:p>
              </w:tc>
              <w:tc>
                <w:tcPr>
                  <w:tcW w:w="1224" w:type="dxa"/>
                  <w:vAlign w:val="center"/>
                </w:tcPr>
                <w:p>
                  <w:pPr>
                    <w:adjustRightInd w:val="0"/>
                    <w:snapToGrid w:val="0"/>
                    <w:jc w:val="center"/>
                    <w:rPr>
                      <w:kern w:val="18"/>
                      <w:szCs w:val="21"/>
                    </w:rPr>
                  </w:pPr>
                  <w:r>
                    <w:rPr>
                      <w:kern w:val="18"/>
                      <w:szCs w:val="21"/>
                    </w:rPr>
                    <w:drawing>
                      <wp:inline distT="0" distB="0" distL="114300" distR="114300">
                        <wp:extent cx="446405" cy="446405"/>
                        <wp:effectExtent l="0" t="0" r="10795" b="10795"/>
                        <wp:docPr id="46" name="图片 1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14001"/>
                                <pic:cNvPicPr>
                                  <a:picLocks noChangeAspect="1"/>
                                </pic:cNvPicPr>
                              </pic:nvPicPr>
                              <pic:blipFill>
                                <a:blip r:embed="rId25"/>
                                <a:stretch>
                                  <a:fillRect/>
                                </a:stretch>
                              </pic:blipFill>
                              <pic:spPr>
                                <a:xfrm>
                                  <a:off x="0" y="0"/>
                                  <a:ext cx="446405" cy="446405"/>
                                </a:xfrm>
                                <a:prstGeom prst="rect">
                                  <a:avLst/>
                                </a:prstGeom>
                                <a:noFill/>
                                <a:ln>
                                  <a:noFill/>
                                </a:ln>
                              </pic:spPr>
                            </pic:pic>
                          </a:graphicData>
                        </a:graphic>
                      </wp:inline>
                    </w:drawing>
                  </w:r>
                </w:p>
              </w:tc>
              <w:tc>
                <w:tcPr>
                  <w:tcW w:w="1134" w:type="dxa"/>
                  <w:vAlign w:val="center"/>
                </w:tcPr>
                <w:p>
                  <w:pPr>
                    <w:adjustRightInd w:val="0"/>
                    <w:snapToGrid w:val="0"/>
                    <w:jc w:val="center"/>
                    <w:rPr>
                      <w:kern w:val="18"/>
                      <w:szCs w:val="21"/>
                    </w:rPr>
                  </w:pPr>
                  <w:r>
                    <w:rPr>
                      <w:kern w:val="18"/>
                      <w:szCs w:val="21"/>
                    </w:rPr>
                    <w:drawing>
                      <wp:inline distT="0" distB="0" distL="114300" distR="114300">
                        <wp:extent cx="446405" cy="438785"/>
                        <wp:effectExtent l="0" t="0" r="10795" b="18415"/>
                        <wp:docPr id="47" name="图片 15"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14002"/>
                                <pic:cNvPicPr>
                                  <a:picLocks noChangeAspect="1"/>
                                </pic:cNvPicPr>
                              </pic:nvPicPr>
                              <pic:blipFill>
                                <a:blip r:embed="rId26"/>
                                <a:stretch>
                                  <a:fillRect/>
                                </a:stretch>
                              </pic:blipFill>
                              <pic:spPr>
                                <a:xfrm>
                                  <a:off x="0" y="0"/>
                                  <a:ext cx="446405" cy="438785"/>
                                </a:xfrm>
                                <a:prstGeom prst="rect">
                                  <a:avLst/>
                                </a:prstGeom>
                                <a:noFill/>
                                <a:ln>
                                  <a:noFill/>
                                </a:ln>
                              </pic:spPr>
                            </pic:pic>
                          </a:graphicData>
                        </a:graphic>
                      </wp:inline>
                    </w:drawing>
                  </w:r>
                </w:p>
              </w:tc>
              <w:tc>
                <w:tcPr>
                  <w:tcW w:w="1275" w:type="dxa"/>
                  <w:vAlign w:val="center"/>
                </w:tcPr>
                <w:p>
                  <w:pPr>
                    <w:adjustRightInd w:val="0"/>
                    <w:snapToGrid w:val="0"/>
                    <w:jc w:val="center"/>
                    <w:rPr>
                      <w:kern w:val="18"/>
                      <w:szCs w:val="21"/>
                    </w:rPr>
                  </w:pPr>
                  <w:r>
                    <w:rPr>
                      <w:kern w:val="18"/>
                      <w:szCs w:val="21"/>
                    </w:rPr>
                    <w:t>一般固体废物</w:t>
                  </w:r>
                </w:p>
              </w:tc>
              <w:tc>
                <w:tcPr>
                  <w:tcW w:w="2498" w:type="dxa"/>
                  <w:vAlign w:val="center"/>
                </w:tcPr>
                <w:p>
                  <w:pPr>
                    <w:adjustRightInd w:val="0"/>
                    <w:snapToGrid w:val="0"/>
                    <w:jc w:val="center"/>
                    <w:rPr>
                      <w:kern w:val="18"/>
                      <w:szCs w:val="21"/>
                    </w:rPr>
                  </w:pPr>
                  <w:r>
                    <w:rPr>
                      <w:kern w:val="18"/>
                      <w:szCs w:val="21"/>
                    </w:rPr>
                    <w:t>表示一般固体废物贮存、处置场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kern w:val="18"/>
                      <w:szCs w:val="21"/>
                    </w:rPr>
                  </w:pPr>
                  <w:r>
                    <w:rPr>
                      <w:kern w:val="18"/>
                      <w:szCs w:val="21"/>
                    </w:rPr>
                    <w:t>4</w:t>
                  </w:r>
                </w:p>
              </w:tc>
              <w:tc>
                <w:tcPr>
                  <w:tcW w:w="1224" w:type="dxa"/>
                  <w:vAlign w:val="center"/>
                </w:tcPr>
                <w:p>
                  <w:pPr>
                    <w:adjustRightInd w:val="0"/>
                    <w:snapToGrid w:val="0"/>
                    <w:jc w:val="center"/>
                    <w:rPr>
                      <w:kern w:val="18"/>
                      <w:szCs w:val="21"/>
                    </w:rPr>
                  </w:pPr>
                  <w:r>
                    <w:rPr>
                      <w:kern w:val="18"/>
                      <w:szCs w:val="21"/>
                    </w:rPr>
                    <w:drawing>
                      <wp:inline distT="0" distB="0" distL="114300" distR="114300">
                        <wp:extent cx="438785" cy="438785"/>
                        <wp:effectExtent l="0" t="0" r="18415" b="18415"/>
                        <wp:docPr id="48" name="图片 16"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200602201518049853"/>
                                <pic:cNvPicPr>
                                  <a:picLocks noChangeAspect="1"/>
                                </pic:cNvPicPr>
                              </pic:nvPicPr>
                              <pic:blipFill>
                                <a:blip r:embed="rId27"/>
                                <a:stretch>
                                  <a:fillRect/>
                                </a:stretch>
                              </pic:blipFill>
                              <pic:spPr>
                                <a:xfrm>
                                  <a:off x="0" y="0"/>
                                  <a:ext cx="438785" cy="438785"/>
                                </a:xfrm>
                                <a:prstGeom prst="rect">
                                  <a:avLst/>
                                </a:prstGeom>
                                <a:noFill/>
                                <a:ln>
                                  <a:noFill/>
                                </a:ln>
                              </pic:spPr>
                            </pic:pic>
                          </a:graphicData>
                        </a:graphic>
                      </wp:inline>
                    </w:drawing>
                  </w:r>
                </w:p>
              </w:tc>
              <w:tc>
                <w:tcPr>
                  <w:tcW w:w="1134" w:type="dxa"/>
                  <w:vAlign w:val="center"/>
                </w:tcPr>
                <w:p>
                  <w:pPr>
                    <w:adjustRightInd w:val="0"/>
                    <w:snapToGrid w:val="0"/>
                    <w:jc w:val="center"/>
                    <w:rPr>
                      <w:kern w:val="18"/>
                      <w:szCs w:val="21"/>
                    </w:rPr>
                  </w:pPr>
                  <w:r>
                    <w:rPr>
                      <w:kern w:val="18"/>
                      <w:szCs w:val="21"/>
                    </w:rPr>
                    <w:drawing>
                      <wp:inline distT="0" distB="0" distL="114300" distR="114300">
                        <wp:extent cx="475615" cy="467995"/>
                        <wp:effectExtent l="0" t="0" r="635" b="8255"/>
                        <wp:docPr id="49" name="图片 17"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200602201519018631"/>
                                <pic:cNvPicPr>
                                  <a:picLocks noChangeAspect="1"/>
                                </pic:cNvPicPr>
                              </pic:nvPicPr>
                              <pic:blipFill>
                                <a:blip r:embed="rId28"/>
                                <a:stretch>
                                  <a:fillRect/>
                                </a:stretch>
                              </pic:blipFill>
                              <pic:spPr>
                                <a:xfrm>
                                  <a:off x="0" y="0"/>
                                  <a:ext cx="475615" cy="467995"/>
                                </a:xfrm>
                                <a:prstGeom prst="rect">
                                  <a:avLst/>
                                </a:prstGeom>
                                <a:noFill/>
                                <a:ln>
                                  <a:noFill/>
                                </a:ln>
                              </pic:spPr>
                            </pic:pic>
                          </a:graphicData>
                        </a:graphic>
                      </wp:inline>
                    </w:drawing>
                  </w:r>
                </w:p>
              </w:tc>
              <w:tc>
                <w:tcPr>
                  <w:tcW w:w="1275" w:type="dxa"/>
                  <w:vAlign w:val="center"/>
                </w:tcPr>
                <w:p>
                  <w:pPr>
                    <w:adjustRightInd w:val="0"/>
                    <w:snapToGrid w:val="0"/>
                    <w:jc w:val="center"/>
                    <w:rPr>
                      <w:kern w:val="18"/>
                      <w:szCs w:val="21"/>
                    </w:rPr>
                  </w:pPr>
                  <w:r>
                    <w:rPr>
                      <w:kern w:val="18"/>
                      <w:szCs w:val="21"/>
                    </w:rPr>
                    <w:t>噪声排放源</w:t>
                  </w:r>
                </w:p>
              </w:tc>
              <w:tc>
                <w:tcPr>
                  <w:tcW w:w="2498" w:type="dxa"/>
                  <w:vAlign w:val="center"/>
                </w:tcPr>
                <w:p>
                  <w:pPr>
                    <w:adjustRightInd w:val="0"/>
                    <w:snapToGrid w:val="0"/>
                    <w:jc w:val="center"/>
                    <w:rPr>
                      <w:kern w:val="18"/>
                      <w:szCs w:val="21"/>
                    </w:rPr>
                  </w:pPr>
                  <w:r>
                    <w:rPr>
                      <w:kern w:val="18"/>
                      <w:szCs w:val="21"/>
                    </w:rPr>
                    <w:t>表示噪声向外环境排放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3" w:type="dxa"/>
                  <w:vAlign w:val="center"/>
                </w:tcPr>
                <w:p>
                  <w:pPr>
                    <w:adjustRightInd w:val="0"/>
                    <w:snapToGrid w:val="0"/>
                    <w:jc w:val="center"/>
                    <w:rPr>
                      <w:kern w:val="18"/>
                      <w:szCs w:val="21"/>
                    </w:rPr>
                  </w:pPr>
                  <w:r>
                    <w:rPr>
                      <w:kern w:val="18"/>
                      <w:szCs w:val="21"/>
                    </w:rPr>
                    <w:t>5</w:t>
                  </w:r>
                </w:p>
              </w:tc>
              <w:tc>
                <w:tcPr>
                  <w:tcW w:w="1224" w:type="dxa"/>
                  <w:vAlign w:val="center"/>
                </w:tcPr>
                <w:p>
                  <w:pPr>
                    <w:adjustRightInd w:val="0"/>
                    <w:snapToGrid w:val="0"/>
                    <w:jc w:val="center"/>
                    <w:rPr>
                      <w:kern w:val="18"/>
                      <w:szCs w:val="21"/>
                    </w:rPr>
                  </w:pPr>
                  <w:r>
                    <w:rPr>
                      <w:kern w:val="18"/>
                      <w:szCs w:val="21"/>
                    </w:rPr>
                    <w:t>/</w:t>
                  </w:r>
                </w:p>
              </w:tc>
              <w:tc>
                <w:tcPr>
                  <w:tcW w:w="1134" w:type="dxa"/>
                  <w:vAlign w:val="center"/>
                </w:tcPr>
                <w:p>
                  <w:pPr>
                    <w:adjustRightInd w:val="0"/>
                    <w:snapToGrid w:val="0"/>
                    <w:jc w:val="center"/>
                    <w:rPr>
                      <w:kern w:val="18"/>
                      <w:szCs w:val="21"/>
                    </w:rPr>
                  </w:pPr>
                  <w:r>
                    <w:rPr>
                      <w:kern w:val="18"/>
                      <w:szCs w:val="21"/>
                    </w:rPr>
                    <w:drawing>
                      <wp:inline distT="0" distB="0" distL="114300" distR="114300">
                        <wp:extent cx="570865" cy="534035"/>
                        <wp:effectExtent l="0" t="0" r="635" b="18415"/>
                        <wp:docPr id="50" name="图片 18" descr="6af6030e415e17a1f7385ca92f4a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descr="6af6030e415e17a1f7385ca92f4af8e"/>
                                <pic:cNvPicPr>
                                  <a:picLocks noChangeAspect="1"/>
                                </pic:cNvPicPr>
                              </pic:nvPicPr>
                              <pic:blipFill>
                                <a:blip r:embed="rId29"/>
                                <a:stretch>
                                  <a:fillRect/>
                                </a:stretch>
                              </pic:blipFill>
                              <pic:spPr>
                                <a:xfrm>
                                  <a:off x="0" y="0"/>
                                  <a:ext cx="570865" cy="534035"/>
                                </a:xfrm>
                                <a:prstGeom prst="rect">
                                  <a:avLst/>
                                </a:prstGeom>
                                <a:noFill/>
                                <a:ln>
                                  <a:noFill/>
                                </a:ln>
                              </pic:spPr>
                            </pic:pic>
                          </a:graphicData>
                        </a:graphic>
                      </wp:inline>
                    </w:drawing>
                  </w:r>
                </w:p>
              </w:tc>
              <w:tc>
                <w:tcPr>
                  <w:tcW w:w="1275" w:type="dxa"/>
                  <w:vAlign w:val="center"/>
                </w:tcPr>
                <w:p>
                  <w:pPr>
                    <w:adjustRightInd w:val="0"/>
                    <w:snapToGrid w:val="0"/>
                    <w:jc w:val="center"/>
                    <w:rPr>
                      <w:kern w:val="18"/>
                      <w:szCs w:val="21"/>
                    </w:rPr>
                  </w:pPr>
                  <w:r>
                    <w:rPr>
                      <w:kern w:val="18"/>
                      <w:szCs w:val="21"/>
                    </w:rPr>
                    <w:t>危险废物</w:t>
                  </w:r>
                </w:p>
              </w:tc>
              <w:tc>
                <w:tcPr>
                  <w:tcW w:w="2498" w:type="dxa"/>
                  <w:vAlign w:val="center"/>
                </w:tcPr>
                <w:p>
                  <w:pPr>
                    <w:adjustRightInd w:val="0"/>
                    <w:snapToGrid w:val="0"/>
                    <w:jc w:val="center"/>
                    <w:rPr>
                      <w:kern w:val="18"/>
                      <w:szCs w:val="21"/>
                    </w:rPr>
                  </w:pPr>
                  <w:r>
                    <w:rPr>
                      <w:kern w:val="18"/>
                      <w:szCs w:val="21"/>
                    </w:rPr>
                    <w:t>表示危险废物贮存、处置场</w:t>
                  </w:r>
                </w:p>
              </w:tc>
            </w:tr>
          </w:tbl>
          <w:p>
            <w:pPr>
              <w:autoSpaceDE w:val="0"/>
              <w:autoSpaceDN w:val="0"/>
              <w:adjustRightInd w:val="0"/>
              <w:snapToGrid w:val="0"/>
              <w:ind w:firstLine="420" w:firstLineChars="200"/>
              <w:jc w:val="center"/>
              <w:rPr>
                <w:szCs w:val="21"/>
              </w:rPr>
            </w:pPr>
          </w:p>
          <w:p>
            <w:pPr>
              <w:autoSpaceDE w:val="0"/>
              <w:autoSpaceDN w:val="0"/>
              <w:adjustRightInd w:val="0"/>
              <w:snapToGrid w:val="0"/>
              <w:spacing w:line="360" w:lineRule="auto"/>
              <w:ind w:firstLine="422" w:firstLineChars="200"/>
              <w:jc w:val="left"/>
              <w:rPr>
                <w:b/>
                <w:szCs w:val="21"/>
              </w:rPr>
            </w:pPr>
            <w:r>
              <w:rPr>
                <w:b/>
                <w:szCs w:val="21"/>
              </w:rPr>
              <w:t>4、排污许可</w:t>
            </w:r>
          </w:p>
          <w:p>
            <w:pPr>
              <w:pStyle w:val="57"/>
              <w:spacing w:line="360" w:lineRule="auto"/>
              <w:ind w:firstLine="420" w:firstLineChars="200"/>
              <w:jc w:val="both"/>
              <w:rPr>
                <w:rFonts w:ascii="Times New Roman" w:cs="Times New Roman"/>
                <w:color w:val="auto"/>
                <w:szCs w:val="21"/>
              </w:rPr>
            </w:pPr>
            <w:r>
              <w:rPr>
                <w:rFonts w:ascii="Times New Roman" w:cs="Times New Roman"/>
                <w:color w:val="auto"/>
                <w:sz w:val="21"/>
                <w:szCs w:val="21"/>
              </w:rPr>
              <w:t>本项目主要从事机动车燃油零售，属于《固定污染源排污许可分类管理名录（2019版）》中的“四十二、零售业52”——“100汽车、摩托车、零配件和燃料及其他动力销售526”——“位于城市建成区的加油站”，应执行排污简化管理，需向赣州市宁都县生态环境局申请排污许可证。项目排污许可登记见下表。</w:t>
            </w:r>
          </w:p>
          <w:p>
            <w:pPr>
              <w:spacing w:line="276" w:lineRule="auto"/>
              <w:jc w:val="center"/>
              <w:rPr>
                <w:b/>
                <w:bCs/>
                <w:szCs w:val="21"/>
              </w:rPr>
            </w:pPr>
            <w:r>
              <w:rPr>
                <w:b/>
                <w:bCs/>
                <w:szCs w:val="21"/>
              </w:rPr>
              <w:t>表5-4 排污许可管理类型判别表</w:t>
            </w:r>
          </w:p>
          <w:tbl>
            <w:tblPr>
              <w:tblStyle w:val="21"/>
              <w:tblW w:w="68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29"/>
              <w:gridCol w:w="567"/>
              <w:gridCol w:w="2268"/>
              <w:gridCol w:w="1134"/>
              <w:gridCol w:w="850"/>
              <w:gridCol w:w="14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629" w:type="dxa"/>
                  <w:vAlign w:val="center"/>
                </w:tcPr>
                <w:p>
                  <w:pPr>
                    <w:jc w:val="center"/>
                    <w:rPr>
                      <w:spacing w:val="3"/>
                      <w:szCs w:val="21"/>
                    </w:rPr>
                  </w:pPr>
                  <w:r>
                    <w:rPr>
                      <w:spacing w:val="3"/>
                      <w:szCs w:val="21"/>
                    </w:rPr>
                    <w:t>项目</w:t>
                  </w:r>
                </w:p>
              </w:tc>
              <w:tc>
                <w:tcPr>
                  <w:tcW w:w="567" w:type="dxa"/>
                  <w:vAlign w:val="center"/>
                </w:tcPr>
                <w:p>
                  <w:pPr>
                    <w:jc w:val="center"/>
                    <w:rPr>
                      <w:spacing w:val="3"/>
                      <w:szCs w:val="21"/>
                    </w:rPr>
                  </w:pPr>
                  <w:r>
                    <w:rPr>
                      <w:spacing w:val="3"/>
                      <w:szCs w:val="21"/>
                    </w:rPr>
                    <w:t>行业代码</w:t>
                  </w:r>
                </w:p>
              </w:tc>
              <w:tc>
                <w:tcPr>
                  <w:tcW w:w="2268" w:type="dxa"/>
                  <w:vAlign w:val="center"/>
                </w:tcPr>
                <w:p>
                  <w:pPr>
                    <w:jc w:val="center"/>
                    <w:rPr>
                      <w:spacing w:val="3"/>
                      <w:szCs w:val="21"/>
                    </w:rPr>
                  </w:pPr>
                  <w:r>
                    <w:rPr>
                      <w:spacing w:val="3"/>
                      <w:szCs w:val="21"/>
                    </w:rPr>
                    <w:t>行业名称</w:t>
                  </w:r>
                </w:p>
              </w:tc>
              <w:tc>
                <w:tcPr>
                  <w:tcW w:w="1134" w:type="dxa"/>
                  <w:vAlign w:val="center"/>
                </w:tcPr>
                <w:p>
                  <w:pPr>
                    <w:jc w:val="center"/>
                    <w:rPr>
                      <w:spacing w:val="3"/>
                      <w:szCs w:val="21"/>
                    </w:rPr>
                  </w:pPr>
                  <w:r>
                    <w:rPr>
                      <w:spacing w:val="3"/>
                      <w:szCs w:val="21"/>
                    </w:rPr>
                    <w:t>排污许可管理等级</w:t>
                  </w:r>
                </w:p>
              </w:tc>
              <w:tc>
                <w:tcPr>
                  <w:tcW w:w="850" w:type="dxa"/>
                  <w:vAlign w:val="center"/>
                </w:tcPr>
                <w:p>
                  <w:pPr>
                    <w:jc w:val="center"/>
                    <w:rPr>
                      <w:szCs w:val="21"/>
                    </w:rPr>
                  </w:pPr>
                  <w:r>
                    <w:rPr>
                      <w:szCs w:val="21"/>
                    </w:rPr>
                    <w:t>办理类型</w:t>
                  </w:r>
                </w:p>
              </w:tc>
              <w:tc>
                <w:tcPr>
                  <w:tcW w:w="1418" w:type="dxa"/>
                </w:tcPr>
                <w:p>
                  <w:pPr>
                    <w:jc w:val="center"/>
                    <w:rPr>
                      <w:szCs w:val="21"/>
                    </w:rPr>
                  </w:pPr>
                  <w:r>
                    <w:rPr>
                      <w:szCs w:val="21"/>
                    </w:rPr>
                    <w:t>本项目</w:t>
                  </w:r>
                </w:p>
                <w:p>
                  <w:pPr>
                    <w:jc w:val="center"/>
                    <w:rPr>
                      <w:szCs w:val="21"/>
                    </w:rPr>
                  </w:pPr>
                  <w:r>
                    <w:rPr>
                      <w:szCs w:val="21"/>
                    </w:rPr>
                    <w:t>办理类型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29" w:type="dxa"/>
                  <w:vAlign w:val="center"/>
                </w:tcPr>
                <w:p>
                  <w:pPr>
                    <w:jc w:val="center"/>
                    <w:rPr>
                      <w:spacing w:val="3"/>
                      <w:szCs w:val="21"/>
                    </w:rPr>
                  </w:pPr>
                  <w:r>
                    <w:rPr>
                      <w:spacing w:val="3"/>
                      <w:szCs w:val="21"/>
                    </w:rPr>
                    <w:t>零售业</w:t>
                  </w:r>
                </w:p>
              </w:tc>
              <w:tc>
                <w:tcPr>
                  <w:tcW w:w="567" w:type="dxa"/>
                  <w:vAlign w:val="center"/>
                </w:tcPr>
                <w:p>
                  <w:pPr>
                    <w:jc w:val="center"/>
                    <w:rPr>
                      <w:spacing w:val="3"/>
                      <w:szCs w:val="21"/>
                    </w:rPr>
                  </w:pPr>
                  <w:r>
                    <w:rPr>
                      <w:spacing w:val="3"/>
                      <w:szCs w:val="21"/>
                    </w:rPr>
                    <w:t>526</w:t>
                  </w:r>
                </w:p>
              </w:tc>
              <w:tc>
                <w:tcPr>
                  <w:tcW w:w="2268" w:type="dxa"/>
                  <w:vAlign w:val="center"/>
                </w:tcPr>
                <w:p>
                  <w:pPr>
                    <w:jc w:val="center"/>
                    <w:rPr>
                      <w:spacing w:val="3"/>
                      <w:szCs w:val="21"/>
                    </w:rPr>
                  </w:pPr>
                  <w:r>
                    <w:rPr>
                      <w:szCs w:val="21"/>
                    </w:rPr>
                    <w:t>汽车、摩托车、零配件和燃料及其他动力销售</w:t>
                  </w:r>
                </w:p>
              </w:tc>
              <w:tc>
                <w:tcPr>
                  <w:tcW w:w="1134" w:type="dxa"/>
                  <w:vAlign w:val="center"/>
                </w:tcPr>
                <w:p>
                  <w:pPr>
                    <w:jc w:val="center"/>
                    <w:rPr>
                      <w:spacing w:val="3"/>
                      <w:szCs w:val="21"/>
                    </w:rPr>
                  </w:pPr>
                  <w:r>
                    <w:rPr>
                      <w:spacing w:val="3"/>
                      <w:szCs w:val="21"/>
                    </w:rPr>
                    <w:t>简化管理</w:t>
                  </w:r>
                </w:p>
              </w:tc>
              <w:tc>
                <w:tcPr>
                  <w:tcW w:w="850" w:type="dxa"/>
                  <w:vAlign w:val="center"/>
                </w:tcPr>
                <w:p>
                  <w:pPr>
                    <w:jc w:val="center"/>
                    <w:rPr>
                      <w:szCs w:val="21"/>
                    </w:rPr>
                  </w:pPr>
                  <w:r>
                    <w:rPr>
                      <w:szCs w:val="21"/>
                    </w:rPr>
                    <w:t>排污许可证</w:t>
                  </w:r>
                </w:p>
              </w:tc>
              <w:tc>
                <w:tcPr>
                  <w:tcW w:w="1418" w:type="dxa"/>
                </w:tcPr>
                <w:p>
                  <w:pPr>
                    <w:rPr>
                      <w:szCs w:val="21"/>
                    </w:rPr>
                  </w:pPr>
                  <w:r>
                    <w:rPr>
                      <w:szCs w:val="21"/>
                    </w:rPr>
                    <w:t>简化管理，申领排污许可证</w:t>
                  </w:r>
                </w:p>
              </w:tc>
            </w:tr>
          </w:tbl>
          <w:p>
            <w:pPr>
              <w:adjustRightInd w:val="0"/>
              <w:snapToGrid w:val="0"/>
              <w:spacing w:line="360" w:lineRule="auto"/>
              <w:rPr>
                <w:bCs/>
                <w:spacing w:val="-10"/>
                <w:szCs w:val="21"/>
              </w:rPr>
            </w:pPr>
          </w:p>
          <w:p>
            <w:pPr>
              <w:adjustRightInd w:val="0"/>
              <w:snapToGrid w:val="0"/>
              <w:spacing w:line="360" w:lineRule="auto"/>
              <w:rPr>
                <w:bCs/>
                <w:spacing w:val="-10"/>
                <w:szCs w:val="21"/>
              </w:rPr>
            </w:pPr>
          </w:p>
          <w:p>
            <w:pPr>
              <w:adjustRightInd w:val="0"/>
              <w:snapToGrid w:val="0"/>
              <w:jc w:val="center"/>
              <w:rPr>
                <w:szCs w:val="21"/>
              </w:rPr>
            </w:pPr>
          </w:p>
        </w:tc>
      </w:tr>
    </w:tbl>
    <w:p>
      <w:pPr>
        <w:pStyle w:val="17"/>
        <w:jc w:val="center"/>
        <w:outlineLvl w:val="0"/>
        <w:rPr>
          <w:rFonts w:ascii="Times New Roman" w:hAnsi="Times New Roman"/>
          <w:snapToGrid w:val="0"/>
          <w:sz w:val="30"/>
          <w:szCs w:val="30"/>
        </w:rPr>
      </w:pPr>
      <w:r>
        <w:rPr>
          <w:rFonts w:ascii="Times New Roman" w:hAnsi="Times New Roman"/>
          <w:snapToGrid w:val="0"/>
          <w:color w:val="FF0000"/>
        </w:rPr>
        <w:br w:type="page"/>
      </w:r>
      <w:r>
        <w:rPr>
          <w:rFonts w:ascii="Times New Roman" w:hAnsi="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before="120" w:beforeLines="50" w:line="360" w:lineRule="auto"/>
              <w:ind w:firstLine="420" w:firstLineChars="200"/>
            </w:pPr>
            <w:r>
              <w:rPr>
                <w:szCs w:val="21"/>
              </w:rPr>
              <w:t>中国石化江西赣州宁都翠微加油站项目</w:t>
            </w:r>
            <w:r>
              <w:t>符合国家和地方产业政策，选址符合用地规划，项目对产生的废水、废气、噪声、固体废物等污染进行有效的控制及治理后，能达标排放，对周边环境影响较小。本评价认为，在切实落实本报告表提出的污染防治措施并保证其正常运行的条件下，该项目的建设对环境的影响是可以接受的，从环境保护的角度分析，该项目的建设可行。</w:t>
            </w:r>
          </w:p>
        </w:tc>
      </w:tr>
    </w:tbl>
    <w:p>
      <w:pPr>
        <w:rPr>
          <w:color w:val="FF0000"/>
        </w:rPr>
        <w:sectPr>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line="360" w:lineRule="auto"/>
        <w:outlineLvl w:val="0"/>
        <w:rPr>
          <w:rFonts w:ascii="Times New Roman" w:hAnsi="Times New Roman"/>
          <w:snapToGrid w:val="0"/>
          <w:sz w:val="32"/>
          <w:szCs w:val="32"/>
        </w:rPr>
      </w:pPr>
      <w:r>
        <w:rPr>
          <w:rFonts w:ascii="Times New Roman" w:hAnsi="Times New Roman"/>
          <w:snapToGrid w:val="0"/>
          <w:sz w:val="32"/>
          <w:szCs w:val="32"/>
        </w:rPr>
        <w:t>附表</w:t>
      </w:r>
    </w:p>
    <w:p>
      <w:pPr>
        <w:pStyle w:val="17"/>
        <w:adjustRightInd w:val="0"/>
        <w:snapToGrid w:val="0"/>
        <w:spacing w:before="0" w:beforeAutospacing="0" w:after="0" w:afterAutospacing="0" w:line="288"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21"/>
        <w:tblW w:w="139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513"/>
        <w:gridCol w:w="1686"/>
        <w:gridCol w:w="1264"/>
        <w:gridCol w:w="1686"/>
        <w:gridCol w:w="1545"/>
        <w:gridCol w:w="1745"/>
        <w:gridCol w:w="1942"/>
        <w:gridCol w:w="1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tcBorders>
              <w:tl2br w:val="single" w:color="auto" w:sz="4" w:space="0"/>
            </w:tcBorders>
            <w:tcMar>
              <w:left w:w="28" w:type="dxa"/>
              <w:right w:w="28" w:type="dxa"/>
            </w:tcMar>
            <w:vAlign w:val="center"/>
          </w:tcPr>
          <w:p>
            <w:pPr>
              <w:pStyle w:val="34"/>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34"/>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513"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686"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264"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34"/>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686"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545"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745" w:type="dxa"/>
            <w:tcMar>
              <w:left w:w="28" w:type="dxa"/>
              <w:right w:w="28" w:type="dxa"/>
            </w:tcMar>
            <w:vAlign w:val="center"/>
          </w:tcPr>
          <w:p>
            <w:pPr>
              <w:pStyle w:val="34"/>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34"/>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1942" w:type="dxa"/>
            <w:tcMar>
              <w:left w:w="28" w:type="dxa"/>
              <w:right w:w="28" w:type="dxa"/>
            </w:tcMar>
            <w:vAlign w:val="center"/>
          </w:tcPr>
          <w:p>
            <w:pPr>
              <w:pStyle w:val="34"/>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34"/>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041" w:type="dxa"/>
            <w:tcMar>
              <w:left w:w="28" w:type="dxa"/>
              <w:right w:w="28" w:type="dxa"/>
            </w:tcMar>
            <w:vAlign w:val="center"/>
          </w:tcPr>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34"/>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废气</w:t>
            </w:r>
          </w:p>
        </w:tc>
        <w:tc>
          <w:tcPr>
            <w:tcW w:w="1513"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非甲烷总烃</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0.823</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0.823</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0.823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restart"/>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废水</w:t>
            </w:r>
          </w:p>
        </w:tc>
        <w:tc>
          <w:tcPr>
            <w:tcW w:w="1513" w:type="dxa"/>
            <w:tcBorders>
              <w:top w:val="single" w:color="auto" w:sz="4" w:space="0"/>
            </w:tcBorders>
            <w:vAlign w:val="center"/>
          </w:tcPr>
          <w:p>
            <w:pPr>
              <w:pStyle w:val="34"/>
              <w:spacing w:beforeLines="0" w:afterLines="0" w:line="240" w:lineRule="auto"/>
              <w:rPr>
                <w:rFonts w:ascii="Times New Roman"/>
                <w:snapToGrid w:val="0"/>
                <w:kern w:val="21"/>
                <w:szCs w:val="21"/>
              </w:rPr>
            </w:pPr>
            <w:r>
              <w:rPr>
                <w:rFonts w:ascii="Times New Roman"/>
              </w:rPr>
              <w:t>COD</w:t>
            </w:r>
            <w:r>
              <w:rPr>
                <w:rFonts w:ascii="Times New Roman"/>
                <w:vertAlign w:val="subscript"/>
              </w:rPr>
              <w:t>Cr</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0.171</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0.171</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0.171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vAlign w:val="center"/>
          </w:tcPr>
          <w:p>
            <w:pPr>
              <w:pStyle w:val="34"/>
              <w:spacing w:beforeLines="0" w:afterLines="0" w:line="240" w:lineRule="auto"/>
              <w:rPr>
                <w:rFonts w:ascii="Times New Roman"/>
                <w:snapToGrid w:val="0"/>
                <w:kern w:val="21"/>
                <w:szCs w:val="21"/>
              </w:rPr>
            </w:pPr>
            <w:r>
              <w:rPr>
                <w:rFonts w:ascii="Times New Roman"/>
              </w:rPr>
              <w:t>BOD</w:t>
            </w:r>
            <w:r>
              <w:rPr>
                <w:rFonts w:ascii="Times New Roman"/>
                <w:vertAlign w:val="subscript"/>
              </w:rPr>
              <w:t>5</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0.087</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0.087</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vAlign w:val="center"/>
          </w:tcPr>
          <w:p>
            <w:pPr>
              <w:pStyle w:val="34"/>
              <w:spacing w:beforeLines="0" w:afterLines="0" w:line="240" w:lineRule="auto"/>
              <w:rPr>
                <w:rFonts w:ascii="Times New Roman"/>
                <w:snapToGrid w:val="0"/>
                <w:kern w:val="21"/>
                <w:szCs w:val="21"/>
              </w:rPr>
            </w:pPr>
            <w:r>
              <w:rPr>
                <w:rFonts w:ascii="Times New Roman"/>
              </w:rPr>
              <w:t>SS</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0.104</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0.104</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vAlign w:val="center"/>
          </w:tcPr>
          <w:p>
            <w:pPr>
              <w:pStyle w:val="34"/>
              <w:spacing w:beforeLines="0" w:afterLines="0" w:line="240" w:lineRule="auto"/>
              <w:rPr>
                <w:rFonts w:ascii="Times New Roman"/>
                <w:snapToGrid w:val="0"/>
                <w:kern w:val="21"/>
                <w:szCs w:val="21"/>
              </w:rPr>
            </w:pPr>
            <w:r>
              <w:rPr>
                <w:rFonts w:ascii="Times New Roman"/>
              </w:rPr>
              <w:t>NH</w:t>
            </w:r>
            <w:r>
              <w:rPr>
                <w:rFonts w:ascii="Times New Roman"/>
                <w:vertAlign w:val="subscript"/>
              </w:rPr>
              <w:t>3</w:t>
            </w:r>
            <w:r>
              <w:rPr>
                <w:rFonts w:ascii="Times New Roman"/>
              </w:rPr>
              <w:t>-N</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0.016</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0.016</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tcBorders>
              <w:bottom w:val="single" w:color="auto" w:sz="4" w:space="0"/>
            </w:tcBorders>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石油类</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0.0013</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0.0013</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snapToGrid w:val="0"/>
                <w:kern w:val="21"/>
                <w:szCs w:val="21"/>
              </w:rPr>
              <w:t>0.0013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一般工业</w:t>
            </w:r>
          </w:p>
          <w:p>
            <w:pPr>
              <w:pStyle w:val="34"/>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513" w:type="dxa"/>
            <w:tcBorders>
              <w:top w:val="single" w:color="auto" w:sz="4" w:space="0"/>
            </w:tcBorders>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生活垃圾</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bCs/>
                <w:szCs w:val="21"/>
              </w:rPr>
              <w:t>5.48</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bCs/>
                <w:szCs w:val="21"/>
              </w:rPr>
              <w:t>5.48</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w:t>
            </w:r>
            <w:r>
              <w:rPr>
                <w:rFonts w:ascii="Times New Roman"/>
                <w:bCs/>
                <w:szCs w:val="21"/>
              </w:rPr>
              <w:t>5.48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restart"/>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513" w:type="dxa"/>
            <w:vAlign w:val="center"/>
          </w:tcPr>
          <w:p>
            <w:pPr>
              <w:jc w:val="center"/>
              <w:rPr>
                <w:szCs w:val="21"/>
              </w:rPr>
            </w:pPr>
            <w:r>
              <w:rPr>
                <w:szCs w:val="21"/>
              </w:rPr>
              <w:t>储罐、油气回收装置废油渣</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zCs w:val="21"/>
              </w:rPr>
              <w:t>0.45</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zCs w:val="21"/>
              </w:rPr>
              <w:t>0.45</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vAlign w:val="center"/>
          </w:tcPr>
          <w:p>
            <w:pPr>
              <w:jc w:val="center"/>
              <w:rPr>
                <w:szCs w:val="21"/>
              </w:rPr>
            </w:pPr>
            <w:r>
              <w:rPr>
                <w:szCs w:val="21"/>
              </w:rPr>
              <w:t>隔油沉淀池</w:t>
            </w:r>
          </w:p>
          <w:p>
            <w:pPr>
              <w:jc w:val="center"/>
              <w:rPr>
                <w:szCs w:val="21"/>
              </w:rPr>
            </w:pPr>
            <w:r>
              <w:rPr>
                <w:szCs w:val="21"/>
              </w:rPr>
              <w:t>废油泥</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napToGrid w:val="0"/>
                <w:kern w:val="21"/>
                <w:szCs w:val="21"/>
              </w:rPr>
            </w:pPr>
            <w:r>
              <w:rPr>
                <w:rFonts w:ascii="Times New Roman"/>
                <w:szCs w:val="21"/>
              </w:rPr>
              <w:t>0.1</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napToGrid w:val="0"/>
                <w:kern w:val="21"/>
                <w:szCs w:val="21"/>
              </w:rPr>
            </w:pPr>
            <w:r>
              <w:rPr>
                <w:rFonts w:ascii="Times New Roman"/>
                <w:szCs w:val="21"/>
              </w:rPr>
              <w:t>0.1</w:t>
            </w:r>
          </w:p>
        </w:tc>
        <w:tc>
          <w:tcPr>
            <w:tcW w:w="1041" w:type="dxa"/>
            <w:vAlign w:val="center"/>
          </w:tcPr>
          <w:p>
            <w:pPr>
              <w:pStyle w:val="34"/>
              <w:spacing w:beforeLines="0" w:afterLines="0" w:line="240" w:lineRule="auto"/>
              <w:rPr>
                <w:rFonts w:ascii="Times New Roman"/>
                <w:snapToGrid w:val="0"/>
                <w:kern w:val="21"/>
                <w:szCs w:val="21"/>
              </w:rPr>
            </w:pPr>
            <w:r>
              <w:rPr>
                <w:rFonts w:ascii="Times New Roman"/>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4" w:type="dxa"/>
            <w:vMerge w:val="continue"/>
            <w:vAlign w:val="center"/>
          </w:tcPr>
          <w:p>
            <w:pPr>
              <w:pStyle w:val="34"/>
              <w:spacing w:beforeLines="0" w:afterLines="0" w:line="240" w:lineRule="auto"/>
              <w:rPr>
                <w:rFonts w:ascii="Times New Roman"/>
                <w:snapToGrid w:val="0"/>
                <w:kern w:val="21"/>
                <w:szCs w:val="21"/>
              </w:rPr>
            </w:pPr>
          </w:p>
        </w:tc>
        <w:tc>
          <w:tcPr>
            <w:tcW w:w="1513" w:type="dxa"/>
            <w:vAlign w:val="center"/>
          </w:tcPr>
          <w:p>
            <w:pPr>
              <w:jc w:val="center"/>
              <w:rPr>
                <w:szCs w:val="21"/>
              </w:rPr>
            </w:pPr>
            <w:r>
              <w:rPr>
                <w:snapToGrid w:val="0"/>
                <w:kern w:val="21"/>
                <w:szCs w:val="21"/>
              </w:rPr>
              <w:t>废吸油棉</w:t>
            </w:r>
          </w:p>
        </w:tc>
        <w:tc>
          <w:tcPr>
            <w:tcW w:w="1686" w:type="dxa"/>
            <w:vAlign w:val="center"/>
          </w:tcPr>
          <w:p>
            <w:pPr>
              <w:pStyle w:val="34"/>
              <w:spacing w:beforeLines="0" w:afterLines="0" w:line="240" w:lineRule="auto"/>
              <w:rPr>
                <w:rFonts w:ascii="Times New Roman"/>
                <w:snapToGrid w:val="0"/>
                <w:kern w:val="21"/>
                <w:szCs w:val="21"/>
              </w:rPr>
            </w:pPr>
          </w:p>
        </w:tc>
        <w:tc>
          <w:tcPr>
            <w:tcW w:w="1264" w:type="dxa"/>
            <w:vAlign w:val="center"/>
          </w:tcPr>
          <w:p>
            <w:pPr>
              <w:pStyle w:val="34"/>
              <w:spacing w:beforeLines="0" w:afterLines="0" w:line="240" w:lineRule="auto"/>
              <w:rPr>
                <w:rFonts w:ascii="Times New Roman"/>
                <w:snapToGrid w:val="0"/>
                <w:kern w:val="21"/>
                <w:szCs w:val="21"/>
              </w:rPr>
            </w:pPr>
          </w:p>
        </w:tc>
        <w:tc>
          <w:tcPr>
            <w:tcW w:w="1686" w:type="dxa"/>
            <w:vAlign w:val="center"/>
          </w:tcPr>
          <w:p>
            <w:pPr>
              <w:pStyle w:val="34"/>
              <w:spacing w:beforeLines="0" w:afterLines="0" w:line="240" w:lineRule="auto"/>
              <w:rPr>
                <w:rFonts w:ascii="Times New Roman"/>
                <w:snapToGrid w:val="0"/>
                <w:kern w:val="21"/>
                <w:szCs w:val="21"/>
              </w:rPr>
            </w:pPr>
          </w:p>
        </w:tc>
        <w:tc>
          <w:tcPr>
            <w:tcW w:w="1545" w:type="dxa"/>
            <w:vAlign w:val="center"/>
          </w:tcPr>
          <w:p>
            <w:pPr>
              <w:pStyle w:val="34"/>
              <w:spacing w:beforeLines="0" w:afterLines="0" w:line="240" w:lineRule="auto"/>
              <w:rPr>
                <w:rFonts w:ascii="Times New Roman"/>
                <w:szCs w:val="21"/>
              </w:rPr>
            </w:pPr>
            <w:r>
              <w:rPr>
                <w:rFonts w:ascii="Times New Roman"/>
                <w:bCs/>
                <w:szCs w:val="21"/>
              </w:rPr>
              <w:t>0.05</w:t>
            </w:r>
          </w:p>
        </w:tc>
        <w:tc>
          <w:tcPr>
            <w:tcW w:w="1745" w:type="dxa"/>
            <w:vAlign w:val="center"/>
          </w:tcPr>
          <w:p>
            <w:pPr>
              <w:pStyle w:val="34"/>
              <w:spacing w:beforeLines="0" w:afterLines="0" w:line="240" w:lineRule="auto"/>
              <w:rPr>
                <w:rFonts w:ascii="Times New Roman"/>
                <w:snapToGrid w:val="0"/>
                <w:kern w:val="21"/>
                <w:szCs w:val="21"/>
              </w:rPr>
            </w:pPr>
          </w:p>
        </w:tc>
        <w:tc>
          <w:tcPr>
            <w:tcW w:w="1942" w:type="dxa"/>
            <w:vAlign w:val="center"/>
          </w:tcPr>
          <w:p>
            <w:pPr>
              <w:pStyle w:val="34"/>
              <w:spacing w:beforeLines="0" w:afterLines="0" w:line="240" w:lineRule="auto"/>
              <w:rPr>
                <w:rFonts w:ascii="Times New Roman"/>
                <w:szCs w:val="21"/>
              </w:rPr>
            </w:pPr>
            <w:r>
              <w:rPr>
                <w:rFonts w:ascii="Times New Roman"/>
                <w:bCs/>
                <w:szCs w:val="21"/>
              </w:rPr>
              <w:t>0.05</w:t>
            </w:r>
          </w:p>
        </w:tc>
        <w:tc>
          <w:tcPr>
            <w:tcW w:w="1041" w:type="dxa"/>
            <w:vAlign w:val="center"/>
          </w:tcPr>
          <w:p>
            <w:pPr>
              <w:pStyle w:val="34"/>
              <w:spacing w:beforeLines="0" w:afterLines="0" w:line="240" w:lineRule="auto"/>
              <w:rPr>
                <w:rFonts w:ascii="Times New Roman"/>
                <w:szCs w:val="21"/>
              </w:rPr>
            </w:pPr>
            <w:r>
              <w:rPr>
                <w:rFonts w:ascii="Times New Roman"/>
                <w:bCs/>
                <w:szCs w:val="21"/>
              </w:rPr>
              <w:t>+0.05</w:t>
            </w:r>
          </w:p>
        </w:tc>
      </w:tr>
    </w:tbl>
    <w:p>
      <w:pPr>
        <w:pStyle w:val="34"/>
        <w:spacing w:before="192" w:beforeLines="80" w:after="24"/>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；单位：t/a。</w:t>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方正仿宋_GBK">
    <w:panose1 w:val="02000000000000000000"/>
    <w:charset w:val="86"/>
    <w:family w:val="script"/>
    <w:pitch w:val="default"/>
    <w:sig w:usb0="A00002BF" w:usb1="38CF7CFA" w:usb2="00082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10" w:usb3="00000000" w:csb0="0006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fldChar w:fldCharType="begin"/>
    </w:r>
    <w:r>
      <w:rPr>
        <w:rStyle w:val="24"/>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3</w:t>
    </w:r>
    <w:r>
      <w:rPr>
        <w:rStyle w:val="24"/>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67</w:t>
    </w:r>
    <w:r>
      <w:rPr>
        <w:rStyle w:val="24"/>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F1975"/>
    <w:multiLevelType w:val="multilevel"/>
    <w:tmpl w:val="59CF1975"/>
    <w:lvl w:ilvl="0" w:tentative="0">
      <w:start w:val="1"/>
      <w:numFmt w:val="decimalEnclosedCircle"/>
      <w:lvlText w:val="%1"/>
      <w:lvlJc w:val="left"/>
      <w:pPr>
        <w:ind w:left="842" w:hanging="360"/>
      </w:pPr>
      <w:rPr>
        <w:rFonts w:hint="default" w:cs="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6A2558CC"/>
    <w:multiLevelType w:val="multilevel"/>
    <w:tmpl w:val="6A2558CC"/>
    <w:lvl w:ilvl="0" w:tentative="0">
      <w:start w:val="1"/>
      <w:numFmt w:val="decimal"/>
      <w:lvlText w:val="%1、"/>
      <w:lvlJc w:val="left"/>
      <w:pPr>
        <w:ind w:left="794" w:hanging="360"/>
      </w:pPr>
      <w:rPr>
        <w:rFonts w:hint="default"/>
      </w:rPr>
    </w:lvl>
    <w:lvl w:ilvl="1" w:tentative="0">
      <w:start w:val="1"/>
      <w:numFmt w:val="lowerLetter"/>
      <w:lvlText w:val="%2)"/>
      <w:lvlJc w:val="left"/>
      <w:pPr>
        <w:ind w:left="1274" w:hanging="420"/>
      </w:pPr>
    </w:lvl>
    <w:lvl w:ilvl="2" w:tentative="0">
      <w:start w:val="1"/>
      <w:numFmt w:val="lowerRoman"/>
      <w:lvlText w:val="%3."/>
      <w:lvlJc w:val="right"/>
      <w:pPr>
        <w:ind w:left="1694" w:hanging="420"/>
      </w:pPr>
    </w:lvl>
    <w:lvl w:ilvl="3" w:tentative="0">
      <w:start w:val="1"/>
      <w:numFmt w:val="decimal"/>
      <w:lvlText w:val="%4."/>
      <w:lvlJc w:val="left"/>
      <w:pPr>
        <w:ind w:left="2114" w:hanging="420"/>
      </w:pPr>
    </w:lvl>
    <w:lvl w:ilvl="4" w:tentative="0">
      <w:start w:val="1"/>
      <w:numFmt w:val="lowerLetter"/>
      <w:lvlText w:val="%5)"/>
      <w:lvlJc w:val="left"/>
      <w:pPr>
        <w:ind w:left="2534" w:hanging="420"/>
      </w:pPr>
    </w:lvl>
    <w:lvl w:ilvl="5" w:tentative="0">
      <w:start w:val="1"/>
      <w:numFmt w:val="lowerRoman"/>
      <w:lvlText w:val="%6."/>
      <w:lvlJc w:val="right"/>
      <w:pPr>
        <w:ind w:left="2954" w:hanging="420"/>
      </w:pPr>
    </w:lvl>
    <w:lvl w:ilvl="6" w:tentative="0">
      <w:start w:val="1"/>
      <w:numFmt w:val="decimal"/>
      <w:lvlText w:val="%7."/>
      <w:lvlJc w:val="left"/>
      <w:pPr>
        <w:ind w:left="3374" w:hanging="420"/>
      </w:pPr>
    </w:lvl>
    <w:lvl w:ilvl="7" w:tentative="0">
      <w:start w:val="1"/>
      <w:numFmt w:val="lowerLetter"/>
      <w:lvlText w:val="%8)"/>
      <w:lvlJc w:val="left"/>
      <w:pPr>
        <w:ind w:left="3794" w:hanging="420"/>
      </w:pPr>
    </w:lvl>
    <w:lvl w:ilvl="8" w:tentative="0">
      <w:start w:val="1"/>
      <w:numFmt w:val="lowerRoman"/>
      <w:lvlText w:val="%9."/>
      <w:lvlJc w:val="right"/>
      <w:pPr>
        <w:ind w:left="4214" w:hanging="420"/>
      </w:pPr>
    </w:lvl>
  </w:abstractNum>
  <w:abstractNum w:abstractNumId="2">
    <w:nsid w:val="747A3AE7"/>
    <w:multiLevelType w:val="multilevel"/>
    <w:tmpl w:val="747A3AE7"/>
    <w:lvl w:ilvl="0" w:tentative="0">
      <w:start w:val="1"/>
      <w:numFmt w:val="decimalEnclosedCircle"/>
      <w:lvlText w:val="%1"/>
      <w:lvlJc w:val="left"/>
      <w:pPr>
        <w:ind w:left="780" w:hanging="360"/>
      </w:pPr>
      <w:rPr>
        <w:rFonts w:hint="default" w:ascii="宋体"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075CC"/>
    <w:rsid w:val="000079A0"/>
    <w:rsid w:val="000110DD"/>
    <w:rsid w:val="0001197C"/>
    <w:rsid w:val="000122CC"/>
    <w:rsid w:val="00013F57"/>
    <w:rsid w:val="00014133"/>
    <w:rsid w:val="00014787"/>
    <w:rsid w:val="0001488E"/>
    <w:rsid w:val="00016C1E"/>
    <w:rsid w:val="00023DA2"/>
    <w:rsid w:val="000247F0"/>
    <w:rsid w:val="0002726F"/>
    <w:rsid w:val="00030585"/>
    <w:rsid w:val="00034B42"/>
    <w:rsid w:val="0003505F"/>
    <w:rsid w:val="00035ABF"/>
    <w:rsid w:val="00036EE4"/>
    <w:rsid w:val="00037B7A"/>
    <w:rsid w:val="0004364B"/>
    <w:rsid w:val="000531FD"/>
    <w:rsid w:val="00054E07"/>
    <w:rsid w:val="00055A57"/>
    <w:rsid w:val="0005605D"/>
    <w:rsid w:val="0005784C"/>
    <w:rsid w:val="00061B1F"/>
    <w:rsid w:val="00061FBE"/>
    <w:rsid w:val="0006684A"/>
    <w:rsid w:val="0006731B"/>
    <w:rsid w:val="00072AA2"/>
    <w:rsid w:val="000733C4"/>
    <w:rsid w:val="00073682"/>
    <w:rsid w:val="000740CE"/>
    <w:rsid w:val="00074783"/>
    <w:rsid w:val="00076090"/>
    <w:rsid w:val="0008070B"/>
    <w:rsid w:val="000810AC"/>
    <w:rsid w:val="00081A02"/>
    <w:rsid w:val="00081CE0"/>
    <w:rsid w:val="00081E3E"/>
    <w:rsid w:val="00082231"/>
    <w:rsid w:val="00085AE9"/>
    <w:rsid w:val="00091BBA"/>
    <w:rsid w:val="000925AF"/>
    <w:rsid w:val="00092D38"/>
    <w:rsid w:val="0009377B"/>
    <w:rsid w:val="0009596D"/>
    <w:rsid w:val="000971FA"/>
    <w:rsid w:val="000A14A6"/>
    <w:rsid w:val="000A20C9"/>
    <w:rsid w:val="000A4AE7"/>
    <w:rsid w:val="000A59EB"/>
    <w:rsid w:val="000A5A4A"/>
    <w:rsid w:val="000A727E"/>
    <w:rsid w:val="000A7ED2"/>
    <w:rsid w:val="000B058F"/>
    <w:rsid w:val="000B18CC"/>
    <w:rsid w:val="000B1939"/>
    <w:rsid w:val="000B2662"/>
    <w:rsid w:val="000B3DA1"/>
    <w:rsid w:val="000B4467"/>
    <w:rsid w:val="000B4657"/>
    <w:rsid w:val="000B4DB9"/>
    <w:rsid w:val="000B4DEF"/>
    <w:rsid w:val="000C09AC"/>
    <w:rsid w:val="000C118D"/>
    <w:rsid w:val="000C429E"/>
    <w:rsid w:val="000C4E56"/>
    <w:rsid w:val="000C7380"/>
    <w:rsid w:val="000C767F"/>
    <w:rsid w:val="000D25B8"/>
    <w:rsid w:val="000D25EA"/>
    <w:rsid w:val="000D5411"/>
    <w:rsid w:val="000D5A44"/>
    <w:rsid w:val="000E2B67"/>
    <w:rsid w:val="000E3ED2"/>
    <w:rsid w:val="000F02BA"/>
    <w:rsid w:val="000F0EC0"/>
    <w:rsid w:val="000F224B"/>
    <w:rsid w:val="000F699C"/>
    <w:rsid w:val="001043C7"/>
    <w:rsid w:val="00106EFF"/>
    <w:rsid w:val="001111D4"/>
    <w:rsid w:val="00111F6E"/>
    <w:rsid w:val="001120AC"/>
    <w:rsid w:val="001144B3"/>
    <w:rsid w:val="0012286F"/>
    <w:rsid w:val="00123823"/>
    <w:rsid w:val="00123ABC"/>
    <w:rsid w:val="001254BB"/>
    <w:rsid w:val="00125AAE"/>
    <w:rsid w:val="00126E85"/>
    <w:rsid w:val="001303AB"/>
    <w:rsid w:val="001305A4"/>
    <w:rsid w:val="00131F42"/>
    <w:rsid w:val="001339F0"/>
    <w:rsid w:val="00133F49"/>
    <w:rsid w:val="0013426C"/>
    <w:rsid w:val="001357F1"/>
    <w:rsid w:val="00137F26"/>
    <w:rsid w:val="00140AE9"/>
    <w:rsid w:val="00140FA8"/>
    <w:rsid w:val="00142FEB"/>
    <w:rsid w:val="00143A2D"/>
    <w:rsid w:val="00144936"/>
    <w:rsid w:val="00145A41"/>
    <w:rsid w:val="00146B9A"/>
    <w:rsid w:val="00151675"/>
    <w:rsid w:val="00151BC4"/>
    <w:rsid w:val="00154024"/>
    <w:rsid w:val="0015542B"/>
    <w:rsid w:val="00157435"/>
    <w:rsid w:val="0016351C"/>
    <w:rsid w:val="0017504D"/>
    <w:rsid w:val="0017671A"/>
    <w:rsid w:val="00177422"/>
    <w:rsid w:val="00184590"/>
    <w:rsid w:val="001870D1"/>
    <w:rsid w:val="0018781E"/>
    <w:rsid w:val="00192380"/>
    <w:rsid w:val="0019262D"/>
    <w:rsid w:val="00192C4F"/>
    <w:rsid w:val="001955AF"/>
    <w:rsid w:val="00196368"/>
    <w:rsid w:val="001A0B0E"/>
    <w:rsid w:val="001A1B35"/>
    <w:rsid w:val="001A3056"/>
    <w:rsid w:val="001A48A2"/>
    <w:rsid w:val="001A6F61"/>
    <w:rsid w:val="001A73A4"/>
    <w:rsid w:val="001B2453"/>
    <w:rsid w:val="001B4F87"/>
    <w:rsid w:val="001B72B8"/>
    <w:rsid w:val="001C69B3"/>
    <w:rsid w:val="001D1414"/>
    <w:rsid w:val="001D5595"/>
    <w:rsid w:val="001D7874"/>
    <w:rsid w:val="001D7F22"/>
    <w:rsid w:val="001D7FB7"/>
    <w:rsid w:val="001E08A7"/>
    <w:rsid w:val="001E6C82"/>
    <w:rsid w:val="001E7097"/>
    <w:rsid w:val="001F0EC3"/>
    <w:rsid w:val="001F0F17"/>
    <w:rsid w:val="001F3347"/>
    <w:rsid w:val="001F3C34"/>
    <w:rsid w:val="001F68FB"/>
    <w:rsid w:val="001F69E4"/>
    <w:rsid w:val="00204C19"/>
    <w:rsid w:val="00205119"/>
    <w:rsid w:val="00206A61"/>
    <w:rsid w:val="00210B10"/>
    <w:rsid w:val="002125B4"/>
    <w:rsid w:val="00212BD8"/>
    <w:rsid w:val="00212EFC"/>
    <w:rsid w:val="002151DF"/>
    <w:rsid w:val="002155B8"/>
    <w:rsid w:val="0022002F"/>
    <w:rsid w:val="002203FE"/>
    <w:rsid w:val="00220F85"/>
    <w:rsid w:val="00221EDD"/>
    <w:rsid w:val="00222BEB"/>
    <w:rsid w:val="00222F7E"/>
    <w:rsid w:val="00224839"/>
    <w:rsid w:val="002249B2"/>
    <w:rsid w:val="00226574"/>
    <w:rsid w:val="002269B7"/>
    <w:rsid w:val="002278EC"/>
    <w:rsid w:val="0023280E"/>
    <w:rsid w:val="002333C8"/>
    <w:rsid w:val="002353A2"/>
    <w:rsid w:val="002377D1"/>
    <w:rsid w:val="002402CC"/>
    <w:rsid w:val="00241FA8"/>
    <w:rsid w:val="002420C6"/>
    <w:rsid w:val="002425E7"/>
    <w:rsid w:val="002430A7"/>
    <w:rsid w:val="00243FCD"/>
    <w:rsid w:val="002506BC"/>
    <w:rsid w:val="0025123F"/>
    <w:rsid w:val="00251357"/>
    <w:rsid w:val="00254345"/>
    <w:rsid w:val="0025553B"/>
    <w:rsid w:val="00256D1F"/>
    <w:rsid w:val="0025771C"/>
    <w:rsid w:val="002578D4"/>
    <w:rsid w:val="00264557"/>
    <w:rsid w:val="002665D9"/>
    <w:rsid w:val="0027108E"/>
    <w:rsid w:val="002724B3"/>
    <w:rsid w:val="00275EFC"/>
    <w:rsid w:val="002763CB"/>
    <w:rsid w:val="00276877"/>
    <w:rsid w:val="002801CD"/>
    <w:rsid w:val="002805AB"/>
    <w:rsid w:val="00282BB2"/>
    <w:rsid w:val="0028301E"/>
    <w:rsid w:val="00284204"/>
    <w:rsid w:val="00286400"/>
    <w:rsid w:val="0029027C"/>
    <w:rsid w:val="002908EB"/>
    <w:rsid w:val="00291773"/>
    <w:rsid w:val="002919E0"/>
    <w:rsid w:val="002921FE"/>
    <w:rsid w:val="00292F57"/>
    <w:rsid w:val="00293E43"/>
    <w:rsid w:val="00296153"/>
    <w:rsid w:val="002A028D"/>
    <w:rsid w:val="002A09A7"/>
    <w:rsid w:val="002A111F"/>
    <w:rsid w:val="002A168C"/>
    <w:rsid w:val="002A3DC7"/>
    <w:rsid w:val="002A44FD"/>
    <w:rsid w:val="002A48B4"/>
    <w:rsid w:val="002B49E2"/>
    <w:rsid w:val="002B52ED"/>
    <w:rsid w:val="002B76E7"/>
    <w:rsid w:val="002B7A96"/>
    <w:rsid w:val="002B7B00"/>
    <w:rsid w:val="002B7C44"/>
    <w:rsid w:val="002C0013"/>
    <w:rsid w:val="002C0638"/>
    <w:rsid w:val="002C084A"/>
    <w:rsid w:val="002C264F"/>
    <w:rsid w:val="002C2B17"/>
    <w:rsid w:val="002C5653"/>
    <w:rsid w:val="002D12D2"/>
    <w:rsid w:val="002D3DD0"/>
    <w:rsid w:val="002D473A"/>
    <w:rsid w:val="002D547E"/>
    <w:rsid w:val="002D7976"/>
    <w:rsid w:val="002E1F3A"/>
    <w:rsid w:val="002E298A"/>
    <w:rsid w:val="002E2E7F"/>
    <w:rsid w:val="002E4B30"/>
    <w:rsid w:val="002E71B3"/>
    <w:rsid w:val="002F62CC"/>
    <w:rsid w:val="00301978"/>
    <w:rsid w:val="0030293A"/>
    <w:rsid w:val="00303271"/>
    <w:rsid w:val="0030332C"/>
    <w:rsid w:val="003051C2"/>
    <w:rsid w:val="003103FC"/>
    <w:rsid w:val="00311556"/>
    <w:rsid w:val="003121DF"/>
    <w:rsid w:val="00312296"/>
    <w:rsid w:val="00312BE9"/>
    <w:rsid w:val="00313FC2"/>
    <w:rsid w:val="00314156"/>
    <w:rsid w:val="003143A7"/>
    <w:rsid w:val="00314F0E"/>
    <w:rsid w:val="00315606"/>
    <w:rsid w:val="00321D8E"/>
    <w:rsid w:val="00325928"/>
    <w:rsid w:val="00325D20"/>
    <w:rsid w:val="00326C92"/>
    <w:rsid w:val="00332863"/>
    <w:rsid w:val="00332DE4"/>
    <w:rsid w:val="00332DFD"/>
    <w:rsid w:val="003358B1"/>
    <w:rsid w:val="00336152"/>
    <w:rsid w:val="0033684D"/>
    <w:rsid w:val="00337B42"/>
    <w:rsid w:val="00341239"/>
    <w:rsid w:val="00341B42"/>
    <w:rsid w:val="0034348F"/>
    <w:rsid w:val="003452BE"/>
    <w:rsid w:val="003507CC"/>
    <w:rsid w:val="00356653"/>
    <w:rsid w:val="00356E47"/>
    <w:rsid w:val="0035743F"/>
    <w:rsid w:val="00357BE2"/>
    <w:rsid w:val="00357F93"/>
    <w:rsid w:val="0036077D"/>
    <w:rsid w:val="0036170C"/>
    <w:rsid w:val="00362526"/>
    <w:rsid w:val="0036272B"/>
    <w:rsid w:val="003635CD"/>
    <w:rsid w:val="00363F07"/>
    <w:rsid w:val="00365D96"/>
    <w:rsid w:val="00366E0F"/>
    <w:rsid w:val="00372995"/>
    <w:rsid w:val="00376236"/>
    <w:rsid w:val="0037694C"/>
    <w:rsid w:val="00381A72"/>
    <w:rsid w:val="00384676"/>
    <w:rsid w:val="0038670D"/>
    <w:rsid w:val="00390857"/>
    <w:rsid w:val="00393EC8"/>
    <w:rsid w:val="00396786"/>
    <w:rsid w:val="003A3268"/>
    <w:rsid w:val="003A4BF3"/>
    <w:rsid w:val="003A7758"/>
    <w:rsid w:val="003A7E1A"/>
    <w:rsid w:val="003B0FA3"/>
    <w:rsid w:val="003B420D"/>
    <w:rsid w:val="003B69D3"/>
    <w:rsid w:val="003C113F"/>
    <w:rsid w:val="003C5189"/>
    <w:rsid w:val="003C6C16"/>
    <w:rsid w:val="003C740A"/>
    <w:rsid w:val="003C7C8D"/>
    <w:rsid w:val="003D00FA"/>
    <w:rsid w:val="003D03AF"/>
    <w:rsid w:val="003D3B7C"/>
    <w:rsid w:val="003D42D7"/>
    <w:rsid w:val="003D49F6"/>
    <w:rsid w:val="003D4BEF"/>
    <w:rsid w:val="003D550C"/>
    <w:rsid w:val="003D794D"/>
    <w:rsid w:val="003E095C"/>
    <w:rsid w:val="003E0AAD"/>
    <w:rsid w:val="003E1829"/>
    <w:rsid w:val="003E2789"/>
    <w:rsid w:val="003E3058"/>
    <w:rsid w:val="003E451F"/>
    <w:rsid w:val="003E4E8C"/>
    <w:rsid w:val="003E5D62"/>
    <w:rsid w:val="003E69E0"/>
    <w:rsid w:val="003E76A9"/>
    <w:rsid w:val="003F0809"/>
    <w:rsid w:val="003F0CCE"/>
    <w:rsid w:val="003F0F35"/>
    <w:rsid w:val="003F4F06"/>
    <w:rsid w:val="003F5F3B"/>
    <w:rsid w:val="003F6A8C"/>
    <w:rsid w:val="003F6C72"/>
    <w:rsid w:val="003F755C"/>
    <w:rsid w:val="00403D87"/>
    <w:rsid w:val="0040476A"/>
    <w:rsid w:val="00406351"/>
    <w:rsid w:val="00406596"/>
    <w:rsid w:val="004069D2"/>
    <w:rsid w:val="00406F01"/>
    <w:rsid w:val="00407182"/>
    <w:rsid w:val="00407D27"/>
    <w:rsid w:val="00415107"/>
    <w:rsid w:val="00415343"/>
    <w:rsid w:val="00416D50"/>
    <w:rsid w:val="00416FD5"/>
    <w:rsid w:val="00417772"/>
    <w:rsid w:val="00420140"/>
    <w:rsid w:val="00420E6A"/>
    <w:rsid w:val="004214DA"/>
    <w:rsid w:val="00421CCA"/>
    <w:rsid w:val="00422574"/>
    <w:rsid w:val="00424EB6"/>
    <w:rsid w:val="004250A8"/>
    <w:rsid w:val="00425A9E"/>
    <w:rsid w:val="00426D6B"/>
    <w:rsid w:val="0042739D"/>
    <w:rsid w:val="00431A66"/>
    <w:rsid w:val="00431E6C"/>
    <w:rsid w:val="00433CE7"/>
    <w:rsid w:val="004349C8"/>
    <w:rsid w:val="004351CD"/>
    <w:rsid w:val="00443614"/>
    <w:rsid w:val="00450CF2"/>
    <w:rsid w:val="00452738"/>
    <w:rsid w:val="00452B9A"/>
    <w:rsid w:val="00454FBC"/>
    <w:rsid w:val="00456091"/>
    <w:rsid w:val="00456FEE"/>
    <w:rsid w:val="00457B48"/>
    <w:rsid w:val="00466321"/>
    <w:rsid w:val="004701BD"/>
    <w:rsid w:val="004768BF"/>
    <w:rsid w:val="00481A61"/>
    <w:rsid w:val="00482251"/>
    <w:rsid w:val="00483BDF"/>
    <w:rsid w:val="00484B9B"/>
    <w:rsid w:val="004855F6"/>
    <w:rsid w:val="0048661E"/>
    <w:rsid w:val="004871E1"/>
    <w:rsid w:val="004873F1"/>
    <w:rsid w:val="00491915"/>
    <w:rsid w:val="00494670"/>
    <w:rsid w:val="00494BB4"/>
    <w:rsid w:val="004A02E2"/>
    <w:rsid w:val="004A3823"/>
    <w:rsid w:val="004A4B7A"/>
    <w:rsid w:val="004A5129"/>
    <w:rsid w:val="004A75C7"/>
    <w:rsid w:val="004B4936"/>
    <w:rsid w:val="004B59E3"/>
    <w:rsid w:val="004B723D"/>
    <w:rsid w:val="004C1C17"/>
    <w:rsid w:val="004C3DD6"/>
    <w:rsid w:val="004C532B"/>
    <w:rsid w:val="004C54BD"/>
    <w:rsid w:val="004D0A86"/>
    <w:rsid w:val="004D16D2"/>
    <w:rsid w:val="004D683A"/>
    <w:rsid w:val="004D6AB2"/>
    <w:rsid w:val="004D7369"/>
    <w:rsid w:val="004D7A68"/>
    <w:rsid w:val="004E1C2C"/>
    <w:rsid w:val="004E47A1"/>
    <w:rsid w:val="004E6946"/>
    <w:rsid w:val="004F1AD8"/>
    <w:rsid w:val="004F5C7C"/>
    <w:rsid w:val="004F5CF5"/>
    <w:rsid w:val="004F7135"/>
    <w:rsid w:val="00502552"/>
    <w:rsid w:val="00502CDA"/>
    <w:rsid w:val="005039CB"/>
    <w:rsid w:val="0050558F"/>
    <w:rsid w:val="00506286"/>
    <w:rsid w:val="00506B1C"/>
    <w:rsid w:val="00510813"/>
    <w:rsid w:val="00511990"/>
    <w:rsid w:val="00511DE0"/>
    <w:rsid w:val="00512396"/>
    <w:rsid w:val="00514870"/>
    <w:rsid w:val="00514B9B"/>
    <w:rsid w:val="00517683"/>
    <w:rsid w:val="00517F02"/>
    <w:rsid w:val="00522E69"/>
    <w:rsid w:val="00522F64"/>
    <w:rsid w:val="00523FAA"/>
    <w:rsid w:val="00524303"/>
    <w:rsid w:val="0052527A"/>
    <w:rsid w:val="005258A2"/>
    <w:rsid w:val="005302DB"/>
    <w:rsid w:val="00531BBA"/>
    <w:rsid w:val="00532255"/>
    <w:rsid w:val="00536470"/>
    <w:rsid w:val="00537E8C"/>
    <w:rsid w:val="005401AE"/>
    <w:rsid w:val="00542824"/>
    <w:rsid w:val="00542E07"/>
    <w:rsid w:val="00545424"/>
    <w:rsid w:val="00545736"/>
    <w:rsid w:val="00545A91"/>
    <w:rsid w:val="0055163E"/>
    <w:rsid w:val="0055379C"/>
    <w:rsid w:val="00554A7B"/>
    <w:rsid w:val="00554B71"/>
    <w:rsid w:val="0055572C"/>
    <w:rsid w:val="0056105A"/>
    <w:rsid w:val="0056106A"/>
    <w:rsid w:val="00561F6C"/>
    <w:rsid w:val="00562033"/>
    <w:rsid w:val="00563E1B"/>
    <w:rsid w:val="00563F9A"/>
    <w:rsid w:val="0056599C"/>
    <w:rsid w:val="005702C9"/>
    <w:rsid w:val="00570302"/>
    <w:rsid w:val="00570324"/>
    <w:rsid w:val="005720AE"/>
    <w:rsid w:val="005737C7"/>
    <w:rsid w:val="00577498"/>
    <w:rsid w:val="005818D2"/>
    <w:rsid w:val="00583496"/>
    <w:rsid w:val="00584BD2"/>
    <w:rsid w:val="00584F59"/>
    <w:rsid w:val="00594C85"/>
    <w:rsid w:val="00594D77"/>
    <w:rsid w:val="0059562E"/>
    <w:rsid w:val="005966F8"/>
    <w:rsid w:val="005969E4"/>
    <w:rsid w:val="005A06B7"/>
    <w:rsid w:val="005A1759"/>
    <w:rsid w:val="005A1F2E"/>
    <w:rsid w:val="005A4010"/>
    <w:rsid w:val="005A5207"/>
    <w:rsid w:val="005A68A7"/>
    <w:rsid w:val="005B65F4"/>
    <w:rsid w:val="005B6A48"/>
    <w:rsid w:val="005C1B61"/>
    <w:rsid w:val="005C3F34"/>
    <w:rsid w:val="005C4961"/>
    <w:rsid w:val="005C56B2"/>
    <w:rsid w:val="005C6C56"/>
    <w:rsid w:val="005C73AC"/>
    <w:rsid w:val="005D03AC"/>
    <w:rsid w:val="005D14F5"/>
    <w:rsid w:val="005D3562"/>
    <w:rsid w:val="005D36AB"/>
    <w:rsid w:val="005D5761"/>
    <w:rsid w:val="005D5971"/>
    <w:rsid w:val="005E2112"/>
    <w:rsid w:val="005E3E91"/>
    <w:rsid w:val="005E4CB7"/>
    <w:rsid w:val="005F14F7"/>
    <w:rsid w:val="005F19AD"/>
    <w:rsid w:val="005F5BEE"/>
    <w:rsid w:val="0060736D"/>
    <w:rsid w:val="0061052F"/>
    <w:rsid w:val="00610B1E"/>
    <w:rsid w:val="00610B8B"/>
    <w:rsid w:val="00612828"/>
    <w:rsid w:val="00613658"/>
    <w:rsid w:val="00617CC3"/>
    <w:rsid w:val="00623751"/>
    <w:rsid w:val="0062399E"/>
    <w:rsid w:val="006338D6"/>
    <w:rsid w:val="006377A6"/>
    <w:rsid w:val="00637A3D"/>
    <w:rsid w:val="00640DEC"/>
    <w:rsid w:val="006411EF"/>
    <w:rsid w:val="0064147C"/>
    <w:rsid w:val="00641896"/>
    <w:rsid w:val="00645727"/>
    <w:rsid w:val="00651F75"/>
    <w:rsid w:val="00656FCD"/>
    <w:rsid w:val="0065710E"/>
    <w:rsid w:val="00657167"/>
    <w:rsid w:val="006617B9"/>
    <w:rsid w:val="006638DA"/>
    <w:rsid w:val="00664217"/>
    <w:rsid w:val="00671BDB"/>
    <w:rsid w:val="00673020"/>
    <w:rsid w:val="00674191"/>
    <w:rsid w:val="006748B8"/>
    <w:rsid w:val="00676F8C"/>
    <w:rsid w:val="006775C3"/>
    <w:rsid w:val="0067788C"/>
    <w:rsid w:val="00680883"/>
    <w:rsid w:val="00682F23"/>
    <w:rsid w:val="00685A0A"/>
    <w:rsid w:val="00686545"/>
    <w:rsid w:val="00686827"/>
    <w:rsid w:val="0069290A"/>
    <w:rsid w:val="0069350E"/>
    <w:rsid w:val="00693608"/>
    <w:rsid w:val="00693F08"/>
    <w:rsid w:val="006959DB"/>
    <w:rsid w:val="0069775A"/>
    <w:rsid w:val="00697813"/>
    <w:rsid w:val="006A0167"/>
    <w:rsid w:val="006A3EE8"/>
    <w:rsid w:val="006A44F8"/>
    <w:rsid w:val="006A45E8"/>
    <w:rsid w:val="006A68DA"/>
    <w:rsid w:val="006A72BF"/>
    <w:rsid w:val="006B03F2"/>
    <w:rsid w:val="006B2733"/>
    <w:rsid w:val="006B37DC"/>
    <w:rsid w:val="006B4F68"/>
    <w:rsid w:val="006C0592"/>
    <w:rsid w:val="006C0C74"/>
    <w:rsid w:val="006C1259"/>
    <w:rsid w:val="006C1F56"/>
    <w:rsid w:val="006C2563"/>
    <w:rsid w:val="006C272E"/>
    <w:rsid w:val="006C2DA7"/>
    <w:rsid w:val="006C2FF4"/>
    <w:rsid w:val="006C314A"/>
    <w:rsid w:val="006C5479"/>
    <w:rsid w:val="006C5693"/>
    <w:rsid w:val="006C6EB1"/>
    <w:rsid w:val="006D13B5"/>
    <w:rsid w:val="006D2053"/>
    <w:rsid w:val="006D2973"/>
    <w:rsid w:val="006D4529"/>
    <w:rsid w:val="006D6279"/>
    <w:rsid w:val="006E12FF"/>
    <w:rsid w:val="006E490E"/>
    <w:rsid w:val="006E607E"/>
    <w:rsid w:val="006F0F7A"/>
    <w:rsid w:val="006F1153"/>
    <w:rsid w:val="006F1CBB"/>
    <w:rsid w:val="006F2C99"/>
    <w:rsid w:val="006F4828"/>
    <w:rsid w:val="006F4AE9"/>
    <w:rsid w:val="006F6608"/>
    <w:rsid w:val="006F6D50"/>
    <w:rsid w:val="00702003"/>
    <w:rsid w:val="0070437B"/>
    <w:rsid w:val="00704E53"/>
    <w:rsid w:val="00706C5D"/>
    <w:rsid w:val="00707D57"/>
    <w:rsid w:val="00710E29"/>
    <w:rsid w:val="007112B9"/>
    <w:rsid w:val="00716C99"/>
    <w:rsid w:val="00727C3A"/>
    <w:rsid w:val="007313AC"/>
    <w:rsid w:val="0073184B"/>
    <w:rsid w:val="00732922"/>
    <w:rsid w:val="00734C08"/>
    <w:rsid w:val="0073762D"/>
    <w:rsid w:val="007503A5"/>
    <w:rsid w:val="007512D1"/>
    <w:rsid w:val="007515D9"/>
    <w:rsid w:val="0075162E"/>
    <w:rsid w:val="00752BE5"/>
    <w:rsid w:val="00753163"/>
    <w:rsid w:val="00753EDF"/>
    <w:rsid w:val="00754034"/>
    <w:rsid w:val="00756556"/>
    <w:rsid w:val="0075723F"/>
    <w:rsid w:val="007618C4"/>
    <w:rsid w:val="00764F4D"/>
    <w:rsid w:val="00767980"/>
    <w:rsid w:val="00770B19"/>
    <w:rsid w:val="00770D48"/>
    <w:rsid w:val="00771386"/>
    <w:rsid w:val="00771C92"/>
    <w:rsid w:val="00772FCA"/>
    <w:rsid w:val="0077463F"/>
    <w:rsid w:val="00775874"/>
    <w:rsid w:val="00780239"/>
    <w:rsid w:val="00780DFB"/>
    <w:rsid w:val="007836EA"/>
    <w:rsid w:val="00784CDA"/>
    <w:rsid w:val="00785C48"/>
    <w:rsid w:val="007906C4"/>
    <w:rsid w:val="007914E5"/>
    <w:rsid w:val="00793A64"/>
    <w:rsid w:val="007940EA"/>
    <w:rsid w:val="0079496D"/>
    <w:rsid w:val="007967E8"/>
    <w:rsid w:val="007A1F63"/>
    <w:rsid w:val="007A2170"/>
    <w:rsid w:val="007A22BF"/>
    <w:rsid w:val="007A3323"/>
    <w:rsid w:val="007A4FA5"/>
    <w:rsid w:val="007A51DC"/>
    <w:rsid w:val="007A6A40"/>
    <w:rsid w:val="007A7647"/>
    <w:rsid w:val="007A78B5"/>
    <w:rsid w:val="007A7BFE"/>
    <w:rsid w:val="007B4346"/>
    <w:rsid w:val="007B72B8"/>
    <w:rsid w:val="007B751D"/>
    <w:rsid w:val="007B7A58"/>
    <w:rsid w:val="007B7D9B"/>
    <w:rsid w:val="007C21B5"/>
    <w:rsid w:val="007C6A77"/>
    <w:rsid w:val="007D02DB"/>
    <w:rsid w:val="007D37A2"/>
    <w:rsid w:val="007D45C9"/>
    <w:rsid w:val="007D68B5"/>
    <w:rsid w:val="007E0CEC"/>
    <w:rsid w:val="007E104B"/>
    <w:rsid w:val="007E23AE"/>
    <w:rsid w:val="007E49D8"/>
    <w:rsid w:val="007E4BD2"/>
    <w:rsid w:val="007F3641"/>
    <w:rsid w:val="007F3F70"/>
    <w:rsid w:val="0080120C"/>
    <w:rsid w:val="00801393"/>
    <w:rsid w:val="00801764"/>
    <w:rsid w:val="00802F88"/>
    <w:rsid w:val="00810868"/>
    <w:rsid w:val="00812039"/>
    <w:rsid w:val="008124FE"/>
    <w:rsid w:val="0081293E"/>
    <w:rsid w:val="00813535"/>
    <w:rsid w:val="00814B55"/>
    <w:rsid w:val="00814F84"/>
    <w:rsid w:val="00815465"/>
    <w:rsid w:val="00817960"/>
    <w:rsid w:val="00817A6B"/>
    <w:rsid w:val="00817E9A"/>
    <w:rsid w:val="008212D3"/>
    <w:rsid w:val="00821B67"/>
    <w:rsid w:val="008223C4"/>
    <w:rsid w:val="00822AC0"/>
    <w:rsid w:val="00823279"/>
    <w:rsid w:val="008244E7"/>
    <w:rsid w:val="008306BD"/>
    <w:rsid w:val="00830C20"/>
    <w:rsid w:val="00831A80"/>
    <w:rsid w:val="008328E7"/>
    <w:rsid w:val="00833743"/>
    <w:rsid w:val="008340A4"/>
    <w:rsid w:val="00834325"/>
    <w:rsid w:val="008365A8"/>
    <w:rsid w:val="00837A7E"/>
    <w:rsid w:val="00837EDF"/>
    <w:rsid w:val="00840AE7"/>
    <w:rsid w:val="008424D1"/>
    <w:rsid w:val="00843DF1"/>
    <w:rsid w:val="00852328"/>
    <w:rsid w:val="00852DAC"/>
    <w:rsid w:val="00856F89"/>
    <w:rsid w:val="008614FD"/>
    <w:rsid w:val="0086332A"/>
    <w:rsid w:val="008642FE"/>
    <w:rsid w:val="008649AE"/>
    <w:rsid w:val="00865ED8"/>
    <w:rsid w:val="00870204"/>
    <w:rsid w:val="0087135F"/>
    <w:rsid w:val="0087195E"/>
    <w:rsid w:val="00871ED2"/>
    <w:rsid w:val="00872D94"/>
    <w:rsid w:val="008748A1"/>
    <w:rsid w:val="008778DC"/>
    <w:rsid w:val="00880364"/>
    <w:rsid w:val="00885B22"/>
    <w:rsid w:val="00885D8E"/>
    <w:rsid w:val="00887491"/>
    <w:rsid w:val="00891592"/>
    <w:rsid w:val="00891707"/>
    <w:rsid w:val="00891E9E"/>
    <w:rsid w:val="008931EA"/>
    <w:rsid w:val="008A2F12"/>
    <w:rsid w:val="008A2F68"/>
    <w:rsid w:val="008A3442"/>
    <w:rsid w:val="008A3AE6"/>
    <w:rsid w:val="008A5175"/>
    <w:rsid w:val="008A6B2C"/>
    <w:rsid w:val="008A7EEB"/>
    <w:rsid w:val="008B0505"/>
    <w:rsid w:val="008B0ECB"/>
    <w:rsid w:val="008B35FA"/>
    <w:rsid w:val="008B4FA6"/>
    <w:rsid w:val="008B5282"/>
    <w:rsid w:val="008B5A54"/>
    <w:rsid w:val="008B5B86"/>
    <w:rsid w:val="008B7762"/>
    <w:rsid w:val="008B7C17"/>
    <w:rsid w:val="008B7EAE"/>
    <w:rsid w:val="008C0E6A"/>
    <w:rsid w:val="008C272D"/>
    <w:rsid w:val="008C2D01"/>
    <w:rsid w:val="008C334E"/>
    <w:rsid w:val="008C40E6"/>
    <w:rsid w:val="008C574D"/>
    <w:rsid w:val="008C62B2"/>
    <w:rsid w:val="008D0F7A"/>
    <w:rsid w:val="008D424A"/>
    <w:rsid w:val="008D68E4"/>
    <w:rsid w:val="008D6DC8"/>
    <w:rsid w:val="008D72A1"/>
    <w:rsid w:val="008E03D0"/>
    <w:rsid w:val="008E0506"/>
    <w:rsid w:val="008E0CFF"/>
    <w:rsid w:val="008E2715"/>
    <w:rsid w:val="008E5D6B"/>
    <w:rsid w:val="008E76F0"/>
    <w:rsid w:val="008F15FE"/>
    <w:rsid w:val="008F2D29"/>
    <w:rsid w:val="008F4FE4"/>
    <w:rsid w:val="008F5187"/>
    <w:rsid w:val="008F52D6"/>
    <w:rsid w:val="008F5F60"/>
    <w:rsid w:val="008F60D8"/>
    <w:rsid w:val="008F7C3E"/>
    <w:rsid w:val="0090029F"/>
    <w:rsid w:val="009019C1"/>
    <w:rsid w:val="009021F6"/>
    <w:rsid w:val="00902727"/>
    <w:rsid w:val="0090312B"/>
    <w:rsid w:val="0091214F"/>
    <w:rsid w:val="0091301D"/>
    <w:rsid w:val="009133F2"/>
    <w:rsid w:val="0091736D"/>
    <w:rsid w:val="00923916"/>
    <w:rsid w:val="00924621"/>
    <w:rsid w:val="00927179"/>
    <w:rsid w:val="0093037A"/>
    <w:rsid w:val="00935E32"/>
    <w:rsid w:val="00937B9B"/>
    <w:rsid w:val="00940EF7"/>
    <w:rsid w:val="0094154D"/>
    <w:rsid w:val="0095077F"/>
    <w:rsid w:val="0095155F"/>
    <w:rsid w:val="00952AF6"/>
    <w:rsid w:val="0095374B"/>
    <w:rsid w:val="00954429"/>
    <w:rsid w:val="00954B46"/>
    <w:rsid w:val="00954BBC"/>
    <w:rsid w:val="009563CE"/>
    <w:rsid w:val="009568D7"/>
    <w:rsid w:val="00960402"/>
    <w:rsid w:val="00960C6E"/>
    <w:rsid w:val="00960EBA"/>
    <w:rsid w:val="009647AE"/>
    <w:rsid w:val="009662B2"/>
    <w:rsid w:val="009667D2"/>
    <w:rsid w:val="00967566"/>
    <w:rsid w:val="00971876"/>
    <w:rsid w:val="0097209D"/>
    <w:rsid w:val="0097256F"/>
    <w:rsid w:val="009739F7"/>
    <w:rsid w:val="00975AC4"/>
    <w:rsid w:val="00976328"/>
    <w:rsid w:val="0097680D"/>
    <w:rsid w:val="00980689"/>
    <w:rsid w:val="00982438"/>
    <w:rsid w:val="00982CB4"/>
    <w:rsid w:val="0098404C"/>
    <w:rsid w:val="00984FB0"/>
    <w:rsid w:val="00985283"/>
    <w:rsid w:val="00986D9F"/>
    <w:rsid w:val="00990D59"/>
    <w:rsid w:val="00991A78"/>
    <w:rsid w:val="009958BF"/>
    <w:rsid w:val="00995992"/>
    <w:rsid w:val="00995B3B"/>
    <w:rsid w:val="00996FD6"/>
    <w:rsid w:val="00997400"/>
    <w:rsid w:val="009A03E5"/>
    <w:rsid w:val="009A0D96"/>
    <w:rsid w:val="009A0F3B"/>
    <w:rsid w:val="009A17D1"/>
    <w:rsid w:val="009A1BB4"/>
    <w:rsid w:val="009A2628"/>
    <w:rsid w:val="009A3000"/>
    <w:rsid w:val="009A3200"/>
    <w:rsid w:val="009A5164"/>
    <w:rsid w:val="009A5AE9"/>
    <w:rsid w:val="009A64EC"/>
    <w:rsid w:val="009A6A64"/>
    <w:rsid w:val="009A7BA6"/>
    <w:rsid w:val="009B0897"/>
    <w:rsid w:val="009B27DC"/>
    <w:rsid w:val="009B4B65"/>
    <w:rsid w:val="009B7BD9"/>
    <w:rsid w:val="009B7E6D"/>
    <w:rsid w:val="009C1DBB"/>
    <w:rsid w:val="009C29A8"/>
    <w:rsid w:val="009C44D1"/>
    <w:rsid w:val="009C5307"/>
    <w:rsid w:val="009C7DD5"/>
    <w:rsid w:val="009D6DFD"/>
    <w:rsid w:val="009E227D"/>
    <w:rsid w:val="009E23EB"/>
    <w:rsid w:val="009E2A8F"/>
    <w:rsid w:val="009E2DF7"/>
    <w:rsid w:val="009E5019"/>
    <w:rsid w:val="009E7610"/>
    <w:rsid w:val="009F283C"/>
    <w:rsid w:val="009F45B0"/>
    <w:rsid w:val="009F5302"/>
    <w:rsid w:val="00A01371"/>
    <w:rsid w:val="00A014A1"/>
    <w:rsid w:val="00A01CEC"/>
    <w:rsid w:val="00A0245F"/>
    <w:rsid w:val="00A04E4C"/>
    <w:rsid w:val="00A04EEF"/>
    <w:rsid w:val="00A04F1B"/>
    <w:rsid w:val="00A0501B"/>
    <w:rsid w:val="00A06C15"/>
    <w:rsid w:val="00A1128E"/>
    <w:rsid w:val="00A14947"/>
    <w:rsid w:val="00A1686C"/>
    <w:rsid w:val="00A242D3"/>
    <w:rsid w:val="00A24E30"/>
    <w:rsid w:val="00A25332"/>
    <w:rsid w:val="00A26F85"/>
    <w:rsid w:val="00A32A83"/>
    <w:rsid w:val="00A32C1F"/>
    <w:rsid w:val="00A368DB"/>
    <w:rsid w:val="00A41092"/>
    <w:rsid w:val="00A423AA"/>
    <w:rsid w:val="00A4353E"/>
    <w:rsid w:val="00A44130"/>
    <w:rsid w:val="00A506DA"/>
    <w:rsid w:val="00A51033"/>
    <w:rsid w:val="00A51E06"/>
    <w:rsid w:val="00A53EC6"/>
    <w:rsid w:val="00A53FDB"/>
    <w:rsid w:val="00A55C0F"/>
    <w:rsid w:val="00A61F98"/>
    <w:rsid w:val="00A6268F"/>
    <w:rsid w:val="00A65DB0"/>
    <w:rsid w:val="00A6602B"/>
    <w:rsid w:val="00A66279"/>
    <w:rsid w:val="00A711D4"/>
    <w:rsid w:val="00A712F4"/>
    <w:rsid w:val="00A7136B"/>
    <w:rsid w:val="00A724F2"/>
    <w:rsid w:val="00A73179"/>
    <w:rsid w:val="00A84050"/>
    <w:rsid w:val="00A86FE1"/>
    <w:rsid w:val="00A86FE5"/>
    <w:rsid w:val="00A8713F"/>
    <w:rsid w:val="00A87830"/>
    <w:rsid w:val="00A90BA1"/>
    <w:rsid w:val="00A920EE"/>
    <w:rsid w:val="00A93A73"/>
    <w:rsid w:val="00A94C1A"/>
    <w:rsid w:val="00A953EE"/>
    <w:rsid w:val="00A97477"/>
    <w:rsid w:val="00A97A9A"/>
    <w:rsid w:val="00AA0671"/>
    <w:rsid w:val="00AA0D4C"/>
    <w:rsid w:val="00AA0ED3"/>
    <w:rsid w:val="00AA16A2"/>
    <w:rsid w:val="00AA2531"/>
    <w:rsid w:val="00AA2560"/>
    <w:rsid w:val="00AA2652"/>
    <w:rsid w:val="00AA3461"/>
    <w:rsid w:val="00AA5789"/>
    <w:rsid w:val="00AA7670"/>
    <w:rsid w:val="00AB0634"/>
    <w:rsid w:val="00AB07E1"/>
    <w:rsid w:val="00AB1E09"/>
    <w:rsid w:val="00AB5330"/>
    <w:rsid w:val="00AB7747"/>
    <w:rsid w:val="00AC14CE"/>
    <w:rsid w:val="00AC1A10"/>
    <w:rsid w:val="00AC1AB2"/>
    <w:rsid w:val="00AC2A56"/>
    <w:rsid w:val="00AC2B20"/>
    <w:rsid w:val="00AC58AB"/>
    <w:rsid w:val="00AC7F65"/>
    <w:rsid w:val="00AD055E"/>
    <w:rsid w:val="00AD15C1"/>
    <w:rsid w:val="00AD17A2"/>
    <w:rsid w:val="00AD3A71"/>
    <w:rsid w:val="00AD3CB4"/>
    <w:rsid w:val="00AD40D5"/>
    <w:rsid w:val="00AD47A7"/>
    <w:rsid w:val="00AD534F"/>
    <w:rsid w:val="00AD756F"/>
    <w:rsid w:val="00AE1701"/>
    <w:rsid w:val="00AE2282"/>
    <w:rsid w:val="00AE3E8E"/>
    <w:rsid w:val="00AE5AA2"/>
    <w:rsid w:val="00AF0CBF"/>
    <w:rsid w:val="00AF257F"/>
    <w:rsid w:val="00AF33CF"/>
    <w:rsid w:val="00AF3E82"/>
    <w:rsid w:val="00AF4D50"/>
    <w:rsid w:val="00AF521F"/>
    <w:rsid w:val="00AF6179"/>
    <w:rsid w:val="00AF7EBE"/>
    <w:rsid w:val="00B012C0"/>
    <w:rsid w:val="00B01CD1"/>
    <w:rsid w:val="00B04058"/>
    <w:rsid w:val="00B10252"/>
    <w:rsid w:val="00B10446"/>
    <w:rsid w:val="00B1047F"/>
    <w:rsid w:val="00B112E2"/>
    <w:rsid w:val="00B11EE5"/>
    <w:rsid w:val="00B12115"/>
    <w:rsid w:val="00B1295A"/>
    <w:rsid w:val="00B13F49"/>
    <w:rsid w:val="00B15188"/>
    <w:rsid w:val="00B15BCF"/>
    <w:rsid w:val="00B201DC"/>
    <w:rsid w:val="00B20A45"/>
    <w:rsid w:val="00B21D56"/>
    <w:rsid w:val="00B22C5C"/>
    <w:rsid w:val="00B24F30"/>
    <w:rsid w:val="00B251C4"/>
    <w:rsid w:val="00B25479"/>
    <w:rsid w:val="00B269B0"/>
    <w:rsid w:val="00B26AF9"/>
    <w:rsid w:val="00B274E5"/>
    <w:rsid w:val="00B278CF"/>
    <w:rsid w:val="00B27FF6"/>
    <w:rsid w:val="00B30245"/>
    <w:rsid w:val="00B305B9"/>
    <w:rsid w:val="00B310CC"/>
    <w:rsid w:val="00B31ABF"/>
    <w:rsid w:val="00B31CA8"/>
    <w:rsid w:val="00B323AB"/>
    <w:rsid w:val="00B32DDA"/>
    <w:rsid w:val="00B33BE3"/>
    <w:rsid w:val="00B34500"/>
    <w:rsid w:val="00B3460A"/>
    <w:rsid w:val="00B364BD"/>
    <w:rsid w:val="00B3664D"/>
    <w:rsid w:val="00B366B4"/>
    <w:rsid w:val="00B36E2F"/>
    <w:rsid w:val="00B37816"/>
    <w:rsid w:val="00B47178"/>
    <w:rsid w:val="00B536C3"/>
    <w:rsid w:val="00B53B5D"/>
    <w:rsid w:val="00B6055E"/>
    <w:rsid w:val="00B620D6"/>
    <w:rsid w:val="00B6317D"/>
    <w:rsid w:val="00B636D4"/>
    <w:rsid w:val="00B66111"/>
    <w:rsid w:val="00B7167B"/>
    <w:rsid w:val="00B71C62"/>
    <w:rsid w:val="00B7235E"/>
    <w:rsid w:val="00B7723F"/>
    <w:rsid w:val="00B80534"/>
    <w:rsid w:val="00B80AF6"/>
    <w:rsid w:val="00B83A72"/>
    <w:rsid w:val="00B83C76"/>
    <w:rsid w:val="00B8433C"/>
    <w:rsid w:val="00B84B62"/>
    <w:rsid w:val="00B8682A"/>
    <w:rsid w:val="00B86A7E"/>
    <w:rsid w:val="00B87491"/>
    <w:rsid w:val="00B90A3A"/>
    <w:rsid w:val="00B9341A"/>
    <w:rsid w:val="00B9345A"/>
    <w:rsid w:val="00B9384A"/>
    <w:rsid w:val="00B9625A"/>
    <w:rsid w:val="00BA29E9"/>
    <w:rsid w:val="00BA5A38"/>
    <w:rsid w:val="00BA5F30"/>
    <w:rsid w:val="00BA7142"/>
    <w:rsid w:val="00BB237C"/>
    <w:rsid w:val="00BB41A3"/>
    <w:rsid w:val="00BB50CA"/>
    <w:rsid w:val="00BB6DD8"/>
    <w:rsid w:val="00BC24DE"/>
    <w:rsid w:val="00BC32DC"/>
    <w:rsid w:val="00BC35B6"/>
    <w:rsid w:val="00BC7888"/>
    <w:rsid w:val="00BD0D95"/>
    <w:rsid w:val="00BD14DC"/>
    <w:rsid w:val="00BD1B51"/>
    <w:rsid w:val="00BD2BBB"/>
    <w:rsid w:val="00BD3312"/>
    <w:rsid w:val="00BD4596"/>
    <w:rsid w:val="00BD5F76"/>
    <w:rsid w:val="00BE0D2D"/>
    <w:rsid w:val="00BE1405"/>
    <w:rsid w:val="00BE2B26"/>
    <w:rsid w:val="00BE312D"/>
    <w:rsid w:val="00BE4B76"/>
    <w:rsid w:val="00BE5679"/>
    <w:rsid w:val="00BE6184"/>
    <w:rsid w:val="00BE6F09"/>
    <w:rsid w:val="00BF1C20"/>
    <w:rsid w:val="00BF608B"/>
    <w:rsid w:val="00BF62A7"/>
    <w:rsid w:val="00BF6B73"/>
    <w:rsid w:val="00C01031"/>
    <w:rsid w:val="00C023B0"/>
    <w:rsid w:val="00C035CF"/>
    <w:rsid w:val="00C041C5"/>
    <w:rsid w:val="00C04E67"/>
    <w:rsid w:val="00C054AC"/>
    <w:rsid w:val="00C10578"/>
    <w:rsid w:val="00C11F53"/>
    <w:rsid w:val="00C122D3"/>
    <w:rsid w:val="00C135BC"/>
    <w:rsid w:val="00C15C95"/>
    <w:rsid w:val="00C23FDC"/>
    <w:rsid w:val="00C2596A"/>
    <w:rsid w:val="00C266E6"/>
    <w:rsid w:val="00C27537"/>
    <w:rsid w:val="00C30E7E"/>
    <w:rsid w:val="00C325BA"/>
    <w:rsid w:val="00C328FE"/>
    <w:rsid w:val="00C33507"/>
    <w:rsid w:val="00C34056"/>
    <w:rsid w:val="00C429FC"/>
    <w:rsid w:val="00C43206"/>
    <w:rsid w:val="00C4326C"/>
    <w:rsid w:val="00C43488"/>
    <w:rsid w:val="00C43968"/>
    <w:rsid w:val="00C4409D"/>
    <w:rsid w:val="00C44E72"/>
    <w:rsid w:val="00C45A06"/>
    <w:rsid w:val="00C47E5B"/>
    <w:rsid w:val="00C533A5"/>
    <w:rsid w:val="00C5405A"/>
    <w:rsid w:val="00C54B3A"/>
    <w:rsid w:val="00C5683B"/>
    <w:rsid w:val="00C61E4B"/>
    <w:rsid w:val="00C62811"/>
    <w:rsid w:val="00C64BFF"/>
    <w:rsid w:val="00C70088"/>
    <w:rsid w:val="00C704E9"/>
    <w:rsid w:val="00C735C6"/>
    <w:rsid w:val="00C7399E"/>
    <w:rsid w:val="00C75093"/>
    <w:rsid w:val="00C7628F"/>
    <w:rsid w:val="00C763C9"/>
    <w:rsid w:val="00C80057"/>
    <w:rsid w:val="00C82232"/>
    <w:rsid w:val="00C82913"/>
    <w:rsid w:val="00C82A79"/>
    <w:rsid w:val="00C83D34"/>
    <w:rsid w:val="00C875C9"/>
    <w:rsid w:val="00C91DF9"/>
    <w:rsid w:val="00C92C92"/>
    <w:rsid w:val="00C972B1"/>
    <w:rsid w:val="00CA2CCE"/>
    <w:rsid w:val="00CA43FD"/>
    <w:rsid w:val="00CA47D0"/>
    <w:rsid w:val="00CA7EF8"/>
    <w:rsid w:val="00CA7F65"/>
    <w:rsid w:val="00CB0900"/>
    <w:rsid w:val="00CB1C4D"/>
    <w:rsid w:val="00CB25D5"/>
    <w:rsid w:val="00CB7C4A"/>
    <w:rsid w:val="00CC03DB"/>
    <w:rsid w:val="00CC2EE0"/>
    <w:rsid w:val="00CC3EB9"/>
    <w:rsid w:val="00CC489B"/>
    <w:rsid w:val="00CC529A"/>
    <w:rsid w:val="00CC5726"/>
    <w:rsid w:val="00CD2BCD"/>
    <w:rsid w:val="00CD32B5"/>
    <w:rsid w:val="00CD3478"/>
    <w:rsid w:val="00CD3A4C"/>
    <w:rsid w:val="00CD66FF"/>
    <w:rsid w:val="00CE1044"/>
    <w:rsid w:val="00CE10E9"/>
    <w:rsid w:val="00CE2910"/>
    <w:rsid w:val="00CE34C9"/>
    <w:rsid w:val="00CE5393"/>
    <w:rsid w:val="00CE6608"/>
    <w:rsid w:val="00CE7667"/>
    <w:rsid w:val="00CF0C4A"/>
    <w:rsid w:val="00CF13E6"/>
    <w:rsid w:val="00CF36BE"/>
    <w:rsid w:val="00CF473D"/>
    <w:rsid w:val="00CF6000"/>
    <w:rsid w:val="00CF6CFC"/>
    <w:rsid w:val="00D0010A"/>
    <w:rsid w:val="00D003F3"/>
    <w:rsid w:val="00D03420"/>
    <w:rsid w:val="00D0364F"/>
    <w:rsid w:val="00D05098"/>
    <w:rsid w:val="00D06834"/>
    <w:rsid w:val="00D06BB3"/>
    <w:rsid w:val="00D10105"/>
    <w:rsid w:val="00D11A10"/>
    <w:rsid w:val="00D20C89"/>
    <w:rsid w:val="00D213F7"/>
    <w:rsid w:val="00D22112"/>
    <w:rsid w:val="00D24E20"/>
    <w:rsid w:val="00D25401"/>
    <w:rsid w:val="00D2599F"/>
    <w:rsid w:val="00D267A4"/>
    <w:rsid w:val="00D275A6"/>
    <w:rsid w:val="00D27FB6"/>
    <w:rsid w:val="00D308ED"/>
    <w:rsid w:val="00D36A22"/>
    <w:rsid w:val="00D36D86"/>
    <w:rsid w:val="00D422D2"/>
    <w:rsid w:val="00D428AA"/>
    <w:rsid w:val="00D42F72"/>
    <w:rsid w:val="00D43321"/>
    <w:rsid w:val="00D43432"/>
    <w:rsid w:val="00D45698"/>
    <w:rsid w:val="00D47DB1"/>
    <w:rsid w:val="00D50A34"/>
    <w:rsid w:val="00D51300"/>
    <w:rsid w:val="00D51C64"/>
    <w:rsid w:val="00D5249F"/>
    <w:rsid w:val="00D52FD1"/>
    <w:rsid w:val="00D5324E"/>
    <w:rsid w:val="00D53EFA"/>
    <w:rsid w:val="00D56105"/>
    <w:rsid w:val="00D6182B"/>
    <w:rsid w:val="00D625F4"/>
    <w:rsid w:val="00D6612B"/>
    <w:rsid w:val="00D74DBE"/>
    <w:rsid w:val="00D75387"/>
    <w:rsid w:val="00D7581B"/>
    <w:rsid w:val="00D75FC7"/>
    <w:rsid w:val="00D77515"/>
    <w:rsid w:val="00D8537D"/>
    <w:rsid w:val="00D86F66"/>
    <w:rsid w:val="00D87BC2"/>
    <w:rsid w:val="00D91726"/>
    <w:rsid w:val="00D94A7C"/>
    <w:rsid w:val="00D95896"/>
    <w:rsid w:val="00D97DCD"/>
    <w:rsid w:val="00DA1B01"/>
    <w:rsid w:val="00DA2C7F"/>
    <w:rsid w:val="00DA2D38"/>
    <w:rsid w:val="00DA3B75"/>
    <w:rsid w:val="00DA7ED5"/>
    <w:rsid w:val="00DB1E44"/>
    <w:rsid w:val="00DB2983"/>
    <w:rsid w:val="00DB3840"/>
    <w:rsid w:val="00DB4FD7"/>
    <w:rsid w:val="00DB656E"/>
    <w:rsid w:val="00DB6F4D"/>
    <w:rsid w:val="00DB7286"/>
    <w:rsid w:val="00DC1257"/>
    <w:rsid w:val="00DC3DC0"/>
    <w:rsid w:val="00DC5B2B"/>
    <w:rsid w:val="00DC6555"/>
    <w:rsid w:val="00DC6895"/>
    <w:rsid w:val="00DC748C"/>
    <w:rsid w:val="00DD0C52"/>
    <w:rsid w:val="00DD1B48"/>
    <w:rsid w:val="00DD318D"/>
    <w:rsid w:val="00DD5439"/>
    <w:rsid w:val="00DE1068"/>
    <w:rsid w:val="00DE1CCF"/>
    <w:rsid w:val="00DE2179"/>
    <w:rsid w:val="00DE393C"/>
    <w:rsid w:val="00DE3EDB"/>
    <w:rsid w:val="00DE5B18"/>
    <w:rsid w:val="00DE73E8"/>
    <w:rsid w:val="00DF2E12"/>
    <w:rsid w:val="00DF480E"/>
    <w:rsid w:val="00DF514A"/>
    <w:rsid w:val="00DF6690"/>
    <w:rsid w:val="00DF6804"/>
    <w:rsid w:val="00DF7041"/>
    <w:rsid w:val="00E01166"/>
    <w:rsid w:val="00E02F4F"/>
    <w:rsid w:val="00E0358D"/>
    <w:rsid w:val="00E04323"/>
    <w:rsid w:val="00E05C30"/>
    <w:rsid w:val="00E070A2"/>
    <w:rsid w:val="00E14CFE"/>
    <w:rsid w:val="00E16BBA"/>
    <w:rsid w:val="00E20B7A"/>
    <w:rsid w:val="00E2264D"/>
    <w:rsid w:val="00E250F1"/>
    <w:rsid w:val="00E2656A"/>
    <w:rsid w:val="00E270ED"/>
    <w:rsid w:val="00E33844"/>
    <w:rsid w:val="00E36F36"/>
    <w:rsid w:val="00E412D0"/>
    <w:rsid w:val="00E42E1E"/>
    <w:rsid w:val="00E4566B"/>
    <w:rsid w:val="00E51F66"/>
    <w:rsid w:val="00E522F3"/>
    <w:rsid w:val="00E53853"/>
    <w:rsid w:val="00E56322"/>
    <w:rsid w:val="00E57BB9"/>
    <w:rsid w:val="00E60982"/>
    <w:rsid w:val="00E62C62"/>
    <w:rsid w:val="00E630FB"/>
    <w:rsid w:val="00E63452"/>
    <w:rsid w:val="00E6472A"/>
    <w:rsid w:val="00E654C1"/>
    <w:rsid w:val="00E65D97"/>
    <w:rsid w:val="00E70273"/>
    <w:rsid w:val="00E70FB6"/>
    <w:rsid w:val="00E72A5A"/>
    <w:rsid w:val="00E73354"/>
    <w:rsid w:val="00E75817"/>
    <w:rsid w:val="00E75DEB"/>
    <w:rsid w:val="00E760BD"/>
    <w:rsid w:val="00E80EC9"/>
    <w:rsid w:val="00E864CE"/>
    <w:rsid w:val="00E87C64"/>
    <w:rsid w:val="00E9242D"/>
    <w:rsid w:val="00E9265E"/>
    <w:rsid w:val="00E93440"/>
    <w:rsid w:val="00E959AB"/>
    <w:rsid w:val="00EA04E4"/>
    <w:rsid w:val="00EA7CC8"/>
    <w:rsid w:val="00EB2721"/>
    <w:rsid w:val="00EB5255"/>
    <w:rsid w:val="00EB5C47"/>
    <w:rsid w:val="00EB78BC"/>
    <w:rsid w:val="00EC1EA6"/>
    <w:rsid w:val="00ED0639"/>
    <w:rsid w:val="00ED12D4"/>
    <w:rsid w:val="00ED7E73"/>
    <w:rsid w:val="00EE4FFC"/>
    <w:rsid w:val="00EE5227"/>
    <w:rsid w:val="00EF2555"/>
    <w:rsid w:val="00EF371F"/>
    <w:rsid w:val="00EF3985"/>
    <w:rsid w:val="00EF4755"/>
    <w:rsid w:val="00EF606F"/>
    <w:rsid w:val="00EF7135"/>
    <w:rsid w:val="00F00F09"/>
    <w:rsid w:val="00F027DB"/>
    <w:rsid w:val="00F0379C"/>
    <w:rsid w:val="00F04927"/>
    <w:rsid w:val="00F055F3"/>
    <w:rsid w:val="00F141ED"/>
    <w:rsid w:val="00F14A7A"/>
    <w:rsid w:val="00F155B1"/>
    <w:rsid w:val="00F17751"/>
    <w:rsid w:val="00F2239E"/>
    <w:rsid w:val="00F22985"/>
    <w:rsid w:val="00F3383E"/>
    <w:rsid w:val="00F34C78"/>
    <w:rsid w:val="00F34D9E"/>
    <w:rsid w:val="00F35A74"/>
    <w:rsid w:val="00F40CC1"/>
    <w:rsid w:val="00F4113C"/>
    <w:rsid w:val="00F427A9"/>
    <w:rsid w:val="00F45D58"/>
    <w:rsid w:val="00F465A7"/>
    <w:rsid w:val="00F50B7C"/>
    <w:rsid w:val="00F534BB"/>
    <w:rsid w:val="00F539B0"/>
    <w:rsid w:val="00F550E6"/>
    <w:rsid w:val="00F55317"/>
    <w:rsid w:val="00F665B6"/>
    <w:rsid w:val="00F67897"/>
    <w:rsid w:val="00F73CD1"/>
    <w:rsid w:val="00F74345"/>
    <w:rsid w:val="00F77E64"/>
    <w:rsid w:val="00F80A0A"/>
    <w:rsid w:val="00F82B19"/>
    <w:rsid w:val="00F8605E"/>
    <w:rsid w:val="00F908F4"/>
    <w:rsid w:val="00F9090D"/>
    <w:rsid w:val="00F918E5"/>
    <w:rsid w:val="00F9212D"/>
    <w:rsid w:val="00F965DA"/>
    <w:rsid w:val="00F97D54"/>
    <w:rsid w:val="00FA10EE"/>
    <w:rsid w:val="00FA2E5D"/>
    <w:rsid w:val="00FA3384"/>
    <w:rsid w:val="00FA366E"/>
    <w:rsid w:val="00FA406A"/>
    <w:rsid w:val="00FA414D"/>
    <w:rsid w:val="00FA5BB4"/>
    <w:rsid w:val="00FA66B7"/>
    <w:rsid w:val="00FA74D2"/>
    <w:rsid w:val="00FB503A"/>
    <w:rsid w:val="00FB516C"/>
    <w:rsid w:val="00FC3026"/>
    <w:rsid w:val="00FC6534"/>
    <w:rsid w:val="00FC79B1"/>
    <w:rsid w:val="00FD0236"/>
    <w:rsid w:val="00FD18F4"/>
    <w:rsid w:val="00FD1BE4"/>
    <w:rsid w:val="00FD2C28"/>
    <w:rsid w:val="00FD46C4"/>
    <w:rsid w:val="00FD54DB"/>
    <w:rsid w:val="00FD619F"/>
    <w:rsid w:val="00FE0066"/>
    <w:rsid w:val="00FE0AB7"/>
    <w:rsid w:val="00FE0DAD"/>
    <w:rsid w:val="00FE10E9"/>
    <w:rsid w:val="00FE2495"/>
    <w:rsid w:val="00FE4B7E"/>
    <w:rsid w:val="00FE5452"/>
    <w:rsid w:val="00FE6978"/>
    <w:rsid w:val="00FE6E91"/>
    <w:rsid w:val="00FE74B0"/>
    <w:rsid w:val="00FF5843"/>
    <w:rsid w:val="00FF5BCC"/>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0FC93A00"/>
    <w:rsid w:val="106D2F64"/>
    <w:rsid w:val="10B63710"/>
    <w:rsid w:val="10F10820"/>
    <w:rsid w:val="111C2F7A"/>
    <w:rsid w:val="11665CA1"/>
    <w:rsid w:val="13951726"/>
    <w:rsid w:val="14396509"/>
    <w:rsid w:val="14DD2C3C"/>
    <w:rsid w:val="16087E1D"/>
    <w:rsid w:val="17701D14"/>
    <w:rsid w:val="17735226"/>
    <w:rsid w:val="189F624C"/>
    <w:rsid w:val="19146A16"/>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7F03D2"/>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3FF428B8"/>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5E60CA"/>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1E29E3"/>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7ED2E17"/>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85"/>
    <w:semiHidden/>
    <w:unhideWhenUsed/>
    <w:qFormat/>
    <w:locked/>
    <w:uiPriority w:val="0"/>
    <w:pPr>
      <w:keepNext/>
      <w:keepLines/>
      <w:spacing w:before="260" w:after="260" w:line="416" w:lineRule="auto"/>
      <w:outlineLvl w:val="2"/>
    </w:pPr>
    <w:rPr>
      <w:b/>
      <w:bCs/>
      <w:sz w:val="32"/>
      <w:szCs w:val="32"/>
    </w:rPr>
  </w:style>
  <w:style w:type="paragraph" w:styleId="4">
    <w:name w:val="heading 4"/>
    <w:basedOn w:val="1"/>
    <w:next w:val="1"/>
    <w:link w:val="76"/>
    <w:semiHidden/>
    <w:unhideWhenUsed/>
    <w:qFormat/>
    <w:locked/>
    <w:uiPriority w:val="0"/>
    <w:pPr>
      <w:keepNext/>
      <w:keepLines/>
      <w:spacing w:before="280" w:after="290" w:line="376" w:lineRule="auto"/>
      <w:outlineLvl w:val="3"/>
    </w:pPr>
    <w:rPr>
      <w:rFonts w:ascii="Calibri Light" w:hAnsi="Calibri Light"/>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1"/>
    <w:qFormat/>
    <w:locked/>
    <w:uiPriority w:val="0"/>
    <w:pPr>
      <w:ind w:firstLine="420"/>
    </w:pPr>
    <w:rPr>
      <w:kern w:val="0"/>
      <w:sz w:val="20"/>
      <w:szCs w:val="20"/>
    </w:rPr>
  </w:style>
  <w:style w:type="paragraph" w:styleId="6">
    <w:name w:val="annotation text"/>
    <w:basedOn w:val="1"/>
    <w:link w:val="32"/>
    <w:semiHidden/>
    <w:qFormat/>
    <w:uiPriority w:val="0"/>
    <w:pPr>
      <w:jc w:val="left"/>
    </w:pPr>
    <w:rPr>
      <w:kern w:val="0"/>
      <w:sz w:val="24"/>
      <w:szCs w:val="20"/>
    </w:rPr>
  </w:style>
  <w:style w:type="paragraph" w:styleId="7">
    <w:name w:val="Body Text"/>
    <w:basedOn w:val="1"/>
    <w:link w:val="31"/>
    <w:qFormat/>
    <w:uiPriority w:val="0"/>
    <w:pPr>
      <w:widowControl/>
      <w:snapToGrid w:val="0"/>
      <w:spacing w:before="60" w:after="160" w:line="259" w:lineRule="auto"/>
      <w:ind w:right="113"/>
    </w:pPr>
    <w:rPr>
      <w:kern w:val="0"/>
      <w:sz w:val="18"/>
      <w:szCs w:val="20"/>
    </w:rPr>
  </w:style>
  <w:style w:type="paragraph" w:styleId="8">
    <w:name w:val="Body Text Indent"/>
    <w:basedOn w:val="1"/>
    <w:link w:val="40"/>
    <w:qFormat/>
    <w:uiPriority w:val="0"/>
    <w:pPr>
      <w:spacing w:after="120"/>
      <w:ind w:left="420" w:leftChars="200"/>
    </w:pPr>
    <w:rPr>
      <w:kern w:val="0"/>
      <w:sz w:val="24"/>
      <w:szCs w:val="20"/>
    </w:rPr>
  </w:style>
  <w:style w:type="paragraph" w:styleId="9">
    <w:name w:val="Block Text"/>
    <w:basedOn w:val="1"/>
    <w:qFormat/>
    <w:locked/>
    <w:uiPriority w:val="99"/>
    <w:pPr>
      <w:autoSpaceDE w:val="0"/>
      <w:autoSpaceDN w:val="0"/>
      <w:adjustRightInd w:val="0"/>
      <w:spacing w:before="1" w:line="537" w:lineRule="exact"/>
      <w:ind w:left="88" w:right="6"/>
    </w:pPr>
    <w:rPr>
      <w:kern w:val="0"/>
      <w:sz w:val="28"/>
      <w:szCs w:val="28"/>
    </w:rPr>
  </w:style>
  <w:style w:type="paragraph" w:styleId="10">
    <w:name w:val="Plain Text"/>
    <w:basedOn w:val="1"/>
    <w:link w:val="70"/>
    <w:qFormat/>
    <w:locked/>
    <w:uiPriority w:val="0"/>
    <w:rPr>
      <w:rFonts w:ascii="宋体" w:hAnsi="Courier New"/>
      <w:kern w:val="0"/>
      <w:sz w:val="20"/>
      <w:szCs w:val="20"/>
    </w:rPr>
  </w:style>
  <w:style w:type="paragraph" w:styleId="11">
    <w:name w:val="Date"/>
    <w:basedOn w:val="1"/>
    <w:next w:val="1"/>
    <w:link w:val="27"/>
    <w:qFormat/>
    <w:uiPriority w:val="0"/>
    <w:pPr>
      <w:ind w:left="100" w:leftChars="2500"/>
    </w:pPr>
    <w:rPr>
      <w:kern w:val="0"/>
      <w:sz w:val="24"/>
      <w:szCs w:val="20"/>
    </w:rPr>
  </w:style>
  <w:style w:type="paragraph" w:styleId="12">
    <w:name w:val="Body Text Indent 2"/>
    <w:basedOn w:val="1"/>
    <w:link w:val="95"/>
    <w:qFormat/>
    <w:locked/>
    <w:uiPriority w:val="0"/>
    <w:pPr>
      <w:spacing w:after="120" w:line="480" w:lineRule="auto"/>
      <w:ind w:left="420" w:leftChars="200"/>
    </w:pPr>
  </w:style>
  <w:style w:type="paragraph" w:styleId="13">
    <w:name w:val="Balloon Text"/>
    <w:basedOn w:val="1"/>
    <w:link w:val="36"/>
    <w:semiHidden/>
    <w:qFormat/>
    <w:uiPriority w:val="0"/>
    <w:rPr>
      <w:kern w:val="0"/>
      <w:sz w:val="18"/>
      <w:szCs w:val="20"/>
    </w:rPr>
  </w:style>
  <w:style w:type="paragraph" w:styleId="14">
    <w:name w:val="footer"/>
    <w:basedOn w:val="1"/>
    <w:link w:val="26"/>
    <w:qFormat/>
    <w:uiPriority w:val="99"/>
    <w:pPr>
      <w:tabs>
        <w:tab w:val="center" w:pos="4153"/>
        <w:tab w:val="right" w:pos="8306"/>
      </w:tabs>
      <w:snapToGrid w:val="0"/>
      <w:jc w:val="left"/>
    </w:pPr>
    <w:rPr>
      <w:kern w:val="0"/>
      <w:sz w:val="18"/>
      <w:szCs w:val="20"/>
    </w:rPr>
  </w:style>
  <w:style w:type="paragraph" w:styleId="15">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qFormat/>
    <w:locked/>
    <w:uiPriority w:val="0"/>
    <w:pPr>
      <w:ind w:left="200" w:hanging="200" w:hangingChars="200"/>
      <w:contextualSpacing/>
    </w:pPr>
  </w:style>
  <w:style w:type="paragraph" w:styleId="17">
    <w:name w:val="Normal (Web)"/>
    <w:basedOn w:val="1"/>
    <w:link w:val="29"/>
    <w:qFormat/>
    <w:uiPriority w:val="99"/>
    <w:pPr>
      <w:widowControl/>
      <w:spacing w:before="100" w:beforeAutospacing="1" w:after="100" w:afterAutospacing="1"/>
      <w:jc w:val="left"/>
    </w:pPr>
    <w:rPr>
      <w:rFonts w:ascii="宋体" w:hAnsi="宋体"/>
      <w:kern w:val="0"/>
      <w:sz w:val="24"/>
      <w:szCs w:val="20"/>
    </w:rPr>
  </w:style>
  <w:style w:type="paragraph" w:styleId="18">
    <w:name w:val="annotation subject"/>
    <w:basedOn w:val="6"/>
    <w:next w:val="6"/>
    <w:link w:val="37"/>
    <w:semiHidden/>
    <w:qFormat/>
    <w:uiPriority w:val="0"/>
    <w:rPr>
      <w:b/>
    </w:rPr>
  </w:style>
  <w:style w:type="paragraph" w:styleId="19">
    <w:name w:val="Body Text First Indent"/>
    <w:basedOn w:val="7"/>
    <w:link w:val="68"/>
    <w:qFormat/>
    <w:locked/>
    <w:uiPriority w:val="0"/>
    <w:pPr>
      <w:widowControl w:val="0"/>
      <w:snapToGrid/>
      <w:spacing w:before="0" w:after="120" w:line="240" w:lineRule="auto"/>
      <w:ind w:right="0" w:firstLine="420" w:firstLineChars="100"/>
    </w:pPr>
    <w:rPr>
      <w:kern w:val="2"/>
      <w:sz w:val="21"/>
    </w:rPr>
  </w:style>
  <w:style w:type="paragraph" w:styleId="20">
    <w:name w:val="Body Text First Indent 2"/>
    <w:basedOn w:val="8"/>
    <w:link w:val="84"/>
    <w:qFormat/>
    <w:locked/>
    <w:uiPriority w:val="0"/>
    <w:pPr>
      <w:ind w:firstLine="420" w:firstLineChars="200"/>
    </w:pPr>
    <w:rPr>
      <w:kern w:val="2"/>
      <w:sz w:val="21"/>
      <w:szCs w:val="24"/>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24">
    <w:name w:val="page number"/>
    <w:basedOn w:val="23"/>
    <w:locked/>
    <w:uiPriority w:val="0"/>
  </w:style>
  <w:style w:type="character" w:styleId="25">
    <w:name w:val="annotation reference"/>
    <w:semiHidden/>
    <w:uiPriority w:val="0"/>
    <w:rPr>
      <w:sz w:val="21"/>
    </w:rPr>
  </w:style>
  <w:style w:type="character" w:customStyle="1" w:styleId="26">
    <w:name w:val="页脚 字符1"/>
    <w:link w:val="14"/>
    <w:locked/>
    <w:uiPriority w:val="99"/>
    <w:rPr>
      <w:sz w:val="18"/>
    </w:rPr>
  </w:style>
  <w:style w:type="character" w:customStyle="1" w:styleId="27">
    <w:name w:val="日期 字符1"/>
    <w:link w:val="11"/>
    <w:locked/>
    <w:uiPriority w:val="0"/>
    <w:rPr>
      <w:rFonts w:ascii="Times New Roman" w:hAnsi="Times New Roman" w:eastAsia="宋体"/>
      <w:sz w:val="24"/>
    </w:rPr>
  </w:style>
  <w:style w:type="character" w:customStyle="1" w:styleId="28">
    <w:name w:val="页脚 字符"/>
    <w:basedOn w:val="23"/>
    <w:uiPriority w:val="99"/>
  </w:style>
  <w:style w:type="character" w:customStyle="1" w:styleId="29">
    <w:name w:val="普通(网站) 字符"/>
    <w:link w:val="17"/>
    <w:qFormat/>
    <w:locked/>
    <w:uiPriority w:val="0"/>
    <w:rPr>
      <w:rFonts w:ascii="宋体" w:hAnsi="宋体" w:eastAsia="宋体"/>
      <w:sz w:val="24"/>
    </w:rPr>
  </w:style>
  <w:style w:type="character" w:customStyle="1" w:styleId="30">
    <w:name w:val="正文文本 字符1"/>
    <w:semiHidden/>
    <w:qFormat/>
    <w:uiPriority w:val="0"/>
    <w:rPr>
      <w:rFonts w:ascii="Times New Roman" w:hAnsi="Times New Roman" w:eastAsia="宋体"/>
      <w:sz w:val="24"/>
    </w:rPr>
  </w:style>
  <w:style w:type="character" w:customStyle="1" w:styleId="31">
    <w:name w:val="正文文本 字符"/>
    <w:link w:val="7"/>
    <w:qFormat/>
    <w:locked/>
    <w:uiPriority w:val="0"/>
    <w:rPr>
      <w:sz w:val="18"/>
    </w:rPr>
  </w:style>
  <w:style w:type="character" w:customStyle="1" w:styleId="32">
    <w:name w:val="批注文字 字符"/>
    <w:link w:val="6"/>
    <w:qFormat/>
    <w:locked/>
    <w:uiPriority w:val="0"/>
    <w:rPr>
      <w:rFonts w:ascii="Times New Roman" w:hAnsi="Times New Roman" w:eastAsia="宋体"/>
      <w:sz w:val="24"/>
    </w:rPr>
  </w:style>
  <w:style w:type="character" w:customStyle="1" w:styleId="33">
    <w:name w:val="表格 Char"/>
    <w:link w:val="34"/>
    <w:qFormat/>
    <w:locked/>
    <w:uiPriority w:val="0"/>
    <w:rPr>
      <w:rFonts w:ascii="宋体"/>
      <w:sz w:val="21"/>
    </w:rPr>
  </w:style>
  <w:style w:type="paragraph" w:customStyle="1" w:styleId="34">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character" w:customStyle="1" w:styleId="35">
    <w:name w:val="日期 字符"/>
    <w:semiHidden/>
    <w:qFormat/>
    <w:uiPriority w:val="0"/>
    <w:rPr>
      <w:rFonts w:ascii="Times New Roman" w:hAnsi="Times New Roman" w:eastAsia="宋体"/>
      <w:sz w:val="24"/>
    </w:rPr>
  </w:style>
  <w:style w:type="character" w:customStyle="1" w:styleId="36">
    <w:name w:val="批注框文本 字符"/>
    <w:link w:val="13"/>
    <w:semiHidden/>
    <w:locked/>
    <w:uiPriority w:val="0"/>
    <w:rPr>
      <w:rFonts w:ascii="Times New Roman" w:hAnsi="Times New Roman" w:eastAsia="宋体"/>
      <w:sz w:val="18"/>
    </w:rPr>
  </w:style>
  <w:style w:type="character" w:customStyle="1" w:styleId="37">
    <w:name w:val="批注主题 字符"/>
    <w:link w:val="18"/>
    <w:semiHidden/>
    <w:locked/>
    <w:uiPriority w:val="0"/>
    <w:rPr>
      <w:rFonts w:ascii="Times New Roman" w:hAnsi="Times New Roman" w:eastAsia="宋体"/>
      <w:b/>
      <w:kern w:val="2"/>
      <w:sz w:val="24"/>
    </w:rPr>
  </w:style>
  <w:style w:type="character" w:customStyle="1" w:styleId="38">
    <w:name w:val="页眉 字符"/>
    <w:link w:val="15"/>
    <w:qFormat/>
    <w:locked/>
    <w:uiPriority w:val="0"/>
    <w:rPr>
      <w:sz w:val="18"/>
    </w:rPr>
  </w:style>
  <w:style w:type="character" w:customStyle="1" w:styleId="39">
    <w:name w:val="批注文字 字符1"/>
    <w:semiHidden/>
    <w:uiPriority w:val="0"/>
    <w:rPr>
      <w:rFonts w:ascii="Times New Roman" w:hAnsi="Times New Roman" w:eastAsia="宋体"/>
      <w:sz w:val="24"/>
    </w:rPr>
  </w:style>
  <w:style w:type="character" w:customStyle="1" w:styleId="40">
    <w:name w:val="正文文本缩进 字符"/>
    <w:link w:val="8"/>
    <w:semiHidden/>
    <w:qFormat/>
    <w:locked/>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43">
    <w:name w:val="正本文字0705"/>
    <w:basedOn w:val="1"/>
    <w:qFormat/>
    <w:uiPriority w:val="0"/>
    <w:pPr>
      <w:adjustRightInd w:val="0"/>
      <w:snapToGrid w:val="0"/>
      <w:spacing w:line="360" w:lineRule="auto"/>
      <w:ind w:firstLine="200" w:firstLineChars="200"/>
    </w:pPr>
    <w:rPr>
      <w:rFonts w:ascii="Calibri" w:hAnsi="Calibri" w:cs="宋体"/>
      <w:color w:val="000000"/>
      <w:kern w:val="18"/>
      <w:sz w:val="24"/>
    </w:rPr>
  </w:style>
  <w:style w:type="paragraph" w:customStyle="1" w:styleId="44">
    <w:name w:val="Table Paragraph"/>
    <w:basedOn w:val="1"/>
    <w:qFormat/>
    <w:uiPriority w:val="1"/>
  </w:style>
  <w:style w:type="character" w:customStyle="1" w:styleId="45">
    <w:name w:val="表格居中 Char Char"/>
    <w:link w:val="46"/>
    <w:uiPriority w:val="0"/>
    <w:rPr>
      <w:rFonts w:eastAsia="仿宋_GB2312"/>
      <w:kern w:val="2"/>
      <w:sz w:val="21"/>
      <w:szCs w:val="21"/>
    </w:rPr>
  </w:style>
  <w:style w:type="paragraph" w:customStyle="1" w:styleId="46">
    <w:name w:val="表格居中"/>
    <w:basedOn w:val="16"/>
    <w:next w:val="1"/>
    <w:link w:val="45"/>
    <w:qFormat/>
    <w:uiPriority w:val="0"/>
    <w:pPr>
      <w:ind w:left="0" w:firstLine="0" w:firstLineChars="0"/>
      <w:jc w:val="center"/>
    </w:pPr>
    <w:rPr>
      <w:rFonts w:eastAsia="仿宋_GB2312"/>
      <w:szCs w:val="21"/>
    </w:rPr>
  </w:style>
  <w:style w:type="character" w:customStyle="1" w:styleId="47">
    <w:name w:val="表格1 Char"/>
    <w:link w:val="48"/>
    <w:uiPriority w:val="0"/>
    <w:rPr>
      <w:rFonts w:eastAsia="仿宋_GB2312"/>
      <w:kern w:val="2"/>
      <w:sz w:val="21"/>
      <w:szCs w:val="21"/>
      <w:lang w:bidi="th-TH"/>
    </w:rPr>
  </w:style>
  <w:style w:type="paragraph" w:customStyle="1" w:styleId="48">
    <w:name w:val="表格1"/>
    <w:basedOn w:val="1"/>
    <w:link w:val="47"/>
    <w:qFormat/>
    <w:uiPriority w:val="0"/>
    <w:pPr>
      <w:jc w:val="center"/>
    </w:pPr>
    <w:rPr>
      <w:rFonts w:eastAsia="仿宋_GB2312"/>
      <w:szCs w:val="21"/>
      <w:lang w:bidi="th-TH"/>
    </w:rPr>
  </w:style>
  <w:style w:type="paragraph" w:customStyle="1" w:styleId="4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0">
    <w:name w:val="样式 文本正文 + 首行缩进:  2 字符3"/>
    <w:basedOn w:val="1"/>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rPr>
  </w:style>
  <w:style w:type="character" w:customStyle="1" w:styleId="51">
    <w:name w:val="正文缩进 字符"/>
    <w:link w:val="5"/>
    <w:qFormat/>
    <w:uiPriority w:val="0"/>
  </w:style>
  <w:style w:type="paragraph" w:customStyle="1" w:styleId="5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正文文本 21"/>
    <w:basedOn w:val="1"/>
    <w:qFormat/>
    <w:uiPriority w:val="0"/>
    <w:pPr>
      <w:adjustRightInd w:val="0"/>
      <w:jc w:val="center"/>
      <w:textAlignment w:val="baseline"/>
    </w:pPr>
    <w:rPr>
      <w:sz w:val="24"/>
      <w:szCs w:val="20"/>
    </w:rPr>
  </w:style>
  <w:style w:type="paragraph" w:customStyle="1" w:styleId="54">
    <w:name w:val="B正文"/>
    <w:basedOn w:val="1"/>
    <w:qFormat/>
    <w:uiPriority w:val="0"/>
    <w:pPr>
      <w:spacing w:line="360" w:lineRule="auto"/>
      <w:ind w:firstLine="200" w:firstLineChars="200"/>
    </w:pPr>
    <w:rPr>
      <w:kern w:val="0"/>
      <w:sz w:val="24"/>
    </w:rPr>
  </w:style>
  <w:style w:type="paragraph" w:customStyle="1" w:styleId="55">
    <w:name w:val="样式1"/>
    <w:basedOn w:val="1"/>
    <w:link w:val="56"/>
    <w:qFormat/>
    <w:uiPriority w:val="0"/>
    <w:pPr>
      <w:spacing w:line="360" w:lineRule="auto"/>
      <w:ind w:firstLine="510"/>
    </w:pPr>
    <w:rPr>
      <w:sz w:val="24"/>
      <w:szCs w:val="20"/>
    </w:rPr>
  </w:style>
  <w:style w:type="character" w:customStyle="1" w:styleId="56">
    <w:name w:val="样式1 Char"/>
    <w:link w:val="55"/>
    <w:qFormat/>
    <w:uiPriority w:val="0"/>
    <w:rPr>
      <w:kern w:val="2"/>
      <w:sz w:val="24"/>
    </w:r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表名"/>
    <w:basedOn w:val="1"/>
    <w:next w:val="7"/>
    <w:qFormat/>
    <w:uiPriority w:val="0"/>
    <w:pPr>
      <w:spacing w:before="240" w:after="120" w:line="360" w:lineRule="auto"/>
      <w:jc w:val="center"/>
    </w:pPr>
    <w:rPr>
      <w:b/>
      <w:sz w:val="24"/>
    </w:rPr>
  </w:style>
  <w:style w:type="character" w:customStyle="1" w:styleId="59">
    <w:name w:val="表头 Char1"/>
    <w:link w:val="60"/>
    <w:qFormat/>
    <w:uiPriority w:val="0"/>
    <w:rPr>
      <w:rFonts w:ascii="宋体"/>
      <w:spacing w:val="4"/>
      <w:kern w:val="2"/>
      <w:sz w:val="24"/>
      <w:szCs w:val="24"/>
    </w:rPr>
  </w:style>
  <w:style w:type="paragraph" w:customStyle="1" w:styleId="60">
    <w:name w:val="表头"/>
    <w:basedOn w:val="1"/>
    <w:link w:val="59"/>
    <w:qFormat/>
    <w:uiPriority w:val="0"/>
    <w:pPr>
      <w:jc w:val="center"/>
    </w:pPr>
    <w:rPr>
      <w:rFonts w:ascii="宋体"/>
      <w:spacing w:val="4"/>
      <w:sz w:val="24"/>
    </w:rPr>
  </w:style>
  <w:style w:type="paragraph" w:customStyle="1" w:styleId="61">
    <w:name w:val="正文文本 211"/>
    <w:basedOn w:val="1"/>
    <w:qFormat/>
    <w:uiPriority w:val="0"/>
    <w:pPr>
      <w:jc w:val="center"/>
    </w:pPr>
    <w:rPr>
      <w:sz w:val="24"/>
    </w:rPr>
  </w:style>
  <w:style w:type="character" w:customStyle="1" w:styleId="62">
    <w:name w:val="正文(首行缩进) Char"/>
    <w:link w:val="63"/>
    <w:qFormat/>
    <w:uiPriority w:val="0"/>
    <w:rPr>
      <w:rFonts w:ascii="宋体" w:hAnsi="宋体"/>
      <w:sz w:val="24"/>
    </w:rPr>
  </w:style>
  <w:style w:type="paragraph" w:customStyle="1" w:styleId="63">
    <w:name w:val="正文(首行缩进)"/>
    <w:basedOn w:val="1"/>
    <w:link w:val="62"/>
    <w:qFormat/>
    <w:uiPriority w:val="0"/>
    <w:pPr>
      <w:spacing w:line="360" w:lineRule="auto"/>
      <w:ind w:firstLine="510"/>
    </w:pPr>
    <w:rPr>
      <w:rFonts w:ascii="宋体" w:hAnsi="宋体"/>
      <w:kern w:val="0"/>
      <w:sz w:val="24"/>
      <w:szCs w:val="20"/>
    </w:rPr>
  </w:style>
  <w:style w:type="paragraph" w:customStyle="1" w:styleId="64">
    <w:name w:val="D图表小四"/>
    <w:basedOn w:val="1"/>
    <w:qFormat/>
    <w:uiPriority w:val="0"/>
    <w:pPr>
      <w:spacing w:before="120" w:after="120"/>
      <w:jc w:val="center"/>
    </w:pPr>
    <w:rPr>
      <w:b/>
      <w:sz w:val="24"/>
    </w:rPr>
  </w:style>
  <w:style w:type="character" w:customStyle="1" w:styleId="65">
    <w:name w:val="aa正文 Char Char"/>
    <w:link w:val="66"/>
    <w:qFormat/>
    <w:uiPriority w:val="0"/>
    <w:rPr>
      <w:kern w:val="2"/>
      <w:sz w:val="24"/>
      <w:szCs w:val="24"/>
    </w:rPr>
  </w:style>
  <w:style w:type="paragraph" w:customStyle="1" w:styleId="66">
    <w:name w:val="aa正文"/>
    <w:basedOn w:val="1"/>
    <w:link w:val="65"/>
    <w:qFormat/>
    <w:uiPriority w:val="0"/>
    <w:pPr>
      <w:spacing w:line="360" w:lineRule="auto"/>
      <w:ind w:firstLine="200" w:firstLineChars="200"/>
    </w:pPr>
    <w:rPr>
      <w:sz w:val="24"/>
    </w:rPr>
  </w:style>
  <w:style w:type="paragraph" w:customStyle="1" w:styleId="67">
    <w:name w:val="玻璃坑水电站"/>
    <w:qFormat/>
    <w:uiPriority w:val="0"/>
    <w:pPr>
      <w:widowControl w:val="0"/>
      <w:tabs>
        <w:tab w:val="left" w:pos="4500"/>
      </w:tabs>
      <w:overflowPunct w:val="0"/>
      <w:topLinePunct/>
      <w:autoSpaceDE w:val="0"/>
      <w:autoSpaceDN w:val="0"/>
      <w:spacing w:line="360" w:lineRule="auto"/>
      <w:ind w:firstLine="480" w:firstLineChars="200"/>
      <w:jc w:val="both"/>
    </w:pPr>
    <w:rPr>
      <w:rFonts w:ascii="Times New Roman" w:hAnsi="Times New Roman" w:eastAsia="宋体" w:cs="Times New Roman"/>
      <w:sz w:val="24"/>
      <w:szCs w:val="22"/>
      <w:lang w:val="en-US" w:eastAsia="zh-CN" w:bidi="ar-SA"/>
    </w:rPr>
  </w:style>
  <w:style w:type="character" w:customStyle="1" w:styleId="68">
    <w:name w:val="正文文本首行缩进 字符"/>
    <w:link w:val="19"/>
    <w:qFormat/>
    <w:uiPriority w:val="0"/>
    <w:rPr>
      <w:kern w:val="2"/>
      <w:sz w:val="21"/>
    </w:rPr>
  </w:style>
  <w:style w:type="character" w:customStyle="1" w:styleId="69">
    <w:name w:val="正文首行缩进 Char1"/>
    <w:qFormat/>
    <w:uiPriority w:val="0"/>
    <w:rPr>
      <w:kern w:val="2"/>
      <w:sz w:val="21"/>
      <w:szCs w:val="24"/>
    </w:rPr>
  </w:style>
  <w:style w:type="character" w:customStyle="1" w:styleId="70">
    <w:name w:val="纯文本 字符"/>
    <w:link w:val="10"/>
    <w:qFormat/>
    <w:uiPriority w:val="0"/>
    <w:rPr>
      <w:rFonts w:ascii="宋体" w:hAnsi="Courier New"/>
    </w:rPr>
  </w:style>
  <w:style w:type="character" w:customStyle="1" w:styleId="71">
    <w:name w:val="postbody1"/>
    <w:qFormat/>
    <w:uiPriority w:val="0"/>
    <w:rPr>
      <w:sz w:val="21"/>
      <w:szCs w:val="21"/>
    </w:rPr>
  </w:style>
  <w:style w:type="character" w:customStyle="1" w:styleId="72">
    <w:name w:val="纯文本 Char1"/>
    <w:qFormat/>
    <w:uiPriority w:val="0"/>
    <w:rPr>
      <w:rFonts w:ascii="宋体" w:hAnsi="Courier New" w:cs="Courier New"/>
      <w:kern w:val="2"/>
      <w:sz w:val="21"/>
      <w:szCs w:val="21"/>
    </w:rPr>
  </w:style>
  <w:style w:type="paragraph" w:customStyle="1" w:styleId="73">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74">
    <w:name w:val="表格标题新"/>
    <w:basedOn w:val="1"/>
    <w:qFormat/>
    <w:uiPriority w:val="0"/>
    <w:pPr>
      <w:tabs>
        <w:tab w:val="left" w:pos="0"/>
      </w:tabs>
      <w:adjustRightInd w:val="0"/>
      <w:snapToGrid w:val="0"/>
      <w:spacing w:before="156" w:beforeLines="50"/>
      <w:ind w:left="-113" w:right="-113" w:firstLine="562"/>
      <w:jc w:val="center"/>
    </w:pPr>
    <w:rPr>
      <w:rFonts w:ascii="仿宋_GB2312" w:eastAsia="黑体"/>
      <w:b/>
      <w:snapToGrid w:val="0"/>
      <w:kern w:val="21"/>
      <w:sz w:val="24"/>
    </w:rPr>
  </w:style>
  <w:style w:type="paragraph" w:customStyle="1" w:styleId="75">
    <w:name w:val="D表内1磅"/>
    <w:basedOn w:val="1"/>
    <w:qFormat/>
    <w:uiPriority w:val="0"/>
    <w:pPr>
      <w:spacing w:before="20" w:after="20"/>
      <w:jc w:val="center"/>
    </w:pPr>
    <w:rPr>
      <w:szCs w:val="21"/>
    </w:rPr>
  </w:style>
  <w:style w:type="character" w:customStyle="1" w:styleId="76">
    <w:name w:val="标题 4 字符"/>
    <w:link w:val="4"/>
    <w:qFormat/>
    <w:uiPriority w:val="0"/>
    <w:rPr>
      <w:rFonts w:ascii="Calibri Light" w:hAnsi="Calibri Light" w:eastAsia="宋体" w:cs="Times New Roman"/>
      <w:b/>
      <w:bCs/>
      <w:kern w:val="2"/>
      <w:sz w:val="28"/>
      <w:szCs w:val="28"/>
    </w:rPr>
  </w:style>
  <w:style w:type="paragraph" w:customStyle="1" w:styleId="77">
    <w:name w:val="表格标题"/>
    <w:basedOn w:val="1"/>
    <w:qFormat/>
    <w:uiPriority w:val="0"/>
    <w:pPr>
      <w:tabs>
        <w:tab w:val="left" w:pos="7590"/>
      </w:tabs>
      <w:snapToGrid w:val="0"/>
      <w:jc w:val="center"/>
    </w:pPr>
    <w:rPr>
      <w:sz w:val="28"/>
    </w:rPr>
  </w:style>
  <w:style w:type="paragraph" w:customStyle="1" w:styleId="78">
    <w:name w:val="表1表2"/>
    <w:basedOn w:val="1"/>
    <w:qFormat/>
    <w:uiPriority w:val="0"/>
    <w:pPr>
      <w:autoSpaceDE w:val="0"/>
      <w:autoSpaceDN w:val="0"/>
      <w:adjustRightInd w:val="0"/>
      <w:jc w:val="center"/>
    </w:pPr>
    <w:rPr>
      <w:rFonts w:eastAsia="仿宋体"/>
      <w:kern w:val="0"/>
      <w:sz w:val="24"/>
      <w:szCs w:val="21"/>
    </w:rPr>
  </w:style>
  <w:style w:type="paragraph" w:styleId="79">
    <w:name w:val="List Paragraph"/>
    <w:basedOn w:val="1"/>
    <w:qFormat/>
    <w:uiPriority w:val="34"/>
    <w:pPr>
      <w:ind w:firstLine="420" w:firstLineChars="200"/>
    </w:pPr>
    <w:rPr>
      <w:rFonts w:ascii="Calibri" w:hAnsi="Calibri"/>
      <w:szCs w:val="22"/>
    </w:rPr>
  </w:style>
  <w:style w:type="paragraph" w:customStyle="1" w:styleId="80">
    <w:name w:val="表体"/>
    <w:link w:val="81"/>
    <w:qFormat/>
    <w:uiPriority w:val="0"/>
    <w:pPr>
      <w:spacing w:before="40" w:after="40"/>
      <w:jc w:val="center"/>
    </w:pPr>
    <w:rPr>
      <w:rFonts w:ascii="宋体" w:hAnsi="Times New Roman" w:eastAsia="宋体" w:cs="Times New Roman"/>
      <w:color w:val="000080"/>
      <w:kern w:val="2"/>
      <w:sz w:val="24"/>
      <w:szCs w:val="24"/>
      <w:lang w:val="en-US" w:eastAsia="zh-CN" w:bidi="ar-SA"/>
    </w:rPr>
  </w:style>
  <w:style w:type="character" w:customStyle="1" w:styleId="81">
    <w:name w:val="表体 Char"/>
    <w:link w:val="80"/>
    <w:qFormat/>
    <w:uiPriority w:val="0"/>
    <w:rPr>
      <w:rFonts w:ascii="宋体"/>
      <w:color w:val="000080"/>
      <w:kern w:val="2"/>
      <w:sz w:val="24"/>
      <w:szCs w:val="24"/>
    </w:rPr>
  </w:style>
  <w:style w:type="character" w:customStyle="1" w:styleId="82">
    <w:name w:val="fontstyle21"/>
    <w:qFormat/>
    <w:uiPriority w:val="0"/>
    <w:rPr>
      <w:rFonts w:ascii="TimesNewRomanPSMT" w:hAnsi="TimesNewRomanPSMT" w:eastAsia="TimesNewRomanPSMT" w:cs="TimesNewRomanPSMT"/>
      <w:color w:val="000000"/>
      <w:sz w:val="24"/>
      <w:szCs w:val="24"/>
    </w:rPr>
  </w:style>
  <w:style w:type="paragraph" w:customStyle="1" w:styleId="83">
    <w:name w:val="表格名称"/>
    <w:basedOn w:val="1"/>
    <w:qFormat/>
    <w:uiPriority w:val="0"/>
    <w:pPr>
      <w:spacing w:line="360" w:lineRule="auto"/>
      <w:ind w:firstLine="200" w:firstLineChars="200"/>
      <w:jc w:val="left"/>
    </w:pPr>
    <w:rPr>
      <w:rFonts w:ascii="宋体" w:eastAsia="黑体"/>
      <w:b/>
      <w:snapToGrid w:val="0"/>
      <w:kern w:val="18"/>
      <w:sz w:val="24"/>
    </w:rPr>
  </w:style>
  <w:style w:type="character" w:customStyle="1" w:styleId="84">
    <w:name w:val="正文文本首行缩进 2 字符"/>
    <w:link w:val="20"/>
    <w:qFormat/>
    <w:uiPriority w:val="0"/>
    <w:rPr>
      <w:rFonts w:ascii="Times New Roman" w:hAnsi="Times New Roman" w:eastAsia="宋体"/>
      <w:kern w:val="2"/>
      <w:sz w:val="21"/>
      <w:szCs w:val="24"/>
    </w:rPr>
  </w:style>
  <w:style w:type="character" w:customStyle="1" w:styleId="85">
    <w:name w:val="标题 3 字符"/>
    <w:link w:val="3"/>
    <w:semiHidden/>
    <w:qFormat/>
    <w:uiPriority w:val="0"/>
    <w:rPr>
      <w:b/>
      <w:bCs/>
      <w:kern w:val="2"/>
      <w:sz w:val="32"/>
      <w:szCs w:val="32"/>
    </w:rPr>
  </w:style>
  <w:style w:type="paragraph" w:customStyle="1" w:styleId="86">
    <w:name w:val="样式 小四 行距: 1.5 倍行距"/>
    <w:basedOn w:val="1"/>
    <w:qFormat/>
    <w:uiPriority w:val="0"/>
    <w:pPr>
      <w:ind w:firstLine="480" w:firstLineChars="200"/>
    </w:pPr>
    <w:rPr>
      <w:rFonts w:cs="宋体"/>
    </w:rPr>
  </w:style>
  <w:style w:type="character" w:customStyle="1" w:styleId="87">
    <w:name w:val="正文样式 Char"/>
    <w:link w:val="88"/>
    <w:qFormat/>
    <w:uiPriority w:val="0"/>
    <w:rPr>
      <w:sz w:val="24"/>
    </w:rPr>
  </w:style>
  <w:style w:type="paragraph" w:customStyle="1" w:styleId="88">
    <w:name w:val="正文样式"/>
    <w:basedOn w:val="1"/>
    <w:link w:val="87"/>
    <w:qFormat/>
    <w:uiPriority w:val="0"/>
    <w:pPr>
      <w:adjustRightInd w:val="0"/>
      <w:spacing w:line="360" w:lineRule="auto"/>
      <w:ind w:firstLine="824" w:firstLineChars="200"/>
    </w:pPr>
    <w:rPr>
      <w:kern w:val="0"/>
      <w:sz w:val="24"/>
      <w:szCs w:val="20"/>
    </w:rPr>
  </w:style>
  <w:style w:type="character" w:customStyle="1" w:styleId="89">
    <w:name w:val="info3"/>
    <w:qFormat/>
    <w:uiPriority w:val="0"/>
  </w:style>
  <w:style w:type="paragraph" w:customStyle="1" w:styleId="90">
    <w:name w:val="表格内文字"/>
    <w:basedOn w:val="60"/>
    <w:qFormat/>
    <w:uiPriority w:val="0"/>
    <w:pPr>
      <w:adjustRightInd w:val="0"/>
      <w:snapToGrid w:val="0"/>
    </w:pPr>
    <w:rPr>
      <w:rFonts w:ascii="Times New Roman"/>
      <w:kern w:val="18"/>
      <w:sz w:val="21"/>
      <w:szCs w:val="20"/>
    </w:rPr>
  </w:style>
  <w:style w:type="paragraph" w:customStyle="1" w:styleId="91">
    <w:name w:val="yt正文"/>
    <w:basedOn w:val="5"/>
    <w:next w:val="12"/>
    <w:link w:val="92"/>
    <w:qFormat/>
    <w:uiPriority w:val="0"/>
    <w:pPr>
      <w:spacing w:line="360" w:lineRule="auto"/>
      <w:ind w:firstLine="200" w:firstLineChars="200"/>
    </w:pPr>
    <w:rPr>
      <w:kern w:val="2"/>
      <w:sz w:val="24"/>
      <w:szCs w:val="24"/>
    </w:rPr>
  </w:style>
  <w:style w:type="character" w:customStyle="1" w:styleId="92">
    <w:name w:val="yt正文 Char"/>
    <w:link w:val="91"/>
    <w:qFormat/>
    <w:uiPriority w:val="0"/>
    <w:rPr>
      <w:kern w:val="2"/>
      <w:sz w:val="24"/>
      <w:szCs w:val="24"/>
    </w:rPr>
  </w:style>
  <w:style w:type="paragraph" w:customStyle="1" w:styleId="93">
    <w:name w:val="BT"/>
    <w:basedOn w:val="1"/>
    <w:qFormat/>
    <w:uiPriority w:val="0"/>
    <w:pPr>
      <w:adjustRightInd w:val="0"/>
      <w:snapToGrid w:val="0"/>
      <w:jc w:val="center"/>
    </w:pPr>
    <w:rPr>
      <w:b/>
      <w:kern w:val="0"/>
      <w:sz w:val="24"/>
      <w:szCs w:val="22"/>
    </w:rPr>
  </w:style>
  <w:style w:type="paragraph" w:customStyle="1" w:styleId="94">
    <w:name w:val="BG"/>
    <w:basedOn w:val="1"/>
    <w:unhideWhenUsed/>
    <w:qFormat/>
    <w:uiPriority w:val="99"/>
    <w:pPr>
      <w:snapToGrid w:val="0"/>
      <w:jc w:val="center"/>
    </w:pPr>
    <w:rPr>
      <w:szCs w:val="22"/>
    </w:rPr>
  </w:style>
  <w:style w:type="character" w:customStyle="1" w:styleId="95">
    <w:name w:val="正文文本缩进 2 字符"/>
    <w:link w:val="12"/>
    <w:qFormat/>
    <w:uiPriority w:val="0"/>
    <w:rPr>
      <w:kern w:val="2"/>
      <w:sz w:val="21"/>
      <w:szCs w:val="24"/>
    </w:rPr>
  </w:style>
  <w:style w:type="paragraph" w:customStyle="1" w:styleId="96">
    <w:name w:val="正文1"/>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7&#25242;&#24030;2&#20010;&#21152;&#27833;&#31449;/&#37329;&#28330;&#20108;&#31449;/00&#36865;&#23457;&#31295;/&#24037;&#20316;&#20013;/DOCUME~1/ADMINI~1/LOCALS~1/Temp/ksohtml/wps_clip_image-32495.png"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7&#25242;&#24030;2&#20010;&#21152;&#27833;&#31449;/&#37329;&#28330;&#20108;&#31449;/00&#36865;&#23457;&#31295;/&#24037;&#20316;&#20013;/DOCUME~1/ADMINI~1/LOCALS~1/Temp/ksohtml/wps_clip_image-27278.png" TargetMode="External"/><Relationship Id="rId17" Type="http://schemas.openxmlformats.org/officeDocument/2006/relationships/image" Target="media/image8.png"/><Relationship Id="rId16" Type="http://schemas.openxmlformats.org/officeDocument/2006/relationships/image" Target="file:///C:\Users\ADMINI~1\AppData\Local\Temp\ksohtml\wpsDD5A.tmp.png" TargetMode="Externa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75</Pages>
  <Words>46173</Words>
  <Characters>51760</Characters>
  <Lines>576</Lines>
  <Paragraphs>162</Paragraphs>
  <TotalTime>4599</TotalTime>
  <ScaleCrop>false</ScaleCrop>
  <LinksUpToDate>false</LinksUpToDate>
  <CharactersWithSpaces>52161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2022-04-13T08:31:00Z</dcterms:created>
  <dc:creator>lhj</dc:creator>
  <cp:lastModifiedBy>烟煴</cp:lastModifiedBy>
  <cp:lastPrinted>2022-06-13T04:33:00Z</cp:lastPrinted>
  <dcterms:modified xsi:type="dcterms:W3CDTF">2022-06-21T02:49:28Z</dcterms:modified>
  <dc:title>附件2</dc:title>
  <cp:revision>228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BD168D2B3B824A52AA548851DB63D78C</vt:lpwstr>
  </property>
</Properties>
</file>