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黑体"/>
          <w:b/>
          <w:bCs/>
          <w:snapToGrid w:val="0"/>
          <w:color w:val="auto"/>
          <w:sz w:val="30"/>
          <w:szCs w:val="30"/>
        </w:rPr>
      </w:pPr>
      <w:r>
        <w:rPr>
          <w:rFonts w:eastAsia="黑体"/>
          <w:b/>
          <w:bCs/>
          <w:snapToGrid w:val="0"/>
          <w:color w:val="auto"/>
          <w:sz w:val="30"/>
          <w:szCs w:val="30"/>
        </w:rPr>
        <w:t>一、建设项目基本情况</w:t>
      </w:r>
    </w:p>
    <w:tbl>
      <w:tblPr>
        <w:tblStyle w:val="8"/>
        <w:tblW w:w="496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755"/>
        <w:gridCol w:w="2840"/>
        <w:gridCol w:w="1794"/>
        <w:gridCol w:w="33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904" w:type="pct"/>
            <w:noWrap w:val="0"/>
            <w:tcMar>
              <w:top w:w="16" w:type="dxa"/>
              <w:left w:w="16" w:type="dxa"/>
              <w:right w:w="16" w:type="dxa"/>
            </w:tcMar>
            <w:vAlign w:val="center"/>
          </w:tcPr>
          <w:p>
            <w:pPr>
              <w:adjustRightInd w:val="0"/>
              <w:snapToGrid w:val="0"/>
              <w:jc w:val="center"/>
              <w:rPr>
                <w:b/>
                <w:bCs/>
                <w:color w:val="auto"/>
                <w:sz w:val="24"/>
              </w:rPr>
            </w:pPr>
            <w:r>
              <w:rPr>
                <w:b/>
                <w:bCs/>
                <w:color w:val="auto"/>
                <w:sz w:val="24"/>
              </w:rPr>
              <w:t>建设项目名称</w:t>
            </w:r>
          </w:p>
        </w:tc>
        <w:tc>
          <w:tcPr>
            <w:tcW w:w="4095" w:type="pct"/>
            <w:gridSpan w:val="3"/>
            <w:noWrap w:val="0"/>
            <w:vAlign w:val="center"/>
          </w:tcPr>
          <w:p>
            <w:pPr>
              <w:adjustRightInd w:val="0"/>
              <w:snapToGrid w:val="0"/>
              <w:jc w:val="center"/>
              <w:rPr>
                <w:color w:val="auto"/>
                <w:sz w:val="24"/>
              </w:rPr>
            </w:pPr>
            <w:r>
              <w:rPr>
                <w:color w:val="auto"/>
                <w:sz w:val="24"/>
              </w:rPr>
              <w:t>宁都县路通沥青有限公司年产10万吨沥青搅拌站建设项目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904" w:type="pct"/>
            <w:noWrap w:val="0"/>
            <w:tcMar>
              <w:top w:w="16" w:type="dxa"/>
              <w:left w:w="16" w:type="dxa"/>
              <w:right w:w="16" w:type="dxa"/>
            </w:tcMar>
            <w:vAlign w:val="center"/>
          </w:tcPr>
          <w:p>
            <w:pPr>
              <w:adjustRightInd w:val="0"/>
              <w:snapToGrid w:val="0"/>
              <w:jc w:val="center"/>
              <w:rPr>
                <w:b/>
                <w:bCs/>
                <w:color w:val="auto"/>
                <w:sz w:val="24"/>
              </w:rPr>
            </w:pPr>
            <w:r>
              <w:rPr>
                <w:b/>
                <w:bCs/>
                <w:color w:val="auto"/>
                <w:sz w:val="24"/>
              </w:rPr>
              <w:t>项目代码</w:t>
            </w:r>
          </w:p>
        </w:tc>
        <w:tc>
          <w:tcPr>
            <w:tcW w:w="4095" w:type="pct"/>
            <w:gridSpan w:val="3"/>
            <w:noWrap w:val="0"/>
            <w:vAlign w:val="center"/>
          </w:tcPr>
          <w:p>
            <w:pPr>
              <w:tabs>
                <w:tab w:val="left" w:pos="3570"/>
              </w:tabs>
              <w:adjustRightInd w:val="0"/>
              <w:snapToGrid w:val="0"/>
              <w:jc w:val="center"/>
              <w:rPr>
                <w:color w:val="auto"/>
                <w:sz w:val="24"/>
              </w:rPr>
            </w:pPr>
            <w:r>
              <w:rPr>
                <w:color w:val="auto"/>
                <w:sz w:val="24"/>
              </w:rPr>
              <w:t>2304-360730-04-01-775748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904" w:type="pct"/>
            <w:noWrap w:val="0"/>
            <w:tcMar>
              <w:top w:w="16" w:type="dxa"/>
              <w:left w:w="16" w:type="dxa"/>
              <w:right w:w="16" w:type="dxa"/>
            </w:tcMar>
            <w:vAlign w:val="center"/>
          </w:tcPr>
          <w:p>
            <w:pPr>
              <w:adjustRightInd w:val="0"/>
              <w:snapToGrid w:val="0"/>
              <w:jc w:val="center"/>
              <w:rPr>
                <w:b/>
                <w:bCs/>
                <w:color w:val="auto"/>
                <w:sz w:val="24"/>
              </w:rPr>
            </w:pPr>
            <w:r>
              <w:rPr>
                <w:b/>
                <w:bCs/>
                <w:color w:val="auto"/>
                <w:sz w:val="24"/>
              </w:rPr>
              <w:t>建设单位联系人</w:t>
            </w:r>
          </w:p>
        </w:tc>
        <w:tc>
          <w:tcPr>
            <w:tcW w:w="1463" w:type="pct"/>
            <w:noWrap w:val="0"/>
            <w:vAlign w:val="center"/>
          </w:tcPr>
          <w:p>
            <w:pPr>
              <w:adjustRightInd w:val="0"/>
              <w:snapToGrid w:val="0"/>
              <w:jc w:val="center"/>
              <w:rPr>
                <w:color w:val="auto"/>
                <w:sz w:val="24"/>
              </w:rPr>
            </w:pPr>
            <w:r>
              <w:rPr>
                <w:color w:val="auto"/>
                <w:sz w:val="24"/>
              </w:rPr>
              <w:t>过新城</w:t>
            </w:r>
          </w:p>
        </w:tc>
        <w:tc>
          <w:tcPr>
            <w:tcW w:w="924" w:type="pct"/>
            <w:noWrap w:val="0"/>
            <w:vAlign w:val="center"/>
          </w:tcPr>
          <w:p>
            <w:pPr>
              <w:adjustRightInd w:val="0"/>
              <w:snapToGrid w:val="0"/>
              <w:jc w:val="center"/>
              <w:rPr>
                <w:b/>
                <w:bCs/>
                <w:color w:val="auto"/>
                <w:sz w:val="24"/>
              </w:rPr>
            </w:pPr>
            <w:r>
              <w:rPr>
                <w:b/>
                <w:bCs/>
                <w:color w:val="auto"/>
                <w:sz w:val="24"/>
              </w:rPr>
              <w:t>联系方式</w:t>
            </w:r>
          </w:p>
        </w:tc>
        <w:tc>
          <w:tcPr>
            <w:tcW w:w="1707" w:type="pct"/>
            <w:noWrap w:val="0"/>
            <w:vAlign w:val="center"/>
          </w:tcPr>
          <w:p>
            <w:pPr>
              <w:adjustRightInd w:val="0"/>
              <w:snapToGrid w:val="0"/>
              <w:jc w:val="center"/>
              <w:rPr>
                <w:color w:val="auto"/>
                <w:sz w:val="24"/>
              </w:rPr>
            </w:pPr>
            <w:r>
              <w:rPr>
                <w:color w:val="auto"/>
                <w:sz w:val="24"/>
              </w:rPr>
              <w:t>13607073883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904" w:type="pct"/>
            <w:noWrap w:val="0"/>
            <w:tcMar>
              <w:top w:w="16" w:type="dxa"/>
              <w:left w:w="16" w:type="dxa"/>
              <w:right w:w="16" w:type="dxa"/>
            </w:tcMar>
            <w:vAlign w:val="center"/>
          </w:tcPr>
          <w:p>
            <w:pPr>
              <w:adjustRightInd w:val="0"/>
              <w:snapToGrid w:val="0"/>
              <w:jc w:val="center"/>
              <w:rPr>
                <w:b/>
                <w:bCs/>
                <w:color w:val="auto"/>
                <w:sz w:val="24"/>
              </w:rPr>
            </w:pPr>
            <w:r>
              <w:rPr>
                <w:b/>
                <w:bCs/>
                <w:color w:val="auto"/>
                <w:sz w:val="24"/>
              </w:rPr>
              <w:t>建设地点</w:t>
            </w:r>
          </w:p>
        </w:tc>
        <w:tc>
          <w:tcPr>
            <w:tcW w:w="4095" w:type="pct"/>
            <w:gridSpan w:val="3"/>
            <w:noWrap w:val="0"/>
            <w:vAlign w:val="center"/>
          </w:tcPr>
          <w:p>
            <w:pPr>
              <w:adjustRightInd w:val="0"/>
              <w:snapToGrid w:val="0"/>
              <w:jc w:val="center"/>
              <w:rPr>
                <w:color w:val="auto"/>
                <w:sz w:val="24"/>
              </w:rPr>
            </w:pPr>
            <w:r>
              <w:rPr>
                <w:color w:val="auto"/>
                <w:sz w:val="24"/>
              </w:rPr>
              <w:t>江西省赣州市宁都县赖村镇邮村村崠子小组小间坑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904" w:type="pct"/>
            <w:noWrap w:val="0"/>
            <w:tcMar>
              <w:top w:w="16" w:type="dxa"/>
              <w:left w:w="16" w:type="dxa"/>
              <w:right w:w="16" w:type="dxa"/>
            </w:tcMar>
            <w:vAlign w:val="center"/>
          </w:tcPr>
          <w:p>
            <w:pPr>
              <w:adjustRightInd w:val="0"/>
              <w:snapToGrid w:val="0"/>
              <w:jc w:val="center"/>
              <w:rPr>
                <w:b/>
                <w:bCs/>
                <w:color w:val="auto"/>
                <w:sz w:val="24"/>
              </w:rPr>
            </w:pPr>
            <w:r>
              <w:rPr>
                <w:b/>
                <w:bCs/>
                <w:color w:val="auto"/>
                <w:sz w:val="24"/>
              </w:rPr>
              <w:t>地理坐标</w:t>
            </w:r>
          </w:p>
        </w:tc>
        <w:tc>
          <w:tcPr>
            <w:tcW w:w="4095" w:type="pct"/>
            <w:gridSpan w:val="3"/>
            <w:noWrap w:val="0"/>
            <w:vAlign w:val="center"/>
          </w:tcPr>
          <w:p>
            <w:pPr>
              <w:jc w:val="center"/>
              <w:rPr>
                <w:color w:val="auto"/>
                <w:sz w:val="24"/>
              </w:rPr>
            </w:pPr>
            <w:r>
              <w:rPr>
                <w:color w:val="auto"/>
                <w:sz w:val="24"/>
              </w:rPr>
              <w:t>东经115°53′1.632″，北纬26°23′36.411″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904" w:type="pct"/>
            <w:noWrap w:val="0"/>
            <w:tcMar>
              <w:top w:w="16" w:type="dxa"/>
              <w:left w:w="16" w:type="dxa"/>
              <w:right w:w="16" w:type="dxa"/>
            </w:tcMar>
            <w:vAlign w:val="center"/>
          </w:tcPr>
          <w:p>
            <w:pPr>
              <w:adjustRightInd w:val="0"/>
              <w:snapToGrid w:val="0"/>
              <w:jc w:val="center"/>
              <w:rPr>
                <w:b/>
                <w:bCs/>
                <w:color w:val="auto"/>
                <w:sz w:val="24"/>
              </w:rPr>
            </w:pPr>
            <w:r>
              <w:rPr>
                <w:b/>
                <w:bCs/>
                <w:color w:val="auto"/>
                <w:sz w:val="24"/>
              </w:rPr>
              <w:t>国民经济</w:t>
            </w:r>
          </w:p>
          <w:p>
            <w:pPr>
              <w:adjustRightInd w:val="0"/>
              <w:snapToGrid w:val="0"/>
              <w:jc w:val="center"/>
              <w:rPr>
                <w:b/>
                <w:bCs/>
                <w:color w:val="auto"/>
                <w:sz w:val="24"/>
              </w:rPr>
            </w:pPr>
            <w:r>
              <w:rPr>
                <w:b/>
                <w:bCs/>
                <w:color w:val="auto"/>
                <w:sz w:val="24"/>
              </w:rPr>
              <w:t>行业类别</w:t>
            </w:r>
          </w:p>
        </w:tc>
        <w:tc>
          <w:tcPr>
            <w:tcW w:w="1463" w:type="pct"/>
            <w:noWrap w:val="0"/>
            <w:vAlign w:val="center"/>
          </w:tcPr>
          <w:p>
            <w:pPr>
              <w:adjustRightInd w:val="0"/>
              <w:snapToGrid w:val="0"/>
              <w:jc w:val="center"/>
              <w:rPr>
                <w:color w:val="auto"/>
                <w:sz w:val="24"/>
              </w:rPr>
            </w:pPr>
            <w:r>
              <w:rPr>
                <w:color w:val="auto"/>
                <w:sz w:val="24"/>
              </w:rPr>
              <w:t>C3099、其他非金属矿物制品制造</w:t>
            </w:r>
          </w:p>
        </w:tc>
        <w:tc>
          <w:tcPr>
            <w:tcW w:w="924" w:type="pct"/>
            <w:noWrap w:val="0"/>
            <w:vAlign w:val="center"/>
          </w:tcPr>
          <w:p>
            <w:pPr>
              <w:adjustRightInd w:val="0"/>
              <w:snapToGrid w:val="0"/>
              <w:jc w:val="center"/>
              <w:rPr>
                <w:b/>
                <w:bCs/>
                <w:color w:val="auto"/>
                <w:sz w:val="24"/>
              </w:rPr>
            </w:pPr>
            <w:bookmarkStart w:id="0" w:name="_Hlk49843745"/>
            <w:r>
              <w:rPr>
                <w:b/>
                <w:bCs/>
                <w:color w:val="auto"/>
                <w:sz w:val="24"/>
              </w:rPr>
              <w:t>建设项目</w:t>
            </w:r>
          </w:p>
          <w:p>
            <w:pPr>
              <w:adjustRightInd w:val="0"/>
              <w:snapToGrid w:val="0"/>
              <w:jc w:val="center"/>
              <w:rPr>
                <w:b/>
                <w:bCs/>
                <w:color w:val="auto"/>
                <w:sz w:val="24"/>
              </w:rPr>
            </w:pPr>
            <w:r>
              <w:rPr>
                <w:b/>
                <w:bCs/>
                <w:color w:val="auto"/>
                <w:sz w:val="24"/>
              </w:rPr>
              <w:t>行业类别</w:t>
            </w:r>
            <w:bookmarkEnd w:id="0"/>
          </w:p>
        </w:tc>
        <w:tc>
          <w:tcPr>
            <w:tcW w:w="1707" w:type="pct"/>
            <w:noWrap w:val="0"/>
            <w:vAlign w:val="center"/>
          </w:tcPr>
          <w:p>
            <w:pPr>
              <w:adjustRightInd w:val="0"/>
              <w:snapToGrid w:val="0"/>
              <w:jc w:val="center"/>
              <w:rPr>
                <w:color w:val="auto"/>
                <w:sz w:val="24"/>
              </w:rPr>
            </w:pPr>
            <w:r>
              <w:rPr>
                <w:color w:val="auto"/>
                <w:sz w:val="24"/>
              </w:rPr>
              <w:t>二十七_60、石墨及其他非金属矿物制品制造309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904" w:type="pct"/>
            <w:noWrap w:val="0"/>
            <w:tcMar>
              <w:top w:w="16" w:type="dxa"/>
              <w:left w:w="16" w:type="dxa"/>
              <w:right w:w="16" w:type="dxa"/>
            </w:tcMar>
            <w:vAlign w:val="center"/>
          </w:tcPr>
          <w:p>
            <w:pPr>
              <w:adjustRightInd w:val="0"/>
              <w:snapToGrid w:val="0"/>
              <w:jc w:val="center"/>
              <w:rPr>
                <w:b/>
                <w:bCs/>
                <w:color w:val="auto"/>
                <w:sz w:val="24"/>
              </w:rPr>
            </w:pPr>
            <w:r>
              <w:rPr>
                <w:b/>
                <w:bCs/>
                <w:color w:val="auto"/>
                <w:sz w:val="24"/>
              </w:rPr>
              <w:t>建设性质</w:t>
            </w:r>
          </w:p>
        </w:tc>
        <w:tc>
          <w:tcPr>
            <w:tcW w:w="1463" w:type="pct"/>
            <w:noWrap w:val="0"/>
            <w:vAlign w:val="center"/>
          </w:tcPr>
          <w:p>
            <w:pPr>
              <w:jc w:val="left"/>
              <w:rPr>
                <w:color w:val="auto"/>
                <w:sz w:val="24"/>
              </w:rPr>
            </w:pPr>
            <w:r>
              <w:rPr>
                <w:color w:val="auto"/>
                <w:sz w:val="24"/>
              </w:rPr>
              <w:t>☑新建（迁建）</w:t>
            </w:r>
          </w:p>
          <w:p>
            <w:pPr>
              <w:jc w:val="left"/>
              <w:rPr>
                <w:color w:val="auto"/>
                <w:sz w:val="24"/>
              </w:rPr>
            </w:pPr>
            <w:r>
              <w:rPr>
                <w:rFonts w:hint="eastAsia"/>
                <w:color w:val="auto"/>
                <w:sz w:val="24"/>
              </w:rPr>
              <w:t>□</w:t>
            </w:r>
            <w:r>
              <w:rPr>
                <w:color w:val="auto"/>
                <w:sz w:val="24"/>
              </w:rPr>
              <w:t>改建</w:t>
            </w:r>
          </w:p>
          <w:p>
            <w:pPr>
              <w:jc w:val="left"/>
              <w:rPr>
                <w:color w:val="auto"/>
                <w:sz w:val="24"/>
              </w:rPr>
            </w:pPr>
            <w:r>
              <w:rPr>
                <w:rFonts w:hint="eastAsia"/>
                <w:color w:val="auto"/>
                <w:sz w:val="24"/>
              </w:rPr>
              <w:t>□</w:t>
            </w:r>
            <w:r>
              <w:rPr>
                <w:color w:val="auto"/>
                <w:sz w:val="24"/>
              </w:rPr>
              <w:t>扩建</w:t>
            </w:r>
          </w:p>
          <w:p>
            <w:pPr>
              <w:jc w:val="left"/>
              <w:rPr>
                <w:color w:val="auto"/>
                <w:sz w:val="24"/>
              </w:rPr>
            </w:pPr>
            <w:r>
              <w:rPr>
                <w:rFonts w:hint="eastAsia"/>
                <w:color w:val="auto"/>
                <w:sz w:val="24"/>
              </w:rPr>
              <w:t>□</w:t>
            </w:r>
            <w:r>
              <w:rPr>
                <w:color w:val="auto"/>
                <w:sz w:val="24"/>
              </w:rPr>
              <w:t>技术改造</w:t>
            </w:r>
          </w:p>
        </w:tc>
        <w:tc>
          <w:tcPr>
            <w:tcW w:w="924" w:type="pct"/>
            <w:noWrap w:val="0"/>
            <w:vAlign w:val="center"/>
          </w:tcPr>
          <w:p>
            <w:pPr>
              <w:adjustRightInd w:val="0"/>
              <w:snapToGrid w:val="0"/>
              <w:jc w:val="center"/>
              <w:rPr>
                <w:b/>
                <w:bCs/>
                <w:color w:val="auto"/>
                <w:sz w:val="24"/>
              </w:rPr>
            </w:pPr>
            <w:r>
              <w:rPr>
                <w:b/>
                <w:bCs/>
                <w:color w:val="auto"/>
                <w:sz w:val="24"/>
              </w:rPr>
              <w:t>建设项目</w:t>
            </w:r>
          </w:p>
          <w:p>
            <w:pPr>
              <w:adjustRightInd w:val="0"/>
              <w:snapToGrid w:val="0"/>
              <w:jc w:val="center"/>
              <w:rPr>
                <w:b/>
                <w:bCs/>
                <w:color w:val="auto"/>
                <w:sz w:val="24"/>
              </w:rPr>
            </w:pPr>
            <w:r>
              <w:rPr>
                <w:b/>
                <w:bCs/>
                <w:color w:val="auto"/>
                <w:sz w:val="24"/>
              </w:rPr>
              <w:t>申报情形</w:t>
            </w:r>
          </w:p>
        </w:tc>
        <w:tc>
          <w:tcPr>
            <w:tcW w:w="1707" w:type="pct"/>
            <w:noWrap w:val="0"/>
            <w:vAlign w:val="center"/>
          </w:tcPr>
          <w:p>
            <w:pPr>
              <w:jc w:val="left"/>
              <w:rPr>
                <w:color w:val="auto"/>
                <w:sz w:val="24"/>
              </w:rPr>
            </w:pPr>
            <w:r>
              <w:rPr>
                <w:color w:val="auto"/>
                <w:sz w:val="24"/>
              </w:rPr>
              <w:t>☑首次申报项目</w:t>
            </w:r>
          </w:p>
          <w:p>
            <w:pPr>
              <w:jc w:val="left"/>
              <w:rPr>
                <w:color w:val="auto"/>
                <w:sz w:val="24"/>
              </w:rPr>
            </w:pPr>
            <w:r>
              <w:rPr>
                <w:rFonts w:hint="eastAsia"/>
                <w:color w:val="auto"/>
                <w:sz w:val="24"/>
              </w:rPr>
              <w:t>□</w:t>
            </w:r>
            <w:r>
              <w:rPr>
                <w:color w:val="auto"/>
                <w:sz w:val="24"/>
              </w:rPr>
              <w:t>不予批准后再次申报项目</w:t>
            </w:r>
          </w:p>
          <w:p>
            <w:pPr>
              <w:jc w:val="left"/>
              <w:rPr>
                <w:color w:val="auto"/>
                <w:sz w:val="24"/>
              </w:rPr>
            </w:pPr>
            <w:r>
              <w:rPr>
                <w:rFonts w:hint="eastAsia"/>
                <w:color w:val="auto"/>
                <w:sz w:val="24"/>
              </w:rPr>
              <w:t>□</w:t>
            </w:r>
            <w:r>
              <w:rPr>
                <w:color w:val="auto"/>
                <w:sz w:val="24"/>
              </w:rPr>
              <w:t>超五年重新审核项目</w:t>
            </w:r>
          </w:p>
          <w:p>
            <w:pPr>
              <w:jc w:val="left"/>
              <w:rPr>
                <w:color w:val="auto"/>
                <w:sz w:val="24"/>
              </w:rPr>
            </w:pPr>
            <w:r>
              <w:rPr>
                <w:rFonts w:hint="eastAsia"/>
                <w:color w:val="auto"/>
                <w:sz w:val="24"/>
              </w:rPr>
              <w:t>□</w:t>
            </w:r>
            <w:r>
              <w:rPr>
                <w:color w:val="auto"/>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904" w:type="pct"/>
            <w:noWrap w:val="0"/>
            <w:tcMar>
              <w:top w:w="16" w:type="dxa"/>
              <w:left w:w="16" w:type="dxa"/>
              <w:right w:w="16" w:type="dxa"/>
            </w:tcMar>
            <w:vAlign w:val="center"/>
          </w:tcPr>
          <w:p>
            <w:pPr>
              <w:adjustRightInd w:val="0"/>
              <w:snapToGrid w:val="0"/>
              <w:jc w:val="center"/>
              <w:rPr>
                <w:b/>
                <w:bCs/>
                <w:color w:val="auto"/>
                <w:sz w:val="24"/>
              </w:rPr>
            </w:pPr>
            <w:r>
              <w:rPr>
                <w:b/>
                <w:bCs/>
                <w:color w:val="auto"/>
                <w:sz w:val="24"/>
              </w:rPr>
              <w:t>项目审批（核准/</w:t>
            </w:r>
          </w:p>
          <w:p>
            <w:pPr>
              <w:adjustRightInd w:val="0"/>
              <w:snapToGrid w:val="0"/>
              <w:jc w:val="center"/>
              <w:rPr>
                <w:b/>
                <w:bCs/>
                <w:color w:val="auto"/>
                <w:sz w:val="24"/>
              </w:rPr>
            </w:pPr>
            <w:r>
              <w:rPr>
                <w:b/>
                <w:bCs/>
                <w:color w:val="auto"/>
                <w:sz w:val="24"/>
              </w:rPr>
              <w:t>备案）部门</w:t>
            </w:r>
          </w:p>
        </w:tc>
        <w:tc>
          <w:tcPr>
            <w:tcW w:w="1463" w:type="pct"/>
            <w:noWrap w:val="0"/>
            <w:vAlign w:val="center"/>
          </w:tcPr>
          <w:p>
            <w:pPr>
              <w:adjustRightInd w:val="0"/>
              <w:snapToGrid w:val="0"/>
              <w:jc w:val="center"/>
              <w:rPr>
                <w:color w:val="auto"/>
                <w:sz w:val="24"/>
              </w:rPr>
            </w:pPr>
            <w:r>
              <w:rPr>
                <w:color w:val="auto"/>
                <w:sz w:val="24"/>
              </w:rPr>
              <w:t>宁都县行政审批局</w:t>
            </w:r>
          </w:p>
        </w:tc>
        <w:tc>
          <w:tcPr>
            <w:tcW w:w="924" w:type="pct"/>
            <w:noWrap w:val="0"/>
            <w:vAlign w:val="center"/>
          </w:tcPr>
          <w:p>
            <w:pPr>
              <w:adjustRightInd w:val="0"/>
              <w:snapToGrid w:val="0"/>
              <w:jc w:val="center"/>
              <w:rPr>
                <w:b/>
                <w:bCs/>
                <w:color w:val="auto"/>
                <w:sz w:val="24"/>
              </w:rPr>
            </w:pPr>
            <w:r>
              <w:rPr>
                <w:b/>
                <w:bCs/>
                <w:color w:val="auto"/>
                <w:sz w:val="24"/>
              </w:rPr>
              <w:t>项目审批（核准/</w:t>
            </w:r>
          </w:p>
          <w:p>
            <w:pPr>
              <w:adjustRightInd w:val="0"/>
              <w:snapToGrid w:val="0"/>
              <w:jc w:val="center"/>
              <w:rPr>
                <w:b/>
                <w:bCs/>
                <w:color w:val="auto"/>
                <w:sz w:val="24"/>
              </w:rPr>
            </w:pPr>
            <w:r>
              <w:rPr>
                <w:b/>
                <w:bCs/>
                <w:color w:val="auto"/>
                <w:sz w:val="24"/>
              </w:rPr>
              <w:t>备案）文号</w:t>
            </w:r>
          </w:p>
        </w:tc>
        <w:tc>
          <w:tcPr>
            <w:tcW w:w="1707" w:type="pct"/>
            <w:noWrap w:val="0"/>
            <w:vAlign w:val="center"/>
          </w:tcPr>
          <w:p>
            <w:pPr>
              <w:adjustRightInd w:val="0"/>
              <w:snapToGrid w:val="0"/>
              <w:jc w:val="center"/>
              <w:rPr>
                <w:color w:val="auto"/>
                <w:sz w:val="24"/>
              </w:rPr>
            </w:pPr>
            <w:r>
              <w:rPr>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904" w:type="pct"/>
            <w:noWrap w:val="0"/>
            <w:tcMar>
              <w:top w:w="16" w:type="dxa"/>
              <w:left w:w="16" w:type="dxa"/>
              <w:right w:w="16" w:type="dxa"/>
            </w:tcMar>
            <w:vAlign w:val="center"/>
          </w:tcPr>
          <w:p>
            <w:pPr>
              <w:adjustRightInd w:val="0"/>
              <w:snapToGrid w:val="0"/>
              <w:jc w:val="center"/>
              <w:rPr>
                <w:b/>
                <w:bCs/>
                <w:color w:val="auto"/>
                <w:sz w:val="24"/>
              </w:rPr>
            </w:pPr>
            <w:r>
              <w:rPr>
                <w:b/>
                <w:bCs/>
                <w:color w:val="auto"/>
                <w:sz w:val="24"/>
              </w:rPr>
              <w:t>总投资（万元）</w:t>
            </w:r>
          </w:p>
        </w:tc>
        <w:tc>
          <w:tcPr>
            <w:tcW w:w="1463" w:type="pct"/>
            <w:noWrap w:val="0"/>
            <w:vAlign w:val="center"/>
          </w:tcPr>
          <w:p>
            <w:pPr>
              <w:adjustRightInd w:val="0"/>
              <w:snapToGrid w:val="0"/>
              <w:jc w:val="center"/>
              <w:rPr>
                <w:color w:val="auto"/>
                <w:sz w:val="24"/>
              </w:rPr>
            </w:pPr>
            <w:r>
              <w:rPr>
                <w:color w:val="auto"/>
                <w:sz w:val="24"/>
              </w:rPr>
              <w:t>1600</w:t>
            </w:r>
          </w:p>
        </w:tc>
        <w:tc>
          <w:tcPr>
            <w:tcW w:w="924" w:type="pct"/>
            <w:noWrap w:val="0"/>
            <w:tcMar>
              <w:top w:w="16" w:type="dxa"/>
              <w:left w:w="16" w:type="dxa"/>
              <w:right w:w="16" w:type="dxa"/>
            </w:tcMar>
            <w:vAlign w:val="center"/>
          </w:tcPr>
          <w:p>
            <w:pPr>
              <w:adjustRightInd w:val="0"/>
              <w:snapToGrid w:val="0"/>
              <w:jc w:val="center"/>
              <w:rPr>
                <w:b/>
                <w:bCs/>
                <w:color w:val="auto"/>
                <w:sz w:val="24"/>
              </w:rPr>
            </w:pPr>
            <w:r>
              <w:rPr>
                <w:b/>
                <w:bCs/>
                <w:color w:val="auto"/>
                <w:sz w:val="24"/>
              </w:rPr>
              <w:t>环保投资（万元）</w:t>
            </w:r>
          </w:p>
        </w:tc>
        <w:tc>
          <w:tcPr>
            <w:tcW w:w="1707" w:type="pct"/>
            <w:noWrap w:val="0"/>
            <w:vAlign w:val="center"/>
          </w:tcPr>
          <w:p>
            <w:pPr>
              <w:adjustRightInd w:val="0"/>
              <w:snapToGrid w:val="0"/>
              <w:jc w:val="center"/>
              <w:rPr>
                <w:color w:val="auto"/>
                <w:sz w:val="24"/>
              </w:rPr>
            </w:pPr>
            <w:r>
              <w:rPr>
                <w:color w:val="auto"/>
                <w:sz w:val="24"/>
              </w:rPr>
              <w:t>145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904" w:type="pct"/>
            <w:noWrap w:val="0"/>
            <w:tcMar>
              <w:top w:w="16" w:type="dxa"/>
              <w:left w:w="16" w:type="dxa"/>
              <w:right w:w="16" w:type="dxa"/>
            </w:tcMar>
            <w:vAlign w:val="center"/>
          </w:tcPr>
          <w:p>
            <w:pPr>
              <w:adjustRightInd w:val="0"/>
              <w:snapToGrid w:val="0"/>
              <w:jc w:val="center"/>
              <w:rPr>
                <w:b/>
                <w:bCs/>
                <w:color w:val="auto"/>
                <w:sz w:val="24"/>
              </w:rPr>
            </w:pPr>
            <w:r>
              <w:rPr>
                <w:b/>
                <w:bCs/>
                <w:color w:val="auto"/>
                <w:sz w:val="24"/>
              </w:rPr>
              <w:t>环保投资占比（%）</w:t>
            </w:r>
          </w:p>
        </w:tc>
        <w:tc>
          <w:tcPr>
            <w:tcW w:w="1463" w:type="pct"/>
            <w:noWrap w:val="0"/>
            <w:vAlign w:val="center"/>
          </w:tcPr>
          <w:p>
            <w:pPr>
              <w:adjustRightInd w:val="0"/>
              <w:snapToGrid w:val="0"/>
              <w:jc w:val="center"/>
              <w:rPr>
                <w:color w:val="auto"/>
                <w:sz w:val="24"/>
              </w:rPr>
            </w:pPr>
            <w:r>
              <w:rPr>
                <w:color w:val="auto"/>
                <w:sz w:val="24"/>
              </w:rPr>
              <w:t>9.06</w:t>
            </w:r>
          </w:p>
        </w:tc>
        <w:tc>
          <w:tcPr>
            <w:tcW w:w="924" w:type="pct"/>
            <w:noWrap w:val="0"/>
            <w:tcMar>
              <w:top w:w="16" w:type="dxa"/>
              <w:left w:w="16" w:type="dxa"/>
              <w:right w:w="16" w:type="dxa"/>
            </w:tcMar>
            <w:vAlign w:val="center"/>
          </w:tcPr>
          <w:p>
            <w:pPr>
              <w:adjustRightInd w:val="0"/>
              <w:snapToGrid w:val="0"/>
              <w:jc w:val="center"/>
              <w:rPr>
                <w:b/>
                <w:bCs/>
                <w:color w:val="auto"/>
                <w:sz w:val="24"/>
              </w:rPr>
            </w:pPr>
            <w:r>
              <w:rPr>
                <w:b/>
                <w:bCs/>
                <w:color w:val="auto"/>
                <w:sz w:val="24"/>
              </w:rPr>
              <w:t>施工工期</w:t>
            </w:r>
          </w:p>
        </w:tc>
        <w:tc>
          <w:tcPr>
            <w:tcW w:w="1707" w:type="pct"/>
            <w:noWrap w:val="0"/>
            <w:vAlign w:val="center"/>
          </w:tcPr>
          <w:p>
            <w:pPr>
              <w:adjustRightInd w:val="0"/>
              <w:snapToGrid w:val="0"/>
              <w:jc w:val="center"/>
              <w:rPr>
                <w:color w:val="auto"/>
                <w:sz w:val="24"/>
              </w:rPr>
            </w:pPr>
            <w:r>
              <w:rPr>
                <w:rFonts w:hint="eastAsia"/>
                <w:color w:val="auto"/>
                <w:sz w:val="24"/>
              </w:rPr>
              <w:t>6</w:t>
            </w:r>
            <w:r>
              <w:rPr>
                <w:color w:val="auto"/>
                <w:sz w:val="24"/>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904" w:type="pct"/>
            <w:noWrap w:val="0"/>
            <w:tcMar>
              <w:top w:w="16" w:type="dxa"/>
              <w:left w:w="16" w:type="dxa"/>
              <w:right w:w="16" w:type="dxa"/>
            </w:tcMar>
            <w:vAlign w:val="center"/>
          </w:tcPr>
          <w:p>
            <w:pPr>
              <w:adjustRightInd w:val="0"/>
              <w:snapToGrid w:val="0"/>
              <w:jc w:val="center"/>
              <w:rPr>
                <w:b/>
                <w:bCs/>
                <w:color w:val="auto"/>
                <w:sz w:val="24"/>
              </w:rPr>
            </w:pPr>
            <w:r>
              <w:rPr>
                <w:b/>
                <w:bCs/>
                <w:color w:val="auto"/>
                <w:sz w:val="24"/>
              </w:rPr>
              <w:t>是否开工建设</w:t>
            </w:r>
          </w:p>
        </w:tc>
        <w:tc>
          <w:tcPr>
            <w:tcW w:w="1463" w:type="pct"/>
            <w:noWrap w:val="0"/>
            <w:vAlign w:val="center"/>
          </w:tcPr>
          <w:p>
            <w:pPr>
              <w:adjustRightInd w:val="0"/>
              <w:snapToGrid w:val="0"/>
              <w:rPr>
                <w:color w:val="auto"/>
                <w:sz w:val="24"/>
              </w:rPr>
            </w:pPr>
            <w:r>
              <w:rPr>
                <w:color w:val="auto"/>
                <w:sz w:val="24"/>
              </w:rPr>
              <w:t>☑否</w:t>
            </w:r>
          </w:p>
          <w:p>
            <w:pPr>
              <w:adjustRightInd w:val="0"/>
              <w:snapToGrid w:val="0"/>
              <w:rPr>
                <w:color w:val="auto"/>
                <w:sz w:val="24"/>
              </w:rPr>
            </w:pPr>
            <w:r>
              <w:rPr>
                <w:color w:val="auto"/>
                <w:sz w:val="24"/>
              </w:rPr>
              <w:t>□是：</w:t>
            </w:r>
            <w:r>
              <w:rPr>
                <w:color w:val="auto"/>
                <w:sz w:val="24"/>
                <w:u w:val="single"/>
              </w:rPr>
              <w:t xml:space="preserve">             </w:t>
            </w:r>
          </w:p>
        </w:tc>
        <w:tc>
          <w:tcPr>
            <w:tcW w:w="924" w:type="pct"/>
            <w:noWrap w:val="0"/>
            <w:tcMar>
              <w:top w:w="16" w:type="dxa"/>
              <w:left w:w="16" w:type="dxa"/>
              <w:right w:w="16" w:type="dxa"/>
            </w:tcMar>
            <w:vAlign w:val="center"/>
          </w:tcPr>
          <w:p>
            <w:pPr>
              <w:adjustRightInd w:val="0"/>
              <w:snapToGrid w:val="0"/>
              <w:jc w:val="center"/>
              <w:rPr>
                <w:b/>
                <w:bCs/>
                <w:color w:val="auto"/>
                <w:sz w:val="24"/>
              </w:rPr>
            </w:pPr>
            <w:r>
              <w:rPr>
                <w:b/>
                <w:bCs/>
                <w:color w:val="auto"/>
                <w:spacing w:val="-6"/>
                <w:sz w:val="24"/>
              </w:rPr>
              <w:t>用地（用海）面积（m</w:t>
            </w:r>
            <w:r>
              <w:rPr>
                <w:b/>
                <w:bCs/>
                <w:color w:val="auto"/>
                <w:spacing w:val="-6"/>
                <w:sz w:val="24"/>
                <w:vertAlign w:val="superscript"/>
              </w:rPr>
              <w:t>2</w:t>
            </w:r>
            <w:r>
              <w:rPr>
                <w:b/>
                <w:bCs/>
                <w:color w:val="auto"/>
                <w:spacing w:val="-6"/>
                <w:sz w:val="24"/>
              </w:rPr>
              <w:t>）</w:t>
            </w:r>
          </w:p>
        </w:tc>
        <w:tc>
          <w:tcPr>
            <w:tcW w:w="1707" w:type="pct"/>
            <w:noWrap w:val="0"/>
            <w:vAlign w:val="center"/>
          </w:tcPr>
          <w:p>
            <w:pPr>
              <w:adjustRightInd w:val="0"/>
              <w:snapToGrid w:val="0"/>
              <w:jc w:val="center"/>
              <w:rPr>
                <w:color w:val="auto"/>
                <w:sz w:val="24"/>
              </w:rPr>
            </w:pPr>
            <w:r>
              <w:rPr>
                <w:color w:val="auto"/>
                <w:sz w:val="24"/>
              </w:rPr>
              <w:t>6666.67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04" w:type="pct"/>
            <w:noWrap w:val="0"/>
            <w:vAlign w:val="center"/>
          </w:tcPr>
          <w:p>
            <w:pPr>
              <w:autoSpaceDE w:val="0"/>
              <w:autoSpaceDN w:val="0"/>
              <w:adjustRightInd w:val="0"/>
              <w:snapToGrid w:val="0"/>
              <w:jc w:val="center"/>
              <w:rPr>
                <w:b/>
                <w:bCs/>
                <w:color w:val="auto"/>
                <w:kern w:val="0"/>
                <w:sz w:val="24"/>
              </w:rPr>
            </w:pPr>
            <w:r>
              <w:rPr>
                <w:b/>
                <w:bCs/>
                <w:color w:val="auto"/>
                <w:kern w:val="0"/>
                <w:sz w:val="24"/>
              </w:rPr>
              <w:t>专项评价设置</w:t>
            </w:r>
          </w:p>
          <w:p>
            <w:pPr>
              <w:autoSpaceDE w:val="0"/>
              <w:autoSpaceDN w:val="0"/>
              <w:adjustRightInd w:val="0"/>
              <w:snapToGrid w:val="0"/>
              <w:jc w:val="center"/>
              <w:rPr>
                <w:b/>
                <w:bCs/>
                <w:color w:val="auto"/>
                <w:kern w:val="0"/>
                <w:sz w:val="24"/>
              </w:rPr>
            </w:pPr>
            <w:r>
              <w:rPr>
                <w:b/>
                <w:bCs/>
                <w:color w:val="auto"/>
                <w:kern w:val="0"/>
                <w:sz w:val="24"/>
              </w:rPr>
              <w:t>情况</w:t>
            </w:r>
          </w:p>
        </w:tc>
        <w:tc>
          <w:tcPr>
            <w:tcW w:w="4095" w:type="pct"/>
            <w:gridSpan w:val="3"/>
            <w:noWrap w:val="0"/>
            <w:vAlign w:val="center"/>
          </w:tcPr>
          <w:p>
            <w:pPr>
              <w:autoSpaceDE w:val="0"/>
              <w:autoSpaceDN w:val="0"/>
              <w:snapToGrid w:val="0"/>
              <w:spacing w:line="360" w:lineRule="auto"/>
              <w:ind w:firstLine="480" w:firstLineChars="200"/>
              <w:rPr>
                <w:color w:val="auto"/>
                <w:kern w:val="0"/>
                <w:sz w:val="24"/>
              </w:rPr>
            </w:pPr>
            <w:r>
              <w:rPr>
                <w:color w:val="auto"/>
                <w:kern w:val="0"/>
                <w:sz w:val="24"/>
              </w:rPr>
              <w:t>根据《建设项目环境影响报告表编制技术指南（污染影响类）（试行）》中“表1专项评价设置原则表”，本项目专项评价设置对照表如下：</w:t>
            </w:r>
          </w:p>
          <w:p>
            <w:pPr>
              <w:autoSpaceDE w:val="0"/>
              <w:autoSpaceDN w:val="0"/>
              <w:adjustRightInd w:val="0"/>
              <w:snapToGrid w:val="0"/>
              <w:jc w:val="center"/>
              <w:rPr>
                <w:b/>
                <w:bCs/>
                <w:color w:val="auto"/>
                <w:kern w:val="0"/>
                <w:sz w:val="24"/>
              </w:rPr>
            </w:pPr>
            <w:r>
              <w:rPr>
                <w:b/>
                <w:bCs/>
                <w:color w:val="auto"/>
                <w:kern w:val="0"/>
                <w:sz w:val="24"/>
              </w:rPr>
              <w:t>表1-1  专项评价设置对照表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2"/>
              <w:gridCol w:w="4011"/>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2" w:type="dxa"/>
                  <w:shd w:val="clear" w:color="auto" w:fill="auto"/>
                  <w:noWrap w:val="0"/>
                  <w:vAlign w:val="center"/>
                </w:tcPr>
                <w:p>
                  <w:pPr>
                    <w:autoSpaceDE w:val="0"/>
                    <w:autoSpaceDN w:val="0"/>
                    <w:adjustRightInd w:val="0"/>
                    <w:snapToGrid w:val="0"/>
                    <w:jc w:val="center"/>
                    <w:rPr>
                      <w:b/>
                      <w:bCs/>
                      <w:color w:val="auto"/>
                      <w:kern w:val="0"/>
                      <w:szCs w:val="21"/>
                    </w:rPr>
                  </w:pPr>
                  <w:r>
                    <w:rPr>
                      <w:b/>
                      <w:bCs/>
                      <w:color w:val="auto"/>
                      <w:kern w:val="0"/>
                      <w:szCs w:val="21"/>
                    </w:rPr>
                    <w:t>专项评价的类别</w:t>
                  </w:r>
                </w:p>
              </w:tc>
              <w:tc>
                <w:tcPr>
                  <w:tcW w:w="4011" w:type="dxa"/>
                  <w:shd w:val="clear" w:color="auto" w:fill="auto"/>
                  <w:noWrap w:val="0"/>
                  <w:vAlign w:val="center"/>
                </w:tcPr>
                <w:p>
                  <w:pPr>
                    <w:autoSpaceDE w:val="0"/>
                    <w:autoSpaceDN w:val="0"/>
                    <w:adjustRightInd w:val="0"/>
                    <w:snapToGrid w:val="0"/>
                    <w:jc w:val="center"/>
                    <w:rPr>
                      <w:b/>
                      <w:bCs/>
                      <w:color w:val="auto"/>
                      <w:kern w:val="0"/>
                      <w:szCs w:val="21"/>
                    </w:rPr>
                  </w:pPr>
                  <w:r>
                    <w:rPr>
                      <w:b/>
                      <w:bCs/>
                      <w:color w:val="auto"/>
                      <w:kern w:val="0"/>
                      <w:szCs w:val="21"/>
                    </w:rPr>
                    <w:t>设置原则</w:t>
                  </w:r>
                </w:p>
              </w:tc>
              <w:tc>
                <w:tcPr>
                  <w:tcW w:w="2631" w:type="dxa"/>
                  <w:shd w:val="clear" w:color="auto" w:fill="auto"/>
                  <w:noWrap w:val="0"/>
                  <w:vAlign w:val="center"/>
                </w:tcPr>
                <w:p>
                  <w:pPr>
                    <w:autoSpaceDE w:val="0"/>
                    <w:autoSpaceDN w:val="0"/>
                    <w:adjustRightInd w:val="0"/>
                    <w:snapToGrid w:val="0"/>
                    <w:jc w:val="center"/>
                    <w:rPr>
                      <w:b/>
                      <w:bCs/>
                      <w:color w:val="auto"/>
                      <w:kern w:val="0"/>
                      <w:szCs w:val="21"/>
                    </w:rPr>
                  </w:pPr>
                  <w:r>
                    <w:rPr>
                      <w:b/>
                      <w:bCs/>
                      <w:color w:val="auto"/>
                      <w:kern w:val="0"/>
                      <w:szCs w:val="21"/>
                    </w:rPr>
                    <w:t>本项目情况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2" w:type="dxa"/>
                  <w:shd w:val="clear" w:color="auto" w:fill="auto"/>
                  <w:noWrap w:val="0"/>
                  <w:vAlign w:val="center"/>
                </w:tcPr>
                <w:p>
                  <w:pPr>
                    <w:autoSpaceDE w:val="0"/>
                    <w:autoSpaceDN w:val="0"/>
                    <w:adjustRightInd w:val="0"/>
                    <w:snapToGrid w:val="0"/>
                    <w:jc w:val="center"/>
                    <w:rPr>
                      <w:color w:val="auto"/>
                      <w:kern w:val="0"/>
                      <w:szCs w:val="21"/>
                    </w:rPr>
                  </w:pPr>
                  <w:r>
                    <w:rPr>
                      <w:color w:val="auto"/>
                      <w:kern w:val="0"/>
                      <w:szCs w:val="21"/>
                    </w:rPr>
                    <w:t>大气</w:t>
                  </w:r>
                </w:p>
              </w:tc>
              <w:tc>
                <w:tcPr>
                  <w:tcW w:w="4011" w:type="dxa"/>
                  <w:shd w:val="clear" w:color="auto" w:fill="auto"/>
                  <w:noWrap w:val="0"/>
                  <w:vAlign w:val="center"/>
                </w:tcPr>
                <w:p>
                  <w:pPr>
                    <w:autoSpaceDE w:val="0"/>
                    <w:autoSpaceDN w:val="0"/>
                    <w:adjustRightInd w:val="0"/>
                    <w:snapToGrid w:val="0"/>
                    <w:jc w:val="center"/>
                    <w:rPr>
                      <w:color w:val="auto"/>
                      <w:kern w:val="0"/>
                      <w:szCs w:val="21"/>
                    </w:rPr>
                  </w:pPr>
                  <w:r>
                    <w:rPr>
                      <w:color w:val="auto"/>
                      <w:kern w:val="0"/>
                      <w:szCs w:val="21"/>
                    </w:rPr>
                    <w:t>排放废气含有毒有害污染物</w:t>
                  </w:r>
                  <w:r>
                    <w:rPr>
                      <w:color w:val="auto"/>
                      <w:kern w:val="0"/>
                      <w:szCs w:val="21"/>
                      <w:vertAlign w:val="superscript"/>
                    </w:rPr>
                    <w:t>1</w:t>
                  </w:r>
                  <w:r>
                    <w:rPr>
                      <w:color w:val="auto"/>
                      <w:kern w:val="0"/>
                      <w:szCs w:val="21"/>
                    </w:rPr>
                    <w:t>、二噁英、苯并[a]芘、氰化物、氯气且厂界外500米范围内有环境空气保护目标</w:t>
                  </w:r>
                  <w:r>
                    <w:rPr>
                      <w:color w:val="auto"/>
                      <w:kern w:val="0"/>
                      <w:szCs w:val="21"/>
                      <w:vertAlign w:val="superscript"/>
                    </w:rPr>
                    <w:t>2</w:t>
                  </w:r>
                  <w:r>
                    <w:rPr>
                      <w:color w:val="auto"/>
                      <w:kern w:val="0"/>
                      <w:szCs w:val="21"/>
                    </w:rPr>
                    <w:t>的建设项目</w:t>
                  </w:r>
                </w:p>
              </w:tc>
              <w:tc>
                <w:tcPr>
                  <w:tcW w:w="2631" w:type="dxa"/>
                  <w:shd w:val="clear" w:color="auto" w:fill="auto"/>
                  <w:noWrap w:val="0"/>
                  <w:vAlign w:val="center"/>
                </w:tcPr>
                <w:p>
                  <w:pPr>
                    <w:autoSpaceDE w:val="0"/>
                    <w:autoSpaceDN w:val="0"/>
                    <w:adjustRightInd w:val="0"/>
                    <w:snapToGrid w:val="0"/>
                    <w:jc w:val="center"/>
                    <w:rPr>
                      <w:color w:val="auto"/>
                      <w:kern w:val="0"/>
                      <w:szCs w:val="21"/>
                    </w:rPr>
                  </w:pPr>
                  <w:r>
                    <w:rPr>
                      <w:color w:val="auto"/>
                      <w:kern w:val="0"/>
                      <w:szCs w:val="21"/>
                    </w:rPr>
                    <w:t>本项目废气排放含有苯并[a]芘，但厂界外500m范围内无环境空气保护目标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2" w:type="dxa"/>
                  <w:shd w:val="clear" w:color="auto" w:fill="auto"/>
                  <w:noWrap w:val="0"/>
                  <w:vAlign w:val="center"/>
                </w:tcPr>
                <w:p>
                  <w:pPr>
                    <w:autoSpaceDE w:val="0"/>
                    <w:autoSpaceDN w:val="0"/>
                    <w:adjustRightInd w:val="0"/>
                    <w:snapToGrid w:val="0"/>
                    <w:jc w:val="center"/>
                    <w:rPr>
                      <w:color w:val="auto"/>
                      <w:kern w:val="0"/>
                      <w:szCs w:val="21"/>
                    </w:rPr>
                  </w:pPr>
                  <w:r>
                    <w:rPr>
                      <w:color w:val="auto"/>
                      <w:kern w:val="0"/>
                      <w:szCs w:val="21"/>
                    </w:rPr>
                    <w:t>地表水</w:t>
                  </w:r>
                </w:p>
              </w:tc>
              <w:tc>
                <w:tcPr>
                  <w:tcW w:w="4011" w:type="dxa"/>
                  <w:shd w:val="clear" w:color="auto" w:fill="auto"/>
                  <w:noWrap w:val="0"/>
                  <w:vAlign w:val="center"/>
                </w:tcPr>
                <w:p>
                  <w:pPr>
                    <w:autoSpaceDE w:val="0"/>
                    <w:autoSpaceDN w:val="0"/>
                    <w:adjustRightInd w:val="0"/>
                    <w:snapToGrid w:val="0"/>
                    <w:rPr>
                      <w:color w:val="auto"/>
                      <w:kern w:val="0"/>
                      <w:szCs w:val="21"/>
                    </w:rPr>
                  </w:pPr>
                  <w:r>
                    <w:rPr>
                      <w:color w:val="auto"/>
                      <w:kern w:val="0"/>
                      <w:szCs w:val="21"/>
                    </w:rPr>
                    <w:t>新增工业废水直排建设项目（槽罐车外送污水处理厂的除外）；</w:t>
                  </w:r>
                </w:p>
                <w:p>
                  <w:pPr>
                    <w:autoSpaceDE w:val="0"/>
                    <w:autoSpaceDN w:val="0"/>
                    <w:adjustRightInd w:val="0"/>
                    <w:snapToGrid w:val="0"/>
                    <w:rPr>
                      <w:color w:val="auto"/>
                      <w:kern w:val="0"/>
                      <w:szCs w:val="21"/>
                    </w:rPr>
                  </w:pPr>
                  <w:r>
                    <w:rPr>
                      <w:color w:val="auto"/>
                      <w:kern w:val="0"/>
                      <w:szCs w:val="21"/>
                    </w:rPr>
                    <w:t>新增废水直排的污水集中处理厂</w:t>
                  </w:r>
                </w:p>
              </w:tc>
              <w:tc>
                <w:tcPr>
                  <w:tcW w:w="2631" w:type="dxa"/>
                  <w:shd w:val="clear" w:color="auto" w:fill="auto"/>
                  <w:noWrap w:val="0"/>
                  <w:vAlign w:val="center"/>
                </w:tcPr>
                <w:p>
                  <w:pPr>
                    <w:autoSpaceDE w:val="0"/>
                    <w:autoSpaceDN w:val="0"/>
                    <w:adjustRightInd w:val="0"/>
                    <w:snapToGrid w:val="0"/>
                    <w:jc w:val="center"/>
                    <w:rPr>
                      <w:color w:val="auto"/>
                      <w:kern w:val="0"/>
                      <w:szCs w:val="21"/>
                    </w:rPr>
                  </w:pPr>
                  <w:r>
                    <w:rPr>
                      <w:color w:val="auto"/>
                      <w:kern w:val="0"/>
                      <w:szCs w:val="21"/>
                    </w:rPr>
                    <w:t>本项目不涉及废水直排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2" w:type="dxa"/>
                  <w:shd w:val="clear" w:color="auto" w:fill="auto"/>
                  <w:noWrap w:val="0"/>
                  <w:vAlign w:val="center"/>
                </w:tcPr>
                <w:p>
                  <w:pPr>
                    <w:autoSpaceDE w:val="0"/>
                    <w:autoSpaceDN w:val="0"/>
                    <w:adjustRightInd w:val="0"/>
                    <w:snapToGrid w:val="0"/>
                    <w:jc w:val="center"/>
                    <w:rPr>
                      <w:color w:val="auto"/>
                      <w:kern w:val="0"/>
                      <w:szCs w:val="21"/>
                    </w:rPr>
                  </w:pPr>
                  <w:r>
                    <w:rPr>
                      <w:color w:val="auto"/>
                      <w:kern w:val="0"/>
                      <w:szCs w:val="21"/>
                    </w:rPr>
                    <w:t>环境风险</w:t>
                  </w:r>
                </w:p>
              </w:tc>
              <w:tc>
                <w:tcPr>
                  <w:tcW w:w="4011" w:type="dxa"/>
                  <w:shd w:val="clear" w:color="auto" w:fill="auto"/>
                  <w:noWrap w:val="0"/>
                  <w:vAlign w:val="center"/>
                </w:tcPr>
                <w:p>
                  <w:pPr>
                    <w:autoSpaceDE w:val="0"/>
                    <w:autoSpaceDN w:val="0"/>
                    <w:adjustRightInd w:val="0"/>
                    <w:snapToGrid w:val="0"/>
                    <w:jc w:val="center"/>
                    <w:rPr>
                      <w:color w:val="auto"/>
                      <w:kern w:val="0"/>
                      <w:szCs w:val="21"/>
                    </w:rPr>
                  </w:pPr>
                  <w:r>
                    <w:rPr>
                      <w:color w:val="auto"/>
                      <w:kern w:val="0"/>
                      <w:szCs w:val="21"/>
                    </w:rPr>
                    <w:t>有毒有害和易燃易爆危险物质存储量超过临界量</w:t>
                  </w:r>
                  <w:r>
                    <w:rPr>
                      <w:color w:val="auto"/>
                      <w:kern w:val="0"/>
                      <w:szCs w:val="21"/>
                      <w:vertAlign w:val="superscript"/>
                    </w:rPr>
                    <w:t>3</w:t>
                  </w:r>
                  <w:r>
                    <w:rPr>
                      <w:color w:val="auto"/>
                      <w:kern w:val="0"/>
                      <w:szCs w:val="21"/>
                    </w:rPr>
                    <w:t>的建设项目</w:t>
                  </w:r>
                </w:p>
              </w:tc>
              <w:tc>
                <w:tcPr>
                  <w:tcW w:w="2631" w:type="dxa"/>
                  <w:shd w:val="clear" w:color="auto" w:fill="auto"/>
                  <w:noWrap w:val="0"/>
                  <w:vAlign w:val="center"/>
                </w:tcPr>
                <w:p>
                  <w:pPr>
                    <w:autoSpaceDE w:val="0"/>
                    <w:autoSpaceDN w:val="0"/>
                    <w:adjustRightInd w:val="0"/>
                    <w:snapToGrid w:val="0"/>
                    <w:jc w:val="center"/>
                    <w:rPr>
                      <w:color w:val="auto"/>
                      <w:kern w:val="0"/>
                      <w:szCs w:val="21"/>
                    </w:rPr>
                  </w:pPr>
                  <w:r>
                    <w:rPr>
                      <w:color w:val="auto"/>
                      <w:kern w:val="0"/>
                      <w:szCs w:val="21"/>
                    </w:rPr>
                    <w:t>本项目有毒有害和易燃易爆危险物质存储量未超过临界量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2" w:type="dxa"/>
                  <w:shd w:val="clear" w:color="auto" w:fill="auto"/>
                  <w:noWrap w:val="0"/>
                  <w:vAlign w:val="center"/>
                </w:tcPr>
                <w:p>
                  <w:pPr>
                    <w:autoSpaceDE w:val="0"/>
                    <w:autoSpaceDN w:val="0"/>
                    <w:adjustRightInd w:val="0"/>
                    <w:snapToGrid w:val="0"/>
                    <w:jc w:val="center"/>
                    <w:rPr>
                      <w:color w:val="auto"/>
                      <w:kern w:val="0"/>
                      <w:szCs w:val="21"/>
                    </w:rPr>
                  </w:pPr>
                  <w:r>
                    <w:rPr>
                      <w:color w:val="auto"/>
                      <w:kern w:val="0"/>
                      <w:szCs w:val="21"/>
                    </w:rPr>
                    <w:t>生态</w:t>
                  </w:r>
                </w:p>
              </w:tc>
              <w:tc>
                <w:tcPr>
                  <w:tcW w:w="4011" w:type="dxa"/>
                  <w:shd w:val="clear" w:color="auto" w:fill="auto"/>
                  <w:noWrap w:val="0"/>
                  <w:vAlign w:val="center"/>
                </w:tcPr>
                <w:p>
                  <w:pPr>
                    <w:autoSpaceDE w:val="0"/>
                    <w:autoSpaceDN w:val="0"/>
                    <w:adjustRightInd w:val="0"/>
                    <w:snapToGrid w:val="0"/>
                    <w:jc w:val="center"/>
                    <w:rPr>
                      <w:color w:val="auto"/>
                      <w:kern w:val="0"/>
                      <w:szCs w:val="21"/>
                    </w:rPr>
                  </w:pPr>
                  <w:r>
                    <w:rPr>
                      <w:color w:val="auto"/>
                      <w:kern w:val="0"/>
                      <w:szCs w:val="21"/>
                    </w:rPr>
                    <w:t>取水口下游500米范围内有重要水生生物的自然产卵场、索饵场、越冬场和洄游通道的新增河道取水的污染类建设项目</w:t>
                  </w:r>
                </w:p>
              </w:tc>
              <w:tc>
                <w:tcPr>
                  <w:tcW w:w="2631" w:type="dxa"/>
                  <w:shd w:val="clear" w:color="auto" w:fill="auto"/>
                  <w:noWrap w:val="0"/>
                  <w:vAlign w:val="center"/>
                </w:tcPr>
                <w:p>
                  <w:pPr>
                    <w:autoSpaceDE w:val="0"/>
                    <w:autoSpaceDN w:val="0"/>
                    <w:adjustRightInd w:val="0"/>
                    <w:snapToGrid w:val="0"/>
                    <w:jc w:val="center"/>
                    <w:rPr>
                      <w:color w:val="auto"/>
                      <w:kern w:val="0"/>
                      <w:szCs w:val="21"/>
                    </w:rPr>
                  </w:pPr>
                  <w:r>
                    <w:rPr>
                      <w:color w:val="auto"/>
                      <w:kern w:val="0"/>
                      <w:szCs w:val="21"/>
                    </w:rPr>
                    <w:t>本项目不涉及取水口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2" w:type="dxa"/>
                  <w:shd w:val="clear" w:color="auto" w:fill="auto"/>
                  <w:noWrap w:val="0"/>
                  <w:vAlign w:val="center"/>
                </w:tcPr>
                <w:p>
                  <w:pPr>
                    <w:autoSpaceDE w:val="0"/>
                    <w:autoSpaceDN w:val="0"/>
                    <w:adjustRightInd w:val="0"/>
                    <w:snapToGrid w:val="0"/>
                    <w:jc w:val="center"/>
                    <w:rPr>
                      <w:color w:val="auto"/>
                      <w:kern w:val="0"/>
                      <w:szCs w:val="21"/>
                    </w:rPr>
                  </w:pPr>
                  <w:r>
                    <w:rPr>
                      <w:color w:val="auto"/>
                      <w:kern w:val="0"/>
                      <w:szCs w:val="21"/>
                    </w:rPr>
                    <w:t>海洋</w:t>
                  </w:r>
                </w:p>
              </w:tc>
              <w:tc>
                <w:tcPr>
                  <w:tcW w:w="4011" w:type="dxa"/>
                  <w:shd w:val="clear" w:color="auto" w:fill="auto"/>
                  <w:noWrap w:val="0"/>
                  <w:vAlign w:val="center"/>
                </w:tcPr>
                <w:p>
                  <w:pPr>
                    <w:autoSpaceDE w:val="0"/>
                    <w:autoSpaceDN w:val="0"/>
                    <w:adjustRightInd w:val="0"/>
                    <w:snapToGrid w:val="0"/>
                    <w:jc w:val="center"/>
                    <w:rPr>
                      <w:color w:val="auto"/>
                      <w:kern w:val="0"/>
                      <w:szCs w:val="21"/>
                    </w:rPr>
                  </w:pPr>
                  <w:r>
                    <w:rPr>
                      <w:color w:val="auto"/>
                      <w:kern w:val="0"/>
                      <w:szCs w:val="21"/>
                    </w:rPr>
                    <w:t>直接向海排放污染物的海洋工程建设项目</w:t>
                  </w:r>
                </w:p>
              </w:tc>
              <w:tc>
                <w:tcPr>
                  <w:tcW w:w="2631" w:type="dxa"/>
                  <w:shd w:val="clear" w:color="auto" w:fill="auto"/>
                  <w:noWrap w:val="0"/>
                  <w:vAlign w:val="center"/>
                </w:tcPr>
                <w:p>
                  <w:pPr>
                    <w:autoSpaceDE w:val="0"/>
                    <w:autoSpaceDN w:val="0"/>
                    <w:adjustRightInd w:val="0"/>
                    <w:snapToGrid w:val="0"/>
                    <w:jc w:val="center"/>
                    <w:rPr>
                      <w:color w:val="auto"/>
                      <w:kern w:val="0"/>
                      <w:szCs w:val="21"/>
                    </w:rPr>
                  </w:pPr>
                  <w:r>
                    <w:rPr>
                      <w:color w:val="auto"/>
                      <w:kern w:val="0"/>
                      <w:szCs w:val="21"/>
                    </w:rPr>
                    <w:t>本项目不涉及海洋工程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7724" w:type="dxa"/>
                  <w:gridSpan w:val="3"/>
                  <w:shd w:val="clear" w:color="auto" w:fill="auto"/>
                  <w:noWrap w:val="0"/>
                  <w:vAlign w:val="center"/>
                </w:tcPr>
                <w:p>
                  <w:pPr>
                    <w:autoSpaceDE w:val="0"/>
                    <w:autoSpaceDN w:val="0"/>
                    <w:adjustRightInd w:val="0"/>
                    <w:snapToGrid w:val="0"/>
                    <w:rPr>
                      <w:color w:val="auto"/>
                      <w:kern w:val="0"/>
                      <w:szCs w:val="21"/>
                    </w:rPr>
                  </w:pPr>
                  <w:r>
                    <w:rPr>
                      <w:color w:val="auto"/>
                      <w:kern w:val="0"/>
                      <w:szCs w:val="21"/>
                    </w:rPr>
                    <w:t>注：1.废气中有毒有害污染物指纳入《有毒有害大气污染物名录》的污染物（不包括无排放标准的污染物）。</w:t>
                  </w:r>
                </w:p>
                <w:p>
                  <w:pPr>
                    <w:autoSpaceDE w:val="0"/>
                    <w:autoSpaceDN w:val="0"/>
                    <w:adjustRightInd w:val="0"/>
                    <w:snapToGrid w:val="0"/>
                    <w:ind w:firstLine="420" w:firstLineChars="200"/>
                    <w:rPr>
                      <w:color w:val="auto"/>
                      <w:kern w:val="0"/>
                      <w:szCs w:val="21"/>
                    </w:rPr>
                  </w:pPr>
                  <w:r>
                    <w:rPr>
                      <w:color w:val="auto"/>
                      <w:kern w:val="0"/>
                      <w:szCs w:val="21"/>
                    </w:rPr>
                    <w:t>2.环境空气保护目标指自然保护区、风景名胜区、居住区、文化区和农村地区中人群较集中的区域。</w:t>
                  </w:r>
                </w:p>
                <w:p>
                  <w:pPr>
                    <w:autoSpaceDE w:val="0"/>
                    <w:autoSpaceDN w:val="0"/>
                    <w:adjustRightInd w:val="0"/>
                    <w:snapToGrid w:val="0"/>
                    <w:ind w:firstLine="420" w:firstLineChars="200"/>
                    <w:rPr>
                      <w:color w:val="auto"/>
                      <w:kern w:val="0"/>
                      <w:szCs w:val="21"/>
                    </w:rPr>
                  </w:pPr>
                  <w:r>
                    <w:rPr>
                      <w:color w:val="auto"/>
                      <w:kern w:val="0"/>
                      <w:szCs w:val="21"/>
                    </w:rPr>
                    <w:t>3.临界量及其计算方法可参考《建设项目环境风险评价技术导则》（HJ169）附录B、附录C。</w:t>
                  </w:r>
                </w:p>
              </w:tc>
            </w:tr>
          </w:tbl>
          <w:p>
            <w:pPr>
              <w:autoSpaceDE w:val="0"/>
              <w:autoSpaceDN w:val="0"/>
              <w:adjustRightInd w:val="0"/>
              <w:snapToGrid w:val="0"/>
              <w:jc w:val="center"/>
              <w:rPr>
                <w:color w:val="auto"/>
                <w:kern w:val="0"/>
                <w:sz w:val="24"/>
              </w:rPr>
            </w:pPr>
          </w:p>
          <w:p>
            <w:pPr>
              <w:autoSpaceDE w:val="0"/>
              <w:autoSpaceDN w:val="0"/>
              <w:snapToGrid w:val="0"/>
              <w:spacing w:line="360" w:lineRule="auto"/>
              <w:ind w:firstLine="480" w:firstLineChars="200"/>
              <w:rPr>
                <w:color w:val="auto"/>
                <w:kern w:val="0"/>
                <w:sz w:val="24"/>
              </w:rPr>
            </w:pPr>
            <w:r>
              <w:rPr>
                <w:color w:val="auto"/>
                <w:kern w:val="0"/>
                <w:sz w:val="24"/>
              </w:rPr>
              <w:t>根据上表可知，本项目无需开展专项评价。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904" w:type="pct"/>
            <w:noWrap w:val="0"/>
            <w:vAlign w:val="center"/>
          </w:tcPr>
          <w:p>
            <w:pPr>
              <w:autoSpaceDE w:val="0"/>
              <w:autoSpaceDN w:val="0"/>
              <w:adjustRightInd w:val="0"/>
              <w:snapToGrid w:val="0"/>
              <w:jc w:val="center"/>
              <w:rPr>
                <w:b/>
                <w:bCs/>
                <w:color w:val="auto"/>
                <w:kern w:val="0"/>
                <w:sz w:val="24"/>
              </w:rPr>
            </w:pPr>
            <w:r>
              <w:rPr>
                <w:b/>
                <w:bCs/>
                <w:color w:val="auto"/>
                <w:sz w:val="24"/>
              </w:rPr>
              <w:t>规划情况</w:t>
            </w:r>
          </w:p>
        </w:tc>
        <w:tc>
          <w:tcPr>
            <w:tcW w:w="4095" w:type="pct"/>
            <w:gridSpan w:val="3"/>
            <w:noWrap w:val="0"/>
            <w:vAlign w:val="center"/>
          </w:tcPr>
          <w:p>
            <w:pPr>
              <w:autoSpaceDE w:val="0"/>
              <w:autoSpaceDN w:val="0"/>
              <w:adjustRightInd w:val="0"/>
              <w:snapToGrid w:val="0"/>
              <w:jc w:val="center"/>
              <w:rPr>
                <w:color w:val="auto"/>
                <w:kern w:val="0"/>
                <w:sz w:val="24"/>
              </w:rPr>
            </w:pPr>
            <w:r>
              <w:rPr>
                <w:color w:val="auto"/>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904" w:type="pct"/>
            <w:noWrap w:val="0"/>
            <w:vAlign w:val="center"/>
          </w:tcPr>
          <w:p>
            <w:pPr>
              <w:adjustRightInd w:val="0"/>
              <w:snapToGrid w:val="0"/>
              <w:jc w:val="center"/>
              <w:rPr>
                <w:b/>
                <w:bCs/>
                <w:color w:val="auto"/>
                <w:sz w:val="24"/>
              </w:rPr>
            </w:pPr>
            <w:r>
              <w:rPr>
                <w:b/>
                <w:bCs/>
                <w:color w:val="auto"/>
                <w:sz w:val="24"/>
              </w:rPr>
              <w:t>规划环境影响</w:t>
            </w:r>
          </w:p>
          <w:p>
            <w:pPr>
              <w:adjustRightInd w:val="0"/>
              <w:snapToGrid w:val="0"/>
              <w:jc w:val="center"/>
              <w:rPr>
                <w:b/>
                <w:bCs/>
                <w:color w:val="auto"/>
                <w:kern w:val="0"/>
                <w:sz w:val="24"/>
              </w:rPr>
            </w:pPr>
            <w:r>
              <w:rPr>
                <w:b/>
                <w:bCs/>
                <w:color w:val="auto"/>
                <w:sz w:val="24"/>
              </w:rPr>
              <w:t>评价情况</w:t>
            </w:r>
          </w:p>
        </w:tc>
        <w:tc>
          <w:tcPr>
            <w:tcW w:w="4095" w:type="pct"/>
            <w:gridSpan w:val="3"/>
            <w:noWrap w:val="0"/>
            <w:vAlign w:val="center"/>
          </w:tcPr>
          <w:p>
            <w:pPr>
              <w:autoSpaceDE w:val="0"/>
              <w:autoSpaceDN w:val="0"/>
              <w:adjustRightInd w:val="0"/>
              <w:snapToGrid w:val="0"/>
              <w:jc w:val="center"/>
              <w:rPr>
                <w:color w:val="auto"/>
                <w:kern w:val="0"/>
                <w:sz w:val="24"/>
              </w:rPr>
            </w:pPr>
            <w:r>
              <w:rPr>
                <w:color w:val="auto"/>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904" w:type="pct"/>
            <w:noWrap w:val="0"/>
            <w:vAlign w:val="center"/>
          </w:tcPr>
          <w:p>
            <w:pPr>
              <w:autoSpaceDE w:val="0"/>
              <w:autoSpaceDN w:val="0"/>
              <w:adjustRightInd w:val="0"/>
              <w:snapToGrid w:val="0"/>
              <w:jc w:val="center"/>
              <w:rPr>
                <w:b/>
                <w:bCs/>
                <w:color w:val="auto"/>
                <w:kern w:val="0"/>
                <w:sz w:val="24"/>
              </w:rPr>
            </w:pPr>
            <w:r>
              <w:rPr>
                <w:b/>
                <w:bCs/>
                <w:color w:val="auto"/>
                <w:kern w:val="0"/>
                <w:sz w:val="24"/>
              </w:rPr>
              <w:t>规划及规划</w:t>
            </w:r>
          </w:p>
          <w:p>
            <w:pPr>
              <w:autoSpaceDE w:val="0"/>
              <w:autoSpaceDN w:val="0"/>
              <w:adjustRightInd w:val="0"/>
              <w:snapToGrid w:val="0"/>
              <w:jc w:val="center"/>
              <w:rPr>
                <w:b/>
                <w:bCs/>
                <w:color w:val="auto"/>
                <w:kern w:val="0"/>
                <w:sz w:val="24"/>
              </w:rPr>
            </w:pPr>
            <w:r>
              <w:rPr>
                <w:b/>
                <w:bCs/>
                <w:color w:val="auto"/>
                <w:kern w:val="0"/>
                <w:sz w:val="24"/>
              </w:rPr>
              <w:t>环境影响评价</w:t>
            </w:r>
          </w:p>
          <w:p>
            <w:pPr>
              <w:autoSpaceDE w:val="0"/>
              <w:autoSpaceDN w:val="0"/>
              <w:adjustRightInd w:val="0"/>
              <w:snapToGrid w:val="0"/>
              <w:jc w:val="center"/>
              <w:rPr>
                <w:b/>
                <w:bCs/>
                <w:color w:val="auto"/>
                <w:kern w:val="0"/>
                <w:sz w:val="24"/>
              </w:rPr>
            </w:pPr>
            <w:r>
              <w:rPr>
                <w:b/>
                <w:bCs/>
                <w:color w:val="auto"/>
                <w:kern w:val="0"/>
                <w:sz w:val="24"/>
              </w:rPr>
              <w:t>符合性分析</w:t>
            </w:r>
          </w:p>
        </w:tc>
        <w:tc>
          <w:tcPr>
            <w:tcW w:w="4095" w:type="pct"/>
            <w:gridSpan w:val="3"/>
            <w:noWrap w:val="0"/>
            <w:vAlign w:val="center"/>
          </w:tcPr>
          <w:p>
            <w:pPr>
              <w:autoSpaceDE w:val="0"/>
              <w:autoSpaceDN w:val="0"/>
              <w:adjustRightInd w:val="0"/>
              <w:snapToGrid w:val="0"/>
              <w:jc w:val="center"/>
              <w:rPr>
                <w:color w:val="auto"/>
                <w:kern w:val="0"/>
                <w:sz w:val="24"/>
              </w:rPr>
            </w:pPr>
            <w:r>
              <w:rPr>
                <w:color w:val="auto"/>
                <w:kern w:val="0"/>
                <w:sz w:val="24"/>
              </w:rPr>
              <w:t>无</w:t>
            </w:r>
          </w:p>
        </w:tc>
      </w:tr>
    </w:tbl>
    <w:p>
      <w:pPr>
        <w:spacing w:line="360" w:lineRule="auto"/>
        <w:outlineLvl w:val="0"/>
        <w:rPr>
          <w:rFonts w:eastAsia="黑体"/>
          <w:color w:val="auto"/>
          <w:sz w:val="30"/>
        </w:rPr>
        <w:sectPr>
          <w:footerReference r:id="rId3" w:type="default"/>
          <w:pgSz w:w="11906" w:h="16838"/>
          <w:pgMar w:top="1440" w:right="1083" w:bottom="1440" w:left="1083" w:header="851" w:footer="1077" w:gutter="0"/>
          <w:pgNumType w:start="1"/>
          <w:cols w:space="720" w:num="1"/>
          <w:docGrid w:linePitch="312" w:charSpace="0"/>
        </w:sectPr>
      </w:pPr>
    </w:p>
    <w:tbl>
      <w:tblPr>
        <w:tblStyle w:val="8"/>
        <w:tblW w:w="489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6"/>
        <w:gridCol w:w="92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75" w:type="pct"/>
            <w:noWrap w:val="0"/>
            <w:vAlign w:val="center"/>
          </w:tcPr>
          <w:p>
            <w:pPr>
              <w:autoSpaceDE w:val="0"/>
              <w:autoSpaceDN w:val="0"/>
              <w:adjustRightInd w:val="0"/>
              <w:snapToGrid w:val="0"/>
              <w:jc w:val="center"/>
              <w:rPr>
                <w:b/>
                <w:bCs/>
                <w:color w:val="auto"/>
                <w:kern w:val="0"/>
                <w:sz w:val="24"/>
              </w:rPr>
            </w:pPr>
            <w:r>
              <w:rPr>
                <w:b/>
                <w:bCs/>
                <w:color w:val="auto"/>
                <w:kern w:val="0"/>
                <w:sz w:val="24"/>
              </w:rPr>
              <w:t>其他符合性分析</w:t>
            </w:r>
          </w:p>
        </w:tc>
        <w:tc>
          <w:tcPr>
            <w:tcW w:w="4724" w:type="pct"/>
            <w:noWrap w:val="0"/>
            <w:vAlign w:val="center"/>
          </w:tcPr>
          <w:p>
            <w:pPr>
              <w:autoSpaceDE w:val="0"/>
              <w:autoSpaceDN w:val="0"/>
              <w:adjustRightInd w:val="0"/>
              <w:snapToGrid w:val="0"/>
              <w:spacing w:line="360" w:lineRule="auto"/>
              <w:ind w:firstLine="482" w:firstLineChars="200"/>
              <w:rPr>
                <w:b/>
                <w:bCs/>
                <w:color w:val="auto"/>
                <w:kern w:val="0"/>
                <w:sz w:val="24"/>
              </w:rPr>
            </w:pPr>
            <w:r>
              <w:rPr>
                <w:b/>
                <w:bCs/>
                <w:color w:val="auto"/>
                <w:kern w:val="0"/>
                <w:sz w:val="24"/>
              </w:rPr>
              <w:t>1、产业政策相符性及选址可行性分析</w:t>
            </w:r>
          </w:p>
          <w:p>
            <w:pPr>
              <w:autoSpaceDE w:val="0"/>
              <w:autoSpaceDN w:val="0"/>
              <w:adjustRightInd w:val="0"/>
              <w:snapToGrid w:val="0"/>
              <w:spacing w:line="360" w:lineRule="auto"/>
              <w:ind w:firstLine="480" w:firstLineChars="200"/>
              <w:rPr>
                <w:color w:val="auto"/>
                <w:kern w:val="0"/>
                <w:sz w:val="24"/>
              </w:rPr>
            </w:pPr>
            <w:r>
              <w:rPr>
                <w:color w:val="auto"/>
                <w:kern w:val="0"/>
                <w:sz w:val="24"/>
              </w:rPr>
              <w:t>（1）产业政策符合性分析</w:t>
            </w:r>
          </w:p>
          <w:p>
            <w:pPr>
              <w:autoSpaceDE w:val="0"/>
              <w:autoSpaceDN w:val="0"/>
              <w:adjustRightInd w:val="0"/>
              <w:snapToGrid w:val="0"/>
              <w:spacing w:line="360" w:lineRule="auto"/>
              <w:ind w:firstLine="480" w:firstLineChars="200"/>
              <w:rPr>
                <w:color w:val="auto"/>
                <w:kern w:val="0"/>
                <w:sz w:val="24"/>
              </w:rPr>
            </w:pPr>
            <w:r>
              <w:rPr>
                <w:color w:val="auto"/>
                <w:kern w:val="0"/>
                <w:sz w:val="24"/>
              </w:rPr>
              <w:t>本项目属于其他非金属矿物制品制造，行业类别及所使用的原材料、生产设备、生产工艺均不属于《产业结构调整指导目录（2019年本）》中的鼓励类，也不属于其中的限制类和淘汰类，可视为允许类；本项目也不属于《国家发展改革委商务部关于印发&lt;市场准入负面清单（2020年版）&gt;的通知》（发改体改〔2020〕1880号）中的限制类和淘汰类项目；同时，本项目已取得了宁都县行政审批局出具的备案通知书（详见附件2），项目代码为2304-360730-04-01-775748。</w:t>
            </w:r>
          </w:p>
          <w:p>
            <w:pPr>
              <w:autoSpaceDE w:val="0"/>
              <w:autoSpaceDN w:val="0"/>
              <w:adjustRightInd w:val="0"/>
              <w:snapToGrid w:val="0"/>
              <w:spacing w:line="360" w:lineRule="auto"/>
              <w:ind w:firstLine="480" w:firstLineChars="200"/>
              <w:rPr>
                <w:color w:val="auto"/>
                <w:kern w:val="0"/>
                <w:sz w:val="24"/>
              </w:rPr>
            </w:pPr>
            <w:r>
              <w:rPr>
                <w:color w:val="auto"/>
                <w:kern w:val="0"/>
                <w:sz w:val="24"/>
              </w:rPr>
              <w:t>因此，本项目符合国家及地方的产业政策要求。</w:t>
            </w:r>
          </w:p>
          <w:p>
            <w:pPr>
              <w:autoSpaceDE w:val="0"/>
              <w:autoSpaceDN w:val="0"/>
              <w:adjustRightInd w:val="0"/>
              <w:snapToGrid w:val="0"/>
              <w:spacing w:line="360" w:lineRule="auto"/>
              <w:ind w:firstLine="480" w:firstLineChars="200"/>
              <w:rPr>
                <w:color w:val="auto"/>
                <w:kern w:val="0"/>
                <w:sz w:val="24"/>
              </w:rPr>
            </w:pPr>
            <w:r>
              <w:rPr>
                <w:color w:val="auto"/>
                <w:kern w:val="0"/>
                <w:sz w:val="24"/>
              </w:rPr>
              <w:t>（2）选址可行性分析</w:t>
            </w:r>
          </w:p>
          <w:p>
            <w:pPr>
              <w:autoSpaceDE w:val="0"/>
              <w:autoSpaceDN w:val="0"/>
              <w:adjustRightInd w:val="0"/>
              <w:snapToGrid w:val="0"/>
              <w:spacing w:line="360" w:lineRule="auto"/>
              <w:ind w:firstLine="480" w:firstLineChars="200"/>
              <w:rPr>
                <w:color w:val="auto"/>
                <w:kern w:val="0"/>
                <w:sz w:val="24"/>
              </w:rPr>
            </w:pPr>
            <w:r>
              <w:rPr>
                <w:color w:val="auto"/>
                <w:kern w:val="0"/>
                <w:sz w:val="24"/>
              </w:rPr>
              <w:t>建设单位租用江西省赣州市宁都县赖村镇邮村村崠子小组小间坑村民的林地建设本项目，根据《关于发布实施&lt;限制用地项目目录（2012年本）&gt;和&lt;禁止用地项目目录（2012年本）&gt;的通知》（国土资发〔2012〕98号）的相关要求，所用地不属于限制及禁止用地项目的范畴；根据赣州市宁都生态环境局、宁都县自然资源局和宁都县林业局出具的选址意见书（详见附件4），本项目所在地不涉及自然保护区、公益林、天然林保护工程、森林公园、湿地公园、风景名胜区、基本农田、生态保护红线；同时，根据分析，本项目在施工及运营工程中，在严格落实本次评价提出环境保护措施下，可使废气、噪声达标排放，废水、固废得到妥善治理、处置，环境风险可控，即环境影响可接受。</w:t>
            </w:r>
          </w:p>
          <w:p>
            <w:pPr>
              <w:autoSpaceDE w:val="0"/>
              <w:autoSpaceDN w:val="0"/>
              <w:adjustRightInd w:val="0"/>
              <w:snapToGrid w:val="0"/>
              <w:spacing w:line="360" w:lineRule="auto"/>
              <w:ind w:firstLine="480" w:firstLineChars="200"/>
              <w:rPr>
                <w:color w:val="auto"/>
                <w:kern w:val="0"/>
                <w:sz w:val="24"/>
              </w:rPr>
            </w:pPr>
            <w:r>
              <w:rPr>
                <w:color w:val="auto"/>
                <w:kern w:val="0"/>
                <w:sz w:val="24"/>
              </w:rPr>
              <w:t>因此，本项目的选址可行。</w:t>
            </w:r>
          </w:p>
          <w:p>
            <w:pPr>
              <w:autoSpaceDE w:val="0"/>
              <w:autoSpaceDN w:val="0"/>
              <w:adjustRightInd w:val="0"/>
              <w:snapToGrid w:val="0"/>
              <w:spacing w:line="360" w:lineRule="auto"/>
              <w:ind w:firstLine="482" w:firstLineChars="200"/>
              <w:rPr>
                <w:b/>
                <w:bCs/>
                <w:color w:val="auto"/>
                <w:kern w:val="0"/>
                <w:sz w:val="24"/>
              </w:rPr>
            </w:pPr>
            <w:r>
              <w:rPr>
                <w:b/>
                <w:bCs/>
                <w:color w:val="auto"/>
                <w:kern w:val="0"/>
                <w:sz w:val="24"/>
              </w:rPr>
              <w:t>2、与《赣州市“三线一单”生态环境分区管控方案》（赣市府字〔2020〕95号）的符合性分析</w:t>
            </w:r>
          </w:p>
          <w:p>
            <w:pPr>
              <w:autoSpaceDE w:val="0"/>
              <w:autoSpaceDN w:val="0"/>
              <w:adjustRightInd w:val="0"/>
              <w:snapToGrid w:val="0"/>
              <w:spacing w:line="360" w:lineRule="auto"/>
              <w:ind w:firstLine="480" w:firstLineChars="200"/>
              <w:rPr>
                <w:color w:val="auto"/>
                <w:kern w:val="0"/>
                <w:sz w:val="24"/>
              </w:rPr>
            </w:pPr>
            <w:r>
              <w:rPr>
                <w:color w:val="auto"/>
                <w:kern w:val="0"/>
                <w:sz w:val="24"/>
              </w:rPr>
              <w:t>2020年12月31日，赣州市人民政府发布《赣州市“三线一单”生态环境分区管控方案》（赣市府字〔2020〕95号），方案指出：坚持生态优先，绿色发展，以改善环境质量为核心，以生态保护红线、环境质量底线、资源利用上线为基础，通过划分环境综合管控单元，制定环境综合管控单元生态环境准入清单，把生态环境管控要求落实到具体管控单元，建立覆盖全市的生态环境分区管控体系。</w:t>
            </w:r>
          </w:p>
          <w:p>
            <w:pPr>
              <w:autoSpaceDE w:val="0"/>
              <w:autoSpaceDN w:val="0"/>
              <w:adjustRightInd w:val="0"/>
              <w:snapToGrid w:val="0"/>
              <w:spacing w:line="360" w:lineRule="auto"/>
              <w:ind w:firstLine="480" w:firstLineChars="200"/>
              <w:rPr>
                <w:color w:val="auto"/>
                <w:kern w:val="0"/>
                <w:sz w:val="24"/>
              </w:rPr>
            </w:pPr>
            <w:r>
              <w:rPr>
                <w:color w:val="auto"/>
                <w:kern w:val="0"/>
                <w:sz w:val="24"/>
              </w:rPr>
              <w:t>方案从生态环境保护角度，将全市行政区域划分为优先保护、重点管控和一般管控三类环境管控单元共232个。本项目位于</w:t>
            </w:r>
            <w:r>
              <w:rPr>
                <w:color w:val="auto"/>
                <w:sz w:val="24"/>
              </w:rPr>
              <w:t>江西省赣州市宁都县赖村镇邮村村崠子小组小间坑，</w:t>
            </w:r>
            <w:r>
              <w:rPr>
                <w:color w:val="auto"/>
                <w:kern w:val="0"/>
                <w:sz w:val="24"/>
              </w:rPr>
              <w:t>属于“江西省赣州市宁都县一般管控单元4”，环境管控单元编码为ZH36073030004。</w:t>
            </w:r>
          </w:p>
          <w:p>
            <w:pPr>
              <w:autoSpaceDE w:val="0"/>
              <w:autoSpaceDN w:val="0"/>
              <w:adjustRightInd w:val="0"/>
              <w:snapToGrid w:val="0"/>
              <w:spacing w:line="360" w:lineRule="auto"/>
              <w:ind w:firstLine="480" w:firstLineChars="200"/>
              <w:rPr>
                <w:color w:val="auto"/>
                <w:kern w:val="0"/>
                <w:sz w:val="24"/>
              </w:rPr>
            </w:pPr>
            <w:r>
              <w:rPr>
                <w:color w:val="auto"/>
                <w:kern w:val="0"/>
                <w:sz w:val="24"/>
              </w:rPr>
              <w:t>本项目与赣市府字〔2020〕95号相符性分析见下表：</w:t>
            </w:r>
          </w:p>
          <w:p>
            <w:pPr>
              <w:spacing w:before="24" w:after="24"/>
              <w:ind w:firstLine="480"/>
              <w:jc w:val="center"/>
              <w:outlineLvl w:val="1"/>
              <w:rPr>
                <w:b/>
                <w:bCs/>
                <w:color w:val="auto"/>
                <w:sz w:val="24"/>
                <w:szCs w:val="32"/>
              </w:rPr>
            </w:pPr>
            <w:r>
              <w:rPr>
                <w:b/>
                <w:bCs/>
                <w:color w:val="auto"/>
                <w:sz w:val="24"/>
                <w:szCs w:val="32"/>
              </w:rPr>
              <w:t>表1-2  与赣市府字〔2020〕95号文的相符性分析</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04"/>
              <w:gridCol w:w="5628"/>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2568" w:type="dxa"/>
                  <w:noWrap w:val="0"/>
                  <w:vAlign w:val="center"/>
                </w:tcPr>
                <w:p>
                  <w:pPr>
                    <w:adjustRightInd w:val="0"/>
                    <w:snapToGrid w:val="0"/>
                    <w:jc w:val="center"/>
                    <w:rPr>
                      <w:b/>
                      <w:bCs/>
                      <w:color w:val="auto"/>
                      <w:szCs w:val="21"/>
                    </w:rPr>
                  </w:pPr>
                  <w:r>
                    <w:rPr>
                      <w:b/>
                      <w:bCs/>
                      <w:color w:val="auto"/>
                      <w:szCs w:val="21"/>
                    </w:rPr>
                    <w:t>文件要求</w:t>
                  </w:r>
                </w:p>
              </w:tc>
              <w:tc>
                <w:tcPr>
                  <w:tcW w:w="5345" w:type="dxa"/>
                  <w:noWrap w:val="0"/>
                  <w:vAlign w:val="center"/>
                </w:tcPr>
                <w:p>
                  <w:pPr>
                    <w:adjustRightInd w:val="0"/>
                    <w:snapToGrid w:val="0"/>
                    <w:jc w:val="center"/>
                    <w:rPr>
                      <w:b/>
                      <w:bCs/>
                      <w:color w:val="auto"/>
                      <w:szCs w:val="21"/>
                    </w:rPr>
                  </w:pPr>
                  <w:r>
                    <w:rPr>
                      <w:b/>
                      <w:bCs/>
                      <w:color w:val="auto"/>
                      <w:szCs w:val="21"/>
                    </w:rPr>
                    <w:t>本项目情况</w:t>
                  </w:r>
                </w:p>
              </w:tc>
              <w:tc>
                <w:tcPr>
                  <w:tcW w:w="614" w:type="dxa"/>
                  <w:noWrap w:val="0"/>
                  <w:vAlign w:val="center"/>
                </w:tcPr>
                <w:p>
                  <w:pPr>
                    <w:adjustRightInd w:val="0"/>
                    <w:snapToGrid w:val="0"/>
                    <w:jc w:val="center"/>
                    <w:rPr>
                      <w:b/>
                      <w:bCs/>
                      <w:color w:val="auto"/>
                      <w:szCs w:val="21"/>
                    </w:rPr>
                  </w:pPr>
                  <w:r>
                    <w:rPr>
                      <w:b/>
                      <w:bCs/>
                      <w:color w:val="auto"/>
                      <w:szCs w:val="21"/>
                    </w:rPr>
                    <w:t>是否</w:t>
                  </w:r>
                </w:p>
                <w:p>
                  <w:pPr>
                    <w:adjustRightInd w:val="0"/>
                    <w:snapToGrid w:val="0"/>
                    <w:jc w:val="center"/>
                    <w:rPr>
                      <w:b/>
                      <w:bCs/>
                      <w:color w:val="auto"/>
                      <w:szCs w:val="21"/>
                    </w:rPr>
                  </w:pPr>
                  <w:r>
                    <w:rPr>
                      <w:b/>
                      <w:bCs/>
                      <w:color w:val="auto"/>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2568" w:type="dxa"/>
                  <w:noWrap w:val="0"/>
                  <w:vAlign w:val="center"/>
                </w:tcPr>
                <w:p>
                  <w:pPr>
                    <w:adjustRightInd w:val="0"/>
                    <w:snapToGrid w:val="0"/>
                    <w:jc w:val="center"/>
                    <w:rPr>
                      <w:color w:val="auto"/>
                      <w:szCs w:val="21"/>
                    </w:rPr>
                  </w:pPr>
                  <w:r>
                    <w:rPr>
                      <w:color w:val="auto"/>
                      <w:szCs w:val="21"/>
                    </w:rPr>
                    <w:t>重点管控单元应优化空间和产业布局，结合生态环境质量达标情况以及经济社会发展水平等，按照差别化的生态环境准入要求，加强污染物排放控制和环境风险防控，不断提升资源利用效率，稳步改善生态环境质量。</w:t>
                  </w:r>
                </w:p>
              </w:tc>
              <w:tc>
                <w:tcPr>
                  <w:tcW w:w="5345" w:type="dxa"/>
                  <w:noWrap w:val="0"/>
                  <w:vAlign w:val="center"/>
                </w:tcPr>
                <w:p>
                  <w:pPr>
                    <w:adjustRightInd w:val="0"/>
                    <w:snapToGrid w:val="0"/>
                    <w:ind w:firstLine="420" w:firstLineChars="200"/>
                    <w:rPr>
                      <w:color w:val="auto"/>
                      <w:szCs w:val="21"/>
                    </w:rPr>
                  </w:pPr>
                  <w:r>
                    <w:rPr>
                      <w:color w:val="auto"/>
                      <w:szCs w:val="21"/>
                    </w:rPr>
                    <w:t>（1）根据后文的环境现状调查可知，本项目区域环境质量现状较好，具有一定的环境容量。</w:t>
                  </w:r>
                </w:p>
                <w:p>
                  <w:pPr>
                    <w:adjustRightInd w:val="0"/>
                    <w:snapToGrid w:val="0"/>
                    <w:ind w:firstLine="420" w:firstLineChars="200"/>
                    <w:rPr>
                      <w:color w:val="auto"/>
                      <w:szCs w:val="21"/>
                    </w:rPr>
                  </w:pPr>
                  <w:r>
                    <w:rPr>
                      <w:color w:val="auto"/>
                      <w:szCs w:val="21"/>
                    </w:rPr>
                    <w:t>（2）根据后文的环境影响和保护措施分析可知，本项目三废均能有效处理，建成运营后，不会改变项目所在区域的环境质量。</w:t>
                  </w:r>
                </w:p>
                <w:p>
                  <w:pPr>
                    <w:adjustRightInd w:val="0"/>
                    <w:snapToGrid w:val="0"/>
                    <w:ind w:firstLine="420" w:firstLineChars="200"/>
                    <w:rPr>
                      <w:color w:val="auto"/>
                      <w:szCs w:val="21"/>
                    </w:rPr>
                  </w:pPr>
                  <w:r>
                    <w:rPr>
                      <w:color w:val="auto"/>
                      <w:szCs w:val="21"/>
                    </w:rPr>
                    <w:t>（3）本项目将通过内部管理、设备选择、原辅材料选用和生产管理、污染治理等措施，实现“节能、降耗、减污”。</w:t>
                  </w:r>
                </w:p>
              </w:tc>
              <w:tc>
                <w:tcPr>
                  <w:tcW w:w="614" w:type="dxa"/>
                  <w:noWrap w:val="0"/>
                  <w:vAlign w:val="center"/>
                </w:tcPr>
                <w:p>
                  <w:pPr>
                    <w:adjustRightInd w:val="0"/>
                    <w:snapToGrid w:val="0"/>
                    <w:jc w:val="center"/>
                    <w:rPr>
                      <w:color w:val="auto"/>
                      <w:szCs w:val="21"/>
                    </w:rPr>
                  </w:pPr>
                  <w:r>
                    <w:rPr>
                      <w:color w:val="auto"/>
                      <w:szCs w:val="21"/>
                    </w:rPr>
                    <w:t>符合</w:t>
                  </w:r>
                </w:p>
              </w:tc>
            </w:tr>
          </w:tbl>
          <w:p>
            <w:pPr>
              <w:ind w:firstLine="480" w:firstLineChars="200"/>
              <w:rPr>
                <w:color w:val="auto"/>
                <w:sz w:val="24"/>
              </w:rPr>
            </w:pPr>
          </w:p>
          <w:p>
            <w:pPr>
              <w:spacing w:line="360" w:lineRule="auto"/>
              <w:ind w:firstLine="480" w:firstLineChars="200"/>
              <w:rPr>
                <w:color w:val="auto"/>
                <w:sz w:val="24"/>
              </w:rPr>
            </w:pPr>
            <w:r>
              <w:rPr>
                <w:color w:val="auto"/>
                <w:sz w:val="24"/>
              </w:rPr>
              <w:t>根据上表可知，本项目符合《赣州市“三线一单”生态环境分区管控方案》</w:t>
            </w:r>
            <w:r>
              <w:rPr>
                <w:color w:val="auto"/>
                <w:kern w:val="0"/>
                <w:sz w:val="24"/>
              </w:rPr>
              <w:t>（赣市府字〔2020〕95号）中</w:t>
            </w:r>
            <w:r>
              <w:rPr>
                <w:color w:val="auto"/>
                <w:sz w:val="24"/>
              </w:rPr>
              <w:t>的要求。</w:t>
            </w:r>
          </w:p>
          <w:p>
            <w:pPr>
              <w:spacing w:line="360" w:lineRule="auto"/>
              <w:ind w:firstLine="480" w:firstLineChars="200"/>
              <w:rPr>
                <w:color w:val="auto"/>
                <w:sz w:val="32"/>
                <w:szCs w:val="32"/>
              </w:rPr>
            </w:pPr>
            <w:r>
              <w:rPr>
                <w:color w:val="auto"/>
                <w:sz w:val="24"/>
              </w:rPr>
              <w:t>（1）与生态保护红线的相符性分析</w:t>
            </w:r>
          </w:p>
          <w:p>
            <w:pPr>
              <w:spacing w:line="360" w:lineRule="auto"/>
              <w:ind w:firstLine="480" w:firstLineChars="200"/>
              <w:rPr>
                <w:color w:val="auto"/>
                <w:sz w:val="24"/>
              </w:rPr>
            </w:pPr>
            <w:r>
              <w:rPr>
                <w:color w:val="auto"/>
                <w:sz w:val="24"/>
              </w:rPr>
              <w:t>本项目位于江西省赣州市宁都县赖村镇邮村村崠子小组小间坑，对照“宁都县生态保护红线划定范围图”（详见附图三），不涉及生态红线；同时，根据赣州市宁都生态环境局和宁都县自然资源局出具的选址意见书，本项目不涉及生态保护红线，因此，本项目符合生态保护红线要求。</w:t>
            </w:r>
          </w:p>
          <w:p>
            <w:pPr>
              <w:spacing w:line="360" w:lineRule="auto"/>
              <w:ind w:firstLine="480" w:firstLineChars="200"/>
              <w:rPr>
                <w:color w:val="auto"/>
                <w:sz w:val="24"/>
              </w:rPr>
            </w:pPr>
            <w:r>
              <w:rPr>
                <w:color w:val="auto"/>
                <w:sz w:val="24"/>
              </w:rPr>
              <w:t>（2）与环境质量底线的相符性分析</w:t>
            </w:r>
          </w:p>
          <w:p>
            <w:pPr>
              <w:spacing w:line="360" w:lineRule="auto"/>
              <w:ind w:firstLine="480" w:firstLineChars="200"/>
              <w:rPr>
                <w:color w:val="auto"/>
                <w:sz w:val="24"/>
              </w:rPr>
            </w:pPr>
            <w:r>
              <w:rPr>
                <w:color w:val="auto"/>
                <w:sz w:val="24"/>
              </w:rPr>
              <w:t>根据《长江经济带战略环境评价江西省“三线一单”研究报告》、《长江经济带战略环境评价江西省赣州市“三线一单”划定技术报告》，宁都县大气环境质量底线、水环境质量底线目标如下：</w:t>
            </w:r>
          </w:p>
          <w:p>
            <w:pPr>
              <w:jc w:val="center"/>
              <w:rPr>
                <w:b/>
                <w:bCs/>
                <w:color w:val="auto"/>
                <w:sz w:val="24"/>
              </w:rPr>
            </w:pPr>
            <w:r>
              <w:rPr>
                <w:b/>
                <w:bCs/>
                <w:color w:val="auto"/>
                <w:sz w:val="24"/>
              </w:rPr>
              <w:t>表1-3  宁都县环境质量底线目标</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1159"/>
              <w:gridCol w:w="1703"/>
              <w:gridCol w:w="1266"/>
              <w:gridCol w:w="1494"/>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2627" w:type="pct"/>
                  <w:gridSpan w:val="3"/>
                  <w:shd w:val="clear" w:color="auto" w:fill="auto"/>
                  <w:noWrap w:val="0"/>
                  <w:vAlign w:val="center"/>
                </w:tcPr>
                <w:p>
                  <w:pPr>
                    <w:snapToGrid w:val="0"/>
                    <w:jc w:val="center"/>
                    <w:rPr>
                      <w:b/>
                      <w:bCs/>
                      <w:color w:val="auto"/>
                      <w:szCs w:val="21"/>
                    </w:rPr>
                  </w:pPr>
                  <w:r>
                    <w:rPr>
                      <w:b/>
                      <w:bCs/>
                      <w:color w:val="auto"/>
                      <w:szCs w:val="21"/>
                    </w:rPr>
                    <w:t>环境质量底线要求</w:t>
                  </w:r>
                </w:p>
              </w:tc>
              <w:tc>
                <w:tcPr>
                  <w:tcW w:w="705" w:type="pct"/>
                  <w:shd w:val="clear" w:color="auto" w:fill="auto"/>
                  <w:noWrap w:val="0"/>
                  <w:vAlign w:val="center"/>
                </w:tcPr>
                <w:p>
                  <w:pPr>
                    <w:snapToGrid w:val="0"/>
                    <w:jc w:val="center"/>
                    <w:rPr>
                      <w:b/>
                      <w:bCs/>
                      <w:color w:val="auto"/>
                      <w:szCs w:val="21"/>
                    </w:rPr>
                  </w:pPr>
                  <w:r>
                    <w:rPr>
                      <w:b/>
                      <w:bCs/>
                      <w:color w:val="auto"/>
                      <w:szCs w:val="21"/>
                    </w:rPr>
                    <w:t>2020年</w:t>
                  </w:r>
                </w:p>
              </w:tc>
              <w:tc>
                <w:tcPr>
                  <w:tcW w:w="832" w:type="pct"/>
                  <w:shd w:val="clear" w:color="auto" w:fill="auto"/>
                  <w:noWrap w:val="0"/>
                  <w:vAlign w:val="center"/>
                </w:tcPr>
                <w:p>
                  <w:pPr>
                    <w:snapToGrid w:val="0"/>
                    <w:jc w:val="center"/>
                    <w:rPr>
                      <w:b/>
                      <w:bCs/>
                      <w:color w:val="auto"/>
                      <w:szCs w:val="21"/>
                    </w:rPr>
                  </w:pPr>
                  <w:r>
                    <w:rPr>
                      <w:b/>
                      <w:bCs/>
                      <w:color w:val="auto"/>
                      <w:szCs w:val="21"/>
                    </w:rPr>
                    <w:t>2025年</w:t>
                  </w:r>
                </w:p>
              </w:tc>
              <w:tc>
                <w:tcPr>
                  <w:tcW w:w="834" w:type="pct"/>
                  <w:shd w:val="clear" w:color="auto" w:fill="auto"/>
                  <w:noWrap w:val="0"/>
                  <w:vAlign w:val="center"/>
                </w:tcPr>
                <w:p>
                  <w:pPr>
                    <w:snapToGrid w:val="0"/>
                    <w:jc w:val="center"/>
                    <w:rPr>
                      <w:b/>
                      <w:bCs/>
                      <w:color w:val="auto"/>
                      <w:szCs w:val="21"/>
                    </w:rPr>
                  </w:pPr>
                  <w:r>
                    <w:rPr>
                      <w:b/>
                      <w:bCs/>
                      <w:color w:val="auto"/>
                      <w:szCs w:val="21"/>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34" w:type="pct"/>
                  <w:vMerge w:val="restart"/>
                  <w:shd w:val="clear" w:color="auto" w:fill="auto"/>
                  <w:noWrap w:val="0"/>
                  <w:vAlign w:val="center"/>
                </w:tcPr>
                <w:p>
                  <w:pPr>
                    <w:snapToGrid w:val="0"/>
                    <w:jc w:val="center"/>
                    <w:rPr>
                      <w:color w:val="auto"/>
                      <w:szCs w:val="21"/>
                    </w:rPr>
                  </w:pPr>
                  <w:r>
                    <w:rPr>
                      <w:color w:val="auto"/>
                      <w:szCs w:val="21"/>
                    </w:rPr>
                    <w:t>大气环境质量底线</w:t>
                  </w:r>
                </w:p>
              </w:tc>
              <w:tc>
                <w:tcPr>
                  <w:tcW w:w="1592" w:type="pct"/>
                  <w:gridSpan w:val="2"/>
                  <w:shd w:val="clear" w:color="auto" w:fill="auto"/>
                  <w:noWrap w:val="0"/>
                  <w:vAlign w:val="center"/>
                </w:tcPr>
                <w:p>
                  <w:pPr>
                    <w:snapToGrid w:val="0"/>
                    <w:jc w:val="center"/>
                    <w:rPr>
                      <w:color w:val="auto"/>
                      <w:szCs w:val="21"/>
                    </w:rPr>
                  </w:pPr>
                  <w:r>
                    <w:rPr>
                      <w:color w:val="auto"/>
                      <w:szCs w:val="21"/>
                    </w:rPr>
                    <w:t>PM</w:t>
                  </w:r>
                  <w:r>
                    <w:rPr>
                      <w:color w:val="auto"/>
                      <w:szCs w:val="21"/>
                      <w:vertAlign w:val="subscript"/>
                    </w:rPr>
                    <w:t>2.5</w:t>
                  </w:r>
                  <w:r>
                    <w:rPr>
                      <w:color w:val="auto"/>
                      <w:szCs w:val="21"/>
                    </w:rPr>
                    <w:t>浓度目标（μg/m</w:t>
                  </w:r>
                  <w:r>
                    <w:rPr>
                      <w:color w:val="auto"/>
                      <w:szCs w:val="21"/>
                      <w:vertAlign w:val="superscript"/>
                    </w:rPr>
                    <w:t>3</w:t>
                  </w:r>
                  <w:r>
                    <w:rPr>
                      <w:color w:val="auto"/>
                      <w:szCs w:val="21"/>
                    </w:rPr>
                    <w:t>）</w:t>
                  </w:r>
                </w:p>
              </w:tc>
              <w:tc>
                <w:tcPr>
                  <w:tcW w:w="705" w:type="pct"/>
                  <w:shd w:val="clear" w:color="auto" w:fill="auto"/>
                  <w:noWrap w:val="0"/>
                  <w:vAlign w:val="center"/>
                </w:tcPr>
                <w:p>
                  <w:pPr>
                    <w:snapToGrid w:val="0"/>
                    <w:jc w:val="center"/>
                    <w:rPr>
                      <w:color w:val="auto"/>
                      <w:szCs w:val="21"/>
                    </w:rPr>
                  </w:pPr>
                  <w:r>
                    <w:rPr>
                      <w:color w:val="auto"/>
                      <w:szCs w:val="21"/>
                    </w:rPr>
                    <w:t>28</w:t>
                  </w:r>
                </w:p>
              </w:tc>
              <w:tc>
                <w:tcPr>
                  <w:tcW w:w="832" w:type="pct"/>
                  <w:shd w:val="clear" w:color="auto" w:fill="auto"/>
                  <w:noWrap w:val="0"/>
                  <w:vAlign w:val="center"/>
                </w:tcPr>
                <w:p>
                  <w:pPr>
                    <w:snapToGrid w:val="0"/>
                    <w:jc w:val="center"/>
                    <w:rPr>
                      <w:color w:val="auto"/>
                      <w:szCs w:val="21"/>
                    </w:rPr>
                  </w:pPr>
                  <w:r>
                    <w:rPr>
                      <w:color w:val="auto"/>
                      <w:szCs w:val="21"/>
                    </w:rPr>
                    <w:t>28</w:t>
                  </w:r>
                </w:p>
              </w:tc>
              <w:tc>
                <w:tcPr>
                  <w:tcW w:w="834" w:type="pct"/>
                  <w:shd w:val="clear" w:color="auto" w:fill="auto"/>
                  <w:noWrap w:val="0"/>
                  <w:vAlign w:val="center"/>
                </w:tcPr>
                <w:p>
                  <w:pPr>
                    <w:snapToGrid w:val="0"/>
                    <w:jc w:val="center"/>
                    <w:rPr>
                      <w:color w:val="auto"/>
                      <w:szCs w:val="21"/>
                    </w:rPr>
                  </w:pPr>
                  <w:r>
                    <w:rPr>
                      <w:color w:val="auto"/>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34" w:type="pct"/>
                  <w:vMerge w:val="continue"/>
                  <w:shd w:val="clear" w:color="auto" w:fill="auto"/>
                  <w:noWrap w:val="0"/>
                  <w:vAlign w:val="center"/>
                </w:tcPr>
                <w:p>
                  <w:pPr>
                    <w:snapToGrid w:val="0"/>
                    <w:jc w:val="center"/>
                    <w:rPr>
                      <w:color w:val="auto"/>
                      <w:szCs w:val="21"/>
                    </w:rPr>
                  </w:pPr>
                </w:p>
              </w:tc>
              <w:tc>
                <w:tcPr>
                  <w:tcW w:w="645" w:type="pct"/>
                  <w:vMerge w:val="restart"/>
                  <w:shd w:val="clear" w:color="auto" w:fill="auto"/>
                  <w:noWrap w:val="0"/>
                  <w:vAlign w:val="center"/>
                </w:tcPr>
                <w:p>
                  <w:pPr>
                    <w:snapToGrid w:val="0"/>
                    <w:jc w:val="center"/>
                    <w:rPr>
                      <w:color w:val="auto"/>
                      <w:szCs w:val="21"/>
                    </w:rPr>
                  </w:pPr>
                  <w:r>
                    <w:rPr>
                      <w:color w:val="auto"/>
                      <w:szCs w:val="21"/>
                    </w:rPr>
                    <w:t>大气污染物运行排放量（t/a）</w:t>
                  </w:r>
                </w:p>
              </w:tc>
              <w:tc>
                <w:tcPr>
                  <w:tcW w:w="947" w:type="pct"/>
                  <w:shd w:val="clear" w:color="auto" w:fill="auto"/>
                  <w:noWrap w:val="0"/>
                  <w:vAlign w:val="center"/>
                </w:tcPr>
                <w:p>
                  <w:pPr>
                    <w:snapToGrid w:val="0"/>
                    <w:jc w:val="center"/>
                    <w:rPr>
                      <w:color w:val="auto"/>
                      <w:szCs w:val="21"/>
                    </w:rPr>
                  </w:pPr>
                  <w:r>
                    <w:rPr>
                      <w:color w:val="auto"/>
                      <w:szCs w:val="21"/>
                    </w:rPr>
                    <w:t>SO</w:t>
                  </w:r>
                  <w:r>
                    <w:rPr>
                      <w:color w:val="auto"/>
                      <w:szCs w:val="21"/>
                      <w:vertAlign w:val="subscript"/>
                    </w:rPr>
                    <w:t>2</w:t>
                  </w:r>
                </w:p>
              </w:tc>
              <w:tc>
                <w:tcPr>
                  <w:tcW w:w="705" w:type="pct"/>
                  <w:shd w:val="clear" w:color="auto" w:fill="auto"/>
                  <w:noWrap w:val="0"/>
                  <w:vAlign w:val="center"/>
                </w:tcPr>
                <w:p>
                  <w:pPr>
                    <w:snapToGrid w:val="0"/>
                    <w:jc w:val="center"/>
                    <w:rPr>
                      <w:color w:val="auto"/>
                      <w:szCs w:val="21"/>
                    </w:rPr>
                  </w:pPr>
                  <w:r>
                    <w:rPr>
                      <w:color w:val="auto"/>
                      <w:szCs w:val="21"/>
                    </w:rPr>
                    <w:t>1602</w:t>
                  </w:r>
                </w:p>
              </w:tc>
              <w:tc>
                <w:tcPr>
                  <w:tcW w:w="832" w:type="pct"/>
                  <w:shd w:val="clear" w:color="auto" w:fill="auto"/>
                  <w:noWrap w:val="0"/>
                  <w:vAlign w:val="center"/>
                </w:tcPr>
                <w:p>
                  <w:pPr>
                    <w:snapToGrid w:val="0"/>
                    <w:jc w:val="center"/>
                    <w:rPr>
                      <w:color w:val="auto"/>
                      <w:szCs w:val="21"/>
                    </w:rPr>
                  </w:pPr>
                  <w:r>
                    <w:rPr>
                      <w:color w:val="auto"/>
                      <w:szCs w:val="21"/>
                    </w:rPr>
                    <w:t>1557</w:t>
                  </w:r>
                </w:p>
              </w:tc>
              <w:tc>
                <w:tcPr>
                  <w:tcW w:w="834" w:type="pct"/>
                  <w:shd w:val="clear" w:color="auto" w:fill="auto"/>
                  <w:noWrap w:val="0"/>
                  <w:vAlign w:val="center"/>
                </w:tcPr>
                <w:p>
                  <w:pPr>
                    <w:snapToGrid w:val="0"/>
                    <w:jc w:val="center"/>
                    <w:rPr>
                      <w:color w:val="auto"/>
                      <w:szCs w:val="21"/>
                    </w:rPr>
                  </w:pPr>
                  <w:r>
                    <w:rPr>
                      <w:color w:val="auto"/>
                      <w:szCs w:val="21"/>
                    </w:rPr>
                    <w:t>1557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34" w:type="pct"/>
                  <w:vMerge w:val="continue"/>
                  <w:shd w:val="clear" w:color="auto" w:fill="auto"/>
                  <w:noWrap w:val="0"/>
                  <w:vAlign w:val="center"/>
                </w:tcPr>
                <w:p>
                  <w:pPr>
                    <w:snapToGrid w:val="0"/>
                    <w:jc w:val="center"/>
                    <w:rPr>
                      <w:color w:val="auto"/>
                      <w:szCs w:val="21"/>
                    </w:rPr>
                  </w:pPr>
                </w:p>
              </w:tc>
              <w:tc>
                <w:tcPr>
                  <w:tcW w:w="645" w:type="pct"/>
                  <w:vMerge w:val="continue"/>
                  <w:shd w:val="clear" w:color="auto" w:fill="auto"/>
                  <w:noWrap w:val="0"/>
                  <w:vAlign w:val="center"/>
                </w:tcPr>
                <w:p>
                  <w:pPr>
                    <w:snapToGrid w:val="0"/>
                    <w:jc w:val="center"/>
                    <w:rPr>
                      <w:color w:val="auto"/>
                      <w:szCs w:val="21"/>
                    </w:rPr>
                  </w:pPr>
                </w:p>
              </w:tc>
              <w:tc>
                <w:tcPr>
                  <w:tcW w:w="947" w:type="pct"/>
                  <w:shd w:val="clear" w:color="auto" w:fill="auto"/>
                  <w:noWrap w:val="0"/>
                  <w:vAlign w:val="center"/>
                </w:tcPr>
                <w:p>
                  <w:pPr>
                    <w:snapToGrid w:val="0"/>
                    <w:jc w:val="center"/>
                    <w:rPr>
                      <w:color w:val="auto"/>
                      <w:szCs w:val="21"/>
                    </w:rPr>
                  </w:pPr>
                  <w:r>
                    <w:rPr>
                      <w:color w:val="auto"/>
                      <w:szCs w:val="21"/>
                    </w:rPr>
                    <w:t>NOx</w:t>
                  </w:r>
                </w:p>
              </w:tc>
              <w:tc>
                <w:tcPr>
                  <w:tcW w:w="705" w:type="pct"/>
                  <w:shd w:val="clear" w:color="auto" w:fill="auto"/>
                  <w:noWrap w:val="0"/>
                  <w:vAlign w:val="center"/>
                </w:tcPr>
                <w:p>
                  <w:pPr>
                    <w:snapToGrid w:val="0"/>
                    <w:jc w:val="center"/>
                    <w:rPr>
                      <w:color w:val="auto"/>
                      <w:szCs w:val="21"/>
                    </w:rPr>
                  </w:pPr>
                  <w:r>
                    <w:rPr>
                      <w:color w:val="auto"/>
                      <w:szCs w:val="21"/>
                    </w:rPr>
                    <w:t>2672</w:t>
                  </w:r>
                </w:p>
              </w:tc>
              <w:tc>
                <w:tcPr>
                  <w:tcW w:w="832" w:type="pct"/>
                  <w:shd w:val="clear" w:color="auto" w:fill="auto"/>
                  <w:noWrap w:val="0"/>
                  <w:vAlign w:val="center"/>
                </w:tcPr>
                <w:p>
                  <w:pPr>
                    <w:snapToGrid w:val="0"/>
                    <w:jc w:val="center"/>
                    <w:rPr>
                      <w:color w:val="auto"/>
                      <w:szCs w:val="21"/>
                    </w:rPr>
                  </w:pPr>
                  <w:r>
                    <w:rPr>
                      <w:color w:val="auto"/>
                      <w:szCs w:val="21"/>
                    </w:rPr>
                    <w:t>2634</w:t>
                  </w:r>
                </w:p>
              </w:tc>
              <w:tc>
                <w:tcPr>
                  <w:tcW w:w="834" w:type="pct"/>
                  <w:shd w:val="clear" w:color="auto" w:fill="auto"/>
                  <w:noWrap w:val="0"/>
                  <w:vAlign w:val="center"/>
                </w:tcPr>
                <w:p>
                  <w:pPr>
                    <w:snapToGrid w:val="0"/>
                    <w:jc w:val="center"/>
                    <w:rPr>
                      <w:color w:val="auto"/>
                      <w:szCs w:val="21"/>
                    </w:rPr>
                  </w:pPr>
                  <w:r>
                    <w:rPr>
                      <w:color w:val="auto"/>
                      <w:szCs w:val="21"/>
                    </w:rPr>
                    <w:t>2634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34" w:type="pct"/>
                  <w:vMerge w:val="continue"/>
                  <w:shd w:val="clear" w:color="auto" w:fill="auto"/>
                  <w:noWrap w:val="0"/>
                  <w:vAlign w:val="center"/>
                </w:tcPr>
                <w:p>
                  <w:pPr>
                    <w:snapToGrid w:val="0"/>
                    <w:jc w:val="center"/>
                    <w:rPr>
                      <w:color w:val="auto"/>
                      <w:szCs w:val="21"/>
                    </w:rPr>
                  </w:pPr>
                </w:p>
              </w:tc>
              <w:tc>
                <w:tcPr>
                  <w:tcW w:w="645" w:type="pct"/>
                  <w:vMerge w:val="continue"/>
                  <w:shd w:val="clear" w:color="auto" w:fill="auto"/>
                  <w:noWrap w:val="0"/>
                  <w:vAlign w:val="center"/>
                </w:tcPr>
                <w:p>
                  <w:pPr>
                    <w:snapToGrid w:val="0"/>
                    <w:jc w:val="center"/>
                    <w:rPr>
                      <w:color w:val="auto"/>
                      <w:szCs w:val="21"/>
                    </w:rPr>
                  </w:pPr>
                </w:p>
              </w:tc>
              <w:tc>
                <w:tcPr>
                  <w:tcW w:w="947" w:type="pct"/>
                  <w:shd w:val="clear" w:color="auto" w:fill="auto"/>
                  <w:noWrap w:val="0"/>
                  <w:vAlign w:val="center"/>
                </w:tcPr>
                <w:p>
                  <w:pPr>
                    <w:snapToGrid w:val="0"/>
                    <w:jc w:val="center"/>
                    <w:rPr>
                      <w:color w:val="auto"/>
                      <w:szCs w:val="21"/>
                      <w:vertAlign w:val="subscript"/>
                    </w:rPr>
                  </w:pPr>
                  <w:r>
                    <w:rPr>
                      <w:color w:val="auto"/>
                      <w:szCs w:val="21"/>
                    </w:rPr>
                    <w:t>PM</w:t>
                  </w:r>
                  <w:r>
                    <w:rPr>
                      <w:color w:val="auto"/>
                      <w:szCs w:val="21"/>
                      <w:vertAlign w:val="subscript"/>
                    </w:rPr>
                    <w:t>2.5</w:t>
                  </w:r>
                </w:p>
              </w:tc>
              <w:tc>
                <w:tcPr>
                  <w:tcW w:w="705" w:type="pct"/>
                  <w:shd w:val="clear" w:color="auto" w:fill="auto"/>
                  <w:noWrap w:val="0"/>
                  <w:vAlign w:val="center"/>
                </w:tcPr>
                <w:p>
                  <w:pPr>
                    <w:snapToGrid w:val="0"/>
                    <w:jc w:val="center"/>
                    <w:rPr>
                      <w:color w:val="auto"/>
                      <w:szCs w:val="21"/>
                    </w:rPr>
                  </w:pPr>
                  <w:r>
                    <w:rPr>
                      <w:color w:val="auto"/>
                      <w:szCs w:val="21"/>
                    </w:rPr>
                    <w:t>12833</w:t>
                  </w:r>
                </w:p>
              </w:tc>
              <w:tc>
                <w:tcPr>
                  <w:tcW w:w="832" w:type="pct"/>
                  <w:shd w:val="clear" w:color="auto" w:fill="auto"/>
                  <w:noWrap w:val="0"/>
                  <w:vAlign w:val="center"/>
                </w:tcPr>
                <w:p>
                  <w:pPr>
                    <w:snapToGrid w:val="0"/>
                    <w:jc w:val="center"/>
                    <w:rPr>
                      <w:color w:val="auto"/>
                      <w:szCs w:val="21"/>
                    </w:rPr>
                  </w:pPr>
                  <w:r>
                    <w:rPr>
                      <w:color w:val="auto"/>
                      <w:szCs w:val="21"/>
                    </w:rPr>
                    <w:t>12435</w:t>
                  </w:r>
                </w:p>
              </w:tc>
              <w:tc>
                <w:tcPr>
                  <w:tcW w:w="834" w:type="pct"/>
                  <w:shd w:val="clear" w:color="auto" w:fill="auto"/>
                  <w:noWrap w:val="0"/>
                  <w:vAlign w:val="center"/>
                </w:tcPr>
                <w:p>
                  <w:pPr>
                    <w:snapToGrid w:val="0"/>
                    <w:jc w:val="center"/>
                    <w:rPr>
                      <w:color w:val="auto"/>
                      <w:szCs w:val="21"/>
                    </w:rPr>
                  </w:pPr>
                  <w:r>
                    <w:rPr>
                      <w:color w:val="auto"/>
                      <w:szCs w:val="21"/>
                    </w:rPr>
                    <w:t>12435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34" w:type="pct"/>
                  <w:vMerge w:val="continue"/>
                  <w:shd w:val="clear" w:color="auto" w:fill="auto"/>
                  <w:noWrap w:val="0"/>
                  <w:vAlign w:val="center"/>
                </w:tcPr>
                <w:p>
                  <w:pPr>
                    <w:snapToGrid w:val="0"/>
                    <w:jc w:val="center"/>
                    <w:rPr>
                      <w:color w:val="auto"/>
                      <w:szCs w:val="21"/>
                    </w:rPr>
                  </w:pPr>
                </w:p>
              </w:tc>
              <w:tc>
                <w:tcPr>
                  <w:tcW w:w="645" w:type="pct"/>
                  <w:vMerge w:val="continue"/>
                  <w:shd w:val="clear" w:color="auto" w:fill="auto"/>
                  <w:noWrap w:val="0"/>
                  <w:vAlign w:val="center"/>
                </w:tcPr>
                <w:p>
                  <w:pPr>
                    <w:snapToGrid w:val="0"/>
                    <w:jc w:val="center"/>
                    <w:rPr>
                      <w:color w:val="auto"/>
                      <w:szCs w:val="21"/>
                    </w:rPr>
                  </w:pPr>
                </w:p>
              </w:tc>
              <w:tc>
                <w:tcPr>
                  <w:tcW w:w="947" w:type="pct"/>
                  <w:shd w:val="clear" w:color="auto" w:fill="auto"/>
                  <w:noWrap w:val="0"/>
                  <w:vAlign w:val="center"/>
                </w:tcPr>
                <w:p>
                  <w:pPr>
                    <w:snapToGrid w:val="0"/>
                    <w:jc w:val="center"/>
                    <w:rPr>
                      <w:color w:val="auto"/>
                      <w:szCs w:val="21"/>
                    </w:rPr>
                  </w:pPr>
                  <w:r>
                    <w:rPr>
                      <w:color w:val="auto"/>
                      <w:szCs w:val="21"/>
                    </w:rPr>
                    <w:t>VOCs</w:t>
                  </w:r>
                </w:p>
              </w:tc>
              <w:tc>
                <w:tcPr>
                  <w:tcW w:w="705" w:type="pct"/>
                  <w:shd w:val="clear" w:color="auto" w:fill="auto"/>
                  <w:noWrap w:val="0"/>
                  <w:vAlign w:val="center"/>
                </w:tcPr>
                <w:p>
                  <w:pPr>
                    <w:snapToGrid w:val="0"/>
                    <w:jc w:val="center"/>
                    <w:rPr>
                      <w:color w:val="auto"/>
                      <w:szCs w:val="21"/>
                    </w:rPr>
                  </w:pPr>
                  <w:r>
                    <w:rPr>
                      <w:color w:val="auto"/>
                      <w:szCs w:val="21"/>
                    </w:rPr>
                    <w:t>597</w:t>
                  </w:r>
                </w:p>
              </w:tc>
              <w:tc>
                <w:tcPr>
                  <w:tcW w:w="832" w:type="pct"/>
                  <w:shd w:val="clear" w:color="auto" w:fill="auto"/>
                  <w:noWrap w:val="0"/>
                  <w:vAlign w:val="center"/>
                </w:tcPr>
                <w:p>
                  <w:pPr>
                    <w:snapToGrid w:val="0"/>
                    <w:jc w:val="center"/>
                    <w:rPr>
                      <w:color w:val="auto"/>
                      <w:szCs w:val="21"/>
                    </w:rPr>
                  </w:pPr>
                  <w:r>
                    <w:rPr>
                      <w:color w:val="auto"/>
                      <w:szCs w:val="21"/>
                    </w:rPr>
                    <w:t>581</w:t>
                  </w:r>
                </w:p>
              </w:tc>
              <w:tc>
                <w:tcPr>
                  <w:tcW w:w="834" w:type="pct"/>
                  <w:shd w:val="clear" w:color="auto" w:fill="auto"/>
                  <w:noWrap w:val="0"/>
                  <w:vAlign w:val="center"/>
                </w:tcPr>
                <w:p>
                  <w:pPr>
                    <w:snapToGrid w:val="0"/>
                    <w:jc w:val="center"/>
                    <w:rPr>
                      <w:color w:val="auto"/>
                      <w:szCs w:val="21"/>
                    </w:rPr>
                  </w:pPr>
                  <w:r>
                    <w:rPr>
                      <w:color w:val="auto"/>
                      <w:szCs w:val="21"/>
                    </w:rPr>
                    <w:t>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34" w:type="pct"/>
                  <w:vMerge w:val="continue"/>
                  <w:shd w:val="clear" w:color="auto" w:fill="auto"/>
                  <w:noWrap w:val="0"/>
                  <w:vAlign w:val="center"/>
                </w:tcPr>
                <w:p>
                  <w:pPr>
                    <w:snapToGrid w:val="0"/>
                    <w:jc w:val="center"/>
                    <w:rPr>
                      <w:color w:val="auto"/>
                      <w:szCs w:val="21"/>
                    </w:rPr>
                  </w:pPr>
                </w:p>
              </w:tc>
              <w:tc>
                <w:tcPr>
                  <w:tcW w:w="645" w:type="pct"/>
                  <w:vMerge w:val="continue"/>
                  <w:shd w:val="clear" w:color="auto" w:fill="auto"/>
                  <w:noWrap w:val="0"/>
                  <w:vAlign w:val="center"/>
                </w:tcPr>
                <w:p>
                  <w:pPr>
                    <w:snapToGrid w:val="0"/>
                    <w:jc w:val="center"/>
                    <w:rPr>
                      <w:color w:val="auto"/>
                      <w:szCs w:val="21"/>
                    </w:rPr>
                  </w:pPr>
                </w:p>
              </w:tc>
              <w:tc>
                <w:tcPr>
                  <w:tcW w:w="947" w:type="pct"/>
                  <w:shd w:val="clear" w:color="auto" w:fill="auto"/>
                  <w:noWrap w:val="0"/>
                  <w:vAlign w:val="center"/>
                </w:tcPr>
                <w:p>
                  <w:pPr>
                    <w:snapToGrid w:val="0"/>
                    <w:jc w:val="center"/>
                    <w:rPr>
                      <w:color w:val="auto"/>
                      <w:szCs w:val="21"/>
                    </w:rPr>
                  </w:pPr>
                  <w:r>
                    <w:rPr>
                      <w:color w:val="auto"/>
                      <w:szCs w:val="21"/>
                    </w:rPr>
                    <w:t>NH</w:t>
                  </w:r>
                  <w:r>
                    <w:rPr>
                      <w:color w:val="auto"/>
                      <w:szCs w:val="21"/>
                      <w:vertAlign w:val="subscript"/>
                    </w:rPr>
                    <w:t>3</w:t>
                  </w:r>
                </w:p>
              </w:tc>
              <w:tc>
                <w:tcPr>
                  <w:tcW w:w="705" w:type="pct"/>
                  <w:shd w:val="clear" w:color="auto" w:fill="auto"/>
                  <w:noWrap w:val="0"/>
                  <w:vAlign w:val="center"/>
                </w:tcPr>
                <w:p>
                  <w:pPr>
                    <w:snapToGrid w:val="0"/>
                    <w:jc w:val="center"/>
                    <w:rPr>
                      <w:color w:val="auto"/>
                      <w:szCs w:val="21"/>
                    </w:rPr>
                  </w:pPr>
                  <w:r>
                    <w:rPr>
                      <w:color w:val="auto"/>
                      <w:szCs w:val="21"/>
                    </w:rPr>
                    <w:t>3089</w:t>
                  </w:r>
                </w:p>
              </w:tc>
              <w:tc>
                <w:tcPr>
                  <w:tcW w:w="832" w:type="pct"/>
                  <w:shd w:val="clear" w:color="auto" w:fill="auto"/>
                  <w:noWrap w:val="0"/>
                  <w:vAlign w:val="center"/>
                </w:tcPr>
                <w:p>
                  <w:pPr>
                    <w:snapToGrid w:val="0"/>
                    <w:jc w:val="center"/>
                    <w:rPr>
                      <w:color w:val="auto"/>
                      <w:szCs w:val="21"/>
                    </w:rPr>
                  </w:pPr>
                  <w:r>
                    <w:rPr>
                      <w:color w:val="auto"/>
                      <w:szCs w:val="21"/>
                    </w:rPr>
                    <w:t>2935</w:t>
                  </w:r>
                </w:p>
              </w:tc>
              <w:tc>
                <w:tcPr>
                  <w:tcW w:w="834" w:type="pct"/>
                  <w:shd w:val="clear" w:color="auto" w:fill="auto"/>
                  <w:noWrap w:val="0"/>
                  <w:vAlign w:val="center"/>
                </w:tcPr>
                <w:p>
                  <w:pPr>
                    <w:snapToGrid w:val="0"/>
                    <w:jc w:val="center"/>
                    <w:rPr>
                      <w:color w:val="auto"/>
                      <w:szCs w:val="21"/>
                    </w:rPr>
                  </w:pPr>
                  <w:r>
                    <w:rPr>
                      <w:color w:val="auto"/>
                      <w:szCs w:val="21"/>
                    </w:rPr>
                    <w:t>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34" w:type="pct"/>
                  <w:vMerge w:val="restart"/>
                  <w:shd w:val="clear" w:color="auto" w:fill="auto"/>
                  <w:noWrap w:val="0"/>
                  <w:vAlign w:val="center"/>
                </w:tcPr>
                <w:p>
                  <w:pPr>
                    <w:snapToGrid w:val="0"/>
                    <w:jc w:val="center"/>
                    <w:rPr>
                      <w:color w:val="auto"/>
                      <w:szCs w:val="21"/>
                    </w:rPr>
                  </w:pPr>
                  <w:r>
                    <w:rPr>
                      <w:color w:val="auto"/>
                      <w:szCs w:val="21"/>
                    </w:rPr>
                    <w:t>水环境质量底线</w:t>
                  </w:r>
                </w:p>
              </w:tc>
              <w:tc>
                <w:tcPr>
                  <w:tcW w:w="1592" w:type="pct"/>
                  <w:gridSpan w:val="2"/>
                  <w:shd w:val="clear" w:color="auto" w:fill="auto"/>
                  <w:noWrap w:val="0"/>
                  <w:vAlign w:val="center"/>
                </w:tcPr>
                <w:p>
                  <w:pPr>
                    <w:snapToGrid w:val="0"/>
                    <w:jc w:val="center"/>
                    <w:rPr>
                      <w:color w:val="auto"/>
                      <w:szCs w:val="21"/>
                    </w:rPr>
                  </w:pPr>
                  <w:r>
                    <w:rPr>
                      <w:color w:val="auto"/>
                      <w:szCs w:val="21"/>
                    </w:rPr>
                    <w:t>断面名称</w:t>
                  </w:r>
                </w:p>
              </w:tc>
              <w:tc>
                <w:tcPr>
                  <w:tcW w:w="705" w:type="pct"/>
                  <w:shd w:val="clear" w:color="auto" w:fill="auto"/>
                  <w:noWrap w:val="0"/>
                  <w:vAlign w:val="center"/>
                </w:tcPr>
                <w:p>
                  <w:pPr>
                    <w:snapToGrid w:val="0"/>
                    <w:jc w:val="center"/>
                    <w:rPr>
                      <w:color w:val="auto"/>
                      <w:szCs w:val="21"/>
                    </w:rPr>
                  </w:pPr>
                  <w:r>
                    <w:rPr>
                      <w:color w:val="auto"/>
                      <w:szCs w:val="21"/>
                    </w:rPr>
                    <w:t>2020年</w:t>
                  </w:r>
                </w:p>
              </w:tc>
              <w:tc>
                <w:tcPr>
                  <w:tcW w:w="832" w:type="pct"/>
                  <w:shd w:val="clear" w:color="auto" w:fill="auto"/>
                  <w:noWrap w:val="0"/>
                  <w:vAlign w:val="center"/>
                </w:tcPr>
                <w:p>
                  <w:pPr>
                    <w:snapToGrid w:val="0"/>
                    <w:jc w:val="center"/>
                    <w:rPr>
                      <w:color w:val="auto"/>
                      <w:szCs w:val="21"/>
                    </w:rPr>
                  </w:pPr>
                  <w:r>
                    <w:rPr>
                      <w:color w:val="auto"/>
                      <w:szCs w:val="21"/>
                    </w:rPr>
                    <w:t>2025年</w:t>
                  </w:r>
                </w:p>
              </w:tc>
              <w:tc>
                <w:tcPr>
                  <w:tcW w:w="834" w:type="pct"/>
                  <w:shd w:val="clear" w:color="auto" w:fill="auto"/>
                  <w:noWrap w:val="0"/>
                  <w:vAlign w:val="center"/>
                </w:tcPr>
                <w:p>
                  <w:pPr>
                    <w:snapToGrid w:val="0"/>
                    <w:jc w:val="center"/>
                    <w:rPr>
                      <w:color w:val="auto"/>
                      <w:szCs w:val="21"/>
                    </w:rPr>
                  </w:pPr>
                  <w:r>
                    <w:rPr>
                      <w:color w:val="auto"/>
                      <w:szCs w:val="21"/>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34" w:type="pct"/>
                  <w:vMerge w:val="continue"/>
                  <w:shd w:val="clear" w:color="auto" w:fill="auto"/>
                  <w:noWrap w:val="0"/>
                  <w:vAlign w:val="center"/>
                </w:tcPr>
                <w:p>
                  <w:pPr>
                    <w:snapToGrid w:val="0"/>
                    <w:jc w:val="center"/>
                    <w:rPr>
                      <w:color w:val="auto"/>
                      <w:szCs w:val="21"/>
                    </w:rPr>
                  </w:pPr>
                </w:p>
              </w:tc>
              <w:tc>
                <w:tcPr>
                  <w:tcW w:w="1592" w:type="pct"/>
                  <w:gridSpan w:val="2"/>
                  <w:shd w:val="clear" w:color="auto" w:fill="auto"/>
                  <w:noWrap w:val="0"/>
                  <w:vAlign w:val="center"/>
                </w:tcPr>
                <w:p>
                  <w:pPr>
                    <w:snapToGrid w:val="0"/>
                    <w:jc w:val="center"/>
                    <w:rPr>
                      <w:color w:val="auto"/>
                      <w:szCs w:val="21"/>
                    </w:rPr>
                  </w:pPr>
                  <w:r>
                    <w:rPr>
                      <w:color w:val="auto"/>
                      <w:szCs w:val="21"/>
                    </w:rPr>
                    <w:t>黄陂河控制单元</w:t>
                  </w:r>
                </w:p>
              </w:tc>
              <w:tc>
                <w:tcPr>
                  <w:tcW w:w="2372" w:type="pct"/>
                  <w:gridSpan w:val="3"/>
                  <w:shd w:val="clear" w:color="auto" w:fill="auto"/>
                  <w:noWrap w:val="0"/>
                  <w:vAlign w:val="center"/>
                </w:tcPr>
                <w:p>
                  <w:pPr>
                    <w:snapToGrid w:val="0"/>
                    <w:jc w:val="center"/>
                    <w:rPr>
                      <w:color w:val="auto"/>
                      <w:szCs w:val="21"/>
                    </w:rPr>
                  </w:pPr>
                  <w:r>
                    <w:rPr>
                      <w:color w:val="auto"/>
                      <w:szCs w:val="21"/>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34" w:type="pct"/>
                  <w:vMerge w:val="continue"/>
                  <w:shd w:val="clear" w:color="auto" w:fill="auto"/>
                  <w:noWrap w:val="0"/>
                  <w:vAlign w:val="center"/>
                </w:tcPr>
                <w:p>
                  <w:pPr>
                    <w:snapToGrid w:val="0"/>
                    <w:jc w:val="center"/>
                    <w:rPr>
                      <w:color w:val="auto"/>
                      <w:szCs w:val="21"/>
                    </w:rPr>
                  </w:pPr>
                </w:p>
              </w:tc>
              <w:tc>
                <w:tcPr>
                  <w:tcW w:w="1592" w:type="pct"/>
                  <w:gridSpan w:val="2"/>
                  <w:shd w:val="clear" w:color="auto" w:fill="auto"/>
                  <w:noWrap w:val="0"/>
                  <w:vAlign w:val="center"/>
                </w:tcPr>
                <w:p>
                  <w:pPr>
                    <w:snapToGrid w:val="0"/>
                    <w:jc w:val="center"/>
                    <w:rPr>
                      <w:color w:val="auto"/>
                      <w:szCs w:val="21"/>
                    </w:rPr>
                  </w:pPr>
                  <w:r>
                    <w:rPr>
                      <w:color w:val="auto"/>
                      <w:szCs w:val="21"/>
                    </w:rPr>
                    <w:t>梅江宁都控制单元</w:t>
                  </w:r>
                </w:p>
              </w:tc>
              <w:tc>
                <w:tcPr>
                  <w:tcW w:w="4261" w:type="dxa"/>
                  <w:gridSpan w:val="3"/>
                  <w:shd w:val="clear" w:color="auto" w:fill="auto"/>
                  <w:noWrap w:val="0"/>
                  <w:vAlign w:val="center"/>
                </w:tcPr>
                <w:p>
                  <w:pPr>
                    <w:snapToGrid w:val="0"/>
                    <w:jc w:val="center"/>
                    <w:rPr>
                      <w:color w:val="auto"/>
                      <w:szCs w:val="21"/>
                    </w:rPr>
                  </w:pPr>
                  <w:r>
                    <w:rPr>
                      <w:color w:val="auto"/>
                      <w:szCs w:val="21"/>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034" w:type="pct"/>
                  <w:vMerge w:val="continue"/>
                  <w:shd w:val="clear" w:color="auto" w:fill="auto"/>
                  <w:noWrap w:val="0"/>
                  <w:vAlign w:val="center"/>
                </w:tcPr>
                <w:p>
                  <w:pPr>
                    <w:snapToGrid w:val="0"/>
                    <w:jc w:val="center"/>
                    <w:rPr>
                      <w:color w:val="auto"/>
                      <w:szCs w:val="21"/>
                    </w:rPr>
                  </w:pPr>
                </w:p>
              </w:tc>
              <w:tc>
                <w:tcPr>
                  <w:tcW w:w="1592" w:type="pct"/>
                  <w:gridSpan w:val="2"/>
                  <w:shd w:val="clear" w:color="auto" w:fill="auto"/>
                  <w:noWrap w:val="0"/>
                  <w:vAlign w:val="center"/>
                </w:tcPr>
                <w:p>
                  <w:pPr>
                    <w:snapToGrid w:val="0"/>
                    <w:jc w:val="center"/>
                    <w:rPr>
                      <w:color w:val="auto"/>
                      <w:szCs w:val="21"/>
                    </w:rPr>
                  </w:pPr>
                  <w:r>
                    <w:rPr>
                      <w:color w:val="auto"/>
                      <w:szCs w:val="21"/>
                    </w:rPr>
                    <w:t>琴江宁都控制单元</w:t>
                  </w:r>
                </w:p>
              </w:tc>
              <w:tc>
                <w:tcPr>
                  <w:tcW w:w="4261" w:type="dxa"/>
                  <w:gridSpan w:val="3"/>
                  <w:shd w:val="clear" w:color="auto" w:fill="auto"/>
                  <w:noWrap w:val="0"/>
                  <w:vAlign w:val="center"/>
                </w:tcPr>
                <w:p>
                  <w:pPr>
                    <w:snapToGrid w:val="0"/>
                    <w:jc w:val="center"/>
                    <w:rPr>
                      <w:color w:val="auto"/>
                      <w:szCs w:val="21"/>
                    </w:rPr>
                  </w:pPr>
                  <w:r>
                    <w:rPr>
                      <w:color w:val="auto"/>
                      <w:szCs w:val="21"/>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jc w:val="center"/>
              </w:trPr>
              <w:tc>
                <w:tcPr>
                  <w:tcW w:w="1034" w:type="pct"/>
                  <w:vMerge w:val="continue"/>
                  <w:shd w:val="clear" w:color="auto" w:fill="auto"/>
                  <w:noWrap w:val="0"/>
                  <w:vAlign w:val="center"/>
                </w:tcPr>
                <w:p>
                  <w:pPr>
                    <w:snapToGrid w:val="0"/>
                    <w:jc w:val="center"/>
                    <w:rPr>
                      <w:color w:val="auto"/>
                      <w:szCs w:val="21"/>
                    </w:rPr>
                  </w:pPr>
                </w:p>
              </w:tc>
              <w:tc>
                <w:tcPr>
                  <w:tcW w:w="1592" w:type="pct"/>
                  <w:gridSpan w:val="2"/>
                  <w:shd w:val="clear" w:color="auto" w:fill="auto"/>
                  <w:noWrap w:val="0"/>
                  <w:vAlign w:val="center"/>
                </w:tcPr>
                <w:p>
                  <w:pPr>
                    <w:snapToGrid w:val="0"/>
                    <w:jc w:val="center"/>
                    <w:rPr>
                      <w:color w:val="auto"/>
                      <w:szCs w:val="21"/>
                    </w:rPr>
                  </w:pPr>
                  <w:r>
                    <w:rPr>
                      <w:color w:val="auto"/>
                      <w:szCs w:val="21"/>
                    </w:rPr>
                    <w:t>青塘河宁都控制单元</w:t>
                  </w:r>
                </w:p>
              </w:tc>
              <w:tc>
                <w:tcPr>
                  <w:tcW w:w="2372" w:type="pct"/>
                  <w:gridSpan w:val="3"/>
                  <w:shd w:val="clear" w:color="auto" w:fill="auto"/>
                  <w:noWrap w:val="0"/>
                  <w:vAlign w:val="center"/>
                </w:tcPr>
                <w:p>
                  <w:pPr>
                    <w:snapToGrid w:val="0"/>
                    <w:jc w:val="center"/>
                    <w:rPr>
                      <w:color w:val="auto"/>
                      <w:szCs w:val="21"/>
                    </w:rPr>
                  </w:pPr>
                  <w:r>
                    <w:rPr>
                      <w:color w:val="auto"/>
                      <w:szCs w:val="21"/>
                    </w:rPr>
                    <w:t>Ⅲ类</w:t>
                  </w:r>
                </w:p>
              </w:tc>
            </w:tr>
          </w:tbl>
          <w:p>
            <w:pPr>
              <w:ind w:firstLine="482" w:firstLineChars="200"/>
              <w:rPr>
                <w:b/>
                <w:bCs/>
                <w:color w:val="auto"/>
                <w:sz w:val="24"/>
              </w:rPr>
            </w:pPr>
          </w:p>
          <w:p>
            <w:pPr>
              <w:spacing w:line="360" w:lineRule="auto"/>
              <w:ind w:firstLine="482" w:firstLineChars="200"/>
              <w:rPr>
                <w:color w:val="auto"/>
                <w:sz w:val="32"/>
                <w:szCs w:val="32"/>
              </w:rPr>
            </w:pPr>
            <w:r>
              <w:rPr>
                <w:b/>
                <w:bCs/>
                <w:color w:val="auto"/>
                <w:sz w:val="24"/>
              </w:rPr>
              <w:t>环境空气质量底线符合性分析：</w:t>
            </w:r>
            <w:r>
              <w:rPr>
                <w:color w:val="auto"/>
                <w:sz w:val="24"/>
              </w:rPr>
              <w:t>根据</w:t>
            </w:r>
            <w:r>
              <w:rPr>
                <w:color w:val="auto"/>
                <w:kern w:val="0"/>
                <w:sz w:val="24"/>
              </w:rPr>
              <w:t>江西省生态环境厅发布的《2021年江西省各县（市、区）六项污染物浓度年均值》，宁都县2021年环境空气中的SO</w:t>
            </w:r>
            <w:r>
              <w:rPr>
                <w:color w:val="auto"/>
                <w:kern w:val="0"/>
                <w:sz w:val="24"/>
                <w:vertAlign w:val="subscript"/>
              </w:rPr>
              <w:t>2</w:t>
            </w:r>
            <w:r>
              <w:rPr>
                <w:color w:val="auto"/>
                <w:kern w:val="0"/>
                <w:sz w:val="24"/>
              </w:rPr>
              <w:t>、NO</w:t>
            </w:r>
            <w:r>
              <w:rPr>
                <w:color w:val="auto"/>
                <w:kern w:val="0"/>
                <w:sz w:val="24"/>
                <w:vertAlign w:val="subscript"/>
              </w:rPr>
              <w:t>2</w:t>
            </w:r>
            <w:r>
              <w:rPr>
                <w:color w:val="auto"/>
                <w:kern w:val="0"/>
                <w:sz w:val="24"/>
              </w:rPr>
              <w:t>、PM</w:t>
            </w:r>
            <w:r>
              <w:rPr>
                <w:color w:val="auto"/>
                <w:kern w:val="0"/>
                <w:sz w:val="24"/>
                <w:vertAlign w:val="subscript"/>
              </w:rPr>
              <w:t>10</w:t>
            </w:r>
            <w:r>
              <w:rPr>
                <w:color w:val="auto"/>
                <w:kern w:val="0"/>
                <w:sz w:val="24"/>
              </w:rPr>
              <w:t>、PM</w:t>
            </w:r>
            <w:r>
              <w:rPr>
                <w:color w:val="auto"/>
                <w:kern w:val="0"/>
                <w:sz w:val="24"/>
                <w:vertAlign w:val="subscript"/>
              </w:rPr>
              <w:t>2.5</w:t>
            </w:r>
            <w:r>
              <w:rPr>
                <w:color w:val="auto"/>
                <w:kern w:val="0"/>
                <w:sz w:val="24"/>
              </w:rPr>
              <w:t>、CO、O</w:t>
            </w:r>
            <w:r>
              <w:rPr>
                <w:color w:val="auto"/>
                <w:kern w:val="0"/>
                <w:sz w:val="24"/>
                <w:vertAlign w:val="subscript"/>
              </w:rPr>
              <w:t>3</w:t>
            </w:r>
            <w:r>
              <w:rPr>
                <w:color w:val="auto"/>
                <w:kern w:val="0"/>
                <w:sz w:val="24"/>
              </w:rPr>
              <w:t>均可达到《环境空气质量标准》（GB3095-2012）及其修改单二级标准，即宁都县属于环境空气达标区。</w:t>
            </w:r>
            <w:r>
              <w:rPr>
                <w:color w:val="auto"/>
                <w:sz w:val="24"/>
              </w:rPr>
              <w:t>本项目产生的废气经收集治理后，可达标排放，因此，本项目满足环境空气质量底线的要求。</w:t>
            </w:r>
          </w:p>
          <w:p>
            <w:pPr>
              <w:spacing w:line="360" w:lineRule="auto"/>
              <w:ind w:firstLine="482" w:firstLineChars="200"/>
              <w:rPr>
                <w:color w:val="auto"/>
                <w:sz w:val="24"/>
              </w:rPr>
            </w:pPr>
            <w:r>
              <w:rPr>
                <w:b/>
                <w:bCs/>
                <w:color w:val="auto"/>
                <w:sz w:val="24"/>
              </w:rPr>
              <w:t>水环境质量底线符合性分析：</w:t>
            </w:r>
            <w:r>
              <w:rPr>
                <w:color w:val="auto"/>
                <w:sz w:val="24"/>
              </w:rPr>
              <w:t>根据《江西省地表水（环境）功能区划》，本项目所在区域地表水青塘河属于“Ⅲ类水”，根据赣州市于都生态环境局公布的《于都县2022年12月地表水监测月报》显示，宁都青塘河监测断面水质类别为Ⅱ类。本项目无外排废水，即本项目</w:t>
            </w:r>
            <w:r>
              <w:rPr>
                <w:color w:val="auto"/>
                <w:kern w:val="0"/>
                <w:sz w:val="24"/>
              </w:rPr>
              <w:t>对青塘河影响较小。</w:t>
            </w:r>
          </w:p>
          <w:p>
            <w:pPr>
              <w:spacing w:line="360" w:lineRule="auto"/>
              <w:ind w:firstLine="480" w:firstLineChars="200"/>
              <w:outlineLvl w:val="0"/>
              <w:rPr>
                <w:color w:val="auto"/>
                <w:sz w:val="24"/>
              </w:rPr>
            </w:pPr>
            <w:r>
              <w:rPr>
                <w:color w:val="auto"/>
                <w:sz w:val="24"/>
              </w:rPr>
              <w:t>综上所述，本项目的建设对区域环境质量底线影响较小。</w:t>
            </w:r>
          </w:p>
          <w:p>
            <w:pPr>
              <w:spacing w:line="360" w:lineRule="auto"/>
              <w:ind w:firstLine="480" w:firstLineChars="200"/>
              <w:outlineLvl w:val="0"/>
              <w:rPr>
                <w:color w:val="auto"/>
                <w:sz w:val="24"/>
              </w:rPr>
            </w:pPr>
            <w:r>
              <w:rPr>
                <w:color w:val="auto"/>
                <w:sz w:val="24"/>
              </w:rPr>
              <w:t>（3）与资源利用上线的相符性分析</w:t>
            </w:r>
          </w:p>
          <w:p>
            <w:pPr>
              <w:spacing w:line="360" w:lineRule="auto"/>
              <w:ind w:firstLine="480" w:firstLineChars="200"/>
              <w:rPr>
                <w:color w:val="auto"/>
                <w:sz w:val="24"/>
              </w:rPr>
            </w:pPr>
            <w:r>
              <w:rPr>
                <w:color w:val="auto"/>
                <w:sz w:val="24"/>
              </w:rPr>
              <w:t>本项目用水来源于附近山泉水，用电来源于宁都县市政电网，本项目运营期的用水量与用电量较小，同时，企业将从内部管理、设备选择、生产管理等方面进行能耗控制，保证本项目的用水、用电不会突破区域的资源利用上线。</w:t>
            </w:r>
          </w:p>
          <w:p>
            <w:pPr>
              <w:spacing w:line="360" w:lineRule="auto"/>
              <w:ind w:firstLine="480" w:firstLineChars="200"/>
              <w:outlineLvl w:val="0"/>
              <w:rPr>
                <w:color w:val="auto"/>
                <w:sz w:val="24"/>
              </w:rPr>
            </w:pPr>
            <w:r>
              <w:rPr>
                <w:color w:val="auto"/>
                <w:sz w:val="24"/>
              </w:rPr>
              <w:t>（4）与生态环境准入清单的相符性分析</w:t>
            </w:r>
          </w:p>
          <w:p>
            <w:pPr>
              <w:autoSpaceDE w:val="0"/>
              <w:autoSpaceDN w:val="0"/>
              <w:adjustRightInd w:val="0"/>
              <w:snapToGrid w:val="0"/>
              <w:spacing w:line="360" w:lineRule="auto"/>
              <w:ind w:firstLine="480" w:firstLineChars="200"/>
              <w:rPr>
                <w:color w:val="auto"/>
                <w:kern w:val="0"/>
                <w:sz w:val="24"/>
              </w:rPr>
            </w:pPr>
            <w:r>
              <w:rPr>
                <w:color w:val="auto"/>
                <w:kern w:val="0"/>
                <w:sz w:val="24"/>
              </w:rPr>
              <w:t>本项目位于</w:t>
            </w:r>
            <w:r>
              <w:rPr>
                <w:color w:val="auto"/>
                <w:sz w:val="24"/>
              </w:rPr>
              <w:t>江西省赣州市宁都县赖村镇邮村村崠子小组小间坑，</w:t>
            </w:r>
            <w:r>
              <w:rPr>
                <w:color w:val="auto"/>
                <w:kern w:val="0"/>
                <w:sz w:val="24"/>
              </w:rPr>
              <w:t>根据《赣州市“三线一单”生态环境分区管控方案》（赣市府字〔2020〕95号），属于“江西省赣州市宁都县一般管控单元4”，环境管控单元编码为ZH36073030004</w:t>
            </w:r>
          </w:p>
          <w:p>
            <w:pPr>
              <w:spacing w:line="360" w:lineRule="auto"/>
              <w:ind w:firstLine="480" w:firstLineChars="200"/>
              <w:outlineLvl w:val="0"/>
              <w:rPr>
                <w:color w:val="auto"/>
                <w:sz w:val="24"/>
              </w:rPr>
            </w:pPr>
            <w:r>
              <w:rPr>
                <w:color w:val="auto"/>
                <w:sz w:val="24"/>
              </w:rPr>
              <w:t>根据《关于印发&lt;赣州市生态环境总体准人要求&gt;及&lt;赣州市环境管控单元生态环境准入清单&gt;的通知》（赣市环委办字〔2021〕5号），本项目与该文件的相符性分析见下表：</w:t>
            </w:r>
          </w:p>
          <w:p>
            <w:pPr>
              <w:spacing w:line="360" w:lineRule="auto"/>
              <w:ind w:firstLine="480" w:firstLineChars="200"/>
              <w:outlineLvl w:val="0"/>
              <w:rPr>
                <w:color w:val="auto"/>
                <w:sz w:val="24"/>
              </w:rPr>
            </w:pPr>
          </w:p>
          <w:p>
            <w:pPr>
              <w:spacing w:line="360" w:lineRule="auto"/>
              <w:ind w:firstLine="480" w:firstLineChars="200"/>
              <w:outlineLvl w:val="0"/>
              <w:rPr>
                <w:color w:val="auto"/>
                <w:sz w:val="24"/>
              </w:rPr>
            </w:pPr>
          </w:p>
          <w:p>
            <w:pPr>
              <w:spacing w:line="360" w:lineRule="auto"/>
              <w:ind w:firstLine="480" w:firstLineChars="200"/>
              <w:outlineLvl w:val="0"/>
              <w:rPr>
                <w:color w:val="auto"/>
                <w:sz w:val="24"/>
              </w:rPr>
            </w:pPr>
          </w:p>
          <w:p>
            <w:pPr>
              <w:autoSpaceDE w:val="0"/>
              <w:autoSpaceDN w:val="0"/>
              <w:adjustRightInd w:val="0"/>
              <w:snapToGrid w:val="0"/>
              <w:jc w:val="center"/>
              <w:rPr>
                <w:b/>
                <w:bCs/>
                <w:color w:val="auto"/>
                <w:kern w:val="0"/>
                <w:sz w:val="24"/>
              </w:rPr>
            </w:pPr>
            <w:r>
              <w:rPr>
                <w:b/>
                <w:bCs/>
                <w:color w:val="auto"/>
                <w:kern w:val="0"/>
                <w:sz w:val="24"/>
              </w:rPr>
              <w:t>表1-3  与赣市环委办字〔2021﹞5号文相符性分析</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1"/>
              <w:gridCol w:w="585"/>
              <w:gridCol w:w="1110"/>
              <w:gridCol w:w="2787"/>
              <w:gridCol w:w="286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41" w:type="dxa"/>
                  <w:noWrap w:val="0"/>
                  <w:vAlign w:val="center"/>
                </w:tcPr>
                <w:p>
                  <w:pPr>
                    <w:autoSpaceDE w:val="0"/>
                    <w:autoSpaceDN w:val="0"/>
                    <w:snapToGrid w:val="0"/>
                    <w:jc w:val="center"/>
                    <w:rPr>
                      <w:b/>
                      <w:snapToGrid w:val="0"/>
                      <w:color w:val="auto"/>
                      <w:szCs w:val="21"/>
                    </w:rPr>
                  </w:pPr>
                  <w:r>
                    <w:rPr>
                      <w:b/>
                      <w:snapToGrid w:val="0"/>
                      <w:color w:val="auto"/>
                      <w:szCs w:val="21"/>
                    </w:rPr>
                    <w:t>名称</w:t>
                  </w:r>
                </w:p>
              </w:tc>
              <w:tc>
                <w:tcPr>
                  <w:tcW w:w="4482" w:type="dxa"/>
                  <w:gridSpan w:val="3"/>
                  <w:noWrap w:val="0"/>
                  <w:vAlign w:val="center"/>
                </w:tcPr>
                <w:p>
                  <w:pPr>
                    <w:autoSpaceDE w:val="0"/>
                    <w:autoSpaceDN w:val="0"/>
                    <w:snapToGrid w:val="0"/>
                    <w:jc w:val="center"/>
                    <w:rPr>
                      <w:b/>
                      <w:snapToGrid w:val="0"/>
                      <w:color w:val="auto"/>
                      <w:szCs w:val="21"/>
                    </w:rPr>
                  </w:pPr>
                  <w:r>
                    <w:rPr>
                      <w:b/>
                      <w:snapToGrid w:val="0"/>
                      <w:color w:val="auto"/>
                      <w:szCs w:val="21"/>
                    </w:rPr>
                    <w:t>文件要求</w:t>
                  </w:r>
                </w:p>
              </w:tc>
              <w:tc>
                <w:tcPr>
                  <w:tcW w:w="2868" w:type="dxa"/>
                  <w:noWrap w:val="0"/>
                  <w:vAlign w:val="center"/>
                </w:tcPr>
                <w:p>
                  <w:pPr>
                    <w:autoSpaceDE w:val="0"/>
                    <w:autoSpaceDN w:val="0"/>
                    <w:snapToGrid w:val="0"/>
                    <w:jc w:val="center"/>
                    <w:rPr>
                      <w:b/>
                      <w:snapToGrid w:val="0"/>
                      <w:color w:val="auto"/>
                      <w:szCs w:val="21"/>
                    </w:rPr>
                  </w:pPr>
                  <w:r>
                    <w:rPr>
                      <w:b/>
                      <w:snapToGrid w:val="0"/>
                      <w:color w:val="auto"/>
                      <w:szCs w:val="21"/>
                    </w:rPr>
                    <w:t>本项目情况</w:t>
                  </w:r>
                </w:p>
              </w:tc>
              <w:tc>
                <w:tcPr>
                  <w:tcW w:w="788" w:type="dxa"/>
                  <w:noWrap w:val="0"/>
                  <w:vAlign w:val="center"/>
                </w:tcPr>
                <w:p>
                  <w:pPr>
                    <w:autoSpaceDE w:val="0"/>
                    <w:autoSpaceDN w:val="0"/>
                    <w:snapToGrid w:val="0"/>
                    <w:jc w:val="center"/>
                    <w:rPr>
                      <w:b/>
                      <w:snapToGrid w:val="0"/>
                      <w:color w:val="auto"/>
                      <w:szCs w:val="21"/>
                    </w:rPr>
                  </w:pPr>
                  <w:r>
                    <w:rPr>
                      <w:b/>
                      <w:snapToGrid w:val="0"/>
                      <w:color w:val="auto"/>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41" w:type="dxa"/>
                  <w:vMerge w:val="restart"/>
                  <w:noWrap w:val="0"/>
                  <w:vAlign w:val="center"/>
                </w:tcPr>
                <w:p>
                  <w:pPr>
                    <w:autoSpaceDE w:val="0"/>
                    <w:autoSpaceDN w:val="0"/>
                    <w:snapToGrid w:val="0"/>
                    <w:jc w:val="center"/>
                    <w:rPr>
                      <w:snapToGrid w:val="0"/>
                      <w:color w:val="auto"/>
                      <w:szCs w:val="21"/>
                    </w:rPr>
                  </w:pPr>
                  <w:r>
                    <w:rPr>
                      <w:snapToGrid w:val="0"/>
                      <w:color w:val="auto"/>
                      <w:szCs w:val="21"/>
                    </w:rPr>
                    <w:t>江西省赣州市宁都县一般管控单元4</w:t>
                  </w:r>
                </w:p>
                <w:p>
                  <w:pPr>
                    <w:autoSpaceDE w:val="0"/>
                    <w:autoSpaceDN w:val="0"/>
                    <w:snapToGrid w:val="0"/>
                    <w:jc w:val="center"/>
                    <w:rPr>
                      <w:snapToGrid w:val="0"/>
                      <w:color w:val="auto"/>
                      <w:szCs w:val="21"/>
                    </w:rPr>
                  </w:pPr>
                  <w:r>
                    <w:rPr>
                      <w:snapToGrid w:val="0"/>
                      <w:color w:val="auto"/>
                      <w:szCs w:val="21"/>
                    </w:rPr>
                    <w:t>(ZH36073030004)</w:t>
                  </w:r>
                </w:p>
              </w:tc>
              <w:tc>
                <w:tcPr>
                  <w:tcW w:w="585" w:type="dxa"/>
                  <w:vMerge w:val="restart"/>
                  <w:noWrap w:val="0"/>
                  <w:vAlign w:val="center"/>
                </w:tcPr>
                <w:p>
                  <w:pPr>
                    <w:autoSpaceDE w:val="0"/>
                    <w:autoSpaceDN w:val="0"/>
                    <w:snapToGrid w:val="0"/>
                    <w:jc w:val="center"/>
                    <w:rPr>
                      <w:snapToGrid w:val="0"/>
                      <w:color w:val="auto"/>
                      <w:szCs w:val="21"/>
                    </w:rPr>
                  </w:pPr>
                  <w:r>
                    <w:rPr>
                      <w:snapToGrid w:val="0"/>
                      <w:color w:val="auto"/>
                      <w:szCs w:val="21"/>
                    </w:rPr>
                    <w:t>空间布局约束</w:t>
                  </w:r>
                </w:p>
              </w:tc>
              <w:tc>
                <w:tcPr>
                  <w:tcW w:w="1110" w:type="dxa"/>
                  <w:noWrap w:val="0"/>
                  <w:vAlign w:val="center"/>
                </w:tcPr>
                <w:p>
                  <w:pPr>
                    <w:autoSpaceDE w:val="0"/>
                    <w:autoSpaceDN w:val="0"/>
                    <w:snapToGrid w:val="0"/>
                    <w:jc w:val="center"/>
                    <w:rPr>
                      <w:snapToGrid w:val="0"/>
                      <w:color w:val="auto"/>
                      <w:szCs w:val="21"/>
                    </w:rPr>
                  </w:pPr>
                  <w:r>
                    <w:rPr>
                      <w:snapToGrid w:val="0"/>
                      <w:color w:val="auto"/>
                      <w:szCs w:val="21"/>
                    </w:rPr>
                    <w:t>禁止开发建设活动的要求</w:t>
                  </w:r>
                </w:p>
              </w:tc>
              <w:tc>
                <w:tcPr>
                  <w:tcW w:w="2787" w:type="dxa"/>
                  <w:noWrap w:val="0"/>
                  <w:vAlign w:val="center"/>
                </w:tcPr>
                <w:p>
                  <w:pPr>
                    <w:autoSpaceDE w:val="0"/>
                    <w:autoSpaceDN w:val="0"/>
                    <w:snapToGrid w:val="0"/>
                    <w:jc w:val="center"/>
                    <w:rPr>
                      <w:snapToGrid w:val="0"/>
                      <w:color w:val="auto"/>
                      <w:szCs w:val="21"/>
                    </w:rPr>
                  </w:pPr>
                  <w:r>
                    <w:rPr>
                      <w:snapToGrid w:val="0"/>
                      <w:color w:val="auto"/>
                      <w:szCs w:val="21"/>
                    </w:rPr>
                    <w:t>1、生态保护红线范围执行生态保护红线的有关管理规定。2、禁养区禁止建设养殖场或禁止建设有污染物排放的养殖场。</w:t>
                  </w:r>
                </w:p>
              </w:tc>
              <w:tc>
                <w:tcPr>
                  <w:tcW w:w="2868" w:type="dxa"/>
                  <w:noWrap w:val="0"/>
                  <w:vAlign w:val="center"/>
                </w:tcPr>
                <w:p>
                  <w:pPr>
                    <w:autoSpaceDE w:val="0"/>
                    <w:autoSpaceDN w:val="0"/>
                    <w:snapToGrid w:val="0"/>
                    <w:jc w:val="center"/>
                    <w:rPr>
                      <w:snapToGrid w:val="0"/>
                      <w:color w:val="auto"/>
                      <w:szCs w:val="21"/>
                    </w:rPr>
                  </w:pPr>
                  <w:r>
                    <w:rPr>
                      <w:snapToGrid w:val="0"/>
                      <w:color w:val="auto"/>
                      <w:szCs w:val="21"/>
                    </w:rPr>
                    <w:t>本项目所在地不涉及生态保护红线，不属于禁养区，也不属于养殖场。</w:t>
                  </w:r>
                </w:p>
              </w:tc>
              <w:tc>
                <w:tcPr>
                  <w:tcW w:w="788" w:type="dxa"/>
                  <w:noWrap w:val="0"/>
                  <w:vAlign w:val="center"/>
                </w:tcPr>
                <w:p>
                  <w:pPr>
                    <w:autoSpaceDE w:val="0"/>
                    <w:autoSpaceDN w:val="0"/>
                    <w:snapToGrid w:val="0"/>
                    <w:jc w:val="center"/>
                    <w:rPr>
                      <w:snapToGrid w:val="0"/>
                      <w:color w:val="auto"/>
                      <w:szCs w:val="21"/>
                    </w:rPr>
                  </w:pPr>
                  <w:r>
                    <w:rPr>
                      <w:snapToGrid w:val="0"/>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41" w:type="dxa"/>
                  <w:vMerge w:val="continue"/>
                  <w:noWrap w:val="0"/>
                  <w:vAlign w:val="center"/>
                </w:tcPr>
                <w:p>
                  <w:pPr>
                    <w:autoSpaceDE w:val="0"/>
                    <w:autoSpaceDN w:val="0"/>
                    <w:snapToGrid w:val="0"/>
                    <w:jc w:val="center"/>
                    <w:rPr>
                      <w:snapToGrid w:val="0"/>
                      <w:color w:val="auto"/>
                      <w:szCs w:val="21"/>
                    </w:rPr>
                  </w:pPr>
                </w:p>
              </w:tc>
              <w:tc>
                <w:tcPr>
                  <w:tcW w:w="585" w:type="dxa"/>
                  <w:vMerge w:val="continue"/>
                  <w:noWrap w:val="0"/>
                  <w:vAlign w:val="center"/>
                </w:tcPr>
                <w:p>
                  <w:pPr>
                    <w:autoSpaceDE w:val="0"/>
                    <w:autoSpaceDN w:val="0"/>
                    <w:snapToGrid w:val="0"/>
                    <w:jc w:val="center"/>
                    <w:rPr>
                      <w:snapToGrid w:val="0"/>
                      <w:color w:val="auto"/>
                      <w:szCs w:val="21"/>
                    </w:rPr>
                  </w:pPr>
                </w:p>
              </w:tc>
              <w:tc>
                <w:tcPr>
                  <w:tcW w:w="1110" w:type="dxa"/>
                  <w:noWrap w:val="0"/>
                  <w:vAlign w:val="center"/>
                </w:tcPr>
                <w:p>
                  <w:pPr>
                    <w:autoSpaceDE w:val="0"/>
                    <w:autoSpaceDN w:val="0"/>
                    <w:snapToGrid w:val="0"/>
                    <w:jc w:val="center"/>
                    <w:rPr>
                      <w:snapToGrid w:val="0"/>
                      <w:color w:val="auto"/>
                      <w:szCs w:val="21"/>
                    </w:rPr>
                  </w:pPr>
                  <w:r>
                    <w:rPr>
                      <w:snapToGrid w:val="0"/>
                      <w:color w:val="auto"/>
                      <w:szCs w:val="21"/>
                    </w:rPr>
                    <w:t>不符合空间布局要求活动的退出要求</w:t>
                  </w:r>
                </w:p>
              </w:tc>
              <w:tc>
                <w:tcPr>
                  <w:tcW w:w="2787" w:type="dxa"/>
                  <w:noWrap w:val="0"/>
                  <w:vAlign w:val="center"/>
                </w:tcPr>
                <w:p>
                  <w:pPr>
                    <w:autoSpaceDE w:val="0"/>
                    <w:autoSpaceDN w:val="0"/>
                    <w:snapToGrid w:val="0"/>
                    <w:jc w:val="center"/>
                    <w:rPr>
                      <w:snapToGrid w:val="0"/>
                      <w:color w:val="auto"/>
                      <w:szCs w:val="21"/>
                    </w:rPr>
                  </w:pPr>
                  <w:r>
                    <w:rPr>
                      <w:color w:val="auto"/>
                    </w:rPr>
                    <w:t>1、经生态保护红线优化后不符合生态功能活动的，限期退出依法关停。2、不合法的矿产资源开发应限期退出或关停。</w:t>
                  </w:r>
                </w:p>
              </w:tc>
              <w:tc>
                <w:tcPr>
                  <w:tcW w:w="2868" w:type="dxa"/>
                  <w:noWrap w:val="0"/>
                  <w:vAlign w:val="center"/>
                </w:tcPr>
                <w:p>
                  <w:pPr>
                    <w:autoSpaceDE w:val="0"/>
                    <w:autoSpaceDN w:val="0"/>
                    <w:snapToGrid w:val="0"/>
                    <w:jc w:val="center"/>
                    <w:rPr>
                      <w:snapToGrid w:val="0"/>
                      <w:color w:val="auto"/>
                      <w:szCs w:val="21"/>
                    </w:rPr>
                  </w:pPr>
                  <w:r>
                    <w:rPr>
                      <w:snapToGrid w:val="0"/>
                      <w:color w:val="auto"/>
                      <w:szCs w:val="21"/>
                    </w:rPr>
                    <w:t>本项目符合生态功能活动，不属于矿产开发。</w:t>
                  </w:r>
                </w:p>
              </w:tc>
              <w:tc>
                <w:tcPr>
                  <w:tcW w:w="788" w:type="dxa"/>
                  <w:noWrap w:val="0"/>
                  <w:vAlign w:val="center"/>
                </w:tcPr>
                <w:p>
                  <w:pPr>
                    <w:autoSpaceDE w:val="0"/>
                    <w:autoSpaceDN w:val="0"/>
                    <w:snapToGrid w:val="0"/>
                    <w:jc w:val="center"/>
                    <w:rPr>
                      <w:snapToGrid w:val="0"/>
                      <w:color w:val="auto"/>
                      <w:szCs w:val="21"/>
                    </w:rPr>
                  </w:pPr>
                  <w:r>
                    <w:rPr>
                      <w:snapToGrid w:val="0"/>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41" w:type="dxa"/>
                  <w:vMerge w:val="continue"/>
                  <w:noWrap w:val="0"/>
                  <w:vAlign w:val="center"/>
                </w:tcPr>
                <w:p>
                  <w:pPr>
                    <w:autoSpaceDE w:val="0"/>
                    <w:autoSpaceDN w:val="0"/>
                    <w:snapToGrid w:val="0"/>
                    <w:jc w:val="center"/>
                    <w:rPr>
                      <w:snapToGrid w:val="0"/>
                      <w:color w:val="auto"/>
                      <w:szCs w:val="21"/>
                    </w:rPr>
                  </w:pPr>
                </w:p>
              </w:tc>
              <w:tc>
                <w:tcPr>
                  <w:tcW w:w="585" w:type="dxa"/>
                  <w:vMerge w:val="restart"/>
                  <w:noWrap w:val="0"/>
                  <w:vAlign w:val="center"/>
                </w:tcPr>
                <w:p>
                  <w:pPr>
                    <w:autoSpaceDE w:val="0"/>
                    <w:autoSpaceDN w:val="0"/>
                    <w:snapToGrid w:val="0"/>
                    <w:jc w:val="center"/>
                    <w:rPr>
                      <w:snapToGrid w:val="0"/>
                      <w:color w:val="auto"/>
                      <w:szCs w:val="21"/>
                    </w:rPr>
                  </w:pPr>
                  <w:r>
                    <w:rPr>
                      <w:snapToGrid w:val="0"/>
                      <w:color w:val="auto"/>
                      <w:szCs w:val="21"/>
                    </w:rPr>
                    <w:t>污染物排放管控</w:t>
                  </w:r>
                </w:p>
              </w:tc>
              <w:tc>
                <w:tcPr>
                  <w:tcW w:w="1110" w:type="dxa"/>
                  <w:noWrap w:val="0"/>
                  <w:vAlign w:val="center"/>
                </w:tcPr>
                <w:p>
                  <w:pPr>
                    <w:autoSpaceDE w:val="0"/>
                    <w:autoSpaceDN w:val="0"/>
                    <w:snapToGrid w:val="0"/>
                    <w:jc w:val="center"/>
                    <w:rPr>
                      <w:snapToGrid w:val="0"/>
                      <w:color w:val="auto"/>
                      <w:szCs w:val="21"/>
                    </w:rPr>
                  </w:pPr>
                  <w:r>
                    <w:rPr>
                      <w:snapToGrid w:val="0"/>
                      <w:color w:val="auto"/>
                      <w:szCs w:val="21"/>
                    </w:rPr>
                    <w:t>现有源提标升级改造</w:t>
                  </w:r>
                </w:p>
              </w:tc>
              <w:tc>
                <w:tcPr>
                  <w:tcW w:w="2787" w:type="dxa"/>
                  <w:noWrap w:val="0"/>
                  <w:vAlign w:val="center"/>
                </w:tcPr>
                <w:p>
                  <w:pPr>
                    <w:autoSpaceDE w:val="0"/>
                    <w:autoSpaceDN w:val="0"/>
                    <w:snapToGrid w:val="0"/>
                    <w:jc w:val="center"/>
                    <w:rPr>
                      <w:snapToGrid w:val="0"/>
                      <w:color w:val="auto"/>
                      <w:szCs w:val="21"/>
                    </w:rPr>
                  </w:pPr>
                  <w:r>
                    <w:rPr>
                      <w:snapToGrid w:val="0"/>
                      <w:color w:val="auto"/>
                      <w:szCs w:val="21"/>
                    </w:rPr>
                    <w:t>企业达标排放。</w:t>
                  </w:r>
                </w:p>
              </w:tc>
              <w:tc>
                <w:tcPr>
                  <w:tcW w:w="2868" w:type="dxa"/>
                  <w:noWrap w:val="0"/>
                  <w:vAlign w:val="center"/>
                </w:tcPr>
                <w:p>
                  <w:pPr>
                    <w:autoSpaceDE w:val="0"/>
                    <w:autoSpaceDN w:val="0"/>
                    <w:snapToGrid w:val="0"/>
                    <w:jc w:val="center"/>
                    <w:rPr>
                      <w:snapToGrid w:val="0"/>
                      <w:color w:val="auto"/>
                      <w:szCs w:val="21"/>
                    </w:rPr>
                  </w:pPr>
                  <w:r>
                    <w:rPr>
                      <w:snapToGrid w:val="0"/>
                      <w:color w:val="auto"/>
                      <w:szCs w:val="21"/>
                    </w:rPr>
                    <w:t>本项目在施工及运营工程中，在严格落实本次评价提出环境保护措施下，可使废气、噪声达标排放，废水、固废得到妥善治理、处置，环境风险可控。</w:t>
                  </w:r>
                </w:p>
              </w:tc>
              <w:tc>
                <w:tcPr>
                  <w:tcW w:w="788" w:type="dxa"/>
                  <w:noWrap w:val="0"/>
                  <w:vAlign w:val="center"/>
                </w:tcPr>
                <w:p>
                  <w:pPr>
                    <w:autoSpaceDE w:val="0"/>
                    <w:autoSpaceDN w:val="0"/>
                    <w:snapToGrid w:val="0"/>
                    <w:jc w:val="center"/>
                    <w:rPr>
                      <w:snapToGrid w:val="0"/>
                      <w:color w:val="auto"/>
                      <w:szCs w:val="21"/>
                    </w:rPr>
                  </w:pPr>
                  <w:r>
                    <w:rPr>
                      <w:snapToGrid w:val="0"/>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41" w:type="dxa"/>
                  <w:vMerge w:val="continue"/>
                  <w:noWrap w:val="0"/>
                  <w:vAlign w:val="center"/>
                </w:tcPr>
                <w:p>
                  <w:pPr>
                    <w:autoSpaceDE w:val="0"/>
                    <w:autoSpaceDN w:val="0"/>
                    <w:snapToGrid w:val="0"/>
                    <w:jc w:val="center"/>
                    <w:rPr>
                      <w:snapToGrid w:val="0"/>
                      <w:color w:val="auto"/>
                      <w:szCs w:val="21"/>
                    </w:rPr>
                  </w:pPr>
                </w:p>
              </w:tc>
              <w:tc>
                <w:tcPr>
                  <w:tcW w:w="585" w:type="dxa"/>
                  <w:vMerge w:val="continue"/>
                  <w:noWrap w:val="0"/>
                  <w:vAlign w:val="center"/>
                </w:tcPr>
                <w:p>
                  <w:pPr>
                    <w:autoSpaceDE w:val="0"/>
                    <w:autoSpaceDN w:val="0"/>
                    <w:snapToGrid w:val="0"/>
                    <w:jc w:val="center"/>
                    <w:rPr>
                      <w:snapToGrid w:val="0"/>
                      <w:color w:val="auto"/>
                      <w:szCs w:val="21"/>
                    </w:rPr>
                  </w:pPr>
                </w:p>
              </w:tc>
              <w:tc>
                <w:tcPr>
                  <w:tcW w:w="1110" w:type="dxa"/>
                  <w:noWrap w:val="0"/>
                  <w:vAlign w:val="center"/>
                </w:tcPr>
                <w:p>
                  <w:pPr>
                    <w:autoSpaceDE w:val="0"/>
                    <w:autoSpaceDN w:val="0"/>
                    <w:snapToGrid w:val="0"/>
                    <w:jc w:val="center"/>
                    <w:rPr>
                      <w:snapToGrid w:val="0"/>
                      <w:color w:val="auto"/>
                      <w:szCs w:val="21"/>
                    </w:rPr>
                  </w:pPr>
                  <w:r>
                    <w:rPr>
                      <w:snapToGrid w:val="0"/>
                      <w:color w:val="auto"/>
                      <w:szCs w:val="21"/>
                    </w:rPr>
                    <w:t>新增源等量或倍量替代</w:t>
                  </w:r>
                </w:p>
              </w:tc>
              <w:tc>
                <w:tcPr>
                  <w:tcW w:w="2787" w:type="dxa"/>
                  <w:noWrap w:val="0"/>
                  <w:vAlign w:val="center"/>
                </w:tcPr>
                <w:p>
                  <w:pPr>
                    <w:autoSpaceDE w:val="0"/>
                    <w:autoSpaceDN w:val="0"/>
                    <w:snapToGrid w:val="0"/>
                    <w:jc w:val="center"/>
                    <w:rPr>
                      <w:snapToGrid w:val="0"/>
                      <w:color w:val="auto"/>
                      <w:szCs w:val="21"/>
                    </w:rPr>
                  </w:pPr>
                  <w:r>
                    <w:rPr>
                      <w:snapToGrid w:val="0"/>
                      <w:color w:val="auto"/>
                      <w:szCs w:val="21"/>
                    </w:rPr>
                    <w:t>新建项目污染物排放量应实施县（市）平衡，区域污染物排放总量不增加。</w:t>
                  </w:r>
                </w:p>
              </w:tc>
              <w:tc>
                <w:tcPr>
                  <w:tcW w:w="2868" w:type="dxa"/>
                  <w:noWrap w:val="0"/>
                  <w:vAlign w:val="center"/>
                </w:tcPr>
                <w:p>
                  <w:pPr>
                    <w:autoSpaceDE w:val="0"/>
                    <w:autoSpaceDN w:val="0"/>
                    <w:snapToGrid w:val="0"/>
                    <w:jc w:val="center"/>
                    <w:rPr>
                      <w:snapToGrid w:val="0"/>
                      <w:color w:val="auto"/>
                      <w:szCs w:val="21"/>
                    </w:rPr>
                  </w:pPr>
                  <w:r>
                    <w:rPr>
                      <w:snapToGrid w:val="0"/>
                      <w:color w:val="auto"/>
                      <w:szCs w:val="21"/>
                    </w:rPr>
                    <w:t>本项目不涉及COD、NH</w:t>
                  </w:r>
                  <w:r>
                    <w:rPr>
                      <w:snapToGrid w:val="0"/>
                      <w:color w:val="auto"/>
                      <w:szCs w:val="21"/>
                      <w:vertAlign w:val="subscript"/>
                    </w:rPr>
                    <w:t>3</w:t>
                  </w:r>
                  <w:r>
                    <w:rPr>
                      <w:snapToGrid w:val="0"/>
                      <w:color w:val="auto"/>
                      <w:szCs w:val="21"/>
                    </w:rPr>
                    <w:t>-N、的总量控制；本项目NOx、VOCs的总量控制指标由赣州市宁都生态环境局分配，宁都县目前尚有NOx、VOCs总量，可满足本项目大气污染物的排放要求，即本项目的建设，不会使区域污染物排放总量的增加。</w:t>
                  </w:r>
                </w:p>
              </w:tc>
              <w:tc>
                <w:tcPr>
                  <w:tcW w:w="788" w:type="dxa"/>
                  <w:noWrap w:val="0"/>
                  <w:vAlign w:val="center"/>
                </w:tcPr>
                <w:p>
                  <w:pPr>
                    <w:autoSpaceDE w:val="0"/>
                    <w:autoSpaceDN w:val="0"/>
                    <w:snapToGrid w:val="0"/>
                    <w:jc w:val="center"/>
                    <w:rPr>
                      <w:snapToGrid w:val="0"/>
                      <w:color w:val="auto"/>
                      <w:szCs w:val="21"/>
                    </w:rPr>
                  </w:pPr>
                  <w:r>
                    <w:rPr>
                      <w:snapToGrid w:val="0"/>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41" w:type="dxa"/>
                  <w:vMerge w:val="continue"/>
                  <w:noWrap w:val="0"/>
                  <w:vAlign w:val="center"/>
                </w:tcPr>
                <w:p>
                  <w:pPr>
                    <w:autoSpaceDE w:val="0"/>
                    <w:autoSpaceDN w:val="0"/>
                    <w:snapToGrid w:val="0"/>
                    <w:jc w:val="center"/>
                    <w:rPr>
                      <w:snapToGrid w:val="0"/>
                      <w:color w:val="auto"/>
                      <w:szCs w:val="21"/>
                    </w:rPr>
                  </w:pPr>
                </w:p>
              </w:tc>
              <w:tc>
                <w:tcPr>
                  <w:tcW w:w="585" w:type="dxa"/>
                  <w:vMerge w:val="continue"/>
                  <w:noWrap w:val="0"/>
                  <w:vAlign w:val="center"/>
                </w:tcPr>
                <w:p>
                  <w:pPr>
                    <w:autoSpaceDE w:val="0"/>
                    <w:autoSpaceDN w:val="0"/>
                    <w:snapToGrid w:val="0"/>
                    <w:jc w:val="center"/>
                    <w:rPr>
                      <w:snapToGrid w:val="0"/>
                      <w:color w:val="auto"/>
                      <w:szCs w:val="21"/>
                    </w:rPr>
                  </w:pPr>
                </w:p>
              </w:tc>
              <w:tc>
                <w:tcPr>
                  <w:tcW w:w="1110" w:type="dxa"/>
                  <w:noWrap w:val="0"/>
                  <w:vAlign w:val="center"/>
                </w:tcPr>
                <w:p>
                  <w:pPr>
                    <w:autoSpaceDE w:val="0"/>
                    <w:autoSpaceDN w:val="0"/>
                    <w:snapToGrid w:val="0"/>
                    <w:jc w:val="center"/>
                    <w:rPr>
                      <w:snapToGrid w:val="0"/>
                      <w:color w:val="auto"/>
                      <w:szCs w:val="21"/>
                    </w:rPr>
                  </w:pPr>
                  <w:r>
                    <w:rPr>
                      <w:snapToGrid w:val="0"/>
                      <w:color w:val="auto"/>
                      <w:szCs w:val="21"/>
                    </w:rPr>
                    <w:t>新增源排放标准限值</w:t>
                  </w:r>
                </w:p>
              </w:tc>
              <w:tc>
                <w:tcPr>
                  <w:tcW w:w="2787" w:type="dxa"/>
                  <w:noWrap w:val="0"/>
                  <w:vAlign w:val="center"/>
                </w:tcPr>
                <w:p>
                  <w:pPr>
                    <w:autoSpaceDE w:val="0"/>
                    <w:autoSpaceDN w:val="0"/>
                    <w:snapToGrid w:val="0"/>
                    <w:jc w:val="center"/>
                    <w:rPr>
                      <w:snapToGrid w:val="0"/>
                      <w:color w:val="auto"/>
                      <w:szCs w:val="21"/>
                    </w:rPr>
                  </w:pPr>
                  <w:r>
                    <w:rPr>
                      <w:snapToGrid w:val="0"/>
                      <w:color w:val="auto"/>
                      <w:szCs w:val="21"/>
                    </w:rPr>
                    <w:t>新建项目污染物排放应达到行业排放标准或综合排放标准。</w:t>
                  </w:r>
                </w:p>
              </w:tc>
              <w:tc>
                <w:tcPr>
                  <w:tcW w:w="2868" w:type="dxa"/>
                  <w:noWrap w:val="0"/>
                  <w:vAlign w:val="center"/>
                </w:tcPr>
                <w:p>
                  <w:pPr>
                    <w:autoSpaceDE w:val="0"/>
                    <w:autoSpaceDN w:val="0"/>
                    <w:snapToGrid w:val="0"/>
                    <w:jc w:val="center"/>
                    <w:rPr>
                      <w:snapToGrid w:val="0"/>
                      <w:color w:val="auto"/>
                      <w:szCs w:val="21"/>
                    </w:rPr>
                  </w:pPr>
                  <w:r>
                    <w:rPr>
                      <w:snapToGrid w:val="0"/>
                      <w:color w:val="auto"/>
                      <w:szCs w:val="21"/>
                    </w:rPr>
                    <w:t>本项目废气、废气经采取有效措施治理后，可达行业标准或综合排放标准；本项目废水不外排。</w:t>
                  </w:r>
                </w:p>
              </w:tc>
              <w:tc>
                <w:tcPr>
                  <w:tcW w:w="788" w:type="dxa"/>
                  <w:noWrap w:val="0"/>
                  <w:vAlign w:val="center"/>
                </w:tcPr>
                <w:p>
                  <w:pPr>
                    <w:autoSpaceDE w:val="0"/>
                    <w:autoSpaceDN w:val="0"/>
                    <w:snapToGrid w:val="0"/>
                    <w:jc w:val="center"/>
                    <w:rPr>
                      <w:snapToGrid w:val="0"/>
                      <w:color w:val="auto"/>
                      <w:szCs w:val="21"/>
                    </w:rPr>
                  </w:pPr>
                  <w:r>
                    <w:rPr>
                      <w:snapToGrid w:val="0"/>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41" w:type="dxa"/>
                  <w:vMerge w:val="continue"/>
                  <w:noWrap w:val="0"/>
                  <w:vAlign w:val="center"/>
                </w:tcPr>
                <w:p>
                  <w:pPr>
                    <w:autoSpaceDE w:val="0"/>
                    <w:autoSpaceDN w:val="0"/>
                    <w:snapToGrid w:val="0"/>
                    <w:jc w:val="center"/>
                    <w:rPr>
                      <w:snapToGrid w:val="0"/>
                      <w:color w:val="auto"/>
                      <w:szCs w:val="21"/>
                    </w:rPr>
                  </w:pPr>
                </w:p>
              </w:tc>
              <w:tc>
                <w:tcPr>
                  <w:tcW w:w="585" w:type="dxa"/>
                  <w:vMerge w:val="restart"/>
                  <w:noWrap w:val="0"/>
                  <w:vAlign w:val="center"/>
                </w:tcPr>
                <w:p>
                  <w:pPr>
                    <w:autoSpaceDE w:val="0"/>
                    <w:autoSpaceDN w:val="0"/>
                    <w:snapToGrid w:val="0"/>
                    <w:jc w:val="center"/>
                    <w:rPr>
                      <w:snapToGrid w:val="0"/>
                      <w:color w:val="auto"/>
                      <w:szCs w:val="21"/>
                    </w:rPr>
                  </w:pPr>
                  <w:r>
                    <w:rPr>
                      <w:snapToGrid w:val="0"/>
                      <w:color w:val="auto"/>
                      <w:szCs w:val="21"/>
                    </w:rPr>
                    <w:t>环境风险防控</w:t>
                  </w:r>
                </w:p>
              </w:tc>
              <w:tc>
                <w:tcPr>
                  <w:tcW w:w="1110" w:type="dxa"/>
                  <w:noWrap w:val="0"/>
                  <w:vAlign w:val="center"/>
                </w:tcPr>
                <w:p>
                  <w:pPr>
                    <w:autoSpaceDE w:val="0"/>
                    <w:autoSpaceDN w:val="0"/>
                    <w:snapToGrid w:val="0"/>
                    <w:jc w:val="center"/>
                    <w:rPr>
                      <w:snapToGrid w:val="0"/>
                      <w:color w:val="auto"/>
                      <w:szCs w:val="21"/>
                    </w:rPr>
                  </w:pPr>
                  <w:r>
                    <w:rPr>
                      <w:snapToGrid w:val="0"/>
                      <w:color w:val="auto"/>
                      <w:szCs w:val="21"/>
                    </w:rPr>
                    <w:t>用地环境风险防控要求</w:t>
                  </w:r>
                </w:p>
              </w:tc>
              <w:tc>
                <w:tcPr>
                  <w:tcW w:w="2787" w:type="dxa"/>
                  <w:noWrap w:val="0"/>
                  <w:vAlign w:val="center"/>
                </w:tcPr>
                <w:p>
                  <w:pPr>
                    <w:autoSpaceDE w:val="0"/>
                    <w:autoSpaceDN w:val="0"/>
                    <w:snapToGrid w:val="0"/>
                    <w:jc w:val="center"/>
                    <w:rPr>
                      <w:snapToGrid w:val="0"/>
                      <w:color w:val="auto"/>
                      <w:szCs w:val="21"/>
                    </w:rPr>
                  </w:pPr>
                  <w:r>
                    <w:rPr>
                      <w:snapToGrid w:val="0"/>
                      <w:color w:val="auto"/>
                      <w:szCs w:val="21"/>
                    </w:rPr>
                    <w:t>严格管控农用地，不得在污染地块种植水稻等特地农产品。</w:t>
                  </w:r>
                </w:p>
              </w:tc>
              <w:tc>
                <w:tcPr>
                  <w:tcW w:w="2868" w:type="dxa"/>
                  <w:noWrap w:val="0"/>
                  <w:vAlign w:val="center"/>
                </w:tcPr>
                <w:p>
                  <w:pPr>
                    <w:autoSpaceDE w:val="0"/>
                    <w:autoSpaceDN w:val="0"/>
                    <w:snapToGrid w:val="0"/>
                    <w:jc w:val="center"/>
                    <w:rPr>
                      <w:snapToGrid w:val="0"/>
                      <w:color w:val="auto"/>
                      <w:szCs w:val="21"/>
                    </w:rPr>
                  </w:pPr>
                  <w:r>
                    <w:rPr>
                      <w:snapToGrid w:val="0"/>
                      <w:color w:val="auto"/>
                      <w:szCs w:val="21"/>
                    </w:rPr>
                    <w:t>本项目所用地不属于污染地块，本项目也不涉及农产品的种植。</w:t>
                  </w:r>
                </w:p>
              </w:tc>
              <w:tc>
                <w:tcPr>
                  <w:tcW w:w="788" w:type="dxa"/>
                  <w:noWrap w:val="0"/>
                  <w:vAlign w:val="center"/>
                </w:tcPr>
                <w:p>
                  <w:pPr>
                    <w:autoSpaceDE w:val="0"/>
                    <w:autoSpaceDN w:val="0"/>
                    <w:snapToGrid w:val="0"/>
                    <w:jc w:val="center"/>
                    <w:rPr>
                      <w:snapToGrid w:val="0"/>
                      <w:color w:val="auto"/>
                      <w:szCs w:val="21"/>
                    </w:rPr>
                  </w:pPr>
                  <w:r>
                    <w:rPr>
                      <w:snapToGrid w:val="0"/>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41" w:type="dxa"/>
                  <w:vMerge w:val="continue"/>
                  <w:noWrap w:val="0"/>
                  <w:vAlign w:val="center"/>
                </w:tcPr>
                <w:p>
                  <w:pPr>
                    <w:autoSpaceDE w:val="0"/>
                    <w:autoSpaceDN w:val="0"/>
                    <w:snapToGrid w:val="0"/>
                    <w:jc w:val="center"/>
                    <w:rPr>
                      <w:snapToGrid w:val="0"/>
                      <w:color w:val="auto"/>
                      <w:szCs w:val="21"/>
                    </w:rPr>
                  </w:pPr>
                </w:p>
              </w:tc>
              <w:tc>
                <w:tcPr>
                  <w:tcW w:w="585" w:type="dxa"/>
                  <w:vMerge w:val="continue"/>
                  <w:noWrap w:val="0"/>
                  <w:vAlign w:val="center"/>
                </w:tcPr>
                <w:p>
                  <w:pPr>
                    <w:autoSpaceDE w:val="0"/>
                    <w:autoSpaceDN w:val="0"/>
                    <w:snapToGrid w:val="0"/>
                    <w:jc w:val="center"/>
                    <w:rPr>
                      <w:snapToGrid w:val="0"/>
                      <w:color w:val="auto"/>
                      <w:szCs w:val="21"/>
                    </w:rPr>
                  </w:pPr>
                </w:p>
              </w:tc>
              <w:tc>
                <w:tcPr>
                  <w:tcW w:w="1110" w:type="dxa"/>
                  <w:noWrap w:val="0"/>
                  <w:vAlign w:val="center"/>
                </w:tcPr>
                <w:p>
                  <w:pPr>
                    <w:autoSpaceDE w:val="0"/>
                    <w:autoSpaceDN w:val="0"/>
                    <w:snapToGrid w:val="0"/>
                    <w:jc w:val="center"/>
                    <w:rPr>
                      <w:snapToGrid w:val="0"/>
                      <w:color w:val="auto"/>
                      <w:szCs w:val="21"/>
                    </w:rPr>
                  </w:pPr>
                  <w:r>
                    <w:rPr>
                      <w:snapToGrid w:val="0"/>
                      <w:color w:val="auto"/>
                      <w:szCs w:val="21"/>
                    </w:rPr>
                    <w:t>企业风险防控要求</w:t>
                  </w:r>
                </w:p>
              </w:tc>
              <w:tc>
                <w:tcPr>
                  <w:tcW w:w="2787" w:type="dxa"/>
                  <w:noWrap w:val="0"/>
                  <w:vAlign w:val="center"/>
                </w:tcPr>
                <w:p>
                  <w:pPr>
                    <w:autoSpaceDE w:val="0"/>
                    <w:autoSpaceDN w:val="0"/>
                    <w:snapToGrid w:val="0"/>
                    <w:jc w:val="center"/>
                    <w:rPr>
                      <w:snapToGrid w:val="0"/>
                      <w:color w:val="auto"/>
                      <w:szCs w:val="21"/>
                    </w:rPr>
                  </w:pPr>
                  <w:r>
                    <w:rPr>
                      <w:snapToGrid w:val="0"/>
                      <w:color w:val="auto"/>
                      <w:szCs w:val="21"/>
                    </w:rPr>
                    <w:t>企业应编制环境风险应急预案，并加强应急演练</w:t>
                  </w:r>
                </w:p>
              </w:tc>
              <w:tc>
                <w:tcPr>
                  <w:tcW w:w="2868" w:type="dxa"/>
                  <w:noWrap w:val="0"/>
                  <w:vAlign w:val="center"/>
                </w:tcPr>
                <w:p>
                  <w:pPr>
                    <w:autoSpaceDE w:val="0"/>
                    <w:autoSpaceDN w:val="0"/>
                    <w:snapToGrid w:val="0"/>
                    <w:jc w:val="center"/>
                    <w:rPr>
                      <w:snapToGrid w:val="0"/>
                      <w:color w:val="auto"/>
                      <w:szCs w:val="21"/>
                    </w:rPr>
                  </w:pPr>
                  <w:r>
                    <w:rPr>
                      <w:snapToGrid w:val="0"/>
                      <w:color w:val="auto"/>
                      <w:szCs w:val="21"/>
                    </w:rPr>
                    <w:t>本次评价建议建设单位编制环境风险应急预案，并加强应急演练。</w:t>
                  </w:r>
                </w:p>
              </w:tc>
              <w:tc>
                <w:tcPr>
                  <w:tcW w:w="788" w:type="dxa"/>
                  <w:noWrap w:val="0"/>
                  <w:vAlign w:val="center"/>
                </w:tcPr>
                <w:p>
                  <w:pPr>
                    <w:autoSpaceDE w:val="0"/>
                    <w:autoSpaceDN w:val="0"/>
                    <w:snapToGrid w:val="0"/>
                    <w:jc w:val="center"/>
                    <w:rPr>
                      <w:snapToGrid w:val="0"/>
                      <w:color w:val="auto"/>
                      <w:szCs w:val="21"/>
                    </w:rPr>
                  </w:pPr>
                  <w:r>
                    <w:rPr>
                      <w:snapToGrid w:val="0"/>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41" w:type="dxa"/>
                  <w:vMerge w:val="continue"/>
                  <w:noWrap w:val="0"/>
                  <w:vAlign w:val="center"/>
                </w:tcPr>
                <w:p>
                  <w:pPr>
                    <w:autoSpaceDE w:val="0"/>
                    <w:autoSpaceDN w:val="0"/>
                    <w:snapToGrid w:val="0"/>
                    <w:jc w:val="center"/>
                    <w:rPr>
                      <w:snapToGrid w:val="0"/>
                      <w:color w:val="auto"/>
                      <w:szCs w:val="21"/>
                    </w:rPr>
                  </w:pPr>
                </w:p>
              </w:tc>
              <w:tc>
                <w:tcPr>
                  <w:tcW w:w="585" w:type="dxa"/>
                  <w:vMerge w:val="restart"/>
                  <w:noWrap w:val="0"/>
                  <w:vAlign w:val="center"/>
                </w:tcPr>
                <w:p>
                  <w:pPr>
                    <w:autoSpaceDE w:val="0"/>
                    <w:autoSpaceDN w:val="0"/>
                    <w:snapToGrid w:val="0"/>
                    <w:jc w:val="center"/>
                    <w:rPr>
                      <w:snapToGrid w:val="0"/>
                      <w:color w:val="auto"/>
                      <w:szCs w:val="21"/>
                    </w:rPr>
                  </w:pPr>
                  <w:r>
                    <w:rPr>
                      <w:snapToGrid w:val="0"/>
                      <w:color w:val="auto"/>
                      <w:szCs w:val="21"/>
                    </w:rPr>
                    <w:t>资源利用效率要求</w:t>
                  </w:r>
                </w:p>
              </w:tc>
              <w:tc>
                <w:tcPr>
                  <w:tcW w:w="1110" w:type="dxa"/>
                  <w:noWrap w:val="0"/>
                  <w:vAlign w:val="center"/>
                </w:tcPr>
                <w:p>
                  <w:pPr>
                    <w:autoSpaceDE w:val="0"/>
                    <w:autoSpaceDN w:val="0"/>
                    <w:snapToGrid w:val="0"/>
                    <w:jc w:val="center"/>
                    <w:rPr>
                      <w:snapToGrid w:val="0"/>
                      <w:color w:val="auto"/>
                      <w:szCs w:val="21"/>
                    </w:rPr>
                  </w:pPr>
                  <w:r>
                    <w:rPr>
                      <w:snapToGrid w:val="0"/>
                      <w:color w:val="auto"/>
                      <w:szCs w:val="21"/>
                    </w:rPr>
                    <w:t>水资源利用效率要求</w:t>
                  </w:r>
                </w:p>
              </w:tc>
              <w:tc>
                <w:tcPr>
                  <w:tcW w:w="2787" w:type="dxa"/>
                  <w:noWrap w:val="0"/>
                  <w:vAlign w:val="center"/>
                </w:tcPr>
                <w:p>
                  <w:pPr>
                    <w:autoSpaceDE w:val="0"/>
                    <w:autoSpaceDN w:val="0"/>
                    <w:snapToGrid w:val="0"/>
                    <w:jc w:val="center"/>
                    <w:rPr>
                      <w:snapToGrid w:val="0"/>
                      <w:color w:val="auto"/>
                      <w:szCs w:val="21"/>
                    </w:rPr>
                  </w:pPr>
                  <w:r>
                    <w:rPr>
                      <w:snapToGrid w:val="0"/>
                      <w:color w:val="auto"/>
                      <w:szCs w:val="21"/>
                    </w:rPr>
                    <w:t>农业灌溉水利用系数不低于0.505</w:t>
                  </w:r>
                </w:p>
              </w:tc>
              <w:tc>
                <w:tcPr>
                  <w:tcW w:w="2868" w:type="dxa"/>
                  <w:noWrap w:val="0"/>
                  <w:vAlign w:val="center"/>
                </w:tcPr>
                <w:p>
                  <w:pPr>
                    <w:autoSpaceDE w:val="0"/>
                    <w:autoSpaceDN w:val="0"/>
                    <w:snapToGrid w:val="0"/>
                    <w:jc w:val="center"/>
                    <w:rPr>
                      <w:snapToGrid w:val="0"/>
                      <w:color w:val="auto"/>
                      <w:szCs w:val="21"/>
                    </w:rPr>
                  </w:pPr>
                  <w:r>
                    <w:rPr>
                      <w:snapToGrid w:val="0"/>
                      <w:color w:val="auto"/>
                      <w:szCs w:val="21"/>
                    </w:rPr>
                    <w:t>本项目不涉及农业灌溉水利用。</w:t>
                  </w:r>
                </w:p>
              </w:tc>
              <w:tc>
                <w:tcPr>
                  <w:tcW w:w="788" w:type="dxa"/>
                  <w:noWrap w:val="0"/>
                  <w:vAlign w:val="center"/>
                </w:tcPr>
                <w:p>
                  <w:pPr>
                    <w:autoSpaceDE w:val="0"/>
                    <w:autoSpaceDN w:val="0"/>
                    <w:snapToGrid w:val="0"/>
                    <w:jc w:val="center"/>
                    <w:rPr>
                      <w:snapToGrid w:val="0"/>
                      <w:color w:val="auto"/>
                      <w:szCs w:val="21"/>
                    </w:rPr>
                  </w:pPr>
                  <w:r>
                    <w:rPr>
                      <w:snapToGrid w:val="0"/>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41" w:type="dxa"/>
                  <w:vMerge w:val="continue"/>
                  <w:noWrap w:val="0"/>
                  <w:vAlign w:val="center"/>
                </w:tcPr>
                <w:p>
                  <w:pPr>
                    <w:autoSpaceDE w:val="0"/>
                    <w:autoSpaceDN w:val="0"/>
                    <w:snapToGrid w:val="0"/>
                    <w:jc w:val="center"/>
                    <w:rPr>
                      <w:snapToGrid w:val="0"/>
                      <w:color w:val="auto"/>
                      <w:szCs w:val="21"/>
                    </w:rPr>
                  </w:pPr>
                </w:p>
              </w:tc>
              <w:tc>
                <w:tcPr>
                  <w:tcW w:w="585" w:type="dxa"/>
                  <w:vMerge w:val="continue"/>
                  <w:noWrap w:val="0"/>
                  <w:vAlign w:val="center"/>
                </w:tcPr>
                <w:p>
                  <w:pPr>
                    <w:autoSpaceDE w:val="0"/>
                    <w:autoSpaceDN w:val="0"/>
                    <w:snapToGrid w:val="0"/>
                    <w:jc w:val="center"/>
                    <w:rPr>
                      <w:snapToGrid w:val="0"/>
                      <w:color w:val="auto"/>
                      <w:szCs w:val="21"/>
                    </w:rPr>
                  </w:pPr>
                </w:p>
              </w:tc>
              <w:tc>
                <w:tcPr>
                  <w:tcW w:w="1110" w:type="dxa"/>
                  <w:noWrap w:val="0"/>
                  <w:vAlign w:val="center"/>
                </w:tcPr>
                <w:p>
                  <w:pPr>
                    <w:autoSpaceDE w:val="0"/>
                    <w:autoSpaceDN w:val="0"/>
                    <w:snapToGrid w:val="0"/>
                    <w:jc w:val="center"/>
                    <w:rPr>
                      <w:snapToGrid w:val="0"/>
                      <w:color w:val="auto"/>
                      <w:szCs w:val="21"/>
                    </w:rPr>
                  </w:pPr>
                  <w:r>
                    <w:rPr>
                      <w:snapToGrid w:val="0"/>
                      <w:color w:val="auto"/>
                      <w:szCs w:val="21"/>
                    </w:rPr>
                    <w:t>地下水开采要求</w:t>
                  </w:r>
                </w:p>
              </w:tc>
              <w:tc>
                <w:tcPr>
                  <w:tcW w:w="2787" w:type="dxa"/>
                  <w:noWrap w:val="0"/>
                  <w:vAlign w:val="center"/>
                </w:tcPr>
                <w:p>
                  <w:pPr>
                    <w:autoSpaceDE w:val="0"/>
                    <w:autoSpaceDN w:val="0"/>
                    <w:snapToGrid w:val="0"/>
                    <w:jc w:val="center"/>
                    <w:rPr>
                      <w:snapToGrid w:val="0"/>
                      <w:color w:val="auto"/>
                      <w:szCs w:val="21"/>
                    </w:rPr>
                  </w:pPr>
                  <w:r>
                    <w:rPr>
                      <w:snapToGrid w:val="0"/>
                      <w:color w:val="auto"/>
                      <w:szCs w:val="21"/>
                    </w:rPr>
                    <w:t>矿产资源开发时开采地下水遵照相关管理规定</w:t>
                  </w:r>
                </w:p>
              </w:tc>
              <w:tc>
                <w:tcPr>
                  <w:tcW w:w="2868" w:type="dxa"/>
                  <w:noWrap w:val="0"/>
                  <w:vAlign w:val="center"/>
                </w:tcPr>
                <w:p>
                  <w:pPr>
                    <w:autoSpaceDE w:val="0"/>
                    <w:autoSpaceDN w:val="0"/>
                    <w:snapToGrid w:val="0"/>
                    <w:jc w:val="center"/>
                    <w:rPr>
                      <w:snapToGrid w:val="0"/>
                      <w:color w:val="auto"/>
                      <w:szCs w:val="21"/>
                    </w:rPr>
                  </w:pPr>
                  <w:r>
                    <w:rPr>
                      <w:snapToGrid w:val="0"/>
                      <w:color w:val="auto"/>
                      <w:szCs w:val="21"/>
                    </w:rPr>
                    <w:t>本项目不属于矿产资源开发，也不涉及地下水开采。</w:t>
                  </w:r>
                </w:p>
              </w:tc>
              <w:tc>
                <w:tcPr>
                  <w:tcW w:w="788" w:type="dxa"/>
                  <w:noWrap w:val="0"/>
                  <w:vAlign w:val="center"/>
                </w:tcPr>
                <w:p>
                  <w:pPr>
                    <w:autoSpaceDE w:val="0"/>
                    <w:autoSpaceDN w:val="0"/>
                    <w:snapToGrid w:val="0"/>
                    <w:jc w:val="center"/>
                    <w:rPr>
                      <w:snapToGrid w:val="0"/>
                      <w:color w:val="auto"/>
                      <w:szCs w:val="21"/>
                    </w:rPr>
                  </w:pPr>
                  <w:r>
                    <w:rPr>
                      <w:snapToGrid w:val="0"/>
                      <w:color w:val="auto"/>
                      <w:szCs w:val="21"/>
                    </w:rPr>
                    <w:t>符合</w:t>
                  </w:r>
                </w:p>
              </w:tc>
            </w:tr>
          </w:tbl>
          <w:p>
            <w:pPr>
              <w:autoSpaceDE w:val="0"/>
              <w:autoSpaceDN w:val="0"/>
              <w:adjustRightInd w:val="0"/>
              <w:snapToGrid w:val="0"/>
              <w:ind w:firstLine="482" w:firstLineChars="200"/>
              <w:rPr>
                <w:b/>
                <w:bCs/>
                <w:color w:val="auto"/>
                <w:kern w:val="0"/>
                <w:sz w:val="24"/>
              </w:rPr>
            </w:pPr>
          </w:p>
          <w:p>
            <w:pPr>
              <w:autoSpaceDE w:val="0"/>
              <w:autoSpaceDN w:val="0"/>
              <w:adjustRightInd w:val="0"/>
              <w:snapToGrid w:val="0"/>
              <w:spacing w:line="360" w:lineRule="auto"/>
              <w:ind w:firstLine="480" w:firstLineChars="200"/>
              <w:rPr>
                <w:color w:val="auto"/>
                <w:kern w:val="0"/>
                <w:sz w:val="24"/>
              </w:rPr>
            </w:pPr>
            <w:r>
              <w:rPr>
                <w:color w:val="auto"/>
                <w:kern w:val="0"/>
                <w:sz w:val="24"/>
              </w:rPr>
              <w:t>根据上表可知，本项目符合</w:t>
            </w:r>
            <w:r>
              <w:rPr>
                <w:color w:val="auto"/>
                <w:sz w:val="24"/>
              </w:rPr>
              <w:t>《关于印发&lt;赣州市生态环境总体准人要求&gt;及&lt;赣州市环境管控单元生态环境准入清单&gt;的通知》(赣市环委办字〔2021〕5号)的要求。</w:t>
            </w:r>
          </w:p>
          <w:p>
            <w:pPr>
              <w:snapToGrid w:val="0"/>
              <w:spacing w:line="360" w:lineRule="auto"/>
              <w:ind w:firstLine="482" w:firstLineChars="200"/>
              <w:outlineLvl w:val="2"/>
              <w:rPr>
                <w:b/>
                <w:bCs/>
                <w:color w:val="auto"/>
                <w:sz w:val="24"/>
                <w:szCs w:val="28"/>
              </w:rPr>
            </w:pPr>
            <w:r>
              <w:rPr>
                <w:b/>
                <w:bCs/>
                <w:color w:val="auto"/>
                <w:kern w:val="0"/>
                <w:sz w:val="24"/>
              </w:rPr>
              <w:t>3、</w:t>
            </w:r>
            <w:r>
              <w:rPr>
                <w:b/>
                <w:bCs/>
                <w:color w:val="auto"/>
                <w:sz w:val="24"/>
                <w:szCs w:val="28"/>
              </w:rPr>
              <w:t>与《江西省长江经济带发展负面清单实施细则（试行，2022年版）》的相符性分析</w:t>
            </w:r>
          </w:p>
          <w:p>
            <w:pPr>
              <w:snapToGrid w:val="0"/>
              <w:spacing w:line="360" w:lineRule="auto"/>
              <w:ind w:firstLine="480" w:firstLineChars="200"/>
              <w:rPr>
                <w:snapToGrid w:val="0"/>
                <w:color w:val="auto"/>
                <w:kern w:val="0"/>
                <w:sz w:val="24"/>
              </w:rPr>
            </w:pPr>
            <w:r>
              <w:rPr>
                <w:snapToGrid w:val="0"/>
                <w:color w:val="auto"/>
                <w:kern w:val="0"/>
                <w:sz w:val="24"/>
              </w:rPr>
              <w:t>根据《江西省长江经济带发展负面清单实施细则（试行，2022年版）》中的要求，本项目与该文件的相符性分析详见下表：</w:t>
            </w:r>
          </w:p>
          <w:p>
            <w:pPr>
              <w:autoSpaceDE w:val="0"/>
              <w:autoSpaceDN w:val="0"/>
              <w:snapToGrid w:val="0"/>
              <w:jc w:val="center"/>
              <w:rPr>
                <w:b/>
                <w:bCs/>
                <w:snapToGrid w:val="0"/>
                <w:color w:val="auto"/>
                <w:kern w:val="0"/>
                <w:sz w:val="24"/>
              </w:rPr>
            </w:pPr>
          </w:p>
          <w:p>
            <w:pPr>
              <w:autoSpaceDE w:val="0"/>
              <w:autoSpaceDN w:val="0"/>
              <w:snapToGrid w:val="0"/>
              <w:jc w:val="center"/>
              <w:rPr>
                <w:b/>
                <w:bCs/>
                <w:snapToGrid w:val="0"/>
                <w:color w:val="auto"/>
                <w:kern w:val="0"/>
                <w:sz w:val="24"/>
              </w:rPr>
            </w:pPr>
          </w:p>
          <w:p>
            <w:pPr>
              <w:autoSpaceDE w:val="0"/>
              <w:autoSpaceDN w:val="0"/>
              <w:snapToGrid w:val="0"/>
              <w:jc w:val="center"/>
              <w:rPr>
                <w:b/>
                <w:bCs/>
                <w:snapToGrid w:val="0"/>
                <w:color w:val="auto"/>
                <w:kern w:val="0"/>
                <w:sz w:val="24"/>
              </w:rPr>
            </w:pPr>
          </w:p>
          <w:p>
            <w:pPr>
              <w:autoSpaceDE w:val="0"/>
              <w:autoSpaceDN w:val="0"/>
              <w:snapToGrid w:val="0"/>
              <w:jc w:val="center"/>
              <w:rPr>
                <w:b/>
                <w:bCs/>
                <w:color w:val="auto"/>
              </w:rPr>
            </w:pPr>
            <w:r>
              <w:rPr>
                <w:b/>
                <w:bCs/>
                <w:snapToGrid w:val="0"/>
                <w:color w:val="auto"/>
                <w:kern w:val="0"/>
                <w:sz w:val="24"/>
              </w:rPr>
              <w:t>表1-4  与江西省长江经济带发展负面清单相符性分析</w:t>
            </w:r>
          </w:p>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5596"/>
              <w:gridCol w:w="1951"/>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blHeader/>
              </w:trPr>
              <w:tc>
                <w:tcPr>
                  <w:tcW w:w="3393" w:type="pct"/>
                  <w:gridSpan w:val="2"/>
                  <w:shd w:val="clear" w:color="auto" w:fill="auto"/>
                  <w:noWrap w:val="0"/>
                  <w:vAlign w:val="center"/>
                </w:tcPr>
                <w:p>
                  <w:pPr>
                    <w:autoSpaceDE w:val="0"/>
                    <w:autoSpaceDN w:val="0"/>
                    <w:adjustRightInd w:val="0"/>
                    <w:jc w:val="center"/>
                    <w:rPr>
                      <w:b/>
                      <w:bCs/>
                      <w:color w:val="auto"/>
                      <w:szCs w:val="21"/>
                    </w:rPr>
                  </w:pPr>
                  <w:r>
                    <w:rPr>
                      <w:b/>
                      <w:bCs/>
                      <w:color w:val="auto"/>
                      <w:szCs w:val="21"/>
                    </w:rPr>
                    <w:t>文件要求</w:t>
                  </w:r>
                </w:p>
              </w:tc>
              <w:tc>
                <w:tcPr>
                  <w:tcW w:w="1087" w:type="pct"/>
                  <w:shd w:val="clear" w:color="auto" w:fill="auto"/>
                  <w:noWrap w:val="0"/>
                  <w:vAlign w:val="center"/>
                </w:tcPr>
                <w:p>
                  <w:pPr>
                    <w:autoSpaceDE w:val="0"/>
                    <w:autoSpaceDN w:val="0"/>
                    <w:adjustRightInd w:val="0"/>
                    <w:jc w:val="center"/>
                    <w:rPr>
                      <w:b/>
                      <w:bCs/>
                      <w:color w:val="auto"/>
                      <w:szCs w:val="21"/>
                    </w:rPr>
                  </w:pPr>
                  <w:r>
                    <w:rPr>
                      <w:b/>
                      <w:bCs/>
                      <w:color w:val="auto"/>
                      <w:szCs w:val="21"/>
                    </w:rPr>
                    <w:t>本项目情况</w:t>
                  </w:r>
                </w:p>
              </w:tc>
              <w:tc>
                <w:tcPr>
                  <w:tcW w:w="519" w:type="pct"/>
                  <w:shd w:val="clear" w:color="auto" w:fill="auto"/>
                  <w:noWrap w:val="0"/>
                  <w:vAlign w:val="center"/>
                </w:tcPr>
                <w:p>
                  <w:pPr>
                    <w:autoSpaceDE w:val="0"/>
                    <w:autoSpaceDN w:val="0"/>
                    <w:adjustRightInd w:val="0"/>
                    <w:jc w:val="center"/>
                    <w:rPr>
                      <w:b/>
                      <w:bCs/>
                      <w:color w:val="auto"/>
                      <w:szCs w:val="21"/>
                    </w:rPr>
                  </w:pPr>
                  <w:r>
                    <w:rPr>
                      <w:b/>
                      <w:bCs/>
                      <w:color w:val="auto"/>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276" w:type="pct"/>
                  <w:vMerge w:val="restart"/>
                  <w:shd w:val="clear" w:color="auto" w:fill="auto"/>
                  <w:noWrap w:val="0"/>
                  <w:vAlign w:val="center"/>
                </w:tcPr>
                <w:p>
                  <w:pPr>
                    <w:autoSpaceDE w:val="0"/>
                    <w:autoSpaceDN w:val="0"/>
                    <w:adjustRightInd w:val="0"/>
                    <w:jc w:val="center"/>
                    <w:rPr>
                      <w:color w:val="auto"/>
                      <w:szCs w:val="21"/>
                    </w:rPr>
                  </w:pPr>
                  <w:r>
                    <w:rPr>
                      <w:color w:val="auto"/>
                      <w:szCs w:val="21"/>
                    </w:rPr>
                    <w:t>严格岸线河段管控</w:t>
                  </w:r>
                </w:p>
              </w:tc>
              <w:tc>
                <w:tcPr>
                  <w:tcW w:w="3117" w:type="pct"/>
                  <w:shd w:val="clear" w:color="auto" w:fill="auto"/>
                  <w:noWrap w:val="0"/>
                  <w:vAlign w:val="center"/>
                </w:tcPr>
                <w:p>
                  <w:pPr>
                    <w:autoSpaceDE w:val="0"/>
                    <w:autoSpaceDN w:val="0"/>
                    <w:adjustRightInd w:val="0"/>
                    <w:jc w:val="center"/>
                    <w:rPr>
                      <w:color w:val="auto"/>
                      <w:szCs w:val="21"/>
                    </w:rPr>
                  </w:pPr>
                  <w:r>
                    <w:rPr>
                      <w:color w:val="auto"/>
                      <w:szCs w:val="21"/>
                    </w:rPr>
                    <w:t>禁止建设不符合国家和省级港口布局规划以及港口总体规划的码头项目。禁止建设不符合《长江干线过江通道布局规划》的过长江通道项目。</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本项目不涉及港口、过长江通道</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276" w:type="pct"/>
                  <w:vMerge w:val="continue"/>
                  <w:shd w:val="clear" w:color="auto" w:fill="auto"/>
                  <w:noWrap w:val="0"/>
                  <w:vAlign w:val="center"/>
                </w:tcPr>
                <w:p>
                  <w:pPr>
                    <w:autoSpaceDE w:val="0"/>
                    <w:autoSpaceDN w:val="0"/>
                    <w:adjustRightInd w:val="0"/>
                    <w:jc w:val="center"/>
                    <w:rPr>
                      <w:color w:val="auto"/>
                      <w:szCs w:val="21"/>
                    </w:rPr>
                  </w:pPr>
                </w:p>
              </w:tc>
              <w:tc>
                <w:tcPr>
                  <w:tcW w:w="3117" w:type="pct"/>
                  <w:shd w:val="clear" w:color="auto" w:fill="auto"/>
                  <w:noWrap w:val="0"/>
                  <w:vAlign w:val="center"/>
                </w:tcPr>
                <w:p>
                  <w:pPr>
                    <w:autoSpaceDE w:val="0"/>
                    <w:autoSpaceDN w:val="0"/>
                    <w:adjustRightInd w:val="0"/>
                    <w:jc w:val="center"/>
                    <w:rPr>
                      <w:color w:val="auto"/>
                      <w:szCs w:val="21"/>
                    </w:rPr>
                  </w:pPr>
                  <w:r>
                    <w:rPr>
                      <w:color w:val="auto"/>
                    </w:rPr>
                    <w:t>禁止在自然保护区核心区、缓冲区的岸线和河段范围内投资建设旅游和生产经营项目。</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本项目不涉及自然保护区</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blHeader/>
              </w:trPr>
              <w:tc>
                <w:tcPr>
                  <w:tcW w:w="276" w:type="pct"/>
                  <w:vMerge w:val="continue"/>
                  <w:shd w:val="clear" w:color="auto" w:fill="auto"/>
                  <w:noWrap w:val="0"/>
                  <w:vAlign w:val="center"/>
                </w:tcPr>
                <w:p>
                  <w:pPr>
                    <w:autoSpaceDE w:val="0"/>
                    <w:autoSpaceDN w:val="0"/>
                    <w:adjustRightInd w:val="0"/>
                    <w:jc w:val="center"/>
                    <w:rPr>
                      <w:color w:val="auto"/>
                      <w:szCs w:val="21"/>
                    </w:rPr>
                  </w:pPr>
                </w:p>
              </w:tc>
              <w:tc>
                <w:tcPr>
                  <w:tcW w:w="3117" w:type="pct"/>
                  <w:shd w:val="clear" w:color="auto" w:fill="auto"/>
                  <w:noWrap w:val="0"/>
                  <w:vAlign w:val="center"/>
                </w:tcPr>
                <w:p>
                  <w:pPr>
                    <w:autoSpaceDE w:val="0"/>
                    <w:autoSpaceDN w:val="0"/>
                    <w:adjustRightInd w:val="0"/>
                    <w:jc w:val="center"/>
                    <w:rPr>
                      <w:color w:val="auto"/>
                      <w:szCs w:val="21"/>
                    </w:rPr>
                  </w:pPr>
                  <w:r>
                    <w:rPr>
                      <w:color w:val="auto"/>
                    </w:rPr>
                    <w:t>禁止在风景名胜区核心景区的岸线和河段范围内开展以下行为：（一）开山、采石、开矿、开荒、修坟立碑等破坏景观、植被和地形地貌的活动。（二）修建储存爆炸性、易燃性、放射性、毒害性、腐蚀性物品的设施。（三）违反风景名胜区规划，建设与风景名胜资源保护无关的设施。</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本项目不涉及风景名胜区</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276" w:type="pct"/>
                  <w:vMerge w:val="continue"/>
                  <w:shd w:val="clear" w:color="auto" w:fill="auto"/>
                  <w:noWrap w:val="0"/>
                  <w:vAlign w:val="center"/>
                </w:tcPr>
                <w:p>
                  <w:pPr>
                    <w:autoSpaceDE w:val="0"/>
                    <w:autoSpaceDN w:val="0"/>
                    <w:adjustRightInd w:val="0"/>
                    <w:jc w:val="center"/>
                    <w:rPr>
                      <w:color w:val="auto"/>
                      <w:szCs w:val="21"/>
                    </w:rPr>
                  </w:pPr>
                </w:p>
              </w:tc>
              <w:tc>
                <w:tcPr>
                  <w:tcW w:w="3117" w:type="pct"/>
                  <w:shd w:val="clear" w:color="auto" w:fill="auto"/>
                  <w:noWrap w:val="0"/>
                  <w:vAlign w:val="center"/>
                </w:tcPr>
                <w:p>
                  <w:pPr>
                    <w:autoSpaceDE w:val="0"/>
                    <w:autoSpaceDN w:val="0"/>
                    <w:adjustRightInd w:val="0"/>
                    <w:jc w:val="center"/>
                    <w:rPr>
                      <w:color w:val="auto"/>
                      <w:szCs w:val="21"/>
                    </w:rPr>
                  </w:pPr>
                  <w:r>
                    <w:rPr>
                      <w:color w:val="auto"/>
                    </w:rPr>
                    <w:t>禁止在饮用水水源一级保护区的岸线和河段范围内开展下列行为：（一）新建、改建、扩建与供水设施和保护水源无关的建设项目；已建成的与供水设施和保护水源无关的建设项目，由县级以上人民政府责令拆除或者关闭。（二）禁止在饮用水水源一级保护区内从事网箱养殖、旅游、游泳、垂钓或者其他可能污染饮用水水体的活动。</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本项目不涉及饮用水水源保护区</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276" w:type="pct"/>
                  <w:vMerge w:val="continue"/>
                  <w:shd w:val="clear" w:color="auto" w:fill="auto"/>
                  <w:noWrap w:val="0"/>
                  <w:vAlign w:val="center"/>
                </w:tcPr>
                <w:p>
                  <w:pPr>
                    <w:autoSpaceDE w:val="0"/>
                    <w:autoSpaceDN w:val="0"/>
                    <w:adjustRightInd w:val="0"/>
                    <w:jc w:val="center"/>
                    <w:rPr>
                      <w:color w:val="auto"/>
                      <w:szCs w:val="21"/>
                    </w:rPr>
                  </w:pPr>
                </w:p>
              </w:tc>
              <w:tc>
                <w:tcPr>
                  <w:tcW w:w="3117" w:type="pct"/>
                  <w:shd w:val="clear" w:color="auto" w:fill="auto"/>
                  <w:noWrap w:val="0"/>
                  <w:vAlign w:val="center"/>
                </w:tcPr>
                <w:p>
                  <w:pPr>
                    <w:autoSpaceDE w:val="0"/>
                    <w:autoSpaceDN w:val="0"/>
                    <w:adjustRightInd w:val="0"/>
                    <w:jc w:val="center"/>
                    <w:rPr>
                      <w:color w:val="auto"/>
                      <w:szCs w:val="21"/>
                    </w:rPr>
                  </w:pPr>
                  <w:r>
                    <w:rPr>
                      <w:color w:val="auto"/>
                      <w:szCs w:val="21"/>
                    </w:rPr>
                    <w:t>禁止在饮用水水源二级保护区的岸线和河段范围内开展下列行为：（一）新建、改建、扩建排放污染物的建设项目；已建成的排放污染物的建设项目，由县级以上人民政府责令拆除或者关闭。（二）在饮用水水源二级保护区内从事网箱养殖、旅游等活动的，应当按照规定采取措施，防止污染饮用水水体。</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本项目不涉及饮用水水源保护区</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276" w:type="pct"/>
                  <w:vMerge w:val="continue"/>
                  <w:shd w:val="clear" w:color="auto" w:fill="auto"/>
                  <w:noWrap w:val="0"/>
                  <w:vAlign w:val="center"/>
                </w:tcPr>
                <w:p>
                  <w:pPr>
                    <w:autoSpaceDE w:val="0"/>
                    <w:autoSpaceDN w:val="0"/>
                    <w:adjustRightInd w:val="0"/>
                    <w:jc w:val="center"/>
                    <w:rPr>
                      <w:color w:val="auto"/>
                      <w:szCs w:val="21"/>
                    </w:rPr>
                  </w:pPr>
                </w:p>
              </w:tc>
              <w:tc>
                <w:tcPr>
                  <w:tcW w:w="3117" w:type="pct"/>
                  <w:shd w:val="clear" w:color="auto" w:fill="auto"/>
                  <w:noWrap w:val="0"/>
                  <w:vAlign w:val="center"/>
                </w:tcPr>
                <w:p>
                  <w:pPr>
                    <w:autoSpaceDE w:val="0"/>
                    <w:autoSpaceDN w:val="0"/>
                    <w:adjustRightInd w:val="0"/>
                    <w:jc w:val="center"/>
                    <w:rPr>
                      <w:color w:val="auto"/>
                      <w:szCs w:val="21"/>
                    </w:rPr>
                  </w:pPr>
                  <w:r>
                    <w:rPr>
                      <w:color w:val="auto"/>
                    </w:rPr>
                    <w:t>禁止在水产种质资源保护区的岸线和河段范围内新建围湖（河）造田（地）等投资建设项目。单位和个人在水产种质资源保护区内从事水生生物资源调查、科学研究、教学实习、参观游览、影视拍摄等活动，应当遵守有关法律法规和保护区管理制度，不得损害水产种质资源及其生存环境。</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本项目不涉及水产种质资源保护区</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276" w:type="pct"/>
                  <w:vMerge w:val="continue"/>
                  <w:shd w:val="clear" w:color="auto" w:fill="auto"/>
                  <w:noWrap w:val="0"/>
                  <w:vAlign w:val="center"/>
                </w:tcPr>
                <w:p>
                  <w:pPr>
                    <w:autoSpaceDE w:val="0"/>
                    <w:autoSpaceDN w:val="0"/>
                    <w:adjustRightInd w:val="0"/>
                    <w:jc w:val="center"/>
                    <w:rPr>
                      <w:color w:val="auto"/>
                      <w:szCs w:val="21"/>
                    </w:rPr>
                  </w:pPr>
                </w:p>
              </w:tc>
              <w:tc>
                <w:tcPr>
                  <w:tcW w:w="3117" w:type="pct"/>
                  <w:shd w:val="clear" w:color="auto" w:fill="auto"/>
                  <w:noWrap w:val="0"/>
                  <w:vAlign w:val="center"/>
                </w:tcPr>
                <w:p>
                  <w:pPr>
                    <w:autoSpaceDE w:val="0"/>
                    <w:autoSpaceDN w:val="0"/>
                    <w:adjustRightInd w:val="0"/>
                    <w:jc w:val="center"/>
                    <w:rPr>
                      <w:color w:val="auto"/>
                      <w:szCs w:val="21"/>
                    </w:rPr>
                  </w:pPr>
                  <w:r>
                    <w:rPr>
                      <w:color w:val="auto"/>
                    </w:rPr>
                    <w:t>除国家规定的外，禁止在国家湿地公园的岸线和河段范围内挖沙、采矿以及任何不符合主体功能定位的投资建设项目</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本项目不涉及国家湿地公园</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276" w:type="pct"/>
                  <w:vMerge w:val="continue"/>
                  <w:shd w:val="clear" w:color="auto" w:fill="auto"/>
                  <w:noWrap w:val="0"/>
                  <w:vAlign w:val="center"/>
                </w:tcPr>
                <w:p>
                  <w:pPr>
                    <w:autoSpaceDE w:val="0"/>
                    <w:autoSpaceDN w:val="0"/>
                    <w:adjustRightInd w:val="0"/>
                    <w:jc w:val="center"/>
                    <w:rPr>
                      <w:color w:val="auto"/>
                      <w:szCs w:val="21"/>
                    </w:rPr>
                  </w:pPr>
                </w:p>
              </w:tc>
              <w:tc>
                <w:tcPr>
                  <w:tcW w:w="3117" w:type="pct"/>
                  <w:shd w:val="clear" w:color="auto" w:fill="auto"/>
                  <w:noWrap w:val="0"/>
                  <w:vAlign w:val="center"/>
                </w:tcPr>
                <w:p>
                  <w:pPr>
                    <w:autoSpaceDE w:val="0"/>
                    <w:autoSpaceDN w:val="0"/>
                    <w:adjustRightInd w:val="0"/>
                    <w:jc w:val="center"/>
                    <w:rPr>
                      <w:color w:val="auto"/>
                      <w:szCs w:val="21"/>
                    </w:rPr>
                  </w:pPr>
                  <w:r>
                    <w:rPr>
                      <w:color w:val="auto"/>
                    </w:rPr>
                    <w:t>禁止违法利用、占用长江流域河湖岸线。禁止在《长江岸线保护和开发利用总体规划》划定的岸线保护区和保留区内投资建设除事关公共安全及公众利益的防洪护岸、河道治理、供水、生态环境保护、航道整治、国家重要基础设施以外的项目。</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本项目不涉及长江流域河湖岸线</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276" w:type="pct"/>
                  <w:vMerge w:val="continue"/>
                  <w:shd w:val="clear" w:color="auto" w:fill="auto"/>
                  <w:noWrap w:val="0"/>
                  <w:vAlign w:val="center"/>
                </w:tcPr>
                <w:p>
                  <w:pPr>
                    <w:autoSpaceDE w:val="0"/>
                    <w:autoSpaceDN w:val="0"/>
                    <w:adjustRightInd w:val="0"/>
                    <w:jc w:val="center"/>
                    <w:rPr>
                      <w:color w:val="auto"/>
                      <w:szCs w:val="21"/>
                    </w:rPr>
                  </w:pPr>
                </w:p>
              </w:tc>
              <w:tc>
                <w:tcPr>
                  <w:tcW w:w="3117" w:type="pct"/>
                  <w:shd w:val="clear" w:color="auto" w:fill="auto"/>
                  <w:noWrap w:val="0"/>
                  <w:vAlign w:val="center"/>
                </w:tcPr>
                <w:p>
                  <w:pPr>
                    <w:autoSpaceDE w:val="0"/>
                    <w:autoSpaceDN w:val="0"/>
                    <w:adjustRightInd w:val="0"/>
                    <w:jc w:val="center"/>
                    <w:rPr>
                      <w:color w:val="auto"/>
                      <w:szCs w:val="21"/>
                    </w:rPr>
                  </w:pPr>
                  <w:r>
                    <w:rPr>
                      <w:color w:val="auto"/>
                    </w:rPr>
                    <w:t>禁止在《全国重要江河湖泊水功能区划》划定的河段及湖泊保护区、保留区内投资建设不利于水资源及自然生态保护的项目。</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本项目不涉及河段及湖泊保护区、保留区</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276" w:type="pct"/>
                  <w:vMerge w:val="restart"/>
                  <w:shd w:val="clear" w:color="auto" w:fill="auto"/>
                  <w:noWrap w:val="0"/>
                  <w:vAlign w:val="center"/>
                </w:tcPr>
                <w:p>
                  <w:pPr>
                    <w:autoSpaceDE w:val="0"/>
                    <w:autoSpaceDN w:val="0"/>
                    <w:adjustRightInd w:val="0"/>
                    <w:jc w:val="center"/>
                    <w:rPr>
                      <w:color w:val="auto"/>
                      <w:szCs w:val="21"/>
                    </w:rPr>
                  </w:pPr>
                  <w:r>
                    <w:rPr>
                      <w:color w:val="auto"/>
                      <w:szCs w:val="21"/>
                    </w:rPr>
                    <w:t>严格区域管控</w:t>
                  </w:r>
                </w:p>
              </w:tc>
              <w:tc>
                <w:tcPr>
                  <w:tcW w:w="3117" w:type="pct"/>
                  <w:shd w:val="clear" w:color="auto" w:fill="auto"/>
                  <w:noWrap w:val="0"/>
                  <w:vAlign w:val="center"/>
                </w:tcPr>
                <w:p>
                  <w:pPr>
                    <w:autoSpaceDE w:val="0"/>
                    <w:autoSpaceDN w:val="0"/>
                    <w:adjustRightInd w:val="0"/>
                    <w:jc w:val="center"/>
                    <w:rPr>
                      <w:color w:val="auto"/>
                    </w:rPr>
                  </w:pPr>
                  <w:r>
                    <w:rPr>
                      <w:color w:val="auto"/>
                    </w:rPr>
                    <w:t>禁止未经许可在长江干支流及湖泊新设、改设或扩大排污口。</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本项目不涉及排污口</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276" w:type="pct"/>
                  <w:vMerge w:val="continue"/>
                  <w:shd w:val="clear" w:color="auto" w:fill="auto"/>
                  <w:noWrap w:val="0"/>
                  <w:vAlign w:val="center"/>
                </w:tcPr>
                <w:p>
                  <w:pPr>
                    <w:autoSpaceDE w:val="0"/>
                    <w:autoSpaceDN w:val="0"/>
                    <w:adjustRightInd w:val="0"/>
                    <w:jc w:val="center"/>
                    <w:rPr>
                      <w:color w:val="auto"/>
                      <w:szCs w:val="21"/>
                    </w:rPr>
                  </w:pPr>
                </w:p>
              </w:tc>
              <w:tc>
                <w:tcPr>
                  <w:tcW w:w="3117" w:type="pct"/>
                  <w:shd w:val="clear" w:color="auto" w:fill="auto"/>
                  <w:noWrap w:val="0"/>
                  <w:vAlign w:val="center"/>
                </w:tcPr>
                <w:p>
                  <w:pPr>
                    <w:autoSpaceDE w:val="0"/>
                    <w:autoSpaceDN w:val="0"/>
                    <w:adjustRightInd w:val="0"/>
                    <w:jc w:val="center"/>
                    <w:rPr>
                      <w:color w:val="auto"/>
                    </w:rPr>
                  </w:pPr>
                  <w:r>
                    <w:rPr>
                      <w:color w:val="auto"/>
                    </w:rPr>
                    <w:t>禁止在长江干流江西段、鄱阳湖和《率先全面禁捕的长江流域水生生物保护区名录》中的水生生物保护区开展生产性捕捞。</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本项目为其他非金属矿物制品制造，且不在长江干流江西段、鄱阳湖范围内</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276" w:type="pct"/>
                  <w:vMerge w:val="continue"/>
                  <w:shd w:val="clear" w:color="auto" w:fill="auto"/>
                  <w:noWrap w:val="0"/>
                  <w:vAlign w:val="center"/>
                </w:tcPr>
                <w:p>
                  <w:pPr>
                    <w:autoSpaceDE w:val="0"/>
                    <w:autoSpaceDN w:val="0"/>
                    <w:adjustRightInd w:val="0"/>
                    <w:jc w:val="center"/>
                    <w:rPr>
                      <w:color w:val="auto"/>
                      <w:szCs w:val="21"/>
                    </w:rPr>
                  </w:pPr>
                </w:p>
              </w:tc>
              <w:tc>
                <w:tcPr>
                  <w:tcW w:w="3117" w:type="pct"/>
                  <w:shd w:val="clear" w:color="auto" w:fill="auto"/>
                  <w:noWrap w:val="0"/>
                  <w:vAlign w:val="center"/>
                </w:tcPr>
                <w:p>
                  <w:pPr>
                    <w:autoSpaceDE w:val="0"/>
                    <w:autoSpaceDN w:val="0"/>
                    <w:adjustRightInd w:val="0"/>
                    <w:jc w:val="center"/>
                    <w:rPr>
                      <w:color w:val="auto"/>
                    </w:rPr>
                  </w:pPr>
                  <w:r>
                    <w:rPr>
                      <w:color w:val="auto"/>
                    </w:rPr>
                    <w:t>禁止在长江干支流、重要湖泊岸线一公里范围内新建、扩建化工园区和化工项目。</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本项目不涉及长江干支流、重要湖泊岸线</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276" w:type="pct"/>
                  <w:vMerge w:val="continue"/>
                  <w:shd w:val="clear" w:color="auto" w:fill="auto"/>
                  <w:noWrap w:val="0"/>
                  <w:vAlign w:val="center"/>
                </w:tcPr>
                <w:p>
                  <w:pPr>
                    <w:autoSpaceDE w:val="0"/>
                    <w:autoSpaceDN w:val="0"/>
                    <w:adjustRightInd w:val="0"/>
                    <w:jc w:val="center"/>
                    <w:rPr>
                      <w:color w:val="auto"/>
                      <w:szCs w:val="21"/>
                    </w:rPr>
                  </w:pPr>
                </w:p>
              </w:tc>
              <w:tc>
                <w:tcPr>
                  <w:tcW w:w="3117" w:type="pct"/>
                  <w:shd w:val="clear" w:color="auto" w:fill="auto"/>
                  <w:noWrap w:val="0"/>
                  <w:vAlign w:val="center"/>
                </w:tcPr>
                <w:p>
                  <w:pPr>
                    <w:autoSpaceDE w:val="0"/>
                    <w:autoSpaceDN w:val="0"/>
                    <w:adjustRightInd w:val="0"/>
                    <w:jc w:val="center"/>
                    <w:rPr>
                      <w:color w:val="auto"/>
                    </w:rPr>
                  </w:pPr>
                  <w:r>
                    <w:rPr>
                      <w:color w:val="auto"/>
                    </w:rPr>
                    <w:t>禁止在长江干流岸线三公里范围内和重要支流岸线一公里范围内新建、改建、扩建尾矿库、冶炼渣库和磷石膏库，以提升安全、生态环境保护水平为目的的改建除外。</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本项目不涉及长江干流岸线和重要支流岸线</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276" w:type="pct"/>
                  <w:vMerge w:val="continue"/>
                  <w:shd w:val="clear" w:color="auto" w:fill="auto"/>
                  <w:noWrap w:val="0"/>
                  <w:vAlign w:val="center"/>
                </w:tcPr>
                <w:p>
                  <w:pPr>
                    <w:autoSpaceDE w:val="0"/>
                    <w:autoSpaceDN w:val="0"/>
                    <w:adjustRightInd w:val="0"/>
                    <w:jc w:val="center"/>
                    <w:rPr>
                      <w:color w:val="auto"/>
                      <w:szCs w:val="21"/>
                    </w:rPr>
                  </w:pPr>
                </w:p>
              </w:tc>
              <w:tc>
                <w:tcPr>
                  <w:tcW w:w="3117" w:type="pct"/>
                  <w:shd w:val="clear" w:color="auto" w:fill="auto"/>
                  <w:noWrap w:val="0"/>
                  <w:vAlign w:val="center"/>
                </w:tcPr>
                <w:p>
                  <w:pPr>
                    <w:autoSpaceDE w:val="0"/>
                    <w:autoSpaceDN w:val="0"/>
                    <w:adjustRightInd w:val="0"/>
                    <w:jc w:val="center"/>
                    <w:rPr>
                      <w:color w:val="auto"/>
                    </w:rPr>
                  </w:pPr>
                  <w:r>
                    <w:rPr>
                      <w:color w:val="auto"/>
                    </w:rPr>
                    <w:t>禁止在合规园区外新建、扩建钢铁、石化、化工、焦化、建材、有色、制浆造纸等高污染项目。</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本项目为其他非金属矿物制品制造，不属于高污染项目</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blHeader/>
              </w:trPr>
              <w:tc>
                <w:tcPr>
                  <w:tcW w:w="276" w:type="pct"/>
                  <w:vMerge w:val="restart"/>
                  <w:shd w:val="clear" w:color="auto" w:fill="auto"/>
                  <w:noWrap w:val="0"/>
                  <w:vAlign w:val="center"/>
                </w:tcPr>
                <w:p>
                  <w:pPr>
                    <w:autoSpaceDE w:val="0"/>
                    <w:autoSpaceDN w:val="0"/>
                    <w:adjustRightInd w:val="0"/>
                    <w:jc w:val="center"/>
                    <w:rPr>
                      <w:color w:val="auto"/>
                      <w:szCs w:val="21"/>
                    </w:rPr>
                  </w:pPr>
                  <w:r>
                    <w:rPr>
                      <w:color w:val="auto"/>
                      <w:szCs w:val="21"/>
                    </w:rPr>
                    <w:t>严格产业准入</w:t>
                  </w:r>
                </w:p>
              </w:tc>
              <w:tc>
                <w:tcPr>
                  <w:tcW w:w="3117" w:type="pct"/>
                  <w:shd w:val="clear" w:color="auto" w:fill="auto"/>
                  <w:noWrap w:val="0"/>
                  <w:vAlign w:val="center"/>
                </w:tcPr>
                <w:p>
                  <w:pPr>
                    <w:autoSpaceDE w:val="0"/>
                    <w:autoSpaceDN w:val="0"/>
                    <w:adjustRightInd w:val="0"/>
                    <w:jc w:val="center"/>
                    <w:rPr>
                      <w:color w:val="auto"/>
                    </w:rPr>
                  </w:pPr>
                  <w:r>
                    <w:rPr>
                      <w:color w:val="auto"/>
                    </w:rPr>
                    <w:t>禁止新建、扩建不符合国家石化、现代煤化工等产业布局规划的项目。</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本项目为其他非金属矿物制品制造，不属于国家石化、现代煤业化工等产业布局规划的项目</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276" w:type="pct"/>
                  <w:vMerge w:val="continue"/>
                  <w:shd w:val="clear" w:color="auto" w:fill="auto"/>
                  <w:noWrap w:val="0"/>
                  <w:vAlign w:val="center"/>
                </w:tcPr>
                <w:p>
                  <w:pPr>
                    <w:autoSpaceDE w:val="0"/>
                    <w:autoSpaceDN w:val="0"/>
                    <w:adjustRightInd w:val="0"/>
                    <w:jc w:val="center"/>
                    <w:rPr>
                      <w:color w:val="auto"/>
                      <w:szCs w:val="21"/>
                    </w:rPr>
                  </w:pPr>
                </w:p>
              </w:tc>
              <w:tc>
                <w:tcPr>
                  <w:tcW w:w="3117" w:type="pct"/>
                  <w:shd w:val="clear" w:color="auto" w:fill="auto"/>
                  <w:noWrap w:val="0"/>
                  <w:vAlign w:val="center"/>
                </w:tcPr>
                <w:p>
                  <w:pPr>
                    <w:autoSpaceDE w:val="0"/>
                    <w:autoSpaceDN w:val="0"/>
                    <w:adjustRightInd w:val="0"/>
                    <w:jc w:val="center"/>
                    <w:rPr>
                      <w:color w:val="auto"/>
                    </w:rPr>
                  </w:pPr>
                  <w:r>
                    <w:rPr>
                      <w:color w:val="auto"/>
                    </w:rPr>
                    <w:t>禁止新建、扩建法律法规和相关政策明令禁止的落后产能项目，严格执行《产业结构调整指导目录》中淘汰类和限制类有关规定，禁止开展投资建设属于淘汰类的项目及其相关活动，禁止开展投资新建、扩建属于限制类的项目及其相关活动。对于属于限制类的现有生产能力，允许企业在一定期限内采取措施改造升级，严禁以改造为名扩大产能。</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属于其他非金属矿物制品制造，行业类别及所使用的原材料、生产设备、生产工艺均不属于《产业结构调整指导目录（2019年本）》中的鼓励类，也不属于其中的限制类和淘汰类，可视为允许类；本项目也不属于《国家发展改革委商务部关于印发&lt;市场准入负面清单（2020年版）&gt;的通知》（发改体改〔2020〕1880号）中的限制类和淘汰类项目；同时，本项目已取得了宁都县行政审批局出具的备案通知书。</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276" w:type="pct"/>
                  <w:vMerge w:val="continue"/>
                  <w:shd w:val="clear" w:color="auto" w:fill="auto"/>
                  <w:noWrap w:val="0"/>
                  <w:vAlign w:val="center"/>
                </w:tcPr>
                <w:p>
                  <w:pPr>
                    <w:autoSpaceDE w:val="0"/>
                    <w:autoSpaceDN w:val="0"/>
                    <w:adjustRightInd w:val="0"/>
                    <w:jc w:val="center"/>
                    <w:rPr>
                      <w:color w:val="auto"/>
                      <w:szCs w:val="21"/>
                    </w:rPr>
                  </w:pPr>
                </w:p>
              </w:tc>
              <w:tc>
                <w:tcPr>
                  <w:tcW w:w="3117" w:type="pct"/>
                  <w:shd w:val="clear" w:color="auto" w:fill="auto"/>
                  <w:noWrap w:val="0"/>
                  <w:vAlign w:val="center"/>
                </w:tcPr>
                <w:p>
                  <w:pPr>
                    <w:autoSpaceDE w:val="0"/>
                    <w:autoSpaceDN w:val="0"/>
                    <w:adjustRightInd w:val="0"/>
                    <w:jc w:val="center"/>
                    <w:rPr>
                      <w:color w:val="auto"/>
                    </w:rPr>
                  </w:pPr>
                  <w:r>
                    <w:rPr>
                      <w:color w:val="auto"/>
                    </w:rPr>
                    <w:t>禁止新建、扩建不符合国家产能置换要求的钢铁、电解铝、水泥熟料、平板玻璃、船舶等严重过剩产能行业的项目。严格执行《国务院关于化解产能严重过剩矛盾的指导意见》，各地各部门不得以任何名义、任何方式新增产能片；对确有必要建设的，必须严格执行产能置换实施办法，实施减量或等量置换，依法依规办理有关手续。</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本项目为其他非金属矿物制品制造，不属于严重过剩产能行业</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276" w:type="pct"/>
                  <w:vMerge w:val="continue"/>
                  <w:shd w:val="clear" w:color="auto" w:fill="auto"/>
                  <w:noWrap w:val="0"/>
                  <w:vAlign w:val="center"/>
                </w:tcPr>
                <w:p>
                  <w:pPr>
                    <w:autoSpaceDE w:val="0"/>
                    <w:autoSpaceDN w:val="0"/>
                    <w:adjustRightInd w:val="0"/>
                    <w:jc w:val="center"/>
                    <w:rPr>
                      <w:color w:val="auto"/>
                      <w:szCs w:val="21"/>
                    </w:rPr>
                  </w:pPr>
                </w:p>
              </w:tc>
              <w:tc>
                <w:tcPr>
                  <w:tcW w:w="3117" w:type="pct"/>
                  <w:shd w:val="clear" w:color="auto" w:fill="auto"/>
                  <w:noWrap w:val="0"/>
                  <w:vAlign w:val="center"/>
                </w:tcPr>
                <w:p>
                  <w:pPr>
                    <w:autoSpaceDE w:val="0"/>
                    <w:autoSpaceDN w:val="0"/>
                    <w:adjustRightInd w:val="0"/>
                    <w:jc w:val="center"/>
                    <w:rPr>
                      <w:color w:val="auto"/>
                    </w:rPr>
                  </w:pPr>
                  <w:r>
                    <w:rPr>
                      <w:color w:val="auto"/>
                    </w:rPr>
                    <w:t>禁止新建、扩建不符合要求的高耗能高排放项目。严格执行《江西省人民政府办公厅关于严格高耗能高排放项目准入管理的实施意见》(赣府厅发〔2021〕33号)，加强项目审查论证，落实等量、减量替代要求，规范项目行政审批。</w:t>
                  </w:r>
                </w:p>
              </w:tc>
              <w:tc>
                <w:tcPr>
                  <w:tcW w:w="1087" w:type="pct"/>
                  <w:shd w:val="clear" w:color="auto" w:fill="auto"/>
                  <w:noWrap w:val="0"/>
                  <w:vAlign w:val="center"/>
                </w:tcPr>
                <w:p>
                  <w:pPr>
                    <w:autoSpaceDE w:val="0"/>
                    <w:autoSpaceDN w:val="0"/>
                    <w:adjustRightInd w:val="0"/>
                    <w:jc w:val="center"/>
                    <w:rPr>
                      <w:color w:val="auto"/>
                      <w:szCs w:val="21"/>
                    </w:rPr>
                  </w:pPr>
                  <w:r>
                    <w:rPr>
                      <w:color w:val="auto"/>
                      <w:szCs w:val="21"/>
                    </w:rPr>
                    <w:t>本项目属于不属于高耗能高排放项目</w:t>
                  </w:r>
                </w:p>
              </w:tc>
              <w:tc>
                <w:tcPr>
                  <w:tcW w:w="519" w:type="pct"/>
                  <w:shd w:val="clear" w:color="auto" w:fill="auto"/>
                  <w:noWrap w:val="0"/>
                  <w:vAlign w:val="center"/>
                </w:tcPr>
                <w:p>
                  <w:pPr>
                    <w:autoSpaceDE w:val="0"/>
                    <w:autoSpaceDN w:val="0"/>
                    <w:adjustRightInd w:val="0"/>
                    <w:jc w:val="center"/>
                    <w:rPr>
                      <w:color w:val="auto"/>
                      <w:szCs w:val="21"/>
                    </w:rPr>
                  </w:pPr>
                  <w:r>
                    <w:rPr>
                      <w:color w:val="auto"/>
                      <w:szCs w:val="21"/>
                    </w:rPr>
                    <w:t>符合</w:t>
                  </w:r>
                </w:p>
              </w:tc>
            </w:tr>
          </w:tbl>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sz w:val="24"/>
                <w:szCs w:val="28"/>
              </w:rPr>
            </w:pPr>
            <w:r>
              <w:rPr>
                <w:color w:val="auto"/>
                <w:kern w:val="0"/>
                <w:sz w:val="24"/>
              </w:rPr>
              <w:t>根据上表可知，本项目符合</w:t>
            </w:r>
            <w:r>
              <w:rPr>
                <w:color w:val="auto"/>
                <w:sz w:val="24"/>
                <w:szCs w:val="28"/>
              </w:rPr>
              <w:t>《江西省长江经济带发展负面清单实施细则（试行，2022年版）》中的要求。</w:t>
            </w:r>
          </w:p>
          <w:p>
            <w:pPr>
              <w:autoSpaceDE w:val="0"/>
              <w:autoSpaceDN w:val="0"/>
              <w:adjustRightInd w:val="0"/>
              <w:snapToGrid w:val="0"/>
              <w:spacing w:line="360" w:lineRule="auto"/>
              <w:ind w:firstLine="480" w:firstLineChars="200"/>
              <w:rPr>
                <w:color w:val="auto"/>
                <w:sz w:val="24"/>
                <w:szCs w:val="28"/>
              </w:rPr>
            </w:pPr>
          </w:p>
        </w:tc>
      </w:tr>
    </w:tbl>
    <w:p>
      <w:pPr>
        <w:rPr>
          <w:color w:val="auto"/>
        </w:rPr>
        <w:sectPr>
          <w:pgSz w:w="11906" w:h="16838"/>
          <w:pgMar w:top="1440" w:right="1083" w:bottom="1440" w:left="1083" w:header="851" w:footer="1077" w:gutter="0"/>
          <w:cols w:space="720" w:num="1"/>
          <w:docGrid w:linePitch="312" w:charSpace="0"/>
        </w:sectPr>
      </w:pPr>
    </w:p>
    <w:p>
      <w:pPr>
        <w:jc w:val="center"/>
        <w:outlineLvl w:val="0"/>
        <w:rPr>
          <w:rFonts w:eastAsia="黑体"/>
          <w:b/>
          <w:bCs/>
          <w:snapToGrid w:val="0"/>
          <w:color w:val="auto"/>
          <w:sz w:val="30"/>
          <w:szCs w:val="30"/>
        </w:rPr>
      </w:pPr>
      <w:r>
        <w:rPr>
          <w:rFonts w:eastAsia="黑体"/>
          <w:b/>
          <w:bCs/>
          <w:snapToGrid w:val="0"/>
          <w:color w:val="auto"/>
          <w:sz w:val="30"/>
          <w:szCs w:val="30"/>
        </w:rPr>
        <w:t>二、建设项目工程分析</w:t>
      </w:r>
    </w:p>
    <w:tbl>
      <w:tblPr>
        <w:tblStyle w:val="8"/>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6"/>
        <w:gridCol w:w="94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9" w:type="pct"/>
            <w:noWrap w:val="0"/>
            <w:vAlign w:val="center"/>
          </w:tcPr>
          <w:p>
            <w:pPr>
              <w:adjustRightInd w:val="0"/>
              <w:snapToGrid w:val="0"/>
              <w:jc w:val="center"/>
              <w:rPr>
                <w:b/>
                <w:bCs/>
                <w:color w:val="auto"/>
                <w:sz w:val="24"/>
              </w:rPr>
            </w:pPr>
            <w:r>
              <w:rPr>
                <w:b/>
                <w:bCs/>
                <w:color w:val="auto"/>
                <w:sz w:val="24"/>
              </w:rPr>
              <w:t>建设内容</w:t>
            </w:r>
          </w:p>
        </w:tc>
        <w:tc>
          <w:tcPr>
            <w:tcW w:w="4770" w:type="pct"/>
            <w:noWrap w:val="0"/>
            <w:vAlign w:val="center"/>
          </w:tcPr>
          <w:p>
            <w:pPr>
              <w:autoSpaceDE w:val="0"/>
              <w:autoSpaceDN w:val="0"/>
              <w:adjustRightInd w:val="0"/>
              <w:snapToGrid w:val="0"/>
              <w:spacing w:line="360" w:lineRule="auto"/>
              <w:ind w:firstLine="482" w:firstLineChars="200"/>
              <w:rPr>
                <w:b/>
                <w:bCs/>
                <w:color w:val="auto"/>
                <w:kern w:val="0"/>
                <w:sz w:val="24"/>
              </w:rPr>
            </w:pPr>
            <w:r>
              <w:rPr>
                <w:b/>
                <w:bCs/>
                <w:color w:val="auto"/>
                <w:kern w:val="0"/>
                <w:sz w:val="24"/>
              </w:rPr>
              <w:t>（一）项目概况及任务由来</w:t>
            </w:r>
          </w:p>
          <w:p>
            <w:pPr>
              <w:autoSpaceDE w:val="0"/>
              <w:autoSpaceDN w:val="0"/>
              <w:adjustRightInd w:val="0"/>
              <w:snapToGrid w:val="0"/>
              <w:spacing w:line="360" w:lineRule="auto"/>
              <w:ind w:firstLine="480" w:firstLineChars="200"/>
              <w:rPr>
                <w:color w:val="auto"/>
                <w:kern w:val="0"/>
                <w:sz w:val="24"/>
              </w:rPr>
            </w:pPr>
            <w:r>
              <w:rPr>
                <w:color w:val="auto"/>
                <w:kern w:val="0"/>
                <w:sz w:val="24"/>
              </w:rPr>
              <w:t>为加快宁都县道路建设，助力宁都镇经济建设，宁都县路通沥青有限公司拟在江西省赣州市宁都县赖村镇邮村村崠子小组小间坑（中心地理坐标为东经115°53′1.632″，北纬26°23′36.411″）建设“宁都县路通沥青有限公司年产10万吨沥青搅拌站建设项目”（下称“本项目”）。</w:t>
            </w:r>
          </w:p>
          <w:p>
            <w:pPr>
              <w:autoSpaceDE w:val="0"/>
              <w:autoSpaceDN w:val="0"/>
              <w:adjustRightInd w:val="0"/>
              <w:snapToGrid w:val="0"/>
              <w:spacing w:line="360" w:lineRule="auto"/>
              <w:ind w:firstLine="480" w:firstLineChars="200"/>
              <w:rPr>
                <w:color w:val="auto"/>
                <w:kern w:val="0"/>
                <w:sz w:val="24"/>
              </w:rPr>
            </w:pPr>
            <w:r>
              <w:rPr>
                <w:color w:val="auto"/>
                <w:kern w:val="0"/>
                <w:sz w:val="24"/>
              </w:rPr>
              <w:t>本项目</w:t>
            </w:r>
            <w:r>
              <w:rPr>
                <w:color w:val="auto"/>
                <w:kern w:val="0"/>
                <w:sz w:val="24"/>
                <w:lang w:val="zh-CN"/>
              </w:rPr>
              <w:t>用地面积约</w:t>
            </w:r>
            <w:r>
              <w:rPr>
                <w:color w:val="auto"/>
                <w:kern w:val="0"/>
                <w:sz w:val="24"/>
              </w:rPr>
              <w:t>10</w:t>
            </w:r>
            <w:r>
              <w:rPr>
                <w:color w:val="auto"/>
                <w:kern w:val="0"/>
                <w:sz w:val="24"/>
                <w:lang w:val="zh-CN"/>
              </w:rPr>
              <w:t>亩，根据现场勘查情况，现状用地为林地</w:t>
            </w:r>
            <w:r>
              <w:rPr>
                <w:color w:val="auto"/>
                <w:kern w:val="0"/>
                <w:sz w:val="24"/>
              </w:rPr>
              <w:t>。</w:t>
            </w:r>
            <w:r>
              <w:rPr>
                <w:bCs/>
                <w:color w:val="auto"/>
                <w:sz w:val="24"/>
              </w:rPr>
              <w:t>本项目总投资为1600万元，建成投产后可年产10万吨沥青。</w:t>
            </w:r>
          </w:p>
          <w:p>
            <w:pPr>
              <w:autoSpaceDE w:val="0"/>
              <w:autoSpaceDN w:val="0"/>
              <w:adjustRightInd w:val="0"/>
              <w:snapToGrid w:val="0"/>
              <w:spacing w:line="360" w:lineRule="auto"/>
              <w:ind w:firstLine="480" w:firstLineChars="200"/>
              <w:rPr>
                <w:color w:val="auto"/>
                <w:kern w:val="0"/>
                <w:sz w:val="24"/>
              </w:rPr>
            </w:pPr>
            <w:r>
              <w:rPr>
                <w:color w:val="auto"/>
                <w:kern w:val="0"/>
                <w:sz w:val="24"/>
              </w:rPr>
              <w:t>本项目在建设过程中和建成投入运营后，会对周围环境产生一定的影响，根据《中华人民共和国环境影响评价法》和《建设项目环境保护管理条例》的有关规定，建设过程中或者建成投产后可能对环境产生影响的新建（迁建）、改建、扩建、技术改造及区域开发建设项目，必须履行环境影响评价制度。根据《建设项目环境影响评价分类管理名录》（2021年版），本项目属于二十七_60、石墨及其他非金属矿物制品制造309类，应编制环评报告表。为此，宁都县路通沥青有限公司委托赣州市正能环保科技有限公司承担该项目的环境影响评价工作，我单位接受委托后，在现场勘查、资料收集的基础上，编制完成了《宁都县路通沥青有限公司年产10万吨沥青搅拌站建设项目环境影响报告表》。</w:t>
            </w:r>
          </w:p>
          <w:p>
            <w:pPr>
              <w:autoSpaceDE w:val="0"/>
              <w:autoSpaceDN w:val="0"/>
              <w:adjustRightInd w:val="0"/>
              <w:snapToGrid w:val="0"/>
              <w:spacing w:line="360" w:lineRule="auto"/>
              <w:ind w:firstLine="482" w:firstLineChars="200"/>
              <w:rPr>
                <w:b/>
                <w:bCs/>
                <w:color w:val="auto"/>
                <w:kern w:val="0"/>
                <w:sz w:val="24"/>
              </w:rPr>
            </w:pPr>
            <w:r>
              <w:rPr>
                <w:b/>
                <w:bCs/>
                <w:color w:val="auto"/>
                <w:kern w:val="0"/>
                <w:sz w:val="24"/>
              </w:rPr>
              <w:t>（二）项目建设内容</w:t>
            </w:r>
          </w:p>
          <w:p>
            <w:pPr>
              <w:autoSpaceDE w:val="0"/>
              <w:autoSpaceDN w:val="0"/>
              <w:adjustRightInd w:val="0"/>
              <w:snapToGrid w:val="0"/>
              <w:spacing w:line="360" w:lineRule="auto"/>
              <w:ind w:firstLine="482" w:firstLineChars="200"/>
              <w:rPr>
                <w:b/>
                <w:bCs/>
                <w:color w:val="auto"/>
                <w:kern w:val="0"/>
                <w:sz w:val="24"/>
              </w:rPr>
            </w:pPr>
            <w:r>
              <w:rPr>
                <w:b/>
                <w:bCs/>
                <w:color w:val="auto"/>
                <w:kern w:val="0"/>
                <w:sz w:val="24"/>
              </w:rPr>
              <w:t>1.工程概况</w:t>
            </w:r>
          </w:p>
          <w:p>
            <w:pPr>
              <w:autoSpaceDE w:val="0"/>
              <w:autoSpaceDN w:val="0"/>
              <w:adjustRightInd w:val="0"/>
              <w:snapToGrid w:val="0"/>
              <w:spacing w:line="360" w:lineRule="auto"/>
              <w:ind w:firstLine="480" w:firstLineChars="200"/>
              <w:rPr>
                <w:color w:val="auto"/>
                <w:kern w:val="0"/>
                <w:sz w:val="24"/>
              </w:rPr>
            </w:pPr>
            <w:r>
              <w:rPr>
                <w:color w:val="auto"/>
                <w:kern w:val="0"/>
                <w:sz w:val="24"/>
              </w:rPr>
              <w:t>本项目工程概况如下表：</w:t>
            </w:r>
          </w:p>
          <w:p>
            <w:pPr>
              <w:autoSpaceDE w:val="0"/>
              <w:autoSpaceDN w:val="0"/>
              <w:adjustRightInd w:val="0"/>
              <w:snapToGrid w:val="0"/>
              <w:ind w:firstLine="482" w:firstLineChars="200"/>
              <w:jc w:val="center"/>
              <w:rPr>
                <w:b/>
                <w:bCs/>
                <w:color w:val="auto"/>
                <w:kern w:val="0"/>
                <w:sz w:val="24"/>
              </w:rPr>
            </w:pPr>
            <w:r>
              <w:rPr>
                <w:b/>
                <w:bCs/>
                <w:color w:val="auto"/>
                <w:kern w:val="0"/>
                <w:sz w:val="24"/>
              </w:rPr>
              <w:t>表2-1  项目工程概况</w:t>
            </w:r>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gridCol w:w="1744"/>
              <w:gridCol w:w="1811"/>
              <w:gridCol w:w="990"/>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6" w:type="pct"/>
                  <w:gridSpan w:val="2"/>
                  <w:noWrap w:val="0"/>
                  <w:vAlign w:val="center"/>
                </w:tcPr>
                <w:p>
                  <w:pPr>
                    <w:autoSpaceDE w:val="0"/>
                    <w:autoSpaceDN w:val="0"/>
                    <w:adjustRightInd w:val="0"/>
                    <w:snapToGrid w:val="0"/>
                    <w:jc w:val="center"/>
                    <w:rPr>
                      <w:b/>
                      <w:bCs/>
                      <w:color w:val="auto"/>
                      <w:kern w:val="0"/>
                      <w:szCs w:val="21"/>
                    </w:rPr>
                  </w:pPr>
                  <w:r>
                    <w:rPr>
                      <w:b/>
                      <w:bCs/>
                      <w:color w:val="auto"/>
                      <w:kern w:val="0"/>
                      <w:szCs w:val="21"/>
                    </w:rPr>
                    <w:t>主要指标</w:t>
                  </w:r>
                </w:p>
              </w:tc>
              <w:tc>
                <w:tcPr>
                  <w:tcW w:w="977" w:type="pct"/>
                  <w:noWrap w:val="0"/>
                  <w:vAlign w:val="center"/>
                </w:tcPr>
                <w:p>
                  <w:pPr>
                    <w:autoSpaceDE w:val="0"/>
                    <w:autoSpaceDN w:val="0"/>
                    <w:adjustRightInd w:val="0"/>
                    <w:snapToGrid w:val="0"/>
                    <w:jc w:val="center"/>
                    <w:rPr>
                      <w:b/>
                      <w:bCs/>
                      <w:color w:val="auto"/>
                      <w:kern w:val="0"/>
                      <w:szCs w:val="21"/>
                    </w:rPr>
                  </w:pPr>
                  <w:r>
                    <w:rPr>
                      <w:b/>
                      <w:bCs/>
                      <w:color w:val="auto"/>
                      <w:kern w:val="0"/>
                      <w:szCs w:val="21"/>
                    </w:rPr>
                    <w:t>数值</w:t>
                  </w:r>
                </w:p>
              </w:tc>
              <w:tc>
                <w:tcPr>
                  <w:tcW w:w="534" w:type="pct"/>
                  <w:noWrap w:val="0"/>
                  <w:vAlign w:val="center"/>
                </w:tcPr>
                <w:p>
                  <w:pPr>
                    <w:autoSpaceDE w:val="0"/>
                    <w:autoSpaceDN w:val="0"/>
                    <w:adjustRightInd w:val="0"/>
                    <w:snapToGrid w:val="0"/>
                    <w:jc w:val="center"/>
                    <w:rPr>
                      <w:b/>
                      <w:bCs/>
                      <w:color w:val="auto"/>
                      <w:kern w:val="0"/>
                      <w:szCs w:val="21"/>
                    </w:rPr>
                  </w:pPr>
                  <w:r>
                    <w:rPr>
                      <w:b/>
                      <w:bCs/>
                      <w:color w:val="auto"/>
                      <w:kern w:val="0"/>
                      <w:szCs w:val="21"/>
                    </w:rPr>
                    <w:t>单位</w:t>
                  </w:r>
                </w:p>
              </w:tc>
              <w:tc>
                <w:tcPr>
                  <w:tcW w:w="1541" w:type="pct"/>
                  <w:noWrap w:val="0"/>
                  <w:vAlign w:val="center"/>
                </w:tcPr>
                <w:p>
                  <w:pPr>
                    <w:autoSpaceDE w:val="0"/>
                    <w:autoSpaceDN w:val="0"/>
                    <w:adjustRightInd w:val="0"/>
                    <w:snapToGrid w:val="0"/>
                    <w:jc w:val="center"/>
                    <w:rPr>
                      <w:b/>
                      <w:bCs/>
                      <w:color w:val="auto"/>
                      <w:kern w:val="0"/>
                      <w:szCs w:val="21"/>
                    </w:rPr>
                  </w:pPr>
                  <w:r>
                    <w:rPr>
                      <w:b/>
                      <w:bCs/>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6" w:type="pct"/>
                  <w:gridSpan w:val="2"/>
                  <w:noWrap w:val="0"/>
                  <w:vAlign w:val="center"/>
                </w:tcPr>
                <w:p>
                  <w:pPr>
                    <w:autoSpaceDE w:val="0"/>
                    <w:autoSpaceDN w:val="0"/>
                    <w:adjustRightInd w:val="0"/>
                    <w:snapToGrid w:val="0"/>
                    <w:jc w:val="center"/>
                    <w:rPr>
                      <w:color w:val="auto"/>
                      <w:kern w:val="0"/>
                      <w:szCs w:val="21"/>
                    </w:rPr>
                  </w:pPr>
                  <w:r>
                    <w:rPr>
                      <w:color w:val="auto"/>
                      <w:kern w:val="0"/>
                      <w:szCs w:val="21"/>
                    </w:rPr>
                    <w:t>总投资额</w:t>
                  </w:r>
                </w:p>
              </w:tc>
              <w:tc>
                <w:tcPr>
                  <w:tcW w:w="977" w:type="pct"/>
                  <w:noWrap w:val="0"/>
                  <w:vAlign w:val="center"/>
                </w:tcPr>
                <w:p>
                  <w:pPr>
                    <w:autoSpaceDE w:val="0"/>
                    <w:autoSpaceDN w:val="0"/>
                    <w:adjustRightInd w:val="0"/>
                    <w:snapToGrid w:val="0"/>
                    <w:jc w:val="center"/>
                    <w:rPr>
                      <w:color w:val="auto"/>
                      <w:kern w:val="0"/>
                      <w:szCs w:val="21"/>
                    </w:rPr>
                  </w:pPr>
                  <w:r>
                    <w:rPr>
                      <w:color w:val="auto"/>
                      <w:kern w:val="0"/>
                      <w:szCs w:val="21"/>
                    </w:rPr>
                    <w:t>1600</w:t>
                  </w:r>
                </w:p>
              </w:tc>
              <w:tc>
                <w:tcPr>
                  <w:tcW w:w="534" w:type="pct"/>
                  <w:noWrap w:val="0"/>
                  <w:vAlign w:val="center"/>
                </w:tcPr>
                <w:p>
                  <w:pPr>
                    <w:autoSpaceDE w:val="0"/>
                    <w:autoSpaceDN w:val="0"/>
                    <w:adjustRightInd w:val="0"/>
                    <w:snapToGrid w:val="0"/>
                    <w:jc w:val="center"/>
                    <w:rPr>
                      <w:color w:val="auto"/>
                      <w:kern w:val="0"/>
                      <w:szCs w:val="21"/>
                    </w:rPr>
                  </w:pPr>
                  <w:r>
                    <w:rPr>
                      <w:color w:val="auto"/>
                      <w:kern w:val="0"/>
                      <w:szCs w:val="21"/>
                    </w:rPr>
                    <w:t>万元</w:t>
                  </w:r>
                </w:p>
              </w:tc>
              <w:tc>
                <w:tcPr>
                  <w:tcW w:w="1541" w:type="pct"/>
                  <w:noWrap w:val="0"/>
                  <w:vAlign w:val="center"/>
                </w:tcPr>
                <w:p>
                  <w:pPr>
                    <w:autoSpaceDE w:val="0"/>
                    <w:autoSpaceDN w:val="0"/>
                    <w:adjustRightInd w:val="0"/>
                    <w:snapToGrid w:val="0"/>
                    <w:jc w:val="center"/>
                    <w:rPr>
                      <w:color w:val="auto"/>
                      <w:kern w:val="0"/>
                      <w:szCs w:val="21"/>
                    </w:rPr>
                  </w:pPr>
                  <w:r>
                    <w:rPr>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05" w:type="pct"/>
                  <w:vMerge w:val="restart"/>
                  <w:noWrap w:val="0"/>
                  <w:vAlign w:val="center"/>
                </w:tcPr>
                <w:p>
                  <w:pPr>
                    <w:autoSpaceDE w:val="0"/>
                    <w:autoSpaceDN w:val="0"/>
                    <w:adjustRightInd w:val="0"/>
                    <w:snapToGrid w:val="0"/>
                    <w:jc w:val="center"/>
                    <w:rPr>
                      <w:color w:val="auto"/>
                      <w:kern w:val="0"/>
                      <w:szCs w:val="21"/>
                    </w:rPr>
                  </w:pPr>
                  <w:r>
                    <w:rPr>
                      <w:color w:val="auto"/>
                      <w:kern w:val="0"/>
                      <w:szCs w:val="21"/>
                    </w:rPr>
                    <w:t>工程规模</w:t>
                  </w:r>
                </w:p>
              </w:tc>
              <w:tc>
                <w:tcPr>
                  <w:tcW w:w="940" w:type="pct"/>
                  <w:noWrap w:val="0"/>
                  <w:vAlign w:val="center"/>
                </w:tcPr>
                <w:p>
                  <w:pPr>
                    <w:autoSpaceDE w:val="0"/>
                    <w:autoSpaceDN w:val="0"/>
                    <w:adjustRightInd w:val="0"/>
                    <w:snapToGrid w:val="0"/>
                    <w:jc w:val="center"/>
                    <w:rPr>
                      <w:color w:val="auto"/>
                      <w:kern w:val="0"/>
                      <w:szCs w:val="21"/>
                    </w:rPr>
                  </w:pPr>
                  <w:r>
                    <w:rPr>
                      <w:color w:val="auto"/>
                      <w:kern w:val="0"/>
                      <w:szCs w:val="21"/>
                    </w:rPr>
                    <w:t>用地面积</w:t>
                  </w:r>
                </w:p>
              </w:tc>
              <w:tc>
                <w:tcPr>
                  <w:tcW w:w="977" w:type="pct"/>
                  <w:noWrap w:val="0"/>
                  <w:vAlign w:val="center"/>
                </w:tcPr>
                <w:p>
                  <w:pPr>
                    <w:autoSpaceDE w:val="0"/>
                    <w:autoSpaceDN w:val="0"/>
                    <w:adjustRightInd w:val="0"/>
                    <w:snapToGrid w:val="0"/>
                    <w:jc w:val="center"/>
                    <w:rPr>
                      <w:color w:val="auto"/>
                      <w:kern w:val="0"/>
                      <w:szCs w:val="21"/>
                    </w:rPr>
                  </w:pPr>
                  <w:r>
                    <w:rPr>
                      <w:color w:val="auto"/>
                      <w:kern w:val="0"/>
                      <w:szCs w:val="21"/>
                    </w:rPr>
                    <w:t>6666.67</w:t>
                  </w:r>
                </w:p>
              </w:tc>
              <w:tc>
                <w:tcPr>
                  <w:tcW w:w="534" w:type="pct"/>
                  <w:noWrap w:val="0"/>
                  <w:vAlign w:val="center"/>
                </w:tcPr>
                <w:p>
                  <w:pPr>
                    <w:autoSpaceDE w:val="0"/>
                    <w:autoSpaceDN w:val="0"/>
                    <w:adjustRightInd w:val="0"/>
                    <w:snapToGrid w:val="0"/>
                    <w:jc w:val="center"/>
                    <w:rPr>
                      <w:color w:val="auto"/>
                      <w:kern w:val="0"/>
                      <w:szCs w:val="21"/>
                    </w:rPr>
                  </w:pPr>
                  <w:r>
                    <w:rPr>
                      <w:color w:val="auto"/>
                      <w:kern w:val="0"/>
                      <w:szCs w:val="21"/>
                    </w:rPr>
                    <w:t>m</w:t>
                  </w:r>
                  <w:r>
                    <w:rPr>
                      <w:color w:val="auto"/>
                      <w:kern w:val="0"/>
                      <w:szCs w:val="21"/>
                      <w:vertAlign w:val="superscript"/>
                    </w:rPr>
                    <w:t>2</w:t>
                  </w:r>
                </w:p>
              </w:tc>
              <w:tc>
                <w:tcPr>
                  <w:tcW w:w="1541" w:type="pct"/>
                  <w:noWrap w:val="0"/>
                  <w:vAlign w:val="center"/>
                </w:tcPr>
                <w:p>
                  <w:pPr>
                    <w:autoSpaceDE w:val="0"/>
                    <w:autoSpaceDN w:val="0"/>
                    <w:adjustRightInd w:val="0"/>
                    <w:snapToGrid w:val="0"/>
                    <w:jc w:val="center"/>
                    <w:rPr>
                      <w:color w:val="auto"/>
                      <w:kern w:val="0"/>
                      <w:szCs w:val="21"/>
                    </w:rPr>
                  </w:pPr>
                  <w:r>
                    <w:rPr>
                      <w:color w:val="auto"/>
                      <w:kern w:val="0"/>
                      <w:szCs w:val="21"/>
                    </w:rPr>
                    <w:t>林地，不涉及公益林、天然林、基本农田、生态保护红线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05" w:type="pct"/>
                  <w:vMerge w:val="continue"/>
                  <w:noWrap w:val="0"/>
                  <w:vAlign w:val="center"/>
                </w:tcPr>
                <w:p>
                  <w:pPr>
                    <w:autoSpaceDE w:val="0"/>
                    <w:autoSpaceDN w:val="0"/>
                    <w:adjustRightInd w:val="0"/>
                    <w:snapToGrid w:val="0"/>
                    <w:jc w:val="center"/>
                    <w:rPr>
                      <w:color w:val="auto"/>
                      <w:kern w:val="0"/>
                      <w:szCs w:val="21"/>
                    </w:rPr>
                  </w:pPr>
                </w:p>
              </w:tc>
              <w:tc>
                <w:tcPr>
                  <w:tcW w:w="940" w:type="pct"/>
                  <w:noWrap w:val="0"/>
                  <w:vAlign w:val="center"/>
                </w:tcPr>
                <w:p>
                  <w:pPr>
                    <w:autoSpaceDE w:val="0"/>
                    <w:autoSpaceDN w:val="0"/>
                    <w:adjustRightInd w:val="0"/>
                    <w:snapToGrid w:val="0"/>
                    <w:jc w:val="center"/>
                    <w:rPr>
                      <w:color w:val="auto"/>
                      <w:kern w:val="0"/>
                      <w:szCs w:val="21"/>
                    </w:rPr>
                  </w:pPr>
                  <w:r>
                    <w:rPr>
                      <w:color w:val="auto"/>
                      <w:kern w:val="0"/>
                      <w:szCs w:val="21"/>
                    </w:rPr>
                    <w:t>建筑面积</w:t>
                  </w:r>
                </w:p>
              </w:tc>
              <w:tc>
                <w:tcPr>
                  <w:tcW w:w="977" w:type="pct"/>
                  <w:noWrap w:val="0"/>
                  <w:vAlign w:val="center"/>
                </w:tcPr>
                <w:p>
                  <w:pPr>
                    <w:autoSpaceDE w:val="0"/>
                    <w:autoSpaceDN w:val="0"/>
                    <w:adjustRightInd w:val="0"/>
                    <w:snapToGrid w:val="0"/>
                    <w:jc w:val="center"/>
                    <w:rPr>
                      <w:color w:val="auto"/>
                      <w:kern w:val="0"/>
                      <w:szCs w:val="21"/>
                    </w:rPr>
                  </w:pPr>
                  <w:r>
                    <w:rPr>
                      <w:color w:val="auto"/>
                      <w:kern w:val="0"/>
                      <w:szCs w:val="21"/>
                    </w:rPr>
                    <w:t>3468.4</w:t>
                  </w:r>
                </w:p>
              </w:tc>
              <w:tc>
                <w:tcPr>
                  <w:tcW w:w="534" w:type="pct"/>
                  <w:noWrap w:val="0"/>
                  <w:vAlign w:val="center"/>
                </w:tcPr>
                <w:p>
                  <w:pPr>
                    <w:autoSpaceDE w:val="0"/>
                    <w:autoSpaceDN w:val="0"/>
                    <w:adjustRightInd w:val="0"/>
                    <w:snapToGrid w:val="0"/>
                    <w:jc w:val="center"/>
                    <w:rPr>
                      <w:color w:val="auto"/>
                      <w:kern w:val="0"/>
                      <w:szCs w:val="21"/>
                    </w:rPr>
                  </w:pPr>
                  <w:r>
                    <w:rPr>
                      <w:color w:val="auto"/>
                      <w:kern w:val="0"/>
                      <w:szCs w:val="21"/>
                    </w:rPr>
                    <w:t>m</w:t>
                  </w:r>
                  <w:r>
                    <w:rPr>
                      <w:color w:val="auto"/>
                      <w:kern w:val="0"/>
                      <w:szCs w:val="21"/>
                      <w:vertAlign w:val="superscript"/>
                    </w:rPr>
                    <w:t>2</w:t>
                  </w:r>
                </w:p>
              </w:tc>
              <w:tc>
                <w:tcPr>
                  <w:tcW w:w="1541" w:type="pct"/>
                  <w:noWrap w:val="0"/>
                  <w:vAlign w:val="center"/>
                </w:tcPr>
                <w:p>
                  <w:pPr>
                    <w:autoSpaceDE w:val="0"/>
                    <w:autoSpaceDN w:val="0"/>
                    <w:adjustRightInd w:val="0"/>
                    <w:snapToGrid w:val="0"/>
                    <w:jc w:val="center"/>
                    <w:rPr>
                      <w:color w:val="auto"/>
                      <w:kern w:val="0"/>
                      <w:szCs w:val="21"/>
                    </w:rPr>
                  </w:pPr>
                  <w:r>
                    <w:rPr>
                      <w:color w:val="auto"/>
                      <w:kern w:val="0"/>
                      <w:szCs w:val="21"/>
                    </w:rPr>
                    <w:t>/</w:t>
                  </w:r>
                </w:p>
              </w:tc>
            </w:tr>
          </w:tbl>
          <w:p>
            <w:pPr>
              <w:autoSpaceDE w:val="0"/>
              <w:autoSpaceDN w:val="0"/>
              <w:adjustRightInd w:val="0"/>
              <w:snapToGrid w:val="0"/>
              <w:ind w:firstLine="480" w:firstLineChars="200"/>
              <w:rPr>
                <w:color w:val="auto"/>
                <w:kern w:val="0"/>
                <w:sz w:val="24"/>
              </w:rPr>
            </w:pPr>
          </w:p>
          <w:p>
            <w:pPr>
              <w:autoSpaceDE w:val="0"/>
              <w:autoSpaceDN w:val="0"/>
              <w:adjustRightInd w:val="0"/>
              <w:snapToGrid w:val="0"/>
              <w:spacing w:line="360" w:lineRule="auto"/>
              <w:ind w:firstLine="482" w:firstLineChars="200"/>
              <w:rPr>
                <w:b/>
                <w:bCs/>
                <w:color w:val="auto"/>
                <w:kern w:val="0"/>
                <w:sz w:val="24"/>
              </w:rPr>
            </w:pPr>
            <w:r>
              <w:rPr>
                <w:b/>
                <w:bCs/>
                <w:color w:val="auto"/>
                <w:kern w:val="0"/>
                <w:sz w:val="24"/>
              </w:rPr>
              <w:t>2.工程内容及规模</w:t>
            </w:r>
          </w:p>
          <w:p>
            <w:pPr>
              <w:autoSpaceDE w:val="0"/>
              <w:autoSpaceDN w:val="0"/>
              <w:adjustRightInd w:val="0"/>
              <w:snapToGrid w:val="0"/>
              <w:spacing w:line="360" w:lineRule="auto"/>
              <w:ind w:firstLine="480" w:firstLineChars="200"/>
              <w:rPr>
                <w:color w:val="auto"/>
                <w:kern w:val="0"/>
                <w:sz w:val="24"/>
              </w:rPr>
            </w:pPr>
            <w:r>
              <w:rPr>
                <w:color w:val="auto"/>
                <w:kern w:val="0"/>
                <w:sz w:val="24"/>
              </w:rPr>
              <w:t>本项目主要建设工程包括主体工程、</w:t>
            </w:r>
            <w:r>
              <w:rPr>
                <w:rFonts w:hint="eastAsia"/>
                <w:color w:val="auto"/>
                <w:kern w:val="0"/>
                <w:sz w:val="24"/>
              </w:rPr>
              <w:t>辅助工程、</w:t>
            </w:r>
            <w:r>
              <w:rPr>
                <w:rFonts w:hint="eastAsia"/>
                <w:color w:val="auto"/>
                <w:kern w:val="0"/>
                <w:sz w:val="24"/>
                <w:lang w:val="en-US" w:eastAsia="zh-CN"/>
              </w:rPr>
              <w:t>储运工程、</w:t>
            </w:r>
            <w:r>
              <w:rPr>
                <w:color w:val="auto"/>
                <w:kern w:val="0"/>
                <w:sz w:val="24"/>
              </w:rPr>
              <w:t>公用工程及环保工程，具体内容及规模如下表：</w:t>
            </w: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jc w:val="center"/>
              <w:outlineLvl w:val="0"/>
              <w:rPr>
                <w:b/>
                <w:bCs/>
                <w:color w:val="auto"/>
                <w:kern w:val="0"/>
                <w:sz w:val="24"/>
              </w:rPr>
            </w:pPr>
            <w:r>
              <w:rPr>
                <w:b/>
                <w:bCs/>
                <w:color w:val="auto"/>
                <w:kern w:val="0"/>
                <w:sz w:val="24"/>
              </w:rPr>
              <w:t>表2-2  项目工程内容及规模</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796"/>
              <w:gridCol w:w="883"/>
              <w:gridCol w:w="6018"/>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0"/>
                  <w:vAlign w:val="center"/>
                </w:tcPr>
                <w:p>
                  <w:pPr>
                    <w:topLinePunct/>
                    <w:adjustRightInd w:val="0"/>
                    <w:snapToGrid w:val="0"/>
                    <w:jc w:val="center"/>
                    <w:textAlignment w:val="center"/>
                    <w:rPr>
                      <w:b/>
                      <w:bCs/>
                      <w:color w:val="auto"/>
                      <w:kern w:val="0"/>
                      <w:szCs w:val="21"/>
                    </w:rPr>
                  </w:pPr>
                  <w:r>
                    <w:rPr>
                      <w:b/>
                      <w:bCs/>
                      <w:color w:val="auto"/>
                      <w:kern w:val="0"/>
                      <w:szCs w:val="21"/>
                    </w:rPr>
                    <w:t>序号</w:t>
                  </w:r>
                </w:p>
              </w:tc>
              <w:tc>
                <w:tcPr>
                  <w:tcW w:w="429" w:type="pct"/>
                  <w:noWrap w:val="0"/>
                  <w:vAlign w:val="center"/>
                </w:tcPr>
                <w:p>
                  <w:pPr>
                    <w:topLinePunct/>
                    <w:adjustRightInd w:val="0"/>
                    <w:snapToGrid w:val="0"/>
                    <w:jc w:val="center"/>
                    <w:textAlignment w:val="center"/>
                    <w:rPr>
                      <w:b/>
                      <w:bCs/>
                      <w:color w:val="auto"/>
                      <w:kern w:val="0"/>
                      <w:szCs w:val="21"/>
                    </w:rPr>
                  </w:pPr>
                  <w:r>
                    <w:rPr>
                      <w:b/>
                      <w:bCs/>
                      <w:color w:val="auto"/>
                      <w:kern w:val="0"/>
                      <w:szCs w:val="21"/>
                    </w:rPr>
                    <w:t>工程类别</w:t>
                  </w:r>
                </w:p>
              </w:tc>
              <w:tc>
                <w:tcPr>
                  <w:tcW w:w="3720" w:type="pct"/>
                  <w:gridSpan w:val="2"/>
                  <w:noWrap w:val="0"/>
                  <w:vAlign w:val="center"/>
                </w:tcPr>
                <w:p>
                  <w:pPr>
                    <w:topLinePunct/>
                    <w:adjustRightInd w:val="0"/>
                    <w:snapToGrid w:val="0"/>
                    <w:jc w:val="center"/>
                    <w:textAlignment w:val="center"/>
                    <w:rPr>
                      <w:b/>
                      <w:bCs/>
                      <w:color w:val="auto"/>
                      <w:kern w:val="0"/>
                      <w:szCs w:val="21"/>
                    </w:rPr>
                  </w:pPr>
                  <w:r>
                    <w:rPr>
                      <w:b/>
                      <w:bCs/>
                      <w:color w:val="auto"/>
                      <w:kern w:val="0"/>
                      <w:szCs w:val="21"/>
                    </w:rPr>
                    <w:t>工程内容</w:t>
                  </w:r>
                </w:p>
              </w:tc>
              <w:tc>
                <w:tcPr>
                  <w:tcW w:w="580" w:type="pct"/>
                  <w:noWrap w:val="0"/>
                  <w:vAlign w:val="center"/>
                </w:tcPr>
                <w:p>
                  <w:pPr>
                    <w:topLinePunct/>
                    <w:adjustRightInd w:val="0"/>
                    <w:snapToGrid w:val="0"/>
                    <w:jc w:val="center"/>
                    <w:textAlignment w:val="center"/>
                    <w:rPr>
                      <w:b/>
                      <w:bCs/>
                      <w:color w:val="auto"/>
                      <w:kern w:val="0"/>
                      <w:szCs w:val="21"/>
                    </w:rPr>
                  </w:pPr>
                  <w:r>
                    <w:rPr>
                      <w:b/>
                      <w:bCs/>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0"/>
                  <w:vAlign w:val="center"/>
                </w:tcPr>
                <w:p>
                  <w:pPr>
                    <w:topLinePunct/>
                    <w:adjustRightInd w:val="0"/>
                    <w:snapToGrid w:val="0"/>
                    <w:jc w:val="center"/>
                    <w:textAlignment w:val="center"/>
                    <w:rPr>
                      <w:color w:val="auto"/>
                      <w:kern w:val="0"/>
                      <w:szCs w:val="21"/>
                    </w:rPr>
                  </w:pPr>
                  <w:r>
                    <w:rPr>
                      <w:color w:val="auto"/>
                      <w:kern w:val="0"/>
                      <w:szCs w:val="21"/>
                    </w:rPr>
                    <w:t>1</w:t>
                  </w:r>
                </w:p>
              </w:tc>
              <w:tc>
                <w:tcPr>
                  <w:tcW w:w="429" w:type="pct"/>
                  <w:noWrap w:val="0"/>
                  <w:vAlign w:val="center"/>
                </w:tcPr>
                <w:p>
                  <w:pPr>
                    <w:topLinePunct/>
                    <w:adjustRightInd w:val="0"/>
                    <w:snapToGrid w:val="0"/>
                    <w:jc w:val="center"/>
                    <w:textAlignment w:val="center"/>
                    <w:rPr>
                      <w:color w:val="auto"/>
                      <w:kern w:val="0"/>
                      <w:szCs w:val="21"/>
                    </w:rPr>
                  </w:pPr>
                  <w:r>
                    <w:rPr>
                      <w:color w:val="auto"/>
                      <w:kern w:val="0"/>
                      <w:szCs w:val="21"/>
                    </w:rPr>
                    <w:t>主体工程</w:t>
                  </w:r>
                </w:p>
              </w:tc>
              <w:tc>
                <w:tcPr>
                  <w:tcW w:w="476" w:type="pct"/>
                  <w:noWrap w:val="0"/>
                  <w:vAlign w:val="center"/>
                </w:tcPr>
                <w:p>
                  <w:pPr>
                    <w:topLinePunct/>
                    <w:adjustRightInd w:val="0"/>
                    <w:snapToGrid w:val="0"/>
                    <w:jc w:val="center"/>
                    <w:textAlignment w:val="center"/>
                    <w:rPr>
                      <w:color w:val="auto"/>
                      <w:kern w:val="0"/>
                      <w:szCs w:val="21"/>
                    </w:rPr>
                  </w:pPr>
                  <w:r>
                    <w:rPr>
                      <w:color w:val="auto"/>
                      <w:kern w:val="0"/>
                      <w:szCs w:val="21"/>
                    </w:rPr>
                    <w:t>生产区</w:t>
                  </w:r>
                </w:p>
              </w:tc>
              <w:tc>
                <w:tcPr>
                  <w:tcW w:w="3244" w:type="pct"/>
                  <w:noWrap w:val="0"/>
                  <w:vAlign w:val="center"/>
                </w:tcPr>
                <w:p>
                  <w:pPr>
                    <w:topLinePunct/>
                    <w:adjustRightInd w:val="0"/>
                    <w:snapToGrid w:val="0"/>
                    <w:jc w:val="center"/>
                    <w:textAlignment w:val="center"/>
                    <w:rPr>
                      <w:color w:val="auto"/>
                      <w:kern w:val="0"/>
                      <w:szCs w:val="21"/>
                    </w:rPr>
                  </w:pPr>
                  <w:r>
                    <w:rPr>
                      <w:rFonts w:hint="eastAsia"/>
                      <w:color w:val="auto"/>
                      <w:kern w:val="0"/>
                      <w:szCs w:val="21"/>
                    </w:rPr>
                    <w:t>主要生产区，内设原生料冷料系统、原生料烘干系统、除尘系统、粉料系统、提升机、振动筛、热骨料仓、计量系统、搅拌系统、气动系统、沥青加热系统、控制系统、再生料冷料系统、再生料热料提升机、再生料烘干系统、再生料储存计量系统等</w:t>
                  </w:r>
                </w:p>
              </w:tc>
              <w:tc>
                <w:tcPr>
                  <w:tcW w:w="580" w:type="pct"/>
                  <w:noWrap w:val="0"/>
                  <w:vAlign w:val="center"/>
                </w:tcPr>
                <w:p>
                  <w:pPr>
                    <w:topLinePunct/>
                    <w:adjustRightInd w:val="0"/>
                    <w:snapToGrid w:val="0"/>
                    <w:jc w:val="center"/>
                    <w:textAlignment w:val="center"/>
                    <w:rPr>
                      <w:color w:val="auto"/>
                      <w:kern w:val="0"/>
                      <w:szCs w:val="21"/>
                    </w:rPr>
                  </w:pPr>
                  <w:r>
                    <w:rPr>
                      <w:color w:val="auto"/>
                      <w:kern w:val="0"/>
                      <w:szCs w:val="21"/>
                    </w:rPr>
                    <w:t>钢架结构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0"/>
                  <w:vAlign w:val="center"/>
                </w:tcPr>
                <w:p>
                  <w:pPr>
                    <w:topLinePunct/>
                    <w:adjustRightInd w:val="0"/>
                    <w:snapToGrid w:val="0"/>
                    <w:jc w:val="center"/>
                    <w:textAlignment w:val="center"/>
                    <w:rPr>
                      <w:color w:val="auto"/>
                      <w:kern w:val="0"/>
                      <w:szCs w:val="21"/>
                    </w:rPr>
                  </w:pPr>
                  <w:r>
                    <w:rPr>
                      <w:rFonts w:hint="eastAsia"/>
                      <w:color w:val="auto"/>
                      <w:kern w:val="0"/>
                      <w:szCs w:val="21"/>
                    </w:rPr>
                    <w:t>2</w:t>
                  </w:r>
                </w:p>
              </w:tc>
              <w:tc>
                <w:tcPr>
                  <w:tcW w:w="429" w:type="pct"/>
                  <w:noWrap w:val="0"/>
                  <w:vAlign w:val="center"/>
                </w:tcPr>
                <w:p>
                  <w:pPr>
                    <w:topLinePunct/>
                    <w:adjustRightInd w:val="0"/>
                    <w:snapToGrid w:val="0"/>
                    <w:jc w:val="center"/>
                    <w:textAlignment w:val="center"/>
                    <w:rPr>
                      <w:color w:val="auto"/>
                      <w:kern w:val="0"/>
                      <w:szCs w:val="21"/>
                    </w:rPr>
                  </w:pPr>
                  <w:r>
                    <w:rPr>
                      <w:rFonts w:hint="eastAsia"/>
                      <w:color w:val="auto"/>
                      <w:kern w:val="0"/>
                      <w:szCs w:val="21"/>
                    </w:rPr>
                    <w:t>辅助工程</w:t>
                  </w:r>
                </w:p>
              </w:tc>
              <w:tc>
                <w:tcPr>
                  <w:tcW w:w="476" w:type="pct"/>
                  <w:noWrap w:val="0"/>
                  <w:vAlign w:val="center"/>
                </w:tcPr>
                <w:p>
                  <w:pPr>
                    <w:topLinePunct/>
                    <w:adjustRightInd w:val="0"/>
                    <w:snapToGrid w:val="0"/>
                    <w:jc w:val="center"/>
                    <w:textAlignment w:val="center"/>
                    <w:rPr>
                      <w:rFonts w:hint="eastAsia"/>
                      <w:color w:val="auto"/>
                      <w:kern w:val="0"/>
                      <w:szCs w:val="21"/>
                    </w:rPr>
                  </w:pPr>
                  <w:r>
                    <w:rPr>
                      <w:rFonts w:hint="eastAsia"/>
                      <w:color w:val="auto"/>
                      <w:kern w:val="0"/>
                      <w:szCs w:val="21"/>
                    </w:rPr>
                    <w:t>办公房</w:t>
                  </w:r>
                </w:p>
              </w:tc>
              <w:tc>
                <w:tcPr>
                  <w:tcW w:w="3244" w:type="pct"/>
                  <w:noWrap w:val="0"/>
                  <w:vAlign w:val="center"/>
                </w:tcPr>
                <w:p>
                  <w:pPr>
                    <w:topLinePunct/>
                    <w:adjustRightInd w:val="0"/>
                    <w:snapToGrid w:val="0"/>
                    <w:jc w:val="center"/>
                    <w:textAlignment w:val="center"/>
                    <w:rPr>
                      <w:color w:val="auto"/>
                      <w:kern w:val="0"/>
                      <w:szCs w:val="21"/>
                    </w:rPr>
                  </w:pPr>
                  <w:r>
                    <w:rPr>
                      <w:rFonts w:hint="eastAsia"/>
                      <w:color w:val="auto"/>
                      <w:kern w:val="0"/>
                      <w:szCs w:val="21"/>
                    </w:rPr>
                    <w:t>临时集装箱式办公房</w:t>
                  </w:r>
                </w:p>
              </w:tc>
              <w:tc>
                <w:tcPr>
                  <w:tcW w:w="580" w:type="pct"/>
                  <w:noWrap w:val="0"/>
                  <w:vAlign w:val="center"/>
                </w:tcPr>
                <w:p>
                  <w:pPr>
                    <w:topLinePunct/>
                    <w:adjustRightInd w:val="0"/>
                    <w:snapToGrid w:val="0"/>
                    <w:jc w:val="center"/>
                    <w:textAlignment w:val="center"/>
                    <w:rPr>
                      <w:rFonts w:hint="eastAsia"/>
                      <w:color w:val="auto"/>
                      <w:kern w:val="0"/>
                      <w:szCs w:val="21"/>
                    </w:rPr>
                  </w:pPr>
                  <w:r>
                    <w:rPr>
                      <w:rFonts w:hint="eastAsia"/>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noWrap w:val="0"/>
                  <w:vAlign w:val="center"/>
                </w:tcPr>
                <w:p>
                  <w:pPr>
                    <w:topLinePunct/>
                    <w:adjustRightInd w:val="0"/>
                    <w:snapToGrid w:val="0"/>
                    <w:jc w:val="center"/>
                    <w:textAlignment w:val="center"/>
                    <w:rPr>
                      <w:rFonts w:hint="eastAsia" w:eastAsia="宋体"/>
                      <w:color w:val="auto"/>
                      <w:kern w:val="0"/>
                      <w:szCs w:val="21"/>
                      <w:lang w:val="en-US" w:eastAsia="zh-CN"/>
                    </w:rPr>
                  </w:pPr>
                  <w:r>
                    <w:rPr>
                      <w:rFonts w:hint="eastAsia"/>
                      <w:color w:val="auto"/>
                      <w:kern w:val="0"/>
                      <w:szCs w:val="21"/>
                      <w:lang w:val="en-US" w:eastAsia="zh-CN"/>
                    </w:rPr>
                    <w:t>3</w:t>
                  </w:r>
                </w:p>
              </w:tc>
              <w:tc>
                <w:tcPr>
                  <w:tcW w:w="429" w:type="pct"/>
                  <w:noWrap w:val="0"/>
                  <w:vAlign w:val="center"/>
                </w:tcPr>
                <w:p>
                  <w:pPr>
                    <w:topLinePunct/>
                    <w:adjustRightInd w:val="0"/>
                    <w:snapToGrid w:val="0"/>
                    <w:jc w:val="center"/>
                    <w:textAlignment w:val="center"/>
                    <w:rPr>
                      <w:rFonts w:hint="default" w:eastAsia="宋体"/>
                      <w:color w:val="auto"/>
                      <w:kern w:val="0"/>
                      <w:szCs w:val="21"/>
                      <w:lang w:val="en-US" w:eastAsia="zh-CN"/>
                    </w:rPr>
                  </w:pPr>
                  <w:r>
                    <w:rPr>
                      <w:rFonts w:hint="eastAsia"/>
                      <w:color w:val="auto"/>
                      <w:kern w:val="0"/>
                      <w:szCs w:val="21"/>
                      <w:lang w:val="en-US" w:eastAsia="zh-CN"/>
                    </w:rPr>
                    <w:t>储运工程</w:t>
                  </w:r>
                </w:p>
              </w:tc>
              <w:tc>
                <w:tcPr>
                  <w:tcW w:w="476" w:type="pct"/>
                  <w:noWrap w:val="0"/>
                  <w:vAlign w:val="center"/>
                </w:tcPr>
                <w:p>
                  <w:pPr>
                    <w:topLinePunct/>
                    <w:adjustRightInd w:val="0"/>
                    <w:snapToGrid w:val="0"/>
                    <w:jc w:val="center"/>
                    <w:textAlignment w:val="center"/>
                    <w:rPr>
                      <w:rFonts w:hint="eastAsia"/>
                      <w:color w:val="auto"/>
                      <w:kern w:val="0"/>
                      <w:szCs w:val="21"/>
                      <w:lang w:val="en-US" w:eastAsia="zh-CN"/>
                    </w:rPr>
                  </w:pPr>
                  <w:r>
                    <w:rPr>
                      <w:rFonts w:hint="eastAsia"/>
                      <w:color w:val="auto"/>
                      <w:kern w:val="0"/>
                      <w:szCs w:val="21"/>
                      <w:lang w:val="en-US" w:eastAsia="zh-CN"/>
                    </w:rPr>
                    <w:t>骨料</w:t>
                  </w:r>
                </w:p>
                <w:p>
                  <w:pPr>
                    <w:topLinePunct/>
                    <w:adjustRightInd w:val="0"/>
                    <w:snapToGrid w:val="0"/>
                    <w:jc w:val="center"/>
                    <w:textAlignment w:val="center"/>
                    <w:rPr>
                      <w:rFonts w:hint="default" w:eastAsia="宋体"/>
                      <w:color w:val="auto"/>
                      <w:kern w:val="0"/>
                      <w:szCs w:val="21"/>
                      <w:lang w:val="en-US" w:eastAsia="zh-CN"/>
                    </w:rPr>
                  </w:pPr>
                  <w:r>
                    <w:rPr>
                      <w:rFonts w:hint="eastAsia"/>
                      <w:color w:val="auto"/>
                      <w:kern w:val="0"/>
                      <w:szCs w:val="21"/>
                      <w:lang w:val="en-US" w:eastAsia="zh-CN"/>
                    </w:rPr>
                    <w:t>堆场</w:t>
                  </w:r>
                </w:p>
              </w:tc>
              <w:tc>
                <w:tcPr>
                  <w:tcW w:w="3244" w:type="pct"/>
                  <w:noWrap w:val="0"/>
                  <w:vAlign w:val="center"/>
                </w:tcPr>
                <w:p>
                  <w:pPr>
                    <w:topLinePunct/>
                    <w:adjustRightInd w:val="0"/>
                    <w:snapToGrid w:val="0"/>
                    <w:jc w:val="center"/>
                    <w:textAlignment w:val="center"/>
                    <w:rPr>
                      <w:rFonts w:hint="default" w:eastAsia="宋体"/>
                      <w:color w:val="auto"/>
                      <w:kern w:val="0"/>
                      <w:szCs w:val="21"/>
                      <w:lang w:val="en-US" w:eastAsia="zh-CN"/>
                    </w:rPr>
                  </w:pPr>
                  <w:r>
                    <w:rPr>
                      <w:rFonts w:hint="eastAsia"/>
                      <w:color w:val="auto"/>
                      <w:kern w:val="0"/>
                      <w:szCs w:val="21"/>
                      <w:lang w:val="en-US" w:eastAsia="zh-CN"/>
                    </w:rPr>
                    <w:t>用于骨料堆存，顶部拟设铁棚遮风挡雨防尘</w:t>
                  </w:r>
                </w:p>
              </w:tc>
              <w:tc>
                <w:tcPr>
                  <w:tcW w:w="580" w:type="pct"/>
                  <w:noWrap w:val="0"/>
                  <w:vAlign w:val="center"/>
                </w:tcPr>
                <w:p>
                  <w:pPr>
                    <w:topLinePunct/>
                    <w:adjustRightInd w:val="0"/>
                    <w:snapToGrid w:val="0"/>
                    <w:jc w:val="center"/>
                    <w:textAlignment w:val="center"/>
                    <w:rPr>
                      <w:rFonts w:hint="eastAsia" w:ascii="Times New Roman" w:hAnsi="Times New Roman" w:eastAsia="宋体" w:cs="Times New Roman"/>
                      <w:color w:val="auto"/>
                      <w:kern w:val="0"/>
                      <w:sz w:val="21"/>
                      <w:szCs w:val="21"/>
                      <w:lang w:val="en-US" w:eastAsia="zh-CN" w:bidi="ar-SA"/>
                    </w:rPr>
                  </w:pPr>
                  <w:r>
                    <w:rPr>
                      <w:color w:val="auto"/>
                      <w:kern w:val="0"/>
                      <w:szCs w:val="21"/>
                    </w:rPr>
                    <w:t>钢架结构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vMerge w:val="restart"/>
                  <w:noWrap w:val="0"/>
                  <w:vAlign w:val="center"/>
                </w:tcPr>
                <w:p>
                  <w:pPr>
                    <w:topLinePunct/>
                    <w:adjustRightInd w:val="0"/>
                    <w:snapToGrid w:val="0"/>
                    <w:jc w:val="center"/>
                    <w:textAlignment w:val="center"/>
                    <w:rPr>
                      <w:rFonts w:hint="eastAsia" w:eastAsia="宋体"/>
                      <w:color w:val="auto"/>
                      <w:kern w:val="0"/>
                      <w:szCs w:val="21"/>
                      <w:lang w:eastAsia="zh-CN"/>
                    </w:rPr>
                  </w:pPr>
                  <w:r>
                    <w:rPr>
                      <w:rFonts w:hint="eastAsia"/>
                      <w:color w:val="auto"/>
                      <w:kern w:val="0"/>
                      <w:szCs w:val="21"/>
                      <w:lang w:val="en-US" w:eastAsia="zh-CN"/>
                    </w:rPr>
                    <w:t>4</w:t>
                  </w:r>
                </w:p>
              </w:tc>
              <w:tc>
                <w:tcPr>
                  <w:tcW w:w="429" w:type="pct"/>
                  <w:vMerge w:val="restart"/>
                  <w:noWrap w:val="0"/>
                  <w:vAlign w:val="center"/>
                </w:tcPr>
                <w:p>
                  <w:pPr>
                    <w:topLinePunct/>
                    <w:adjustRightInd w:val="0"/>
                    <w:snapToGrid w:val="0"/>
                    <w:jc w:val="center"/>
                    <w:textAlignment w:val="center"/>
                    <w:rPr>
                      <w:color w:val="auto"/>
                      <w:kern w:val="0"/>
                      <w:szCs w:val="21"/>
                    </w:rPr>
                  </w:pPr>
                  <w:r>
                    <w:rPr>
                      <w:color w:val="auto"/>
                      <w:kern w:val="0"/>
                      <w:szCs w:val="21"/>
                    </w:rPr>
                    <w:t>公用工程</w:t>
                  </w:r>
                </w:p>
              </w:tc>
              <w:tc>
                <w:tcPr>
                  <w:tcW w:w="476" w:type="pct"/>
                  <w:noWrap w:val="0"/>
                  <w:vAlign w:val="center"/>
                </w:tcPr>
                <w:p>
                  <w:pPr>
                    <w:topLinePunct/>
                    <w:adjustRightInd w:val="0"/>
                    <w:snapToGrid w:val="0"/>
                    <w:jc w:val="center"/>
                    <w:textAlignment w:val="center"/>
                    <w:rPr>
                      <w:color w:val="auto"/>
                      <w:kern w:val="0"/>
                      <w:szCs w:val="21"/>
                    </w:rPr>
                  </w:pPr>
                  <w:r>
                    <w:rPr>
                      <w:color w:val="auto"/>
                      <w:kern w:val="0"/>
                      <w:szCs w:val="21"/>
                    </w:rPr>
                    <w:t>供电</w:t>
                  </w:r>
                </w:p>
              </w:tc>
              <w:tc>
                <w:tcPr>
                  <w:tcW w:w="3244" w:type="pct"/>
                  <w:noWrap w:val="0"/>
                  <w:vAlign w:val="center"/>
                </w:tcPr>
                <w:p>
                  <w:pPr>
                    <w:topLinePunct/>
                    <w:adjustRightInd w:val="0"/>
                    <w:snapToGrid w:val="0"/>
                    <w:jc w:val="center"/>
                    <w:textAlignment w:val="center"/>
                    <w:rPr>
                      <w:color w:val="auto"/>
                      <w:kern w:val="0"/>
                      <w:szCs w:val="21"/>
                    </w:rPr>
                  </w:pPr>
                  <w:r>
                    <w:rPr>
                      <w:color w:val="auto"/>
                      <w:kern w:val="0"/>
                      <w:szCs w:val="21"/>
                    </w:rPr>
                    <w:t>接自市政电网</w:t>
                  </w:r>
                </w:p>
              </w:tc>
              <w:tc>
                <w:tcPr>
                  <w:tcW w:w="580" w:type="pct"/>
                  <w:noWrap w:val="0"/>
                  <w:vAlign w:val="center"/>
                </w:tcPr>
                <w:p>
                  <w:pPr>
                    <w:topLinePunct/>
                    <w:adjustRightInd w:val="0"/>
                    <w:snapToGrid w:val="0"/>
                    <w:jc w:val="center"/>
                    <w:textAlignment w:val="center"/>
                    <w:rPr>
                      <w:color w:val="auto"/>
                      <w:kern w:val="0"/>
                      <w:szCs w:val="21"/>
                    </w:rPr>
                  </w:pPr>
                  <w:r>
                    <w:rPr>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vMerge w:val="continue"/>
                  <w:noWrap w:val="0"/>
                  <w:vAlign w:val="center"/>
                </w:tcPr>
                <w:p>
                  <w:pPr>
                    <w:topLinePunct/>
                    <w:adjustRightInd w:val="0"/>
                    <w:snapToGrid w:val="0"/>
                    <w:jc w:val="center"/>
                    <w:textAlignment w:val="center"/>
                    <w:rPr>
                      <w:color w:val="auto"/>
                      <w:kern w:val="0"/>
                      <w:szCs w:val="21"/>
                    </w:rPr>
                  </w:pPr>
                </w:p>
              </w:tc>
              <w:tc>
                <w:tcPr>
                  <w:tcW w:w="429" w:type="pct"/>
                  <w:vMerge w:val="continue"/>
                  <w:noWrap w:val="0"/>
                  <w:vAlign w:val="center"/>
                </w:tcPr>
                <w:p>
                  <w:pPr>
                    <w:topLinePunct/>
                    <w:adjustRightInd w:val="0"/>
                    <w:snapToGrid w:val="0"/>
                    <w:jc w:val="center"/>
                    <w:textAlignment w:val="center"/>
                    <w:rPr>
                      <w:color w:val="auto"/>
                      <w:kern w:val="0"/>
                      <w:szCs w:val="21"/>
                    </w:rPr>
                  </w:pPr>
                </w:p>
              </w:tc>
              <w:tc>
                <w:tcPr>
                  <w:tcW w:w="476" w:type="pct"/>
                  <w:noWrap w:val="0"/>
                  <w:vAlign w:val="center"/>
                </w:tcPr>
                <w:p>
                  <w:pPr>
                    <w:topLinePunct/>
                    <w:adjustRightInd w:val="0"/>
                    <w:snapToGrid w:val="0"/>
                    <w:jc w:val="center"/>
                    <w:textAlignment w:val="center"/>
                    <w:rPr>
                      <w:color w:val="auto"/>
                      <w:kern w:val="0"/>
                      <w:szCs w:val="21"/>
                    </w:rPr>
                  </w:pPr>
                  <w:r>
                    <w:rPr>
                      <w:color w:val="auto"/>
                      <w:kern w:val="0"/>
                      <w:szCs w:val="21"/>
                    </w:rPr>
                    <w:t>给水</w:t>
                  </w:r>
                </w:p>
              </w:tc>
              <w:tc>
                <w:tcPr>
                  <w:tcW w:w="3244" w:type="pct"/>
                  <w:noWrap w:val="0"/>
                  <w:vAlign w:val="center"/>
                </w:tcPr>
                <w:p>
                  <w:pPr>
                    <w:topLinePunct/>
                    <w:adjustRightInd w:val="0"/>
                    <w:snapToGrid w:val="0"/>
                    <w:jc w:val="center"/>
                    <w:textAlignment w:val="center"/>
                    <w:rPr>
                      <w:color w:val="auto"/>
                      <w:kern w:val="0"/>
                      <w:szCs w:val="21"/>
                    </w:rPr>
                  </w:pPr>
                  <w:r>
                    <w:rPr>
                      <w:rFonts w:hint="eastAsia"/>
                      <w:color w:val="auto"/>
                      <w:kern w:val="0"/>
                      <w:szCs w:val="21"/>
                    </w:rPr>
                    <w:t>接自附近山泉水</w:t>
                  </w:r>
                </w:p>
              </w:tc>
              <w:tc>
                <w:tcPr>
                  <w:tcW w:w="580" w:type="pct"/>
                  <w:noWrap w:val="0"/>
                  <w:vAlign w:val="center"/>
                </w:tcPr>
                <w:p>
                  <w:pPr>
                    <w:topLinePunct/>
                    <w:adjustRightInd w:val="0"/>
                    <w:snapToGrid w:val="0"/>
                    <w:jc w:val="center"/>
                    <w:textAlignment w:val="center"/>
                    <w:rPr>
                      <w:color w:val="auto"/>
                      <w:kern w:val="0"/>
                      <w:szCs w:val="21"/>
                    </w:rPr>
                  </w:pPr>
                  <w:r>
                    <w:rPr>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vMerge w:val="continue"/>
                  <w:noWrap w:val="0"/>
                  <w:vAlign w:val="center"/>
                </w:tcPr>
                <w:p>
                  <w:pPr>
                    <w:topLinePunct/>
                    <w:adjustRightInd w:val="0"/>
                    <w:snapToGrid w:val="0"/>
                    <w:jc w:val="center"/>
                    <w:textAlignment w:val="center"/>
                    <w:rPr>
                      <w:color w:val="auto"/>
                      <w:kern w:val="0"/>
                      <w:szCs w:val="21"/>
                    </w:rPr>
                  </w:pPr>
                </w:p>
              </w:tc>
              <w:tc>
                <w:tcPr>
                  <w:tcW w:w="429" w:type="pct"/>
                  <w:vMerge w:val="continue"/>
                  <w:noWrap w:val="0"/>
                  <w:vAlign w:val="center"/>
                </w:tcPr>
                <w:p>
                  <w:pPr>
                    <w:topLinePunct/>
                    <w:adjustRightInd w:val="0"/>
                    <w:snapToGrid w:val="0"/>
                    <w:jc w:val="center"/>
                    <w:textAlignment w:val="center"/>
                    <w:rPr>
                      <w:color w:val="auto"/>
                      <w:kern w:val="0"/>
                      <w:szCs w:val="21"/>
                    </w:rPr>
                  </w:pPr>
                </w:p>
              </w:tc>
              <w:tc>
                <w:tcPr>
                  <w:tcW w:w="476" w:type="pct"/>
                  <w:noWrap w:val="0"/>
                  <w:vAlign w:val="center"/>
                </w:tcPr>
                <w:p>
                  <w:pPr>
                    <w:topLinePunct/>
                    <w:adjustRightInd w:val="0"/>
                    <w:snapToGrid w:val="0"/>
                    <w:jc w:val="center"/>
                    <w:textAlignment w:val="center"/>
                    <w:rPr>
                      <w:color w:val="auto"/>
                      <w:kern w:val="0"/>
                      <w:szCs w:val="21"/>
                    </w:rPr>
                  </w:pPr>
                  <w:r>
                    <w:rPr>
                      <w:color w:val="auto"/>
                      <w:kern w:val="0"/>
                      <w:szCs w:val="21"/>
                    </w:rPr>
                    <w:t>排水</w:t>
                  </w:r>
                </w:p>
              </w:tc>
              <w:tc>
                <w:tcPr>
                  <w:tcW w:w="3244" w:type="pct"/>
                  <w:noWrap w:val="0"/>
                  <w:vAlign w:val="center"/>
                </w:tcPr>
                <w:p>
                  <w:pPr>
                    <w:adjustRightInd w:val="0"/>
                    <w:snapToGrid w:val="0"/>
                    <w:jc w:val="center"/>
                    <w:rPr>
                      <w:color w:val="auto"/>
                      <w:kern w:val="0"/>
                      <w:szCs w:val="21"/>
                    </w:rPr>
                  </w:pPr>
                  <w:r>
                    <w:rPr>
                      <w:rFonts w:hint="eastAsia"/>
                      <w:bCs/>
                      <w:color w:val="auto"/>
                      <w:spacing w:val="-10"/>
                      <w:szCs w:val="21"/>
                    </w:rPr>
                    <w:t>生活污水经预处理后暂存，定期清掏，用于附近农用地浇灌，不外排；</w:t>
                  </w:r>
                  <w:r>
                    <w:rPr>
                      <w:bCs/>
                      <w:color w:val="auto"/>
                      <w:spacing w:val="-10"/>
                      <w:szCs w:val="21"/>
                    </w:rPr>
                    <w:t>初期雨水经处理后用</w:t>
                  </w:r>
                  <w:r>
                    <w:rPr>
                      <w:rFonts w:hint="eastAsia"/>
                      <w:bCs/>
                      <w:color w:val="auto"/>
                      <w:spacing w:val="-10"/>
                      <w:szCs w:val="21"/>
                    </w:rPr>
                    <w:t>用，不外排。</w:t>
                  </w:r>
                </w:p>
              </w:tc>
              <w:tc>
                <w:tcPr>
                  <w:tcW w:w="580" w:type="pct"/>
                  <w:noWrap w:val="0"/>
                  <w:vAlign w:val="center"/>
                </w:tcPr>
                <w:p>
                  <w:pPr>
                    <w:topLinePunct/>
                    <w:adjustRightInd w:val="0"/>
                    <w:snapToGrid w:val="0"/>
                    <w:jc w:val="center"/>
                    <w:textAlignment w:val="center"/>
                    <w:rPr>
                      <w:color w:val="auto"/>
                      <w:kern w:val="0"/>
                      <w:szCs w:val="21"/>
                    </w:rPr>
                  </w:pPr>
                  <w:r>
                    <w:rPr>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vMerge w:val="restart"/>
                  <w:noWrap w:val="0"/>
                  <w:vAlign w:val="center"/>
                </w:tcPr>
                <w:p>
                  <w:pPr>
                    <w:topLinePunct/>
                    <w:adjustRightInd w:val="0"/>
                    <w:snapToGrid w:val="0"/>
                    <w:jc w:val="center"/>
                    <w:textAlignment w:val="center"/>
                    <w:rPr>
                      <w:rFonts w:hint="eastAsia" w:eastAsia="宋体"/>
                      <w:color w:val="auto"/>
                      <w:kern w:val="0"/>
                      <w:szCs w:val="21"/>
                      <w:lang w:eastAsia="zh-CN"/>
                    </w:rPr>
                  </w:pPr>
                  <w:r>
                    <w:rPr>
                      <w:rFonts w:hint="eastAsia"/>
                      <w:color w:val="auto"/>
                      <w:kern w:val="0"/>
                      <w:szCs w:val="21"/>
                      <w:lang w:val="en-US" w:eastAsia="zh-CN"/>
                    </w:rPr>
                    <w:t>5</w:t>
                  </w:r>
                </w:p>
              </w:tc>
              <w:tc>
                <w:tcPr>
                  <w:tcW w:w="429" w:type="pct"/>
                  <w:vMerge w:val="restart"/>
                  <w:noWrap w:val="0"/>
                  <w:vAlign w:val="center"/>
                </w:tcPr>
                <w:p>
                  <w:pPr>
                    <w:topLinePunct/>
                    <w:adjustRightInd w:val="0"/>
                    <w:snapToGrid w:val="0"/>
                    <w:jc w:val="center"/>
                    <w:textAlignment w:val="center"/>
                    <w:rPr>
                      <w:color w:val="auto"/>
                      <w:kern w:val="0"/>
                      <w:szCs w:val="21"/>
                    </w:rPr>
                  </w:pPr>
                  <w:r>
                    <w:rPr>
                      <w:color w:val="auto"/>
                      <w:kern w:val="0"/>
                      <w:szCs w:val="21"/>
                    </w:rPr>
                    <w:t>环保工程</w:t>
                  </w:r>
                </w:p>
              </w:tc>
              <w:tc>
                <w:tcPr>
                  <w:tcW w:w="476" w:type="pct"/>
                  <w:noWrap w:val="0"/>
                  <w:vAlign w:val="center"/>
                </w:tcPr>
                <w:p>
                  <w:pPr>
                    <w:topLinePunct/>
                    <w:adjustRightInd w:val="0"/>
                    <w:snapToGrid w:val="0"/>
                    <w:jc w:val="center"/>
                    <w:textAlignment w:val="center"/>
                    <w:rPr>
                      <w:color w:val="auto"/>
                      <w:kern w:val="0"/>
                      <w:szCs w:val="21"/>
                    </w:rPr>
                  </w:pPr>
                  <w:r>
                    <w:rPr>
                      <w:color w:val="auto"/>
                      <w:kern w:val="0"/>
                      <w:szCs w:val="21"/>
                    </w:rPr>
                    <w:t>废水</w:t>
                  </w:r>
                </w:p>
              </w:tc>
              <w:tc>
                <w:tcPr>
                  <w:tcW w:w="3244" w:type="pct"/>
                  <w:noWrap w:val="0"/>
                  <w:vAlign w:val="center"/>
                </w:tcPr>
                <w:p>
                  <w:pPr>
                    <w:topLinePunct/>
                    <w:adjustRightInd w:val="0"/>
                    <w:snapToGrid w:val="0"/>
                    <w:textAlignment w:val="center"/>
                    <w:rPr>
                      <w:color w:val="auto"/>
                    </w:rPr>
                  </w:pPr>
                  <w:r>
                    <w:rPr>
                      <w:color w:val="auto"/>
                      <w:kern w:val="0"/>
                      <w:szCs w:val="21"/>
                    </w:rPr>
                    <w:t>①生活污水：</w:t>
                  </w:r>
                  <w:r>
                    <w:rPr>
                      <w:rFonts w:hint="eastAsia"/>
                      <w:color w:val="auto"/>
                      <w:kern w:val="0"/>
                      <w:szCs w:val="21"/>
                    </w:rPr>
                    <w:t>经临时</w:t>
                  </w:r>
                  <w:r>
                    <w:rPr>
                      <w:color w:val="auto"/>
                      <w:kern w:val="0"/>
                      <w:szCs w:val="21"/>
                    </w:rPr>
                    <w:t>化粪池预处理后暂存，</w:t>
                  </w:r>
                  <w:r>
                    <w:rPr>
                      <w:rFonts w:hint="eastAsia"/>
                      <w:bCs/>
                      <w:color w:val="auto"/>
                      <w:spacing w:val="-10"/>
                      <w:szCs w:val="21"/>
                    </w:rPr>
                    <w:t>定期清掏，用于附近农用地浇灌</w:t>
                  </w:r>
                  <w:r>
                    <w:rPr>
                      <w:color w:val="auto"/>
                    </w:rPr>
                    <w:t>。</w:t>
                  </w:r>
                </w:p>
                <w:p>
                  <w:pPr>
                    <w:topLinePunct/>
                    <w:adjustRightInd w:val="0"/>
                    <w:snapToGrid w:val="0"/>
                    <w:textAlignment w:val="center"/>
                    <w:rPr>
                      <w:color w:val="auto"/>
                    </w:rPr>
                  </w:pPr>
                  <w:r>
                    <w:rPr>
                      <w:color w:val="auto"/>
                      <w:kern w:val="0"/>
                      <w:szCs w:val="21"/>
                    </w:rPr>
                    <w:t>②</w:t>
                  </w:r>
                  <w:r>
                    <w:rPr>
                      <w:color w:val="auto"/>
                    </w:rPr>
                    <w:t>初期雨水：</w:t>
                  </w:r>
                  <w:r>
                    <w:rPr>
                      <w:bCs/>
                      <w:color w:val="auto"/>
                      <w:spacing w:val="-10"/>
                      <w:szCs w:val="21"/>
                    </w:rPr>
                    <w:t>经</w:t>
                  </w:r>
                  <w:r>
                    <w:rPr>
                      <w:rFonts w:hint="eastAsia"/>
                      <w:bCs/>
                      <w:color w:val="auto"/>
                      <w:spacing w:val="-10"/>
                      <w:szCs w:val="21"/>
                    </w:rPr>
                    <w:t>隔油池隔油处理、</w:t>
                  </w:r>
                  <w:r>
                    <w:rPr>
                      <w:bCs/>
                      <w:color w:val="auto"/>
                      <w:spacing w:val="-10"/>
                      <w:szCs w:val="21"/>
                    </w:rPr>
                    <w:t>沉淀池沉淀处理后</w:t>
                  </w:r>
                  <w:r>
                    <w:rPr>
                      <w:rFonts w:hint="eastAsia"/>
                      <w:bCs/>
                      <w:color w:val="auto"/>
                      <w:spacing w:val="-10"/>
                      <w:szCs w:val="21"/>
                    </w:rPr>
                    <w:t>回用</w:t>
                  </w:r>
                  <w:r>
                    <w:rPr>
                      <w:bCs/>
                      <w:color w:val="auto"/>
                      <w:spacing w:val="-10"/>
                      <w:szCs w:val="21"/>
                    </w:rPr>
                    <w:t>，作为喷淋装置洒水抑尘用水。</w:t>
                  </w:r>
                </w:p>
              </w:tc>
              <w:tc>
                <w:tcPr>
                  <w:tcW w:w="580" w:type="pct"/>
                  <w:noWrap w:val="0"/>
                  <w:vAlign w:val="center"/>
                </w:tcPr>
                <w:p>
                  <w:pPr>
                    <w:topLinePunct/>
                    <w:adjustRightInd w:val="0"/>
                    <w:snapToGrid w:val="0"/>
                    <w:jc w:val="center"/>
                    <w:textAlignment w:val="center"/>
                    <w:rPr>
                      <w:color w:val="auto"/>
                      <w:kern w:val="0"/>
                      <w:szCs w:val="21"/>
                    </w:rPr>
                  </w:pPr>
                  <w:r>
                    <w:rPr>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vMerge w:val="continue"/>
                  <w:noWrap w:val="0"/>
                  <w:vAlign w:val="center"/>
                </w:tcPr>
                <w:p>
                  <w:pPr>
                    <w:topLinePunct/>
                    <w:adjustRightInd w:val="0"/>
                    <w:snapToGrid w:val="0"/>
                    <w:jc w:val="center"/>
                    <w:textAlignment w:val="center"/>
                    <w:rPr>
                      <w:color w:val="auto"/>
                      <w:kern w:val="0"/>
                      <w:szCs w:val="21"/>
                    </w:rPr>
                  </w:pPr>
                </w:p>
              </w:tc>
              <w:tc>
                <w:tcPr>
                  <w:tcW w:w="429" w:type="pct"/>
                  <w:vMerge w:val="continue"/>
                  <w:noWrap w:val="0"/>
                  <w:vAlign w:val="center"/>
                </w:tcPr>
                <w:p>
                  <w:pPr>
                    <w:topLinePunct/>
                    <w:adjustRightInd w:val="0"/>
                    <w:snapToGrid w:val="0"/>
                    <w:jc w:val="center"/>
                    <w:textAlignment w:val="center"/>
                    <w:rPr>
                      <w:color w:val="auto"/>
                      <w:kern w:val="0"/>
                      <w:szCs w:val="21"/>
                    </w:rPr>
                  </w:pPr>
                </w:p>
              </w:tc>
              <w:tc>
                <w:tcPr>
                  <w:tcW w:w="476" w:type="pct"/>
                  <w:noWrap w:val="0"/>
                  <w:vAlign w:val="center"/>
                </w:tcPr>
                <w:p>
                  <w:pPr>
                    <w:topLinePunct/>
                    <w:adjustRightInd w:val="0"/>
                    <w:snapToGrid w:val="0"/>
                    <w:jc w:val="center"/>
                    <w:textAlignment w:val="center"/>
                    <w:rPr>
                      <w:color w:val="auto"/>
                      <w:kern w:val="0"/>
                      <w:szCs w:val="21"/>
                    </w:rPr>
                  </w:pPr>
                  <w:r>
                    <w:rPr>
                      <w:color w:val="auto"/>
                      <w:kern w:val="0"/>
                      <w:szCs w:val="21"/>
                    </w:rPr>
                    <w:t>废气</w:t>
                  </w:r>
                </w:p>
              </w:tc>
              <w:tc>
                <w:tcPr>
                  <w:tcW w:w="3244" w:type="pct"/>
                  <w:noWrap w:val="0"/>
                  <w:vAlign w:val="center"/>
                </w:tcPr>
                <w:p>
                  <w:pPr>
                    <w:topLinePunct/>
                    <w:adjustRightInd w:val="0"/>
                    <w:snapToGrid w:val="0"/>
                    <w:jc w:val="left"/>
                    <w:textAlignment w:val="center"/>
                    <w:rPr>
                      <w:bCs/>
                      <w:color w:val="auto"/>
                      <w:kern w:val="0"/>
                      <w:szCs w:val="21"/>
                      <w:lang w:val="zh-CN"/>
                    </w:rPr>
                  </w:pPr>
                  <w:r>
                    <w:rPr>
                      <w:color w:val="auto"/>
                      <w:kern w:val="0"/>
                      <w:szCs w:val="21"/>
                    </w:rPr>
                    <w:t>①</w:t>
                  </w:r>
                  <w:r>
                    <w:rPr>
                      <w:color w:val="auto"/>
                      <w:kern w:val="0"/>
                      <w:szCs w:val="21"/>
                      <w:lang w:val="zh-CN"/>
                    </w:rPr>
                    <w:t>运输车辆动力起尘：</w:t>
                  </w:r>
                  <w:r>
                    <w:rPr>
                      <w:bCs/>
                      <w:color w:val="auto"/>
                      <w:kern w:val="0"/>
                      <w:szCs w:val="21"/>
                      <w:lang w:val="zh-CN"/>
                    </w:rPr>
                    <w:t>运输道路硬化，</w:t>
                  </w:r>
                  <w:r>
                    <w:rPr>
                      <w:bCs/>
                      <w:color w:val="auto"/>
                      <w:kern w:val="0"/>
                      <w:szCs w:val="21"/>
                    </w:rPr>
                    <w:t>限制车速、</w:t>
                  </w:r>
                  <w:r>
                    <w:rPr>
                      <w:bCs/>
                      <w:color w:val="auto"/>
                      <w:kern w:val="0"/>
                      <w:szCs w:val="21"/>
                      <w:lang w:val="zh-CN"/>
                    </w:rPr>
                    <w:t>沿线设置喷淋装置；厂区设清洗装置，对进出厂区的车辆进行清洗；定期对地面进行清扫；运输车辆加盖篷布等。</w:t>
                  </w:r>
                </w:p>
                <w:p>
                  <w:pPr>
                    <w:topLinePunct/>
                    <w:adjustRightInd w:val="0"/>
                    <w:snapToGrid w:val="0"/>
                    <w:jc w:val="left"/>
                    <w:textAlignment w:val="center"/>
                    <w:rPr>
                      <w:color w:val="auto"/>
                      <w:szCs w:val="21"/>
                    </w:rPr>
                  </w:pPr>
                  <w:r>
                    <w:rPr>
                      <w:bCs/>
                      <w:color w:val="auto"/>
                      <w:kern w:val="0"/>
                      <w:szCs w:val="21"/>
                    </w:rPr>
                    <w:t>②骨料装卸粉尘：</w:t>
                  </w:r>
                  <w:r>
                    <w:rPr>
                      <w:color w:val="auto"/>
                      <w:szCs w:val="21"/>
                    </w:rPr>
                    <w:t>生产区（包括骨料堆场、搅拌楼）地面硬化，在骨料堆场安装水喷淋装置降尘。</w:t>
                  </w:r>
                </w:p>
                <w:p>
                  <w:pPr>
                    <w:topLinePunct/>
                    <w:adjustRightInd w:val="0"/>
                    <w:snapToGrid w:val="0"/>
                    <w:jc w:val="left"/>
                    <w:textAlignment w:val="center"/>
                    <w:rPr>
                      <w:bCs/>
                      <w:color w:val="auto"/>
                      <w:kern w:val="0"/>
                      <w:szCs w:val="21"/>
                    </w:rPr>
                  </w:pPr>
                  <w:r>
                    <w:rPr>
                      <w:color w:val="auto"/>
                      <w:szCs w:val="21"/>
                    </w:rPr>
                    <w:t>③骨料输送、计量、</w:t>
                  </w:r>
                  <w:r>
                    <w:rPr>
                      <w:rFonts w:hint="eastAsia"/>
                      <w:color w:val="auto"/>
                      <w:szCs w:val="21"/>
                    </w:rPr>
                    <w:t>筛选、</w:t>
                  </w:r>
                  <w:r>
                    <w:rPr>
                      <w:color w:val="auto"/>
                      <w:szCs w:val="21"/>
                    </w:rPr>
                    <w:t>投料粉尘：生产区（包括骨料堆场、搅拌楼）地面硬化</w:t>
                  </w:r>
                  <w:r>
                    <w:rPr>
                      <w:bCs/>
                      <w:color w:val="auto"/>
                      <w:kern w:val="0"/>
                      <w:szCs w:val="21"/>
                    </w:rPr>
                    <w:t>。</w:t>
                  </w:r>
                </w:p>
                <w:p>
                  <w:pPr>
                    <w:topLinePunct/>
                    <w:adjustRightInd w:val="0"/>
                    <w:snapToGrid w:val="0"/>
                    <w:jc w:val="left"/>
                    <w:textAlignment w:val="center"/>
                    <w:rPr>
                      <w:bCs/>
                      <w:color w:val="auto"/>
                      <w:kern w:val="0"/>
                      <w:szCs w:val="21"/>
                    </w:rPr>
                  </w:pPr>
                  <w:r>
                    <w:rPr>
                      <w:bCs/>
                      <w:color w:val="auto"/>
                      <w:kern w:val="0"/>
                      <w:szCs w:val="21"/>
                    </w:rPr>
                    <w:t>④</w:t>
                  </w:r>
                  <w:r>
                    <w:rPr>
                      <w:bCs/>
                      <w:color w:val="auto"/>
                      <w:spacing w:val="-10"/>
                      <w:szCs w:val="21"/>
                    </w:rPr>
                    <w:t>筒仓粉料输送储存粉尘</w:t>
                  </w:r>
                  <w:r>
                    <w:rPr>
                      <w:bCs/>
                      <w:color w:val="auto"/>
                      <w:kern w:val="0"/>
                      <w:szCs w:val="21"/>
                    </w:rPr>
                    <w:t>、搅拌机粉尘：地面硬化，粉料筒仓、搅拌机自带</w:t>
                  </w:r>
                  <w:r>
                    <w:rPr>
                      <w:bCs/>
                      <w:color w:val="auto"/>
                      <w:kern w:val="0"/>
                      <w:szCs w:val="21"/>
                      <w:lang w:val="zh-CN"/>
                    </w:rPr>
                    <w:t>袋式除尘器收集</w:t>
                  </w:r>
                  <w:r>
                    <w:rPr>
                      <w:bCs/>
                      <w:color w:val="auto"/>
                      <w:kern w:val="0"/>
                      <w:szCs w:val="21"/>
                    </w:rPr>
                    <w:t>处理粉尘。</w:t>
                  </w:r>
                </w:p>
                <w:p>
                  <w:pPr>
                    <w:topLinePunct/>
                    <w:adjustRightInd w:val="0"/>
                    <w:snapToGrid w:val="0"/>
                    <w:jc w:val="left"/>
                    <w:textAlignment w:val="center"/>
                    <w:rPr>
                      <w:bCs/>
                      <w:color w:val="auto"/>
                      <w:kern w:val="0"/>
                      <w:szCs w:val="21"/>
                    </w:rPr>
                  </w:pPr>
                  <w:r>
                    <w:rPr>
                      <w:bCs/>
                      <w:color w:val="auto"/>
                      <w:kern w:val="0"/>
                      <w:szCs w:val="21"/>
                    </w:rPr>
                    <w:t>⑤燃烧器燃烧废气、干燥滚筒烘干废气</w:t>
                  </w:r>
                  <w:r>
                    <w:rPr>
                      <w:rFonts w:hint="eastAsia"/>
                      <w:bCs/>
                      <w:color w:val="auto"/>
                      <w:kern w:val="0"/>
                      <w:szCs w:val="21"/>
                    </w:rPr>
                    <w:t>：设袋式除尘器处理。</w:t>
                  </w:r>
                </w:p>
                <w:p>
                  <w:pPr>
                    <w:topLinePunct/>
                    <w:adjustRightInd w:val="0"/>
                    <w:snapToGrid w:val="0"/>
                    <w:jc w:val="left"/>
                    <w:textAlignment w:val="center"/>
                    <w:rPr>
                      <w:bCs/>
                      <w:color w:val="auto"/>
                      <w:kern w:val="0"/>
                      <w:szCs w:val="21"/>
                    </w:rPr>
                  </w:pPr>
                  <w:r>
                    <w:rPr>
                      <w:rFonts w:hint="eastAsia"/>
                      <w:bCs/>
                      <w:color w:val="auto"/>
                      <w:kern w:val="0"/>
                      <w:szCs w:val="21"/>
                    </w:rPr>
                    <w:t>⑥搅拌器加热、搅拌、出料废气：设袋式除尘器+活性炭吸附装置处理。</w:t>
                  </w:r>
                </w:p>
                <w:p>
                  <w:pPr>
                    <w:topLinePunct/>
                    <w:adjustRightInd w:val="0"/>
                    <w:snapToGrid w:val="0"/>
                    <w:jc w:val="left"/>
                    <w:textAlignment w:val="center"/>
                    <w:rPr>
                      <w:bCs/>
                      <w:color w:val="auto"/>
                      <w:kern w:val="0"/>
                      <w:szCs w:val="21"/>
                    </w:rPr>
                  </w:pPr>
                  <w:r>
                    <w:rPr>
                      <w:rFonts w:hint="eastAsia"/>
                      <w:bCs/>
                      <w:color w:val="auto"/>
                      <w:kern w:val="0"/>
                      <w:szCs w:val="21"/>
                    </w:rPr>
                    <w:t>⑦导热油炉燃烧废气：设集气罩收集后，有组织排放。</w:t>
                  </w:r>
                </w:p>
                <w:p>
                  <w:pPr>
                    <w:topLinePunct/>
                    <w:adjustRightInd w:val="0"/>
                    <w:snapToGrid w:val="0"/>
                    <w:jc w:val="left"/>
                    <w:textAlignment w:val="center"/>
                    <w:rPr>
                      <w:bCs/>
                      <w:color w:val="auto"/>
                      <w:kern w:val="0"/>
                      <w:szCs w:val="21"/>
                    </w:rPr>
                  </w:pPr>
                  <w:r>
                    <w:rPr>
                      <w:rFonts w:hint="eastAsia"/>
                      <w:bCs/>
                      <w:color w:val="auto"/>
                      <w:kern w:val="0"/>
                      <w:szCs w:val="21"/>
                    </w:rPr>
                    <w:t>⑧储罐呼吸废气：产生量较小，以无组织的形式排放。</w:t>
                  </w:r>
                </w:p>
                <w:p>
                  <w:pPr>
                    <w:topLinePunct/>
                    <w:adjustRightInd w:val="0"/>
                    <w:snapToGrid w:val="0"/>
                    <w:jc w:val="left"/>
                    <w:textAlignment w:val="center"/>
                    <w:rPr>
                      <w:bCs/>
                      <w:color w:val="auto"/>
                      <w:kern w:val="0"/>
                      <w:szCs w:val="21"/>
                    </w:rPr>
                  </w:pPr>
                  <w:r>
                    <w:rPr>
                      <w:rFonts w:hint="eastAsia"/>
                      <w:bCs/>
                      <w:color w:val="auto"/>
                      <w:kern w:val="0"/>
                      <w:szCs w:val="21"/>
                    </w:rPr>
                    <w:t>⑨</w:t>
                  </w:r>
                  <w:r>
                    <w:rPr>
                      <w:bCs/>
                      <w:color w:val="auto"/>
                      <w:kern w:val="0"/>
                      <w:szCs w:val="21"/>
                    </w:rPr>
                    <w:t>汽车尾气：</w:t>
                  </w:r>
                  <w:r>
                    <w:rPr>
                      <w:color w:val="auto"/>
                      <w:szCs w:val="21"/>
                    </w:rPr>
                    <w:t>加强进出车辆的管理，使用高标号汽油，定期维护保养，加强厂区绿化</w:t>
                  </w:r>
                  <w:r>
                    <w:rPr>
                      <w:bCs/>
                      <w:color w:val="auto"/>
                      <w:kern w:val="0"/>
                      <w:szCs w:val="21"/>
                    </w:rPr>
                    <w:t>等。</w:t>
                  </w:r>
                </w:p>
              </w:tc>
              <w:tc>
                <w:tcPr>
                  <w:tcW w:w="580" w:type="pct"/>
                  <w:noWrap w:val="0"/>
                  <w:vAlign w:val="center"/>
                </w:tcPr>
                <w:p>
                  <w:pPr>
                    <w:adjustRightInd w:val="0"/>
                    <w:snapToGrid w:val="0"/>
                    <w:jc w:val="center"/>
                    <w:rPr>
                      <w:bCs/>
                      <w:color w:val="auto"/>
                      <w:kern w:val="0"/>
                      <w:szCs w:val="21"/>
                    </w:rPr>
                  </w:pPr>
                  <w:r>
                    <w:rPr>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vMerge w:val="continue"/>
                  <w:noWrap w:val="0"/>
                  <w:vAlign w:val="center"/>
                </w:tcPr>
                <w:p>
                  <w:pPr>
                    <w:topLinePunct/>
                    <w:adjustRightInd w:val="0"/>
                    <w:snapToGrid w:val="0"/>
                    <w:jc w:val="center"/>
                    <w:textAlignment w:val="center"/>
                    <w:rPr>
                      <w:color w:val="auto"/>
                      <w:kern w:val="0"/>
                      <w:szCs w:val="21"/>
                    </w:rPr>
                  </w:pPr>
                </w:p>
              </w:tc>
              <w:tc>
                <w:tcPr>
                  <w:tcW w:w="429" w:type="pct"/>
                  <w:vMerge w:val="continue"/>
                  <w:noWrap w:val="0"/>
                  <w:vAlign w:val="center"/>
                </w:tcPr>
                <w:p>
                  <w:pPr>
                    <w:topLinePunct/>
                    <w:adjustRightInd w:val="0"/>
                    <w:snapToGrid w:val="0"/>
                    <w:jc w:val="center"/>
                    <w:textAlignment w:val="center"/>
                    <w:rPr>
                      <w:color w:val="auto"/>
                      <w:kern w:val="0"/>
                      <w:szCs w:val="21"/>
                    </w:rPr>
                  </w:pPr>
                </w:p>
              </w:tc>
              <w:tc>
                <w:tcPr>
                  <w:tcW w:w="476" w:type="pct"/>
                  <w:noWrap w:val="0"/>
                  <w:vAlign w:val="center"/>
                </w:tcPr>
                <w:p>
                  <w:pPr>
                    <w:topLinePunct/>
                    <w:adjustRightInd w:val="0"/>
                    <w:snapToGrid w:val="0"/>
                    <w:jc w:val="center"/>
                    <w:textAlignment w:val="center"/>
                    <w:rPr>
                      <w:color w:val="auto"/>
                      <w:kern w:val="0"/>
                      <w:szCs w:val="21"/>
                    </w:rPr>
                  </w:pPr>
                  <w:r>
                    <w:rPr>
                      <w:color w:val="auto"/>
                      <w:kern w:val="0"/>
                      <w:szCs w:val="21"/>
                    </w:rPr>
                    <w:t>噪声</w:t>
                  </w:r>
                </w:p>
              </w:tc>
              <w:tc>
                <w:tcPr>
                  <w:tcW w:w="3244" w:type="pct"/>
                  <w:noWrap w:val="0"/>
                  <w:vAlign w:val="center"/>
                </w:tcPr>
                <w:p>
                  <w:pPr>
                    <w:topLinePunct/>
                    <w:adjustRightInd w:val="0"/>
                    <w:snapToGrid w:val="0"/>
                    <w:jc w:val="center"/>
                    <w:textAlignment w:val="center"/>
                    <w:rPr>
                      <w:color w:val="auto"/>
                      <w:kern w:val="0"/>
                      <w:szCs w:val="21"/>
                    </w:rPr>
                  </w:pPr>
                  <w:r>
                    <w:rPr>
                      <w:color w:val="auto"/>
                      <w:szCs w:val="21"/>
                    </w:rPr>
                    <w:t>选用精度高、装配质量好、噪声低的设备；合理布局，利用构筑物、建筑物等来隔声；高噪声车间考虑使用隔声、吸声材料；加强设备管理，设备定期维护、保养；合理安排生产时间</w:t>
                  </w:r>
                </w:p>
              </w:tc>
              <w:tc>
                <w:tcPr>
                  <w:tcW w:w="580" w:type="pct"/>
                  <w:noWrap w:val="0"/>
                  <w:vAlign w:val="center"/>
                </w:tcPr>
                <w:p>
                  <w:pPr>
                    <w:topLinePunct/>
                    <w:adjustRightInd w:val="0"/>
                    <w:snapToGrid w:val="0"/>
                    <w:jc w:val="center"/>
                    <w:textAlignment w:val="center"/>
                    <w:rPr>
                      <w:color w:val="auto"/>
                      <w:kern w:val="0"/>
                      <w:szCs w:val="21"/>
                    </w:rPr>
                  </w:pPr>
                  <w:r>
                    <w:rPr>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9" w:type="pct"/>
                  <w:vMerge w:val="continue"/>
                  <w:noWrap w:val="0"/>
                  <w:vAlign w:val="center"/>
                </w:tcPr>
                <w:p>
                  <w:pPr>
                    <w:topLinePunct/>
                    <w:adjustRightInd w:val="0"/>
                    <w:snapToGrid w:val="0"/>
                    <w:jc w:val="center"/>
                    <w:textAlignment w:val="center"/>
                    <w:rPr>
                      <w:color w:val="auto"/>
                      <w:kern w:val="0"/>
                      <w:szCs w:val="21"/>
                    </w:rPr>
                  </w:pPr>
                </w:p>
              </w:tc>
              <w:tc>
                <w:tcPr>
                  <w:tcW w:w="429" w:type="pct"/>
                  <w:vMerge w:val="continue"/>
                  <w:noWrap w:val="0"/>
                  <w:vAlign w:val="center"/>
                </w:tcPr>
                <w:p>
                  <w:pPr>
                    <w:topLinePunct/>
                    <w:adjustRightInd w:val="0"/>
                    <w:snapToGrid w:val="0"/>
                    <w:jc w:val="center"/>
                    <w:textAlignment w:val="center"/>
                    <w:rPr>
                      <w:color w:val="auto"/>
                      <w:kern w:val="0"/>
                      <w:szCs w:val="21"/>
                    </w:rPr>
                  </w:pPr>
                </w:p>
              </w:tc>
              <w:tc>
                <w:tcPr>
                  <w:tcW w:w="476" w:type="pct"/>
                  <w:noWrap w:val="0"/>
                  <w:vAlign w:val="center"/>
                </w:tcPr>
                <w:p>
                  <w:pPr>
                    <w:topLinePunct/>
                    <w:adjustRightInd w:val="0"/>
                    <w:snapToGrid w:val="0"/>
                    <w:jc w:val="center"/>
                    <w:textAlignment w:val="center"/>
                    <w:rPr>
                      <w:color w:val="auto"/>
                      <w:kern w:val="0"/>
                      <w:szCs w:val="21"/>
                    </w:rPr>
                  </w:pPr>
                  <w:r>
                    <w:rPr>
                      <w:color w:val="auto"/>
                      <w:kern w:val="0"/>
                      <w:szCs w:val="21"/>
                    </w:rPr>
                    <w:t>固废</w:t>
                  </w:r>
                </w:p>
              </w:tc>
              <w:tc>
                <w:tcPr>
                  <w:tcW w:w="3244" w:type="pct"/>
                  <w:noWrap w:val="0"/>
                  <w:vAlign w:val="center"/>
                </w:tcPr>
                <w:p>
                  <w:pPr>
                    <w:adjustRightInd w:val="0"/>
                    <w:snapToGrid w:val="0"/>
                    <w:rPr>
                      <w:snapToGrid w:val="0"/>
                      <w:color w:val="auto"/>
                      <w:kern w:val="0"/>
                      <w:szCs w:val="21"/>
                    </w:rPr>
                  </w:pPr>
                  <w:r>
                    <w:rPr>
                      <w:rFonts w:hint="eastAsia"/>
                      <w:snapToGrid w:val="0"/>
                      <w:color w:val="auto"/>
                      <w:kern w:val="0"/>
                      <w:szCs w:val="21"/>
                    </w:rPr>
                    <w:t>①</w:t>
                  </w:r>
                  <w:r>
                    <w:rPr>
                      <w:snapToGrid w:val="0"/>
                      <w:color w:val="auto"/>
                      <w:kern w:val="0"/>
                      <w:szCs w:val="21"/>
                    </w:rPr>
                    <w:t>一般固废：</w:t>
                  </w:r>
                  <w:r>
                    <w:rPr>
                      <w:rFonts w:hint="eastAsia"/>
                      <w:snapToGrid w:val="0"/>
                      <w:color w:val="auto"/>
                      <w:kern w:val="0"/>
                      <w:szCs w:val="21"/>
                    </w:rPr>
                    <w:t>收集粉尘、沉沙、废石料、废布袋经分类收集后，暂存于一般固废间，定期</w:t>
                  </w:r>
                  <w:r>
                    <w:rPr>
                      <w:rFonts w:hint="eastAsia"/>
                      <w:snapToGrid w:val="0"/>
                      <w:color w:val="auto"/>
                      <w:kern w:val="0"/>
                      <w:szCs w:val="21"/>
                      <w:lang w:val="zh-CN"/>
                    </w:rPr>
                    <w:t>外售，收集粉尘、沉沙、废石料用于铺路材料，</w:t>
                  </w:r>
                  <w:r>
                    <w:rPr>
                      <w:rFonts w:hint="eastAsia"/>
                      <w:snapToGrid w:val="0"/>
                      <w:color w:val="auto"/>
                      <w:kern w:val="0"/>
                      <w:szCs w:val="21"/>
                    </w:rPr>
                    <w:t>废布袋由厂家回收。</w:t>
                  </w:r>
                </w:p>
                <w:p>
                  <w:pPr>
                    <w:adjustRightInd w:val="0"/>
                    <w:snapToGrid w:val="0"/>
                    <w:rPr>
                      <w:snapToGrid w:val="0"/>
                      <w:color w:val="auto"/>
                      <w:kern w:val="0"/>
                      <w:szCs w:val="21"/>
                    </w:rPr>
                  </w:pPr>
                  <w:r>
                    <w:rPr>
                      <w:rFonts w:hint="eastAsia"/>
                      <w:snapToGrid w:val="0"/>
                      <w:color w:val="auto"/>
                      <w:kern w:val="0"/>
                      <w:szCs w:val="21"/>
                    </w:rPr>
                    <w:t>②危险废物</w:t>
                  </w:r>
                  <w:r>
                    <w:rPr>
                      <w:snapToGrid w:val="0"/>
                      <w:color w:val="auto"/>
                      <w:kern w:val="0"/>
                      <w:szCs w:val="21"/>
                    </w:rPr>
                    <w:t>：</w:t>
                  </w:r>
                  <w:r>
                    <w:rPr>
                      <w:rFonts w:hint="eastAsia"/>
                      <w:snapToGrid w:val="0"/>
                      <w:color w:val="auto"/>
                      <w:kern w:val="0"/>
                      <w:szCs w:val="21"/>
                    </w:rPr>
                    <w:t>废机油、废抹布、废活性炭经分类收集后，暂存于危废间，委托有危废处置资质的单位转移处置。</w:t>
                  </w:r>
                </w:p>
                <w:p>
                  <w:pPr>
                    <w:adjustRightInd w:val="0"/>
                    <w:snapToGrid w:val="0"/>
                    <w:rPr>
                      <w:color w:val="auto"/>
                      <w:szCs w:val="21"/>
                    </w:rPr>
                  </w:pPr>
                  <w:r>
                    <w:rPr>
                      <w:rFonts w:hint="eastAsia"/>
                      <w:snapToGrid w:val="0"/>
                      <w:color w:val="auto"/>
                      <w:kern w:val="0"/>
                      <w:szCs w:val="21"/>
                    </w:rPr>
                    <w:t>③生活垃圾：集中收集至垃圾桶后，委托环卫部门定期清运处理。</w:t>
                  </w:r>
                </w:p>
              </w:tc>
              <w:tc>
                <w:tcPr>
                  <w:tcW w:w="580" w:type="pct"/>
                  <w:noWrap w:val="0"/>
                  <w:vAlign w:val="center"/>
                </w:tcPr>
                <w:p>
                  <w:pPr>
                    <w:topLinePunct/>
                    <w:adjustRightInd w:val="0"/>
                    <w:snapToGrid w:val="0"/>
                    <w:jc w:val="center"/>
                    <w:textAlignment w:val="center"/>
                    <w:rPr>
                      <w:color w:val="auto"/>
                      <w:kern w:val="0"/>
                      <w:szCs w:val="21"/>
                    </w:rPr>
                  </w:pPr>
                  <w:r>
                    <w:rPr>
                      <w:color w:val="auto"/>
                      <w:kern w:val="0"/>
                      <w:szCs w:val="21"/>
                    </w:rPr>
                    <w:t>/</w:t>
                  </w:r>
                </w:p>
              </w:tc>
            </w:tr>
          </w:tbl>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2" w:firstLineChars="200"/>
              <w:rPr>
                <w:b/>
                <w:bCs/>
                <w:color w:val="auto"/>
                <w:kern w:val="0"/>
                <w:sz w:val="24"/>
              </w:rPr>
            </w:pPr>
            <w:r>
              <w:rPr>
                <w:b/>
                <w:bCs/>
                <w:color w:val="auto"/>
                <w:kern w:val="0"/>
                <w:sz w:val="24"/>
              </w:rPr>
              <w:t>（三）主要生产设施</w:t>
            </w:r>
          </w:p>
          <w:p>
            <w:pPr>
              <w:autoSpaceDE w:val="0"/>
              <w:autoSpaceDN w:val="0"/>
              <w:adjustRightInd w:val="0"/>
              <w:snapToGrid w:val="0"/>
              <w:jc w:val="center"/>
              <w:rPr>
                <w:b/>
                <w:bCs/>
                <w:color w:val="auto"/>
                <w:kern w:val="0"/>
                <w:sz w:val="24"/>
              </w:rPr>
            </w:pPr>
            <w:r>
              <w:rPr>
                <w:b/>
                <w:bCs/>
                <w:color w:val="auto"/>
                <w:kern w:val="0"/>
                <w:sz w:val="24"/>
              </w:rPr>
              <w:t>表2-3  项目主要生产设施</w:t>
            </w:r>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466"/>
              <w:gridCol w:w="2729"/>
              <w:gridCol w:w="827"/>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769" w:type="pct"/>
                  <w:gridSpan w:val="2"/>
                  <w:shd w:val="clear" w:color="000000" w:fill="auto"/>
                  <w:noWrap w:val="0"/>
                  <w:vAlign w:val="center"/>
                </w:tcPr>
                <w:p>
                  <w:pPr>
                    <w:snapToGrid w:val="0"/>
                    <w:spacing w:line="20" w:lineRule="atLeast"/>
                    <w:jc w:val="center"/>
                    <w:rPr>
                      <w:b/>
                      <w:bCs/>
                      <w:color w:val="auto"/>
                      <w:szCs w:val="21"/>
                    </w:rPr>
                  </w:pPr>
                  <w:r>
                    <w:rPr>
                      <w:b/>
                      <w:bCs/>
                      <w:color w:val="auto"/>
                      <w:szCs w:val="21"/>
                    </w:rPr>
                    <w:t>名    称</w:t>
                  </w:r>
                </w:p>
              </w:tc>
              <w:tc>
                <w:tcPr>
                  <w:tcW w:w="1472" w:type="pct"/>
                  <w:shd w:val="clear" w:color="000000" w:fill="auto"/>
                  <w:noWrap w:val="0"/>
                  <w:vAlign w:val="center"/>
                </w:tcPr>
                <w:p>
                  <w:pPr>
                    <w:snapToGrid w:val="0"/>
                    <w:spacing w:line="20" w:lineRule="atLeast"/>
                    <w:jc w:val="center"/>
                    <w:rPr>
                      <w:b/>
                      <w:bCs/>
                      <w:color w:val="auto"/>
                      <w:szCs w:val="21"/>
                    </w:rPr>
                  </w:pPr>
                  <w:r>
                    <w:rPr>
                      <w:b/>
                      <w:bCs/>
                      <w:color w:val="auto"/>
                      <w:szCs w:val="21"/>
                    </w:rPr>
                    <w:t>规      格</w:t>
                  </w:r>
                </w:p>
              </w:tc>
              <w:tc>
                <w:tcPr>
                  <w:tcW w:w="446" w:type="pct"/>
                  <w:shd w:val="clear" w:color="000000" w:fill="auto"/>
                  <w:noWrap w:val="0"/>
                  <w:vAlign w:val="center"/>
                </w:tcPr>
                <w:p>
                  <w:pPr>
                    <w:snapToGrid w:val="0"/>
                    <w:spacing w:line="20" w:lineRule="atLeast"/>
                    <w:jc w:val="center"/>
                    <w:rPr>
                      <w:b/>
                      <w:bCs/>
                      <w:color w:val="auto"/>
                      <w:szCs w:val="21"/>
                    </w:rPr>
                  </w:pPr>
                  <w:r>
                    <w:rPr>
                      <w:b/>
                      <w:bCs/>
                      <w:color w:val="auto"/>
                      <w:szCs w:val="21"/>
                    </w:rPr>
                    <w:t>数量(台)</w:t>
                  </w:r>
                </w:p>
              </w:tc>
              <w:tc>
                <w:tcPr>
                  <w:tcW w:w="1311" w:type="pct"/>
                  <w:shd w:val="clear" w:color="000000" w:fill="auto"/>
                  <w:noWrap w:val="0"/>
                  <w:vAlign w:val="center"/>
                </w:tcPr>
                <w:p>
                  <w:pPr>
                    <w:snapToGrid w:val="0"/>
                    <w:spacing w:line="20" w:lineRule="atLeast"/>
                    <w:jc w:val="center"/>
                    <w:rPr>
                      <w:b/>
                      <w:bCs/>
                      <w:color w:val="auto"/>
                      <w:szCs w:val="21"/>
                    </w:rPr>
                  </w:pPr>
                  <w:r>
                    <w:rPr>
                      <w:b/>
                      <w:bCs/>
                      <w:color w:val="auto"/>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restart"/>
                  <w:noWrap w:val="0"/>
                  <w:vAlign w:val="center"/>
                </w:tcPr>
                <w:p>
                  <w:pPr>
                    <w:snapToGrid w:val="0"/>
                    <w:spacing w:line="20" w:lineRule="atLeast"/>
                    <w:jc w:val="center"/>
                    <w:rPr>
                      <w:color w:val="auto"/>
                      <w:szCs w:val="21"/>
                    </w:rPr>
                  </w:pPr>
                  <w:r>
                    <w:rPr>
                      <w:color w:val="auto"/>
                      <w:szCs w:val="21"/>
                    </w:rPr>
                    <w:t>原生料冷料系统</w:t>
                  </w:r>
                </w:p>
              </w:tc>
              <w:tc>
                <w:tcPr>
                  <w:tcW w:w="1330" w:type="pct"/>
                  <w:noWrap w:val="0"/>
                  <w:vAlign w:val="center"/>
                </w:tcPr>
                <w:p>
                  <w:pPr>
                    <w:snapToGrid w:val="0"/>
                    <w:spacing w:line="20" w:lineRule="atLeast"/>
                    <w:jc w:val="center"/>
                    <w:rPr>
                      <w:color w:val="auto"/>
                      <w:szCs w:val="21"/>
                    </w:rPr>
                  </w:pPr>
                  <w:r>
                    <w:rPr>
                      <w:color w:val="auto"/>
                      <w:szCs w:val="21"/>
                    </w:rPr>
                    <w:t>砂仓振动器</w:t>
                  </w:r>
                </w:p>
              </w:tc>
              <w:tc>
                <w:tcPr>
                  <w:tcW w:w="1472" w:type="pct"/>
                  <w:noWrap w:val="0"/>
                  <w:vAlign w:val="center"/>
                </w:tcPr>
                <w:p>
                  <w:pPr>
                    <w:snapToGrid w:val="0"/>
                    <w:spacing w:line="20" w:lineRule="atLeast"/>
                    <w:jc w:val="center"/>
                    <w:rPr>
                      <w:color w:val="auto"/>
                      <w:szCs w:val="21"/>
                    </w:rPr>
                  </w:pPr>
                  <w:r>
                    <w:rPr>
                      <w:color w:val="auto"/>
                      <w:szCs w:val="21"/>
                    </w:rPr>
                    <w:t>0.25kw</w:t>
                  </w:r>
                </w:p>
              </w:tc>
              <w:tc>
                <w:tcPr>
                  <w:tcW w:w="446" w:type="pct"/>
                  <w:noWrap w:val="0"/>
                  <w:vAlign w:val="center"/>
                </w:tcPr>
                <w:p>
                  <w:pPr>
                    <w:snapToGrid w:val="0"/>
                    <w:spacing w:line="20" w:lineRule="atLeast"/>
                    <w:jc w:val="center"/>
                    <w:rPr>
                      <w:color w:val="auto"/>
                      <w:szCs w:val="21"/>
                    </w:rPr>
                  </w:pPr>
                  <w:r>
                    <w:rPr>
                      <w:color w:val="auto"/>
                      <w:szCs w:val="21"/>
                    </w:rPr>
                    <w:t>2</w:t>
                  </w:r>
                </w:p>
              </w:tc>
              <w:tc>
                <w:tcPr>
                  <w:tcW w:w="1311" w:type="pct"/>
                  <w:noWrap w:val="0"/>
                  <w:vAlign w:val="center"/>
                </w:tcPr>
                <w:p>
                  <w:pPr>
                    <w:snapToGrid w:val="0"/>
                    <w:spacing w:line="20" w:lineRule="atLeast"/>
                    <w:jc w:val="center"/>
                    <w:rPr>
                      <w:color w:val="auto"/>
                      <w:szCs w:val="21"/>
                    </w:rPr>
                  </w:pPr>
                  <w:r>
                    <w:rPr>
                      <w:color w:val="auto"/>
                      <w:szCs w:val="21"/>
                    </w:rPr>
                    <w:t>欧力卧龙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冷料仓（板链式）</w:t>
                  </w:r>
                </w:p>
              </w:tc>
              <w:tc>
                <w:tcPr>
                  <w:tcW w:w="1472" w:type="pct"/>
                  <w:noWrap w:val="0"/>
                  <w:vAlign w:val="center"/>
                </w:tcPr>
                <w:p>
                  <w:pPr>
                    <w:snapToGrid w:val="0"/>
                    <w:spacing w:line="20" w:lineRule="atLeast"/>
                    <w:jc w:val="center"/>
                    <w:rPr>
                      <w:color w:val="auto"/>
                      <w:szCs w:val="21"/>
                    </w:rPr>
                  </w:pPr>
                  <w:r>
                    <w:rPr>
                      <w:color w:val="auto"/>
                      <w:szCs w:val="21"/>
                    </w:rPr>
                    <w:t>16m³/仓</w:t>
                  </w:r>
                </w:p>
              </w:tc>
              <w:tc>
                <w:tcPr>
                  <w:tcW w:w="446" w:type="pct"/>
                  <w:noWrap w:val="0"/>
                  <w:vAlign w:val="center"/>
                </w:tcPr>
                <w:p>
                  <w:pPr>
                    <w:snapToGrid w:val="0"/>
                    <w:spacing w:line="20" w:lineRule="atLeast"/>
                    <w:jc w:val="center"/>
                    <w:rPr>
                      <w:color w:val="auto"/>
                      <w:szCs w:val="21"/>
                    </w:rPr>
                  </w:pPr>
                  <w:r>
                    <w:rPr>
                      <w:color w:val="auto"/>
                      <w:szCs w:val="21"/>
                    </w:rPr>
                    <w:t>6</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皮带给料减速电机</w:t>
                  </w:r>
                </w:p>
              </w:tc>
              <w:tc>
                <w:tcPr>
                  <w:tcW w:w="1472" w:type="pct"/>
                  <w:noWrap w:val="0"/>
                  <w:vAlign w:val="center"/>
                </w:tcPr>
                <w:p>
                  <w:pPr>
                    <w:snapToGrid w:val="0"/>
                    <w:spacing w:line="20" w:lineRule="atLeast"/>
                    <w:jc w:val="center"/>
                    <w:rPr>
                      <w:color w:val="auto"/>
                      <w:szCs w:val="21"/>
                    </w:rPr>
                  </w:pPr>
                  <w:r>
                    <w:rPr>
                      <w:color w:val="auto"/>
                      <w:szCs w:val="21"/>
                    </w:rPr>
                    <w:t>2.2kw/KA77DRE100M4</w:t>
                  </w:r>
                </w:p>
              </w:tc>
              <w:tc>
                <w:tcPr>
                  <w:tcW w:w="446" w:type="pct"/>
                  <w:noWrap w:val="0"/>
                  <w:vAlign w:val="center"/>
                </w:tcPr>
                <w:p>
                  <w:pPr>
                    <w:snapToGrid w:val="0"/>
                    <w:spacing w:line="20" w:lineRule="atLeast"/>
                    <w:jc w:val="center"/>
                    <w:rPr>
                      <w:color w:val="auto"/>
                      <w:szCs w:val="21"/>
                    </w:rPr>
                  </w:pPr>
                  <w:r>
                    <w:rPr>
                      <w:color w:val="auto"/>
                      <w:szCs w:val="21"/>
                    </w:rPr>
                    <w:t>6</w:t>
                  </w:r>
                </w:p>
              </w:tc>
              <w:tc>
                <w:tcPr>
                  <w:tcW w:w="1311" w:type="pct"/>
                  <w:noWrap w:val="0"/>
                  <w:vAlign w:val="center"/>
                </w:tcPr>
                <w:p>
                  <w:pPr>
                    <w:snapToGrid w:val="0"/>
                    <w:spacing w:line="20" w:lineRule="atLeast"/>
                    <w:jc w:val="center"/>
                    <w:rPr>
                      <w:color w:val="auto"/>
                      <w:szCs w:val="21"/>
                    </w:rPr>
                  </w:pPr>
                  <w:r>
                    <w:rPr>
                      <w:color w:val="auto"/>
                      <w:szCs w:val="21"/>
                    </w:rPr>
                    <w:t>德国SEW（诺德）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变频器</w:t>
                  </w:r>
                </w:p>
              </w:tc>
              <w:tc>
                <w:tcPr>
                  <w:tcW w:w="1472" w:type="pct"/>
                  <w:noWrap w:val="0"/>
                  <w:vAlign w:val="center"/>
                </w:tcPr>
                <w:p>
                  <w:pPr>
                    <w:snapToGrid w:val="0"/>
                    <w:spacing w:line="20" w:lineRule="atLeast"/>
                    <w:jc w:val="center"/>
                    <w:rPr>
                      <w:color w:val="auto"/>
                      <w:szCs w:val="21"/>
                    </w:rPr>
                  </w:pPr>
                  <w:r>
                    <w:rPr>
                      <w:color w:val="auto"/>
                      <w:szCs w:val="21"/>
                    </w:rPr>
                    <w:t>2.2kw</w:t>
                  </w:r>
                </w:p>
              </w:tc>
              <w:tc>
                <w:tcPr>
                  <w:tcW w:w="446" w:type="pct"/>
                  <w:noWrap w:val="0"/>
                  <w:vAlign w:val="center"/>
                </w:tcPr>
                <w:p>
                  <w:pPr>
                    <w:snapToGrid w:val="0"/>
                    <w:spacing w:line="20" w:lineRule="atLeast"/>
                    <w:jc w:val="center"/>
                    <w:rPr>
                      <w:color w:val="auto"/>
                      <w:szCs w:val="21"/>
                    </w:rPr>
                  </w:pPr>
                  <w:r>
                    <w:rPr>
                      <w:color w:val="auto"/>
                      <w:szCs w:val="21"/>
                    </w:rPr>
                    <w:t>6</w:t>
                  </w:r>
                </w:p>
              </w:tc>
              <w:tc>
                <w:tcPr>
                  <w:tcW w:w="1311" w:type="pct"/>
                  <w:noWrap w:val="0"/>
                  <w:vAlign w:val="center"/>
                </w:tcPr>
                <w:p>
                  <w:pPr>
                    <w:snapToGrid w:val="0"/>
                    <w:spacing w:line="20" w:lineRule="atLeast"/>
                    <w:jc w:val="center"/>
                    <w:rPr>
                      <w:color w:val="auto"/>
                      <w:szCs w:val="21"/>
                    </w:rPr>
                  </w:pPr>
                  <w:r>
                    <w:rPr>
                      <w:color w:val="auto"/>
                      <w:szCs w:val="21"/>
                    </w:rPr>
                    <w:t>日本尼得科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集料皮带减速电机</w:t>
                  </w:r>
                </w:p>
              </w:tc>
              <w:tc>
                <w:tcPr>
                  <w:tcW w:w="1472" w:type="pct"/>
                  <w:noWrap w:val="0"/>
                  <w:vAlign w:val="center"/>
                </w:tcPr>
                <w:p>
                  <w:pPr>
                    <w:snapToGrid w:val="0"/>
                    <w:spacing w:line="20" w:lineRule="atLeast"/>
                    <w:jc w:val="center"/>
                    <w:rPr>
                      <w:color w:val="auto"/>
                      <w:szCs w:val="21"/>
                    </w:rPr>
                  </w:pPr>
                  <w:r>
                    <w:rPr>
                      <w:color w:val="auto"/>
                      <w:szCs w:val="21"/>
                    </w:rPr>
                    <w:t>5.5kw/KA77DRE132MC4</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德国SEW（诺德）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集料皮带输送机</w:t>
                  </w:r>
                </w:p>
              </w:tc>
              <w:tc>
                <w:tcPr>
                  <w:tcW w:w="1472" w:type="pct"/>
                  <w:noWrap w:val="0"/>
                  <w:vAlign w:val="center"/>
                </w:tcPr>
                <w:p>
                  <w:pPr>
                    <w:snapToGrid w:val="0"/>
                    <w:spacing w:line="20" w:lineRule="atLeast"/>
                    <w:jc w:val="center"/>
                    <w:rPr>
                      <w:color w:val="auto"/>
                      <w:szCs w:val="21"/>
                    </w:rPr>
                  </w:pPr>
                  <w:r>
                    <w:rPr>
                      <w:color w:val="auto"/>
                      <w:szCs w:val="21"/>
                    </w:rPr>
                    <w:t>B=700mm</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斜皮带减速电机</w:t>
                  </w:r>
                </w:p>
              </w:tc>
              <w:tc>
                <w:tcPr>
                  <w:tcW w:w="1472" w:type="pct"/>
                  <w:noWrap w:val="0"/>
                  <w:vAlign w:val="center"/>
                </w:tcPr>
                <w:p>
                  <w:pPr>
                    <w:snapToGrid w:val="0"/>
                    <w:spacing w:line="20" w:lineRule="atLeast"/>
                    <w:jc w:val="center"/>
                    <w:rPr>
                      <w:color w:val="auto"/>
                      <w:szCs w:val="21"/>
                    </w:rPr>
                  </w:pPr>
                  <w:r>
                    <w:rPr>
                      <w:color w:val="auto"/>
                      <w:szCs w:val="21"/>
                    </w:rPr>
                    <w:t>7.5kw/R87DRE132MC4</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德国SEW（诺德）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斜皮带输送机</w:t>
                  </w:r>
                </w:p>
              </w:tc>
              <w:tc>
                <w:tcPr>
                  <w:tcW w:w="1472" w:type="pct"/>
                  <w:noWrap w:val="0"/>
                  <w:vAlign w:val="center"/>
                </w:tcPr>
                <w:p>
                  <w:pPr>
                    <w:snapToGrid w:val="0"/>
                    <w:spacing w:line="20" w:lineRule="atLeast"/>
                    <w:jc w:val="center"/>
                    <w:rPr>
                      <w:color w:val="auto"/>
                      <w:szCs w:val="21"/>
                    </w:rPr>
                  </w:pPr>
                  <w:r>
                    <w:rPr>
                      <w:color w:val="auto"/>
                      <w:szCs w:val="21"/>
                    </w:rPr>
                    <w:t>B=700mm</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restart"/>
                  <w:noWrap w:val="0"/>
                  <w:vAlign w:val="center"/>
                </w:tcPr>
                <w:p>
                  <w:pPr>
                    <w:snapToGrid w:val="0"/>
                    <w:spacing w:line="20" w:lineRule="atLeast"/>
                    <w:jc w:val="center"/>
                    <w:rPr>
                      <w:color w:val="auto"/>
                      <w:szCs w:val="21"/>
                    </w:rPr>
                  </w:pPr>
                  <w:r>
                    <w:rPr>
                      <w:color w:val="auto"/>
                      <w:szCs w:val="21"/>
                    </w:rPr>
                    <w:t>原生料烘干系统</w:t>
                  </w:r>
                </w:p>
              </w:tc>
              <w:tc>
                <w:tcPr>
                  <w:tcW w:w="1330" w:type="pct"/>
                  <w:noWrap w:val="0"/>
                  <w:vAlign w:val="center"/>
                </w:tcPr>
                <w:p>
                  <w:pPr>
                    <w:snapToGrid w:val="0"/>
                    <w:spacing w:line="20" w:lineRule="atLeast"/>
                    <w:jc w:val="center"/>
                    <w:rPr>
                      <w:color w:val="auto"/>
                      <w:szCs w:val="21"/>
                    </w:rPr>
                  </w:pPr>
                  <w:r>
                    <w:rPr>
                      <w:color w:val="auto"/>
                      <w:szCs w:val="21"/>
                    </w:rPr>
                    <w:t>干燥滚筒</w:t>
                  </w:r>
                </w:p>
              </w:tc>
              <w:tc>
                <w:tcPr>
                  <w:tcW w:w="1472" w:type="pct"/>
                  <w:noWrap w:val="0"/>
                  <w:vAlign w:val="center"/>
                </w:tcPr>
                <w:p>
                  <w:pPr>
                    <w:snapToGrid w:val="0"/>
                    <w:spacing w:line="20" w:lineRule="atLeast"/>
                    <w:jc w:val="center"/>
                    <w:rPr>
                      <w:color w:val="auto"/>
                      <w:szCs w:val="21"/>
                    </w:rPr>
                  </w:pPr>
                  <w:r>
                    <w:rPr>
                      <w:color w:val="auto"/>
                      <w:szCs w:val="21"/>
                    </w:rPr>
                    <w:t>Φ2.5 m×9m</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减速电机</w:t>
                  </w:r>
                </w:p>
              </w:tc>
              <w:tc>
                <w:tcPr>
                  <w:tcW w:w="1472" w:type="pct"/>
                  <w:noWrap w:val="0"/>
                  <w:vAlign w:val="center"/>
                </w:tcPr>
                <w:p>
                  <w:pPr>
                    <w:snapToGrid w:val="0"/>
                    <w:spacing w:line="20" w:lineRule="atLeast"/>
                    <w:jc w:val="center"/>
                    <w:rPr>
                      <w:color w:val="auto"/>
                      <w:szCs w:val="21"/>
                    </w:rPr>
                  </w:pPr>
                  <w:r>
                    <w:rPr>
                      <w:color w:val="auto"/>
                      <w:szCs w:val="21"/>
                    </w:rPr>
                    <w:t>18.5KW/FA107DRE180LC4</w:t>
                  </w:r>
                </w:p>
              </w:tc>
              <w:tc>
                <w:tcPr>
                  <w:tcW w:w="446" w:type="pct"/>
                  <w:noWrap w:val="0"/>
                  <w:vAlign w:val="center"/>
                </w:tcPr>
                <w:p>
                  <w:pPr>
                    <w:snapToGrid w:val="0"/>
                    <w:spacing w:line="20" w:lineRule="atLeast"/>
                    <w:jc w:val="center"/>
                    <w:rPr>
                      <w:color w:val="auto"/>
                      <w:szCs w:val="21"/>
                    </w:rPr>
                  </w:pPr>
                  <w:r>
                    <w:rPr>
                      <w:color w:val="auto"/>
                      <w:szCs w:val="21"/>
                    </w:rPr>
                    <w:t>4</w:t>
                  </w:r>
                </w:p>
              </w:tc>
              <w:tc>
                <w:tcPr>
                  <w:tcW w:w="1311" w:type="pct"/>
                  <w:noWrap w:val="0"/>
                  <w:vAlign w:val="center"/>
                </w:tcPr>
                <w:p>
                  <w:pPr>
                    <w:snapToGrid w:val="0"/>
                    <w:spacing w:line="20" w:lineRule="atLeast"/>
                    <w:jc w:val="center"/>
                    <w:rPr>
                      <w:color w:val="auto"/>
                      <w:szCs w:val="21"/>
                    </w:rPr>
                  </w:pPr>
                  <w:r>
                    <w:rPr>
                      <w:color w:val="auto"/>
                      <w:szCs w:val="21"/>
                    </w:rPr>
                    <w:t>德国SEW（诺德）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油气两用燃烧器</w:t>
                  </w:r>
                </w:p>
              </w:tc>
              <w:tc>
                <w:tcPr>
                  <w:tcW w:w="1472" w:type="pct"/>
                  <w:noWrap w:val="0"/>
                  <w:vAlign w:val="center"/>
                </w:tcPr>
                <w:p>
                  <w:pPr>
                    <w:snapToGrid w:val="0"/>
                    <w:spacing w:line="20" w:lineRule="atLeast"/>
                    <w:jc w:val="center"/>
                    <w:rPr>
                      <w:color w:val="auto"/>
                      <w:szCs w:val="21"/>
                    </w:rPr>
                  </w:pPr>
                  <w:r>
                    <w:rPr>
                      <w:color w:val="auto"/>
                      <w:szCs w:val="21"/>
                    </w:rPr>
                    <w:t>/</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rFonts w:hint="default" w:eastAsia="宋体"/>
                      <w:color w:val="auto"/>
                      <w:szCs w:val="21"/>
                      <w:lang w:val="en-US" w:eastAsia="zh-CN"/>
                    </w:rPr>
                  </w:pPr>
                  <w:r>
                    <w:rPr>
                      <w:color w:val="auto"/>
                      <w:szCs w:val="21"/>
                    </w:rPr>
                    <w:t>辽筑</w:t>
                  </w:r>
                  <w:r>
                    <w:rPr>
                      <w:rFonts w:hint="eastAsia"/>
                      <w:color w:val="auto"/>
                      <w:szCs w:val="21"/>
                      <w:lang w:eastAsia="zh-CN"/>
                    </w:rPr>
                    <w:t>，</w:t>
                  </w:r>
                  <w:r>
                    <w:rPr>
                      <w:rFonts w:hint="eastAsia"/>
                      <w:color w:val="auto"/>
                      <w:szCs w:val="21"/>
                      <w:lang w:val="en-US" w:eastAsia="zh-CN"/>
                    </w:rPr>
                    <w:t>拟用重油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restart"/>
                  <w:noWrap w:val="0"/>
                  <w:vAlign w:val="center"/>
                </w:tcPr>
                <w:p>
                  <w:pPr>
                    <w:snapToGrid w:val="0"/>
                    <w:spacing w:line="20" w:lineRule="atLeast"/>
                    <w:jc w:val="center"/>
                    <w:rPr>
                      <w:color w:val="auto"/>
                      <w:szCs w:val="21"/>
                    </w:rPr>
                  </w:pPr>
                  <w:r>
                    <w:rPr>
                      <w:color w:val="auto"/>
                      <w:szCs w:val="21"/>
                    </w:rPr>
                    <w:t>除尘系统</w:t>
                  </w:r>
                </w:p>
              </w:tc>
              <w:tc>
                <w:tcPr>
                  <w:tcW w:w="1330" w:type="pct"/>
                  <w:noWrap w:val="0"/>
                  <w:vAlign w:val="center"/>
                </w:tcPr>
                <w:p>
                  <w:pPr>
                    <w:snapToGrid w:val="0"/>
                    <w:spacing w:line="20" w:lineRule="atLeast"/>
                    <w:jc w:val="center"/>
                    <w:rPr>
                      <w:color w:val="auto"/>
                      <w:szCs w:val="21"/>
                    </w:rPr>
                  </w:pPr>
                  <w:r>
                    <w:rPr>
                      <w:color w:val="auto"/>
                      <w:szCs w:val="21"/>
                    </w:rPr>
                    <w:t>除尘布袋</w:t>
                  </w:r>
                </w:p>
              </w:tc>
              <w:tc>
                <w:tcPr>
                  <w:tcW w:w="1472" w:type="pct"/>
                  <w:noWrap w:val="0"/>
                  <w:vAlign w:val="center"/>
                </w:tcPr>
                <w:p>
                  <w:pPr>
                    <w:snapToGrid w:val="0"/>
                    <w:spacing w:line="20" w:lineRule="atLeast"/>
                    <w:jc w:val="center"/>
                    <w:rPr>
                      <w:color w:val="auto"/>
                      <w:szCs w:val="21"/>
                    </w:rPr>
                  </w:pPr>
                  <w:r>
                    <w:rPr>
                      <w:color w:val="auto"/>
                      <w:szCs w:val="21"/>
                    </w:rPr>
                    <w:t xml:space="preserve">L=2500 NOMEX 400 </w:t>
                  </w:r>
                </w:p>
              </w:tc>
              <w:tc>
                <w:tcPr>
                  <w:tcW w:w="446" w:type="pct"/>
                  <w:noWrap w:val="0"/>
                  <w:vAlign w:val="center"/>
                </w:tcPr>
                <w:p>
                  <w:pPr>
                    <w:snapToGrid w:val="0"/>
                    <w:spacing w:line="20" w:lineRule="atLeast"/>
                    <w:jc w:val="center"/>
                    <w:rPr>
                      <w:color w:val="auto"/>
                      <w:szCs w:val="21"/>
                    </w:rPr>
                  </w:pPr>
                  <w:r>
                    <w:rPr>
                      <w:color w:val="auto"/>
                      <w:szCs w:val="21"/>
                    </w:rPr>
                    <w:t>900m</w:t>
                  </w:r>
                  <w:r>
                    <w:rPr>
                      <w:color w:val="auto"/>
                      <w:szCs w:val="21"/>
                      <w:vertAlign w:val="superscript"/>
                    </w:rPr>
                    <w:t>2</w:t>
                  </w:r>
                </w:p>
              </w:tc>
              <w:tc>
                <w:tcPr>
                  <w:tcW w:w="1311" w:type="pct"/>
                  <w:noWrap w:val="0"/>
                  <w:vAlign w:val="center"/>
                </w:tcPr>
                <w:p>
                  <w:pPr>
                    <w:snapToGrid w:val="0"/>
                    <w:spacing w:line="20" w:lineRule="atLeast"/>
                    <w:jc w:val="center"/>
                    <w:rPr>
                      <w:color w:val="auto"/>
                      <w:szCs w:val="21"/>
                    </w:rPr>
                  </w:pPr>
                  <w:r>
                    <w:rPr>
                      <w:color w:val="auto"/>
                      <w:szCs w:val="21"/>
                    </w:rPr>
                    <w:t>耐高温布袋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气缸</w:t>
                  </w:r>
                </w:p>
              </w:tc>
              <w:tc>
                <w:tcPr>
                  <w:tcW w:w="1472" w:type="pct"/>
                  <w:noWrap w:val="0"/>
                  <w:vAlign w:val="center"/>
                </w:tcPr>
                <w:p>
                  <w:pPr>
                    <w:snapToGrid w:val="0"/>
                    <w:spacing w:line="20" w:lineRule="atLeast"/>
                    <w:jc w:val="center"/>
                    <w:rPr>
                      <w:color w:val="auto"/>
                      <w:szCs w:val="21"/>
                    </w:rPr>
                  </w:pPr>
                  <w:r>
                    <w:rPr>
                      <w:color w:val="auto"/>
                      <w:szCs w:val="21"/>
                    </w:rPr>
                    <w:t>PRA/182063/M/200</w:t>
                  </w:r>
                </w:p>
              </w:tc>
              <w:tc>
                <w:tcPr>
                  <w:tcW w:w="446" w:type="pct"/>
                  <w:noWrap w:val="0"/>
                  <w:vAlign w:val="center"/>
                </w:tcPr>
                <w:p>
                  <w:pPr>
                    <w:snapToGrid w:val="0"/>
                    <w:spacing w:line="20" w:lineRule="atLeast"/>
                    <w:jc w:val="center"/>
                    <w:rPr>
                      <w:color w:val="auto"/>
                      <w:szCs w:val="21"/>
                    </w:rPr>
                  </w:pPr>
                  <w:r>
                    <w:rPr>
                      <w:color w:val="auto"/>
                      <w:szCs w:val="21"/>
                    </w:rPr>
                    <w:t>16</w:t>
                  </w:r>
                </w:p>
              </w:tc>
              <w:tc>
                <w:tcPr>
                  <w:tcW w:w="1311" w:type="pct"/>
                  <w:noWrap w:val="0"/>
                  <w:vAlign w:val="center"/>
                </w:tcPr>
                <w:p>
                  <w:pPr>
                    <w:snapToGrid w:val="0"/>
                    <w:spacing w:line="20" w:lineRule="atLeast"/>
                    <w:jc w:val="center"/>
                    <w:rPr>
                      <w:color w:val="auto"/>
                      <w:szCs w:val="21"/>
                    </w:rPr>
                  </w:pPr>
                  <w:r>
                    <w:rPr>
                      <w:color w:val="auto"/>
                      <w:szCs w:val="21"/>
                    </w:rPr>
                    <w:t>英国诺冠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引风机</w:t>
                  </w:r>
                </w:p>
              </w:tc>
              <w:tc>
                <w:tcPr>
                  <w:tcW w:w="1472" w:type="pct"/>
                  <w:noWrap w:val="0"/>
                  <w:vAlign w:val="center"/>
                </w:tcPr>
                <w:p>
                  <w:pPr>
                    <w:snapToGrid w:val="0"/>
                    <w:spacing w:line="20" w:lineRule="atLeast"/>
                    <w:jc w:val="center"/>
                    <w:rPr>
                      <w:color w:val="auto"/>
                      <w:szCs w:val="21"/>
                    </w:rPr>
                  </w:pPr>
                  <w:r>
                    <w:rPr>
                      <w:color w:val="auto"/>
                      <w:szCs w:val="21"/>
                    </w:rPr>
                    <w:t>160kw</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金的利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restart"/>
                  <w:noWrap w:val="0"/>
                  <w:vAlign w:val="center"/>
                </w:tcPr>
                <w:p>
                  <w:pPr>
                    <w:snapToGrid w:val="0"/>
                    <w:spacing w:line="20" w:lineRule="atLeast"/>
                    <w:jc w:val="center"/>
                    <w:rPr>
                      <w:color w:val="auto"/>
                      <w:szCs w:val="21"/>
                    </w:rPr>
                  </w:pPr>
                  <w:r>
                    <w:rPr>
                      <w:color w:val="auto"/>
                      <w:szCs w:val="21"/>
                    </w:rPr>
                    <w:t>粉料系统</w:t>
                  </w:r>
                </w:p>
              </w:tc>
              <w:tc>
                <w:tcPr>
                  <w:tcW w:w="1330" w:type="pct"/>
                  <w:noWrap w:val="0"/>
                  <w:vAlign w:val="center"/>
                </w:tcPr>
                <w:p>
                  <w:pPr>
                    <w:snapToGrid w:val="0"/>
                    <w:spacing w:line="20" w:lineRule="atLeast"/>
                    <w:jc w:val="center"/>
                    <w:rPr>
                      <w:color w:val="auto"/>
                      <w:szCs w:val="21"/>
                    </w:rPr>
                  </w:pPr>
                  <w:r>
                    <w:rPr>
                      <w:color w:val="auto"/>
                      <w:szCs w:val="21"/>
                    </w:rPr>
                    <w:t>料位检测：上、下</w:t>
                  </w:r>
                </w:p>
              </w:tc>
              <w:tc>
                <w:tcPr>
                  <w:tcW w:w="1472" w:type="pct"/>
                  <w:noWrap w:val="0"/>
                  <w:vAlign w:val="center"/>
                </w:tcPr>
                <w:p>
                  <w:pPr>
                    <w:snapToGrid w:val="0"/>
                    <w:spacing w:line="20" w:lineRule="atLeast"/>
                    <w:jc w:val="center"/>
                    <w:rPr>
                      <w:color w:val="auto"/>
                      <w:szCs w:val="21"/>
                    </w:rPr>
                  </w:pPr>
                  <w:r>
                    <w:rPr>
                      <w:color w:val="auto"/>
                      <w:szCs w:val="21"/>
                    </w:rPr>
                    <w:t>UL-300+ UL-600</w:t>
                  </w:r>
                </w:p>
              </w:tc>
              <w:tc>
                <w:tcPr>
                  <w:tcW w:w="446" w:type="pct"/>
                  <w:noWrap w:val="0"/>
                  <w:vAlign w:val="center"/>
                </w:tcPr>
                <w:p>
                  <w:pPr>
                    <w:snapToGrid w:val="0"/>
                    <w:spacing w:line="20" w:lineRule="atLeast"/>
                    <w:jc w:val="center"/>
                    <w:rPr>
                      <w:color w:val="auto"/>
                      <w:szCs w:val="21"/>
                    </w:rPr>
                  </w:pPr>
                  <w:r>
                    <w:rPr>
                      <w:color w:val="auto"/>
                      <w:szCs w:val="21"/>
                    </w:rPr>
                    <w:t>12</w:t>
                  </w:r>
                </w:p>
              </w:tc>
              <w:tc>
                <w:tcPr>
                  <w:tcW w:w="1311" w:type="pct"/>
                  <w:noWrap w:val="0"/>
                  <w:vAlign w:val="center"/>
                </w:tcPr>
                <w:p>
                  <w:pPr>
                    <w:snapToGrid w:val="0"/>
                    <w:spacing w:line="20" w:lineRule="atLeast"/>
                    <w:jc w:val="center"/>
                    <w:rPr>
                      <w:color w:val="auto"/>
                      <w:szCs w:val="21"/>
                    </w:rPr>
                  </w:pPr>
                  <w:r>
                    <w:rPr>
                      <w:color w:val="auto"/>
                      <w:szCs w:val="21"/>
                    </w:rPr>
                    <w:t>辽筑监制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冷热粉一体矿粉罐</w:t>
                  </w:r>
                </w:p>
              </w:tc>
              <w:tc>
                <w:tcPr>
                  <w:tcW w:w="1472" w:type="pct"/>
                  <w:noWrap w:val="0"/>
                  <w:vAlign w:val="center"/>
                </w:tcPr>
                <w:p>
                  <w:pPr>
                    <w:snapToGrid w:val="0"/>
                    <w:spacing w:line="20" w:lineRule="atLeast"/>
                    <w:jc w:val="center"/>
                    <w:rPr>
                      <w:color w:val="auto"/>
                      <w:szCs w:val="21"/>
                    </w:rPr>
                  </w:pPr>
                  <w:r>
                    <w:rPr>
                      <w:color w:val="auto"/>
                      <w:szCs w:val="21"/>
                    </w:rPr>
                    <w:t>106m³</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矿粉提升机</w:t>
                  </w:r>
                </w:p>
              </w:tc>
              <w:tc>
                <w:tcPr>
                  <w:tcW w:w="1472" w:type="pct"/>
                  <w:noWrap w:val="0"/>
                  <w:vAlign w:val="center"/>
                </w:tcPr>
                <w:p>
                  <w:pPr>
                    <w:snapToGrid w:val="0"/>
                    <w:spacing w:line="20" w:lineRule="atLeast"/>
                    <w:jc w:val="center"/>
                    <w:rPr>
                      <w:color w:val="auto"/>
                      <w:szCs w:val="21"/>
                    </w:rPr>
                  </w:pPr>
                  <w:r>
                    <w:rPr>
                      <w:color w:val="auto"/>
                      <w:szCs w:val="21"/>
                    </w:rPr>
                    <w:t>56t/h</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减速电机</w:t>
                  </w:r>
                </w:p>
              </w:tc>
              <w:tc>
                <w:tcPr>
                  <w:tcW w:w="1472" w:type="pct"/>
                  <w:noWrap w:val="0"/>
                  <w:vAlign w:val="center"/>
                </w:tcPr>
                <w:p>
                  <w:pPr>
                    <w:snapToGrid w:val="0"/>
                    <w:spacing w:line="20" w:lineRule="atLeast"/>
                    <w:jc w:val="center"/>
                    <w:rPr>
                      <w:color w:val="auto"/>
                      <w:szCs w:val="21"/>
                    </w:rPr>
                  </w:pPr>
                  <w:r>
                    <w:rPr>
                      <w:color w:val="auto"/>
                      <w:szCs w:val="21"/>
                    </w:rPr>
                    <w:t>7.5</w:t>
                  </w:r>
                  <w:r>
                    <w:rPr>
                      <w:color w:val="auto"/>
                      <w:szCs w:val="21"/>
                      <w:lang w:val="de-DE"/>
                    </w:rPr>
                    <w:t>kW</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德国SEW（诺德）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螺旋输送机</w:t>
                  </w:r>
                </w:p>
              </w:tc>
              <w:tc>
                <w:tcPr>
                  <w:tcW w:w="1472" w:type="pct"/>
                  <w:noWrap w:val="0"/>
                  <w:vAlign w:val="center"/>
                </w:tcPr>
                <w:p>
                  <w:pPr>
                    <w:snapToGrid w:val="0"/>
                    <w:spacing w:line="20" w:lineRule="atLeast"/>
                    <w:jc w:val="center"/>
                    <w:rPr>
                      <w:color w:val="auto"/>
                      <w:szCs w:val="21"/>
                    </w:rPr>
                  </w:pPr>
                  <w:r>
                    <w:rPr>
                      <w:color w:val="auto"/>
                      <w:szCs w:val="21"/>
                    </w:rPr>
                    <w:t>合计：34kw</w:t>
                  </w:r>
                </w:p>
              </w:tc>
              <w:tc>
                <w:tcPr>
                  <w:tcW w:w="446" w:type="pct"/>
                  <w:noWrap w:val="0"/>
                  <w:vAlign w:val="center"/>
                </w:tcPr>
                <w:p>
                  <w:pPr>
                    <w:snapToGrid w:val="0"/>
                    <w:spacing w:line="20" w:lineRule="atLeast"/>
                    <w:jc w:val="center"/>
                    <w:rPr>
                      <w:color w:val="auto"/>
                      <w:szCs w:val="21"/>
                    </w:rPr>
                  </w:pPr>
                  <w:r>
                    <w:rPr>
                      <w:color w:val="auto"/>
                      <w:szCs w:val="21"/>
                    </w:rPr>
                    <w:t>4</w:t>
                  </w:r>
                </w:p>
              </w:tc>
              <w:tc>
                <w:tcPr>
                  <w:tcW w:w="1311" w:type="pct"/>
                  <w:noWrap w:val="0"/>
                  <w:vAlign w:val="center"/>
                </w:tcPr>
                <w:p>
                  <w:pPr>
                    <w:snapToGrid w:val="0"/>
                    <w:spacing w:line="20" w:lineRule="atLeast"/>
                    <w:jc w:val="center"/>
                    <w:rPr>
                      <w:color w:val="auto"/>
                      <w:szCs w:val="21"/>
                    </w:rPr>
                  </w:pPr>
                  <w:r>
                    <w:rPr>
                      <w:color w:val="auto"/>
                      <w:szCs w:val="21"/>
                    </w:rPr>
                    <w:t>SICOMA+辽筑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增加外排粉罐</w:t>
                  </w:r>
                </w:p>
              </w:tc>
              <w:tc>
                <w:tcPr>
                  <w:tcW w:w="1472" w:type="pct"/>
                  <w:noWrap w:val="0"/>
                  <w:vAlign w:val="center"/>
                </w:tcPr>
                <w:p>
                  <w:pPr>
                    <w:snapToGrid w:val="0"/>
                    <w:spacing w:line="20" w:lineRule="atLeast"/>
                    <w:jc w:val="center"/>
                    <w:rPr>
                      <w:color w:val="auto"/>
                      <w:szCs w:val="21"/>
                    </w:rPr>
                  </w:pPr>
                  <w:r>
                    <w:rPr>
                      <w:color w:val="auto"/>
                      <w:szCs w:val="21"/>
                    </w:rPr>
                    <w:t>50立</w:t>
                  </w:r>
                </w:p>
              </w:tc>
              <w:tc>
                <w:tcPr>
                  <w:tcW w:w="446" w:type="pct"/>
                  <w:noWrap w:val="0"/>
                  <w:vAlign w:val="center"/>
                </w:tcPr>
                <w:p>
                  <w:pPr>
                    <w:snapToGrid w:val="0"/>
                    <w:spacing w:line="20" w:lineRule="atLeast"/>
                    <w:jc w:val="center"/>
                    <w:rPr>
                      <w:color w:val="auto"/>
                      <w:szCs w:val="21"/>
                    </w:rPr>
                  </w:pPr>
                  <w:r>
                    <w:rPr>
                      <w:color w:val="auto"/>
                      <w:szCs w:val="21"/>
                    </w:rPr>
                    <w:t>1套</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restart"/>
                  <w:noWrap w:val="0"/>
                  <w:vAlign w:val="center"/>
                </w:tcPr>
                <w:p>
                  <w:pPr>
                    <w:snapToGrid w:val="0"/>
                    <w:spacing w:line="20" w:lineRule="atLeast"/>
                    <w:jc w:val="center"/>
                    <w:rPr>
                      <w:color w:val="auto"/>
                      <w:szCs w:val="21"/>
                    </w:rPr>
                  </w:pPr>
                  <w:r>
                    <w:rPr>
                      <w:color w:val="auto"/>
                      <w:szCs w:val="21"/>
                    </w:rPr>
                    <w:t>提升机</w:t>
                  </w:r>
                </w:p>
              </w:tc>
              <w:tc>
                <w:tcPr>
                  <w:tcW w:w="1330" w:type="pct"/>
                  <w:noWrap w:val="0"/>
                  <w:vAlign w:val="center"/>
                </w:tcPr>
                <w:p>
                  <w:pPr>
                    <w:snapToGrid w:val="0"/>
                    <w:spacing w:line="20" w:lineRule="atLeast"/>
                    <w:jc w:val="center"/>
                    <w:rPr>
                      <w:color w:val="auto"/>
                      <w:szCs w:val="21"/>
                    </w:rPr>
                  </w:pPr>
                  <w:r>
                    <w:rPr>
                      <w:color w:val="auto"/>
                      <w:szCs w:val="21"/>
                    </w:rPr>
                    <w:t>热骨料提升机</w:t>
                  </w:r>
                </w:p>
              </w:tc>
              <w:tc>
                <w:tcPr>
                  <w:tcW w:w="1472" w:type="pct"/>
                  <w:noWrap w:val="0"/>
                  <w:vAlign w:val="center"/>
                </w:tcPr>
                <w:p>
                  <w:pPr>
                    <w:snapToGrid w:val="0"/>
                    <w:spacing w:line="20" w:lineRule="atLeast"/>
                    <w:jc w:val="center"/>
                    <w:rPr>
                      <w:color w:val="auto"/>
                      <w:szCs w:val="21"/>
                    </w:rPr>
                  </w:pPr>
                  <w:r>
                    <w:rPr>
                      <w:color w:val="auto"/>
                      <w:szCs w:val="21"/>
                    </w:rPr>
                    <w:t>280t/h</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减速电机</w:t>
                  </w:r>
                </w:p>
              </w:tc>
              <w:tc>
                <w:tcPr>
                  <w:tcW w:w="1472" w:type="pct"/>
                  <w:noWrap w:val="0"/>
                  <w:vAlign w:val="center"/>
                </w:tcPr>
                <w:p>
                  <w:pPr>
                    <w:snapToGrid w:val="0"/>
                    <w:spacing w:line="20" w:lineRule="atLeast"/>
                    <w:jc w:val="center"/>
                    <w:rPr>
                      <w:color w:val="auto"/>
                      <w:szCs w:val="21"/>
                    </w:rPr>
                  </w:pPr>
                  <w:r>
                    <w:rPr>
                      <w:color w:val="auto"/>
                      <w:szCs w:val="21"/>
                    </w:rPr>
                    <w:t>37kW</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德国SEW（诺德）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restart"/>
                  <w:noWrap w:val="0"/>
                  <w:vAlign w:val="center"/>
                </w:tcPr>
                <w:p>
                  <w:pPr>
                    <w:snapToGrid w:val="0"/>
                    <w:spacing w:line="20" w:lineRule="atLeast"/>
                    <w:jc w:val="center"/>
                    <w:rPr>
                      <w:color w:val="auto"/>
                      <w:szCs w:val="21"/>
                    </w:rPr>
                  </w:pPr>
                  <w:r>
                    <w:rPr>
                      <w:color w:val="auto"/>
                      <w:szCs w:val="21"/>
                    </w:rPr>
                    <w:t>振动筛</w:t>
                  </w:r>
                </w:p>
              </w:tc>
              <w:tc>
                <w:tcPr>
                  <w:tcW w:w="1330" w:type="pct"/>
                  <w:noWrap w:val="0"/>
                  <w:vAlign w:val="center"/>
                </w:tcPr>
                <w:p>
                  <w:pPr>
                    <w:snapToGrid w:val="0"/>
                    <w:spacing w:line="20" w:lineRule="atLeast"/>
                    <w:jc w:val="center"/>
                    <w:rPr>
                      <w:color w:val="auto"/>
                      <w:szCs w:val="21"/>
                    </w:rPr>
                  </w:pPr>
                  <w:r>
                    <w:rPr>
                      <w:color w:val="auto"/>
                      <w:szCs w:val="21"/>
                    </w:rPr>
                    <w:t>双振动电机</w:t>
                  </w:r>
                </w:p>
              </w:tc>
              <w:tc>
                <w:tcPr>
                  <w:tcW w:w="1472" w:type="pct"/>
                  <w:noWrap w:val="0"/>
                  <w:vAlign w:val="center"/>
                </w:tcPr>
                <w:p>
                  <w:pPr>
                    <w:snapToGrid w:val="0"/>
                    <w:spacing w:line="20" w:lineRule="atLeast"/>
                    <w:jc w:val="center"/>
                    <w:rPr>
                      <w:color w:val="auto"/>
                      <w:szCs w:val="21"/>
                    </w:rPr>
                  </w:pPr>
                  <w:r>
                    <w:rPr>
                      <w:color w:val="auto"/>
                      <w:szCs w:val="21"/>
                    </w:rPr>
                    <w:t>7kw</w:t>
                  </w:r>
                </w:p>
              </w:tc>
              <w:tc>
                <w:tcPr>
                  <w:tcW w:w="446" w:type="pct"/>
                  <w:noWrap w:val="0"/>
                  <w:vAlign w:val="center"/>
                </w:tcPr>
                <w:p>
                  <w:pPr>
                    <w:snapToGrid w:val="0"/>
                    <w:spacing w:line="20" w:lineRule="atLeast"/>
                    <w:jc w:val="center"/>
                    <w:rPr>
                      <w:color w:val="auto"/>
                      <w:szCs w:val="21"/>
                    </w:rPr>
                  </w:pPr>
                  <w:r>
                    <w:rPr>
                      <w:color w:val="auto"/>
                      <w:szCs w:val="21"/>
                    </w:rPr>
                    <w:t>2</w:t>
                  </w:r>
                </w:p>
              </w:tc>
              <w:tc>
                <w:tcPr>
                  <w:tcW w:w="1311" w:type="pct"/>
                  <w:noWrap w:val="0"/>
                  <w:vAlign w:val="center"/>
                </w:tcPr>
                <w:p>
                  <w:pPr>
                    <w:snapToGrid w:val="0"/>
                    <w:spacing w:line="20" w:lineRule="atLeast"/>
                    <w:jc w:val="center"/>
                    <w:rPr>
                      <w:color w:val="auto"/>
                      <w:szCs w:val="21"/>
                    </w:rPr>
                  </w:pPr>
                  <w:r>
                    <w:rPr>
                      <w:color w:val="auto"/>
                      <w:szCs w:val="21"/>
                    </w:rPr>
                    <w:t>欧力卧龙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筛体</w:t>
                  </w:r>
                </w:p>
              </w:tc>
              <w:tc>
                <w:tcPr>
                  <w:tcW w:w="1472" w:type="pct"/>
                  <w:noWrap w:val="0"/>
                  <w:vAlign w:val="center"/>
                </w:tcPr>
                <w:p>
                  <w:pPr>
                    <w:snapToGrid w:val="0"/>
                    <w:spacing w:line="20" w:lineRule="atLeast"/>
                    <w:jc w:val="center"/>
                    <w:rPr>
                      <w:color w:val="auto"/>
                      <w:szCs w:val="21"/>
                    </w:rPr>
                  </w:pPr>
                  <w:r>
                    <w:rPr>
                      <w:color w:val="auto"/>
                      <w:szCs w:val="21"/>
                    </w:rPr>
                    <w:t>/</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新乡格林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筛网</w:t>
                  </w:r>
                </w:p>
              </w:tc>
              <w:tc>
                <w:tcPr>
                  <w:tcW w:w="1472" w:type="pct"/>
                  <w:noWrap w:val="0"/>
                  <w:vAlign w:val="center"/>
                </w:tcPr>
                <w:p>
                  <w:pPr>
                    <w:snapToGrid w:val="0"/>
                    <w:spacing w:line="20" w:lineRule="atLeast"/>
                    <w:jc w:val="center"/>
                    <w:rPr>
                      <w:color w:val="auto"/>
                      <w:szCs w:val="21"/>
                    </w:rPr>
                  </w:pPr>
                  <w:r>
                    <w:rPr>
                      <w:color w:val="auto"/>
                      <w:szCs w:val="21"/>
                    </w:rPr>
                    <w:t>6层</w:t>
                  </w:r>
                </w:p>
              </w:tc>
              <w:tc>
                <w:tcPr>
                  <w:tcW w:w="446" w:type="pct"/>
                  <w:noWrap w:val="0"/>
                  <w:vAlign w:val="center"/>
                </w:tcPr>
                <w:p>
                  <w:pPr>
                    <w:snapToGrid w:val="0"/>
                    <w:spacing w:line="20" w:lineRule="atLeast"/>
                    <w:jc w:val="center"/>
                    <w:rPr>
                      <w:color w:val="auto"/>
                      <w:szCs w:val="21"/>
                    </w:rPr>
                  </w:pPr>
                  <w:r>
                    <w:rPr>
                      <w:color w:val="auto"/>
                      <w:szCs w:val="21"/>
                    </w:rPr>
                    <w:t>1套</w:t>
                  </w:r>
                </w:p>
              </w:tc>
              <w:tc>
                <w:tcPr>
                  <w:tcW w:w="1311" w:type="pct"/>
                  <w:noWrap w:val="0"/>
                  <w:vAlign w:val="center"/>
                </w:tcPr>
                <w:p>
                  <w:pPr>
                    <w:snapToGrid w:val="0"/>
                    <w:spacing w:line="2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筛网规格</w:t>
                  </w:r>
                </w:p>
              </w:tc>
              <w:tc>
                <w:tcPr>
                  <w:tcW w:w="1919" w:type="pct"/>
                  <w:gridSpan w:val="2"/>
                  <w:noWrap w:val="0"/>
                  <w:vAlign w:val="center"/>
                </w:tcPr>
                <w:p>
                  <w:pPr>
                    <w:snapToGrid w:val="0"/>
                    <w:spacing w:line="20" w:lineRule="atLeast"/>
                    <w:jc w:val="center"/>
                    <w:rPr>
                      <w:color w:val="auto"/>
                      <w:szCs w:val="21"/>
                    </w:rPr>
                  </w:pPr>
                  <w:r>
                    <w:rPr>
                      <w:color w:val="auto"/>
                      <w:szCs w:val="21"/>
                    </w:rPr>
                    <w:t>筛网标配（3*4、6、11、16、22、31.5）</w:t>
                  </w:r>
                </w:p>
              </w:tc>
              <w:tc>
                <w:tcPr>
                  <w:tcW w:w="1311" w:type="pct"/>
                  <w:noWrap w:val="0"/>
                  <w:vAlign w:val="center"/>
                </w:tcPr>
                <w:p>
                  <w:pPr>
                    <w:snapToGrid w:val="0"/>
                    <w:spacing w:line="20" w:lineRule="atLeast"/>
                    <w:jc w:val="center"/>
                    <w:rPr>
                      <w:color w:val="auto"/>
                      <w:szCs w:val="21"/>
                    </w:rPr>
                  </w:pPr>
                  <w:r>
                    <w:rPr>
                      <w:color w:val="auto"/>
                      <w:szCs w:val="21"/>
                    </w:rPr>
                    <w:t>可定制特殊规格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restart"/>
                  <w:noWrap w:val="0"/>
                  <w:vAlign w:val="center"/>
                </w:tcPr>
                <w:p>
                  <w:pPr>
                    <w:snapToGrid w:val="0"/>
                    <w:spacing w:line="20" w:lineRule="atLeast"/>
                    <w:jc w:val="center"/>
                    <w:rPr>
                      <w:color w:val="auto"/>
                      <w:szCs w:val="21"/>
                    </w:rPr>
                  </w:pPr>
                  <w:r>
                    <w:rPr>
                      <w:color w:val="auto"/>
                      <w:szCs w:val="21"/>
                    </w:rPr>
                    <w:t>热骨料仓</w:t>
                  </w:r>
                </w:p>
              </w:tc>
              <w:tc>
                <w:tcPr>
                  <w:tcW w:w="1330" w:type="pct"/>
                  <w:noWrap w:val="0"/>
                  <w:vAlign w:val="center"/>
                </w:tcPr>
                <w:p>
                  <w:pPr>
                    <w:snapToGrid w:val="0"/>
                    <w:spacing w:line="20" w:lineRule="atLeast"/>
                    <w:jc w:val="center"/>
                    <w:rPr>
                      <w:color w:val="auto"/>
                      <w:szCs w:val="21"/>
                    </w:rPr>
                  </w:pPr>
                  <w:r>
                    <w:rPr>
                      <w:color w:val="auto"/>
                      <w:szCs w:val="21"/>
                    </w:rPr>
                    <w:t>气缸</w:t>
                  </w:r>
                </w:p>
              </w:tc>
              <w:tc>
                <w:tcPr>
                  <w:tcW w:w="1472" w:type="pct"/>
                  <w:noWrap w:val="0"/>
                  <w:vAlign w:val="center"/>
                </w:tcPr>
                <w:p>
                  <w:pPr>
                    <w:snapToGrid w:val="0"/>
                    <w:spacing w:line="20" w:lineRule="atLeast"/>
                    <w:jc w:val="center"/>
                    <w:rPr>
                      <w:color w:val="auto"/>
                      <w:szCs w:val="21"/>
                    </w:rPr>
                  </w:pPr>
                  <w:r>
                    <w:rPr>
                      <w:color w:val="auto"/>
                      <w:szCs w:val="21"/>
                    </w:rPr>
                    <w:t>RA8100/250/D/R/F</w:t>
                  </w:r>
                </w:p>
              </w:tc>
              <w:tc>
                <w:tcPr>
                  <w:tcW w:w="446" w:type="pct"/>
                  <w:noWrap w:val="0"/>
                  <w:vAlign w:val="center"/>
                </w:tcPr>
                <w:p>
                  <w:pPr>
                    <w:snapToGrid w:val="0"/>
                    <w:spacing w:line="20" w:lineRule="atLeast"/>
                    <w:jc w:val="center"/>
                    <w:rPr>
                      <w:color w:val="auto"/>
                      <w:szCs w:val="21"/>
                    </w:rPr>
                  </w:pPr>
                  <w:r>
                    <w:rPr>
                      <w:color w:val="auto"/>
                      <w:szCs w:val="21"/>
                    </w:rPr>
                    <w:t>12</w:t>
                  </w:r>
                </w:p>
              </w:tc>
              <w:tc>
                <w:tcPr>
                  <w:tcW w:w="1311" w:type="pct"/>
                  <w:noWrap w:val="0"/>
                  <w:vAlign w:val="center"/>
                </w:tcPr>
                <w:p>
                  <w:pPr>
                    <w:snapToGrid w:val="0"/>
                    <w:spacing w:line="20" w:lineRule="atLeast"/>
                    <w:jc w:val="center"/>
                    <w:rPr>
                      <w:color w:val="auto"/>
                      <w:szCs w:val="21"/>
                    </w:rPr>
                  </w:pPr>
                  <w:r>
                    <w:rPr>
                      <w:color w:val="auto"/>
                      <w:szCs w:val="21"/>
                    </w:rPr>
                    <w:t>英国诺冠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仓体</w:t>
                  </w:r>
                </w:p>
              </w:tc>
              <w:tc>
                <w:tcPr>
                  <w:tcW w:w="1472" w:type="pct"/>
                  <w:noWrap w:val="0"/>
                  <w:vAlign w:val="center"/>
                </w:tcPr>
                <w:p>
                  <w:pPr>
                    <w:snapToGrid w:val="0"/>
                    <w:spacing w:line="20" w:lineRule="atLeast"/>
                    <w:jc w:val="center"/>
                    <w:rPr>
                      <w:color w:val="auto"/>
                      <w:szCs w:val="21"/>
                    </w:rPr>
                  </w:pPr>
                  <w:r>
                    <w:rPr>
                      <w:color w:val="auto"/>
                      <w:szCs w:val="21"/>
                    </w:rPr>
                    <w:t>6种料</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料位检测：上、下</w:t>
                  </w:r>
                </w:p>
              </w:tc>
              <w:tc>
                <w:tcPr>
                  <w:tcW w:w="1472" w:type="pct"/>
                  <w:noWrap w:val="0"/>
                  <w:vAlign w:val="center"/>
                </w:tcPr>
                <w:p>
                  <w:pPr>
                    <w:snapToGrid w:val="0"/>
                    <w:spacing w:line="20" w:lineRule="atLeast"/>
                    <w:jc w:val="center"/>
                    <w:rPr>
                      <w:color w:val="auto"/>
                      <w:szCs w:val="21"/>
                    </w:rPr>
                  </w:pPr>
                  <w:r>
                    <w:rPr>
                      <w:color w:val="auto"/>
                      <w:szCs w:val="21"/>
                    </w:rPr>
                    <w:t>UL-300</w:t>
                  </w:r>
                </w:p>
              </w:tc>
              <w:tc>
                <w:tcPr>
                  <w:tcW w:w="446" w:type="pct"/>
                  <w:noWrap w:val="0"/>
                  <w:vAlign w:val="center"/>
                </w:tcPr>
                <w:p>
                  <w:pPr>
                    <w:snapToGrid w:val="0"/>
                    <w:spacing w:line="20" w:lineRule="atLeast"/>
                    <w:jc w:val="center"/>
                    <w:rPr>
                      <w:color w:val="auto"/>
                      <w:szCs w:val="21"/>
                    </w:rPr>
                  </w:pPr>
                  <w:r>
                    <w:rPr>
                      <w:color w:val="auto"/>
                      <w:szCs w:val="21"/>
                    </w:rPr>
                    <w:t>12</w:t>
                  </w:r>
                </w:p>
              </w:tc>
              <w:tc>
                <w:tcPr>
                  <w:tcW w:w="1311" w:type="pct"/>
                  <w:noWrap w:val="0"/>
                  <w:vAlign w:val="center"/>
                </w:tcPr>
                <w:p>
                  <w:pPr>
                    <w:snapToGrid w:val="0"/>
                    <w:spacing w:line="20" w:lineRule="atLeast"/>
                    <w:jc w:val="center"/>
                    <w:rPr>
                      <w:color w:val="auto"/>
                      <w:szCs w:val="21"/>
                    </w:rPr>
                  </w:pPr>
                  <w:r>
                    <w:rPr>
                      <w:color w:val="auto"/>
                      <w:szCs w:val="21"/>
                    </w:rPr>
                    <w:t>辽筑监制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restart"/>
                  <w:noWrap w:val="0"/>
                  <w:vAlign w:val="center"/>
                </w:tcPr>
                <w:p>
                  <w:pPr>
                    <w:snapToGrid w:val="0"/>
                    <w:spacing w:line="20" w:lineRule="atLeast"/>
                    <w:jc w:val="center"/>
                    <w:rPr>
                      <w:color w:val="auto"/>
                      <w:szCs w:val="21"/>
                    </w:rPr>
                  </w:pPr>
                  <w:r>
                    <w:rPr>
                      <w:color w:val="auto"/>
                      <w:szCs w:val="21"/>
                    </w:rPr>
                    <w:t>计量系统</w:t>
                  </w:r>
                </w:p>
              </w:tc>
              <w:tc>
                <w:tcPr>
                  <w:tcW w:w="1330" w:type="pct"/>
                  <w:noWrap w:val="0"/>
                  <w:vAlign w:val="center"/>
                </w:tcPr>
                <w:p>
                  <w:pPr>
                    <w:snapToGrid w:val="0"/>
                    <w:spacing w:line="20" w:lineRule="atLeast"/>
                    <w:jc w:val="center"/>
                    <w:rPr>
                      <w:color w:val="auto"/>
                      <w:szCs w:val="21"/>
                    </w:rPr>
                  </w:pPr>
                  <w:r>
                    <w:rPr>
                      <w:color w:val="auto"/>
                      <w:szCs w:val="21"/>
                    </w:rPr>
                    <w:t>沥青精确计量变频器</w:t>
                  </w:r>
                </w:p>
              </w:tc>
              <w:tc>
                <w:tcPr>
                  <w:tcW w:w="1472" w:type="pct"/>
                  <w:noWrap w:val="0"/>
                  <w:vAlign w:val="center"/>
                </w:tcPr>
                <w:p>
                  <w:pPr>
                    <w:snapToGrid w:val="0"/>
                    <w:spacing w:line="20" w:lineRule="atLeast"/>
                    <w:jc w:val="center"/>
                    <w:rPr>
                      <w:color w:val="auto"/>
                      <w:szCs w:val="21"/>
                    </w:rPr>
                  </w:pPr>
                  <w:r>
                    <w:rPr>
                      <w:color w:val="auto"/>
                      <w:szCs w:val="21"/>
                    </w:rPr>
                    <w:t>FRN2.2G11-4</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日本尼得科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vMerge w:val="restart"/>
                  <w:noWrap w:val="0"/>
                  <w:vAlign w:val="center"/>
                </w:tcPr>
                <w:p>
                  <w:pPr>
                    <w:snapToGrid w:val="0"/>
                    <w:spacing w:line="20" w:lineRule="atLeast"/>
                    <w:jc w:val="center"/>
                    <w:rPr>
                      <w:color w:val="auto"/>
                      <w:szCs w:val="21"/>
                    </w:rPr>
                  </w:pPr>
                  <w:r>
                    <w:rPr>
                      <w:color w:val="auto"/>
                      <w:szCs w:val="21"/>
                    </w:rPr>
                    <w:t>拉力式称重传感器</w:t>
                  </w:r>
                </w:p>
              </w:tc>
              <w:tc>
                <w:tcPr>
                  <w:tcW w:w="1472" w:type="pct"/>
                  <w:noWrap w:val="0"/>
                  <w:vAlign w:val="center"/>
                </w:tcPr>
                <w:p>
                  <w:pPr>
                    <w:snapToGrid w:val="0"/>
                    <w:spacing w:line="20" w:lineRule="atLeast"/>
                    <w:jc w:val="center"/>
                    <w:rPr>
                      <w:color w:val="auto"/>
                      <w:szCs w:val="21"/>
                    </w:rPr>
                  </w:pPr>
                  <w:r>
                    <w:rPr>
                      <w:color w:val="auto"/>
                      <w:szCs w:val="21"/>
                    </w:rPr>
                    <w:t>BSS-500</w:t>
                  </w:r>
                </w:p>
              </w:tc>
              <w:tc>
                <w:tcPr>
                  <w:tcW w:w="446" w:type="pct"/>
                  <w:noWrap w:val="0"/>
                  <w:vAlign w:val="center"/>
                </w:tcPr>
                <w:p>
                  <w:pPr>
                    <w:snapToGrid w:val="0"/>
                    <w:spacing w:line="20" w:lineRule="atLeast"/>
                    <w:jc w:val="center"/>
                    <w:rPr>
                      <w:color w:val="auto"/>
                      <w:szCs w:val="21"/>
                    </w:rPr>
                  </w:pPr>
                  <w:r>
                    <w:rPr>
                      <w:color w:val="auto"/>
                      <w:szCs w:val="21"/>
                    </w:rPr>
                    <w:t>6</w:t>
                  </w:r>
                </w:p>
              </w:tc>
              <w:tc>
                <w:tcPr>
                  <w:tcW w:w="1311" w:type="pct"/>
                  <w:noWrap w:val="0"/>
                  <w:vAlign w:val="center"/>
                </w:tcPr>
                <w:p>
                  <w:pPr>
                    <w:snapToGrid w:val="0"/>
                    <w:spacing w:line="20" w:lineRule="atLeast"/>
                    <w:jc w:val="center"/>
                    <w:rPr>
                      <w:color w:val="auto"/>
                      <w:szCs w:val="21"/>
                    </w:rPr>
                  </w:pPr>
                  <w:r>
                    <w:rPr>
                      <w:color w:val="auto"/>
                      <w:szCs w:val="21"/>
                    </w:rPr>
                    <w:t>美国传赛尔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vMerge w:val="continue"/>
                  <w:noWrap w:val="0"/>
                  <w:vAlign w:val="center"/>
                </w:tcPr>
                <w:p>
                  <w:pPr>
                    <w:snapToGrid w:val="0"/>
                    <w:spacing w:line="20" w:lineRule="atLeast"/>
                    <w:jc w:val="center"/>
                    <w:rPr>
                      <w:color w:val="auto"/>
                      <w:szCs w:val="21"/>
                    </w:rPr>
                  </w:pPr>
                </w:p>
              </w:tc>
              <w:tc>
                <w:tcPr>
                  <w:tcW w:w="1472" w:type="pct"/>
                  <w:noWrap w:val="0"/>
                  <w:vAlign w:val="center"/>
                </w:tcPr>
                <w:p>
                  <w:pPr>
                    <w:snapToGrid w:val="0"/>
                    <w:spacing w:line="20" w:lineRule="atLeast"/>
                    <w:jc w:val="center"/>
                    <w:rPr>
                      <w:color w:val="auto"/>
                      <w:szCs w:val="21"/>
                    </w:rPr>
                  </w:pPr>
                  <w:r>
                    <w:rPr>
                      <w:color w:val="auto"/>
                      <w:szCs w:val="21"/>
                    </w:rPr>
                    <w:t>BSS-3T</w:t>
                  </w:r>
                </w:p>
              </w:tc>
              <w:tc>
                <w:tcPr>
                  <w:tcW w:w="446" w:type="pct"/>
                  <w:noWrap w:val="0"/>
                  <w:vAlign w:val="center"/>
                </w:tcPr>
                <w:p>
                  <w:pPr>
                    <w:snapToGrid w:val="0"/>
                    <w:spacing w:line="20" w:lineRule="atLeast"/>
                    <w:jc w:val="center"/>
                    <w:rPr>
                      <w:color w:val="auto"/>
                      <w:szCs w:val="21"/>
                    </w:rPr>
                  </w:pPr>
                  <w:r>
                    <w:rPr>
                      <w:color w:val="auto"/>
                      <w:szCs w:val="21"/>
                    </w:rPr>
                    <w:t>3</w:t>
                  </w:r>
                </w:p>
              </w:tc>
              <w:tc>
                <w:tcPr>
                  <w:tcW w:w="1311" w:type="pct"/>
                  <w:noWrap w:val="0"/>
                  <w:vAlign w:val="center"/>
                </w:tcPr>
                <w:p>
                  <w:pPr>
                    <w:snapToGrid w:val="0"/>
                    <w:spacing w:line="20" w:lineRule="atLeast"/>
                    <w:jc w:val="center"/>
                    <w:rPr>
                      <w:color w:val="auto"/>
                      <w:szCs w:val="21"/>
                    </w:rPr>
                  </w:pPr>
                  <w:r>
                    <w:rPr>
                      <w:color w:val="auto"/>
                      <w:szCs w:val="21"/>
                    </w:rPr>
                    <w:t>美国传赛尔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骨称结构件</w:t>
                  </w:r>
                </w:p>
              </w:tc>
              <w:tc>
                <w:tcPr>
                  <w:tcW w:w="1472" w:type="pct"/>
                  <w:noWrap w:val="0"/>
                  <w:vAlign w:val="center"/>
                </w:tcPr>
                <w:p>
                  <w:pPr>
                    <w:snapToGrid w:val="0"/>
                    <w:spacing w:line="20" w:lineRule="atLeast"/>
                    <w:jc w:val="center"/>
                    <w:rPr>
                      <w:color w:val="auto"/>
                      <w:szCs w:val="21"/>
                    </w:rPr>
                  </w:pPr>
                  <w:r>
                    <w:rPr>
                      <w:color w:val="auto"/>
                      <w:szCs w:val="21"/>
                    </w:rPr>
                    <w:t>/</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粉称结构件</w:t>
                  </w:r>
                </w:p>
              </w:tc>
              <w:tc>
                <w:tcPr>
                  <w:tcW w:w="1472" w:type="pct"/>
                  <w:noWrap w:val="0"/>
                  <w:vAlign w:val="center"/>
                </w:tcPr>
                <w:p>
                  <w:pPr>
                    <w:snapToGrid w:val="0"/>
                    <w:spacing w:line="20" w:lineRule="atLeast"/>
                    <w:jc w:val="center"/>
                    <w:rPr>
                      <w:color w:val="auto"/>
                      <w:szCs w:val="21"/>
                    </w:rPr>
                  </w:pPr>
                  <w:r>
                    <w:rPr>
                      <w:color w:val="auto"/>
                      <w:szCs w:val="21"/>
                    </w:rPr>
                    <w:t>/</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沥青称结构件</w:t>
                  </w:r>
                </w:p>
              </w:tc>
              <w:tc>
                <w:tcPr>
                  <w:tcW w:w="1472" w:type="pct"/>
                  <w:noWrap/>
                  <w:vAlign w:val="center"/>
                </w:tcPr>
                <w:p>
                  <w:pPr>
                    <w:snapToGrid w:val="0"/>
                    <w:spacing w:line="20" w:lineRule="atLeast"/>
                    <w:jc w:val="center"/>
                    <w:rPr>
                      <w:color w:val="auto"/>
                      <w:szCs w:val="21"/>
                    </w:rPr>
                  </w:pPr>
                  <w:r>
                    <w:rPr>
                      <w:color w:val="auto"/>
                      <w:szCs w:val="21"/>
                    </w:rPr>
                    <w:t>/</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vMerge w:val="restart"/>
                  <w:noWrap w:val="0"/>
                  <w:vAlign w:val="center"/>
                </w:tcPr>
                <w:p>
                  <w:pPr>
                    <w:snapToGrid w:val="0"/>
                    <w:spacing w:line="20" w:lineRule="atLeast"/>
                    <w:jc w:val="center"/>
                    <w:rPr>
                      <w:color w:val="auto"/>
                      <w:szCs w:val="21"/>
                    </w:rPr>
                  </w:pPr>
                  <w:r>
                    <w:rPr>
                      <w:color w:val="auto"/>
                      <w:szCs w:val="21"/>
                    </w:rPr>
                    <w:t>气缸</w:t>
                  </w:r>
                </w:p>
              </w:tc>
              <w:tc>
                <w:tcPr>
                  <w:tcW w:w="1472" w:type="pct"/>
                  <w:noWrap w:val="0"/>
                  <w:vAlign w:val="center"/>
                </w:tcPr>
                <w:p>
                  <w:pPr>
                    <w:snapToGrid w:val="0"/>
                    <w:spacing w:line="20" w:lineRule="atLeast"/>
                    <w:jc w:val="center"/>
                    <w:rPr>
                      <w:color w:val="auto"/>
                      <w:szCs w:val="21"/>
                    </w:rPr>
                  </w:pPr>
                  <w:r>
                    <w:rPr>
                      <w:color w:val="auto"/>
                      <w:szCs w:val="21"/>
                    </w:rPr>
                    <w:t>RA8050/50/D/SW/F</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英国诺冠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vMerge w:val="continue"/>
                  <w:noWrap w:val="0"/>
                  <w:vAlign w:val="center"/>
                </w:tcPr>
                <w:p>
                  <w:pPr>
                    <w:snapToGrid w:val="0"/>
                    <w:spacing w:line="20" w:lineRule="atLeast"/>
                    <w:jc w:val="center"/>
                    <w:rPr>
                      <w:color w:val="auto"/>
                      <w:szCs w:val="21"/>
                    </w:rPr>
                  </w:pPr>
                </w:p>
              </w:tc>
              <w:tc>
                <w:tcPr>
                  <w:tcW w:w="1472" w:type="pct"/>
                  <w:noWrap w:val="0"/>
                  <w:vAlign w:val="center"/>
                </w:tcPr>
                <w:p>
                  <w:pPr>
                    <w:snapToGrid w:val="0"/>
                    <w:spacing w:line="20" w:lineRule="atLeast"/>
                    <w:jc w:val="center"/>
                    <w:rPr>
                      <w:color w:val="auto"/>
                      <w:szCs w:val="21"/>
                    </w:rPr>
                  </w:pPr>
                  <w:r>
                    <w:rPr>
                      <w:color w:val="auto"/>
                      <w:szCs w:val="21"/>
                    </w:rPr>
                    <w:t>RA8063/200/H/F</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英国诺冠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restart"/>
                  <w:noWrap w:val="0"/>
                  <w:vAlign w:val="center"/>
                </w:tcPr>
                <w:p>
                  <w:pPr>
                    <w:snapToGrid w:val="0"/>
                    <w:spacing w:line="20" w:lineRule="atLeast"/>
                    <w:jc w:val="center"/>
                    <w:rPr>
                      <w:color w:val="auto"/>
                      <w:szCs w:val="21"/>
                    </w:rPr>
                  </w:pPr>
                  <w:r>
                    <w:rPr>
                      <w:color w:val="auto"/>
                      <w:szCs w:val="21"/>
                    </w:rPr>
                    <w:t>搅拌系统</w:t>
                  </w:r>
                </w:p>
              </w:tc>
              <w:tc>
                <w:tcPr>
                  <w:tcW w:w="1330" w:type="pct"/>
                  <w:noWrap w:val="0"/>
                  <w:vAlign w:val="center"/>
                </w:tcPr>
                <w:p>
                  <w:pPr>
                    <w:snapToGrid w:val="0"/>
                    <w:spacing w:line="20" w:lineRule="atLeast"/>
                    <w:jc w:val="center"/>
                    <w:rPr>
                      <w:color w:val="auto"/>
                      <w:szCs w:val="21"/>
                    </w:rPr>
                  </w:pPr>
                  <w:r>
                    <w:rPr>
                      <w:color w:val="auto"/>
                      <w:szCs w:val="21"/>
                    </w:rPr>
                    <w:t>电机减速机</w:t>
                  </w:r>
                </w:p>
              </w:tc>
              <w:tc>
                <w:tcPr>
                  <w:tcW w:w="1472" w:type="pct"/>
                  <w:noWrap w:val="0"/>
                  <w:vAlign w:val="center"/>
                </w:tcPr>
                <w:p>
                  <w:pPr>
                    <w:snapToGrid w:val="0"/>
                    <w:spacing w:line="20" w:lineRule="atLeast"/>
                    <w:jc w:val="center"/>
                    <w:rPr>
                      <w:color w:val="auto"/>
                      <w:szCs w:val="21"/>
                    </w:rPr>
                  </w:pPr>
                  <w:r>
                    <w:rPr>
                      <w:color w:val="auto"/>
                      <w:szCs w:val="21"/>
                    </w:rPr>
                    <w:t>55 kW</w:t>
                  </w:r>
                </w:p>
              </w:tc>
              <w:tc>
                <w:tcPr>
                  <w:tcW w:w="446" w:type="pct"/>
                  <w:noWrap w:val="0"/>
                  <w:vAlign w:val="center"/>
                </w:tcPr>
                <w:p>
                  <w:pPr>
                    <w:snapToGrid w:val="0"/>
                    <w:spacing w:line="20" w:lineRule="atLeast"/>
                    <w:jc w:val="center"/>
                    <w:rPr>
                      <w:color w:val="auto"/>
                      <w:szCs w:val="21"/>
                    </w:rPr>
                  </w:pPr>
                  <w:r>
                    <w:rPr>
                      <w:color w:val="auto"/>
                      <w:szCs w:val="21"/>
                    </w:rPr>
                    <w:t>2</w:t>
                  </w:r>
                </w:p>
              </w:tc>
              <w:tc>
                <w:tcPr>
                  <w:tcW w:w="1311" w:type="pct"/>
                  <w:noWrap w:val="0"/>
                  <w:vAlign w:val="center"/>
                </w:tcPr>
                <w:p>
                  <w:pPr>
                    <w:snapToGrid w:val="0"/>
                    <w:spacing w:line="20" w:lineRule="atLeast"/>
                    <w:jc w:val="center"/>
                    <w:rPr>
                      <w:color w:val="auto"/>
                      <w:szCs w:val="21"/>
                    </w:rPr>
                  </w:pPr>
                  <w:r>
                    <w:rPr>
                      <w:color w:val="auto"/>
                      <w:szCs w:val="21"/>
                    </w:rPr>
                    <w:t>德国SEW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ign w:val="center"/>
                </w:tcPr>
                <w:p>
                  <w:pPr>
                    <w:snapToGrid w:val="0"/>
                    <w:spacing w:line="20" w:lineRule="atLeast"/>
                    <w:jc w:val="center"/>
                    <w:rPr>
                      <w:color w:val="auto"/>
                      <w:szCs w:val="21"/>
                    </w:rPr>
                  </w:pPr>
                  <w:r>
                    <w:rPr>
                      <w:color w:val="auto"/>
                      <w:szCs w:val="21"/>
                    </w:rPr>
                    <w:t>结构件（含搅拌臂，叶）</w:t>
                  </w:r>
                </w:p>
              </w:tc>
              <w:tc>
                <w:tcPr>
                  <w:tcW w:w="1472" w:type="pct"/>
                  <w:noWrap w:val="0"/>
                  <w:vAlign w:val="center"/>
                </w:tcPr>
                <w:p>
                  <w:pPr>
                    <w:snapToGrid w:val="0"/>
                    <w:spacing w:line="20" w:lineRule="atLeast"/>
                    <w:jc w:val="center"/>
                    <w:rPr>
                      <w:color w:val="auto"/>
                      <w:szCs w:val="21"/>
                    </w:rPr>
                  </w:pPr>
                  <w:r>
                    <w:rPr>
                      <w:color w:val="auto"/>
                      <w:szCs w:val="21"/>
                    </w:rPr>
                    <w:t>400/H</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气缸</w:t>
                  </w:r>
                </w:p>
              </w:tc>
              <w:tc>
                <w:tcPr>
                  <w:tcW w:w="1472" w:type="pct"/>
                  <w:noWrap w:val="0"/>
                  <w:vAlign w:val="center"/>
                </w:tcPr>
                <w:p>
                  <w:pPr>
                    <w:snapToGrid w:val="0"/>
                    <w:spacing w:line="20" w:lineRule="atLeast"/>
                    <w:jc w:val="center"/>
                    <w:rPr>
                      <w:color w:val="auto"/>
                      <w:szCs w:val="21"/>
                    </w:rPr>
                  </w:pPr>
                  <w:r>
                    <w:rPr>
                      <w:color w:val="auto"/>
                      <w:szCs w:val="21"/>
                    </w:rPr>
                    <w:t>RA8160/900/D/F</w:t>
                  </w:r>
                </w:p>
              </w:tc>
              <w:tc>
                <w:tcPr>
                  <w:tcW w:w="446" w:type="pct"/>
                  <w:noWrap w:val="0"/>
                  <w:vAlign w:val="center"/>
                </w:tcPr>
                <w:p>
                  <w:pPr>
                    <w:snapToGrid w:val="0"/>
                    <w:spacing w:line="20" w:lineRule="atLeast"/>
                    <w:jc w:val="center"/>
                    <w:rPr>
                      <w:color w:val="auto"/>
                      <w:szCs w:val="21"/>
                    </w:rPr>
                  </w:pPr>
                  <w:r>
                    <w:rPr>
                      <w:color w:val="auto"/>
                      <w:szCs w:val="21"/>
                    </w:rPr>
                    <w:t>2</w:t>
                  </w:r>
                </w:p>
              </w:tc>
              <w:tc>
                <w:tcPr>
                  <w:tcW w:w="1311" w:type="pct"/>
                  <w:noWrap w:val="0"/>
                  <w:vAlign w:val="center"/>
                </w:tcPr>
                <w:p>
                  <w:pPr>
                    <w:snapToGrid w:val="0"/>
                    <w:spacing w:line="20" w:lineRule="atLeast"/>
                    <w:jc w:val="center"/>
                    <w:rPr>
                      <w:color w:val="auto"/>
                      <w:szCs w:val="21"/>
                    </w:rPr>
                  </w:pPr>
                  <w:r>
                    <w:rPr>
                      <w:color w:val="auto"/>
                      <w:szCs w:val="21"/>
                    </w:rPr>
                    <w:t>英国诺冠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restart"/>
                  <w:noWrap w:val="0"/>
                  <w:vAlign w:val="center"/>
                </w:tcPr>
                <w:p>
                  <w:pPr>
                    <w:snapToGrid w:val="0"/>
                    <w:spacing w:line="20" w:lineRule="atLeast"/>
                    <w:jc w:val="center"/>
                    <w:rPr>
                      <w:color w:val="auto"/>
                      <w:szCs w:val="21"/>
                    </w:rPr>
                  </w:pPr>
                  <w:r>
                    <w:rPr>
                      <w:color w:val="auto"/>
                      <w:szCs w:val="21"/>
                    </w:rPr>
                    <w:t>气动系统</w:t>
                  </w:r>
                </w:p>
              </w:tc>
              <w:tc>
                <w:tcPr>
                  <w:tcW w:w="1330" w:type="pct"/>
                  <w:noWrap w:val="0"/>
                  <w:vAlign w:val="center"/>
                </w:tcPr>
                <w:p>
                  <w:pPr>
                    <w:snapToGrid w:val="0"/>
                    <w:spacing w:line="20" w:lineRule="atLeast"/>
                    <w:jc w:val="center"/>
                    <w:rPr>
                      <w:color w:val="auto"/>
                      <w:szCs w:val="21"/>
                    </w:rPr>
                  </w:pPr>
                  <w:r>
                    <w:rPr>
                      <w:color w:val="auto"/>
                      <w:szCs w:val="21"/>
                    </w:rPr>
                    <w:t>空压机（螺杆式）</w:t>
                  </w:r>
                </w:p>
              </w:tc>
              <w:tc>
                <w:tcPr>
                  <w:tcW w:w="1472" w:type="pct"/>
                  <w:noWrap w:val="0"/>
                  <w:vAlign w:val="center"/>
                </w:tcPr>
                <w:p>
                  <w:pPr>
                    <w:snapToGrid w:val="0"/>
                    <w:spacing w:line="20" w:lineRule="atLeast"/>
                    <w:jc w:val="center"/>
                    <w:rPr>
                      <w:color w:val="auto"/>
                      <w:szCs w:val="21"/>
                    </w:rPr>
                  </w:pPr>
                  <w:r>
                    <w:rPr>
                      <w:color w:val="auto"/>
                      <w:szCs w:val="21"/>
                    </w:rPr>
                    <w:t>37 kW</w:t>
                  </w:r>
                </w:p>
              </w:tc>
              <w:tc>
                <w:tcPr>
                  <w:tcW w:w="446" w:type="pct"/>
                  <w:noWrap w:val="0"/>
                  <w:vAlign w:val="center"/>
                </w:tcPr>
                <w:p>
                  <w:pPr>
                    <w:snapToGrid w:val="0"/>
                    <w:spacing w:line="20" w:lineRule="atLeast"/>
                    <w:jc w:val="center"/>
                    <w:rPr>
                      <w:color w:val="auto"/>
                      <w:szCs w:val="21"/>
                    </w:rPr>
                  </w:pPr>
                  <w:r>
                    <w:rPr>
                      <w:color w:val="auto"/>
                      <w:szCs w:val="21"/>
                    </w:rPr>
                    <w:t>2</w:t>
                  </w:r>
                </w:p>
              </w:tc>
              <w:tc>
                <w:tcPr>
                  <w:tcW w:w="1311" w:type="pct"/>
                  <w:noWrap w:val="0"/>
                  <w:vAlign w:val="center"/>
                </w:tcPr>
                <w:p>
                  <w:pPr>
                    <w:snapToGrid w:val="0"/>
                    <w:spacing w:line="20" w:lineRule="atLeast"/>
                    <w:jc w:val="center"/>
                    <w:rPr>
                      <w:color w:val="auto"/>
                      <w:szCs w:val="21"/>
                    </w:rPr>
                  </w:pPr>
                  <w:r>
                    <w:rPr>
                      <w:color w:val="auto"/>
                      <w:szCs w:val="21"/>
                    </w:rPr>
                    <w:t>志高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储气罐</w:t>
                  </w:r>
                </w:p>
              </w:tc>
              <w:tc>
                <w:tcPr>
                  <w:tcW w:w="1472" w:type="pct"/>
                  <w:noWrap w:val="0"/>
                  <w:vAlign w:val="center"/>
                </w:tcPr>
                <w:p>
                  <w:pPr>
                    <w:snapToGrid w:val="0"/>
                    <w:spacing w:line="20" w:lineRule="atLeast"/>
                    <w:jc w:val="center"/>
                    <w:rPr>
                      <w:color w:val="auto"/>
                      <w:szCs w:val="21"/>
                    </w:rPr>
                  </w:pPr>
                  <w:r>
                    <w:rPr>
                      <w:color w:val="auto"/>
                      <w:szCs w:val="21"/>
                    </w:rPr>
                    <w:t>0.6m</w:t>
                  </w:r>
                  <w:r>
                    <w:rPr>
                      <w:color w:val="auto"/>
                      <w:szCs w:val="21"/>
                      <w:vertAlign w:val="superscript"/>
                    </w:rPr>
                    <w:t>3</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restart"/>
                  <w:noWrap w:val="0"/>
                  <w:vAlign w:val="center"/>
                </w:tcPr>
                <w:p>
                  <w:pPr>
                    <w:snapToGrid w:val="0"/>
                    <w:spacing w:line="20" w:lineRule="atLeast"/>
                    <w:jc w:val="center"/>
                    <w:rPr>
                      <w:color w:val="auto"/>
                      <w:szCs w:val="21"/>
                    </w:rPr>
                  </w:pPr>
                  <w:r>
                    <w:rPr>
                      <w:color w:val="auto"/>
                      <w:szCs w:val="21"/>
                    </w:rPr>
                    <w:t>沥青加热系统</w:t>
                  </w:r>
                </w:p>
              </w:tc>
              <w:tc>
                <w:tcPr>
                  <w:tcW w:w="1330" w:type="pct"/>
                  <w:noWrap w:val="0"/>
                  <w:vAlign w:val="center"/>
                </w:tcPr>
                <w:p>
                  <w:pPr>
                    <w:snapToGrid w:val="0"/>
                    <w:spacing w:line="20" w:lineRule="atLeast"/>
                    <w:jc w:val="center"/>
                    <w:rPr>
                      <w:color w:val="auto"/>
                      <w:szCs w:val="21"/>
                    </w:rPr>
                  </w:pPr>
                  <w:r>
                    <w:rPr>
                      <w:color w:val="auto"/>
                      <w:szCs w:val="21"/>
                    </w:rPr>
                    <w:t>沥青罐</w:t>
                  </w:r>
                </w:p>
              </w:tc>
              <w:tc>
                <w:tcPr>
                  <w:tcW w:w="1472" w:type="pct"/>
                  <w:noWrap w:val="0"/>
                  <w:vAlign w:val="center"/>
                </w:tcPr>
                <w:p>
                  <w:pPr>
                    <w:snapToGrid w:val="0"/>
                    <w:spacing w:line="20" w:lineRule="atLeast"/>
                    <w:jc w:val="center"/>
                    <w:rPr>
                      <w:color w:val="auto"/>
                      <w:szCs w:val="21"/>
                    </w:rPr>
                  </w:pPr>
                  <w:r>
                    <w:rPr>
                      <w:color w:val="auto"/>
                      <w:szCs w:val="21"/>
                    </w:rPr>
                    <w:t>50000 L</w:t>
                  </w:r>
                </w:p>
                <w:p>
                  <w:pPr>
                    <w:snapToGrid w:val="0"/>
                    <w:spacing w:line="20" w:lineRule="atLeast"/>
                    <w:jc w:val="center"/>
                    <w:rPr>
                      <w:color w:val="auto"/>
                      <w:szCs w:val="21"/>
                    </w:rPr>
                  </w:pPr>
                  <w:r>
                    <w:rPr>
                      <w:color w:val="auto"/>
                      <w:szCs w:val="21"/>
                    </w:rPr>
                    <w:t>（其中1个配搅拌器）</w:t>
                  </w:r>
                </w:p>
              </w:tc>
              <w:tc>
                <w:tcPr>
                  <w:tcW w:w="446" w:type="pct"/>
                  <w:noWrap w:val="0"/>
                  <w:vAlign w:val="center"/>
                </w:tcPr>
                <w:p>
                  <w:pPr>
                    <w:snapToGrid w:val="0"/>
                    <w:spacing w:line="20" w:lineRule="atLeast"/>
                    <w:jc w:val="center"/>
                    <w:rPr>
                      <w:color w:val="auto"/>
                      <w:szCs w:val="21"/>
                    </w:rPr>
                  </w:pPr>
                  <w:r>
                    <w:rPr>
                      <w:color w:val="auto"/>
                      <w:szCs w:val="21"/>
                    </w:rPr>
                    <w:t>3</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重油罐</w:t>
                  </w:r>
                </w:p>
              </w:tc>
              <w:tc>
                <w:tcPr>
                  <w:tcW w:w="1472" w:type="pct"/>
                  <w:noWrap w:val="0"/>
                  <w:vAlign w:val="center"/>
                </w:tcPr>
                <w:p>
                  <w:pPr>
                    <w:snapToGrid w:val="0"/>
                    <w:spacing w:line="20" w:lineRule="atLeast"/>
                    <w:jc w:val="center"/>
                    <w:rPr>
                      <w:color w:val="auto"/>
                      <w:szCs w:val="21"/>
                    </w:rPr>
                  </w:pPr>
                  <w:r>
                    <w:rPr>
                      <w:color w:val="auto"/>
                      <w:szCs w:val="21"/>
                    </w:rPr>
                    <w:t>50000 L</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柴油罐</w:t>
                  </w:r>
                </w:p>
              </w:tc>
              <w:tc>
                <w:tcPr>
                  <w:tcW w:w="1472" w:type="pct"/>
                  <w:noWrap w:val="0"/>
                  <w:vAlign w:val="center"/>
                </w:tcPr>
                <w:p>
                  <w:pPr>
                    <w:snapToGrid w:val="0"/>
                    <w:spacing w:line="20" w:lineRule="atLeast"/>
                    <w:jc w:val="center"/>
                    <w:rPr>
                      <w:rFonts w:hint="default" w:eastAsia="宋体"/>
                      <w:color w:val="auto"/>
                      <w:szCs w:val="21"/>
                      <w:lang w:val="en-US" w:eastAsia="zh-CN"/>
                    </w:rPr>
                  </w:pPr>
                  <w:r>
                    <w:rPr>
                      <w:rFonts w:hint="eastAsia"/>
                      <w:color w:val="auto"/>
                      <w:szCs w:val="21"/>
                      <w:lang w:val="en-US" w:eastAsia="zh-CN"/>
                    </w:rPr>
                    <w:t>20m</w:t>
                  </w:r>
                  <w:r>
                    <w:rPr>
                      <w:rFonts w:hint="eastAsia"/>
                      <w:color w:val="auto"/>
                      <w:szCs w:val="21"/>
                      <w:vertAlign w:val="superscript"/>
                      <w:lang w:val="en-US" w:eastAsia="zh-CN"/>
                    </w:rPr>
                    <w:t>3</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沥青计量泵</w:t>
                  </w:r>
                </w:p>
              </w:tc>
              <w:tc>
                <w:tcPr>
                  <w:tcW w:w="1472" w:type="pct"/>
                  <w:noWrap w:val="0"/>
                  <w:vAlign w:val="center"/>
                </w:tcPr>
                <w:p>
                  <w:pPr>
                    <w:snapToGrid w:val="0"/>
                    <w:spacing w:line="20" w:lineRule="atLeast"/>
                    <w:jc w:val="center"/>
                    <w:rPr>
                      <w:color w:val="auto"/>
                      <w:szCs w:val="21"/>
                    </w:rPr>
                  </w:pPr>
                  <w:r>
                    <w:rPr>
                      <w:color w:val="auto"/>
                      <w:szCs w:val="21"/>
                    </w:rPr>
                    <w:t>15kw</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沥青接卸泵</w:t>
                  </w:r>
                </w:p>
              </w:tc>
              <w:tc>
                <w:tcPr>
                  <w:tcW w:w="1472" w:type="pct"/>
                  <w:noWrap w:val="0"/>
                  <w:vAlign w:val="center"/>
                </w:tcPr>
                <w:p>
                  <w:pPr>
                    <w:snapToGrid w:val="0"/>
                    <w:spacing w:line="20" w:lineRule="atLeast"/>
                    <w:jc w:val="center"/>
                    <w:rPr>
                      <w:color w:val="auto"/>
                      <w:szCs w:val="21"/>
                    </w:rPr>
                  </w:pPr>
                  <w:r>
                    <w:rPr>
                      <w:color w:val="auto"/>
                      <w:szCs w:val="21"/>
                    </w:rPr>
                    <w:t>15kw</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导热油炉燃油燃烧器</w:t>
                  </w:r>
                </w:p>
              </w:tc>
              <w:tc>
                <w:tcPr>
                  <w:tcW w:w="1472" w:type="pct"/>
                  <w:noWrap w:val="0"/>
                  <w:vAlign w:val="center"/>
                </w:tcPr>
                <w:p>
                  <w:pPr>
                    <w:snapToGrid w:val="0"/>
                    <w:spacing w:line="20" w:lineRule="atLeast"/>
                    <w:jc w:val="center"/>
                    <w:rPr>
                      <w:color w:val="auto"/>
                      <w:szCs w:val="21"/>
                    </w:rPr>
                  </w:pPr>
                  <w:r>
                    <w:rPr>
                      <w:color w:val="auto"/>
                      <w:szCs w:val="21"/>
                    </w:rPr>
                    <w:t>RL130</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意大利利雅路</w:t>
                  </w:r>
                  <w:r>
                    <w:rPr>
                      <w:rFonts w:hint="eastAsia" w:eastAsia="宋体"/>
                      <w:color w:val="auto"/>
                      <w:szCs w:val="21"/>
                      <w:lang w:eastAsia="zh-CN"/>
                    </w:rPr>
                    <w:t>，</w:t>
                  </w:r>
                  <w:r>
                    <w:rPr>
                      <w:rFonts w:hint="eastAsia" w:ascii="Times New Roman" w:eastAsia="宋体"/>
                      <w:color w:val="auto"/>
                      <w:szCs w:val="21"/>
                      <w:lang w:val="en-US" w:eastAsia="zh-CN"/>
                    </w:rPr>
                    <w:t>拟用重油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导热油炉燃气燃烧器</w:t>
                  </w:r>
                </w:p>
              </w:tc>
              <w:tc>
                <w:tcPr>
                  <w:tcW w:w="1472" w:type="pct"/>
                  <w:noWrap w:val="0"/>
                  <w:vAlign w:val="center"/>
                </w:tcPr>
                <w:p>
                  <w:pPr>
                    <w:snapToGrid w:val="0"/>
                    <w:spacing w:line="20" w:lineRule="atLeast"/>
                    <w:jc w:val="center"/>
                    <w:rPr>
                      <w:color w:val="auto"/>
                      <w:szCs w:val="21"/>
                    </w:rPr>
                  </w:pPr>
                  <w:r>
                    <w:rPr>
                      <w:color w:val="auto"/>
                      <w:szCs w:val="21"/>
                    </w:rPr>
                    <w:t>RL130</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rFonts w:hint="default"/>
                      <w:color w:val="auto"/>
                      <w:szCs w:val="21"/>
                      <w:lang w:val="en-US"/>
                    </w:rPr>
                  </w:pPr>
                  <w:r>
                    <w:rPr>
                      <w:color w:val="auto"/>
                      <w:szCs w:val="21"/>
                    </w:rPr>
                    <w:t>意大利利雅路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油路连接管线</w:t>
                  </w:r>
                </w:p>
              </w:tc>
              <w:tc>
                <w:tcPr>
                  <w:tcW w:w="1472" w:type="pct"/>
                  <w:noWrap w:val="0"/>
                  <w:vAlign w:val="center"/>
                </w:tcPr>
                <w:p>
                  <w:pPr>
                    <w:snapToGrid w:val="0"/>
                    <w:spacing w:line="20" w:lineRule="atLeast"/>
                    <w:jc w:val="center"/>
                    <w:rPr>
                      <w:color w:val="auto"/>
                      <w:szCs w:val="21"/>
                    </w:rPr>
                  </w:pPr>
                  <w:r>
                    <w:rPr>
                      <w:color w:val="auto"/>
                      <w:szCs w:val="21"/>
                    </w:rPr>
                    <w:t>/</w:t>
                  </w:r>
                </w:p>
              </w:tc>
              <w:tc>
                <w:tcPr>
                  <w:tcW w:w="446" w:type="pct"/>
                  <w:noWrap w:val="0"/>
                  <w:vAlign w:val="center"/>
                </w:tcPr>
                <w:p>
                  <w:pPr>
                    <w:snapToGrid w:val="0"/>
                    <w:spacing w:line="20" w:lineRule="atLeast"/>
                    <w:jc w:val="center"/>
                    <w:rPr>
                      <w:color w:val="auto"/>
                      <w:szCs w:val="21"/>
                    </w:rPr>
                  </w:pPr>
                  <w:r>
                    <w:rPr>
                      <w:color w:val="auto"/>
                      <w:szCs w:val="21"/>
                    </w:rPr>
                    <w:t>1套</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油路保温</w:t>
                  </w:r>
                </w:p>
              </w:tc>
              <w:tc>
                <w:tcPr>
                  <w:tcW w:w="1472" w:type="pct"/>
                  <w:noWrap w:val="0"/>
                  <w:vAlign w:val="center"/>
                </w:tcPr>
                <w:p>
                  <w:pPr>
                    <w:snapToGrid w:val="0"/>
                    <w:spacing w:line="20" w:lineRule="atLeast"/>
                    <w:jc w:val="center"/>
                    <w:rPr>
                      <w:color w:val="auto"/>
                      <w:szCs w:val="21"/>
                    </w:rPr>
                  </w:pPr>
                  <w:r>
                    <w:rPr>
                      <w:color w:val="auto"/>
                      <w:szCs w:val="21"/>
                    </w:rPr>
                    <w:t>/</w:t>
                  </w:r>
                </w:p>
              </w:tc>
              <w:tc>
                <w:tcPr>
                  <w:tcW w:w="446" w:type="pct"/>
                  <w:noWrap w:val="0"/>
                  <w:vAlign w:val="center"/>
                </w:tcPr>
                <w:p>
                  <w:pPr>
                    <w:snapToGrid w:val="0"/>
                    <w:spacing w:line="20" w:lineRule="atLeast"/>
                    <w:jc w:val="center"/>
                    <w:rPr>
                      <w:color w:val="auto"/>
                      <w:szCs w:val="21"/>
                    </w:rPr>
                  </w:pPr>
                  <w:r>
                    <w:rPr>
                      <w:color w:val="auto"/>
                      <w:szCs w:val="21"/>
                    </w:rPr>
                    <w:t>1套</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导热油炉</w:t>
                  </w:r>
                </w:p>
              </w:tc>
              <w:tc>
                <w:tcPr>
                  <w:tcW w:w="1472" w:type="pct"/>
                  <w:noWrap w:val="0"/>
                  <w:vAlign w:val="center"/>
                </w:tcPr>
                <w:p>
                  <w:pPr>
                    <w:snapToGrid w:val="0"/>
                    <w:spacing w:line="20" w:lineRule="atLeast"/>
                    <w:jc w:val="center"/>
                    <w:rPr>
                      <w:color w:val="auto"/>
                      <w:szCs w:val="21"/>
                    </w:rPr>
                  </w:pPr>
                  <w:r>
                    <w:rPr>
                      <w:color w:val="auto"/>
                      <w:szCs w:val="21"/>
                    </w:rPr>
                    <w:t>120万卡</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rFonts w:hint="default" w:eastAsia="宋体"/>
                      <w:color w:val="auto"/>
                      <w:szCs w:val="21"/>
                      <w:lang w:val="en-US" w:eastAsia="zh-CN"/>
                    </w:rPr>
                  </w:pPr>
                  <w:r>
                    <w:rPr>
                      <w:color w:val="auto"/>
                      <w:szCs w:val="21"/>
                    </w:rPr>
                    <w:t>辽筑</w:t>
                  </w:r>
                  <w:r>
                    <w:rPr>
                      <w:rFonts w:hint="eastAsia"/>
                      <w:color w:val="auto"/>
                      <w:szCs w:val="21"/>
                      <w:lang w:eastAsia="zh-CN"/>
                    </w:rPr>
                    <w:t>，</w:t>
                  </w:r>
                  <w:r>
                    <w:rPr>
                      <w:rFonts w:hint="eastAsia"/>
                      <w:color w:val="auto"/>
                      <w:szCs w:val="21"/>
                      <w:lang w:val="en-US" w:eastAsia="zh-CN"/>
                    </w:rPr>
                    <w:t>拟用柴油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restart"/>
                  <w:noWrap w:val="0"/>
                  <w:vAlign w:val="center"/>
                </w:tcPr>
                <w:p>
                  <w:pPr>
                    <w:snapToGrid w:val="0"/>
                    <w:spacing w:line="20" w:lineRule="atLeast"/>
                    <w:jc w:val="center"/>
                    <w:rPr>
                      <w:color w:val="auto"/>
                      <w:szCs w:val="21"/>
                    </w:rPr>
                  </w:pPr>
                  <w:r>
                    <w:rPr>
                      <w:color w:val="auto"/>
                      <w:szCs w:val="21"/>
                    </w:rPr>
                    <w:t>控制系统</w:t>
                  </w:r>
                </w:p>
              </w:tc>
              <w:tc>
                <w:tcPr>
                  <w:tcW w:w="1330" w:type="pct"/>
                  <w:noWrap w:val="0"/>
                  <w:vAlign w:val="center"/>
                </w:tcPr>
                <w:p>
                  <w:pPr>
                    <w:snapToGrid w:val="0"/>
                    <w:spacing w:line="20" w:lineRule="atLeast"/>
                    <w:jc w:val="center"/>
                    <w:rPr>
                      <w:color w:val="auto"/>
                      <w:szCs w:val="21"/>
                    </w:rPr>
                  </w:pPr>
                  <w:r>
                    <w:rPr>
                      <w:color w:val="auto"/>
                      <w:szCs w:val="21"/>
                    </w:rPr>
                    <w:t>控制器</w:t>
                  </w:r>
                </w:p>
              </w:tc>
              <w:tc>
                <w:tcPr>
                  <w:tcW w:w="1472" w:type="pct"/>
                  <w:noWrap w:val="0"/>
                  <w:vAlign w:val="center"/>
                </w:tcPr>
                <w:p>
                  <w:pPr>
                    <w:snapToGrid w:val="0"/>
                    <w:spacing w:line="20" w:lineRule="atLeast"/>
                    <w:jc w:val="center"/>
                    <w:rPr>
                      <w:color w:val="auto"/>
                      <w:szCs w:val="21"/>
                    </w:rPr>
                  </w:pPr>
                  <w:r>
                    <w:rPr>
                      <w:color w:val="auto"/>
                      <w:szCs w:val="21"/>
                    </w:rPr>
                    <w:t>PLC</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日本三菱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控制软件</w:t>
                  </w:r>
                </w:p>
              </w:tc>
              <w:tc>
                <w:tcPr>
                  <w:tcW w:w="1472" w:type="pct"/>
                  <w:noWrap w:val="0"/>
                  <w:vAlign w:val="center"/>
                </w:tcPr>
                <w:p>
                  <w:pPr>
                    <w:snapToGrid w:val="0"/>
                    <w:spacing w:line="20" w:lineRule="atLeast"/>
                    <w:jc w:val="center"/>
                    <w:rPr>
                      <w:color w:val="auto"/>
                      <w:szCs w:val="21"/>
                    </w:rPr>
                  </w:pPr>
                  <w:r>
                    <w:rPr>
                      <w:color w:val="auto"/>
                      <w:szCs w:val="21"/>
                    </w:rPr>
                    <w:t>/</w:t>
                  </w:r>
                </w:p>
              </w:tc>
              <w:tc>
                <w:tcPr>
                  <w:tcW w:w="446" w:type="pct"/>
                  <w:noWrap w:val="0"/>
                  <w:vAlign w:val="center"/>
                </w:tcPr>
                <w:p>
                  <w:pPr>
                    <w:snapToGrid w:val="0"/>
                    <w:spacing w:line="20" w:lineRule="atLeast"/>
                    <w:jc w:val="center"/>
                    <w:rPr>
                      <w:color w:val="auto"/>
                      <w:szCs w:val="21"/>
                    </w:rPr>
                  </w:pPr>
                  <w:r>
                    <w:rPr>
                      <w:color w:val="auto"/>
                      <w:szCs w:val="21"/>
                    </w:rPr>
                    <w:t>1套</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低压电器</w:t>
                  </w:r>
                </w:p>
              </w:tc>
              <w:tc>
                <w:tcPr>
                  <w:tcW w:w="1472" w:type="pct"/>
                  <w:noWrap w:val="0"/>
                  <w:vAlign w:val="center"/>
                </w:tcPr>
                <w:p>
                  <w:pPr>
                    <w:snapToGrid w:val="0"/>
                    <w:spacing w:line="20" w:lineRule="atLeast"/>
                    <w:jc w:val="center"/>
                    <w:rPr>
                      <w:color w:val="auto"/>
                      <w:szCs w:val="21"/>
                    </w:rPr>
                  </w:pPr>
                  <w:r>
                    <w:rPr>
                      <w:color w:val="auto"/>
                      <w:szCs w:val="21"/>
                    </w:rPr>
                    <w:t>/</w:t>
                  </w:r>
                </w:p>
              </w:tc>
              <w:tc>
                <w:tcPr>
                  <w:tcW w:w="446" w:type="pct"/>
                  <w:noWrap w:val="0"/>
                  <w:vAlign w:val="center"/>
                </w:tcPr>
                <w:p>
                  <w:pPr>
                    <w:snapToGrid w:val="0"/>
                    <w:spacing w:line="20" w:lineRule="atLeast"/>
                    <w:jc w:val="center"/>
                    <w:rPr>
                      <w:color w:val="auto"/>
                      <w:szCs w:val="21"/>
                    </w:rPr>
                  </w:pPr>
                  <w:r>
                    <w:rPr>
                      <w:color w:val="auto"/>
                      <w:szCs w:val="21"/>
                    </w:rPr>
                    <w:t>1套</w:t>
                  </w:r>
                </w:p>
              </w:tc>
              <w:tc>
                <w:tcPr>
                  <w:tcW w:w="1311" w:type="pct"/>
                  <w:noWrap/>
                  <w:vAlign w:val="center"/>
                </w:tcPr>
                <w:p>
                  <w:pPr>
                    <w:snapToGrid w:val="0"/>
                    <w:spacing w:line="20" w:lineRule="atLeast"/>
                    <w:jc w:val="center"/>
                    <w:rPr>
                      <w:color w:val="auto"/>
                      <w:szCs w:val="21"/>
                    </w:rPr>
                  </w:pPr>
                  <w:r>
                    <w:rPr>
                      <w:color w:val="auto"/>
                      <w:szCs w:val="21"/>
                    </w:rPr>
                    <w:t>富士、德力西（空开）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电缆</w:t>
                  </w:r>
                </w:p>
              </w:tc>
              <w:tc>
                <w:tcPr>
                  <w:tcW w:w="1472" w:type="pct"/>
                  <w:noWrap w:val="0"/>
                  <w:vAlign w:val="center"/>
                </w:tcPr>
                <w:p>
                  <w:pPr>
                    <w:snapToGrid w:val="0"/>
                    <w:spacing w:line="20" w:lineRule="atLeast"/>
                    <w:jc w:val="center"/>
                    <w:rPr>
                      <w:color w:val="auto"/>
                      <w:szCs w:val="21"/>
                    </w:rPr>
                  </w:pPr>
                  <w:r>
                    <w:rPr>
                      <w:color w:val="auto"/>
                      <w:szCs w:val="21"/>
                    </w:rPr>
                    <w:t>/</w:t>
                  </w:r>
                </w:p>
              </w:tc>
              <w:tc>
                <w:tcPr>
                  <w:tcW w:w="446" w:type="pct"/>
                  <w:noWrap w:val="0"/>
                  <w:vAlign w:val="center"/>
                </w:tcPr>
                <w:p>
                  <w:pPr>
                    <w:snapToGrid w:val="0"/>
                    <w:spacing w:line="20" w:lineRule="atLeast"/>
                    <w:jc w:val="center"/>
                    <w:rPr>
                      <w:color w:val="auto"/>
                      <w:szCs w:val="21"/>
                    </w:rPr>
                  </w:pPr>
                  <w:r>
                    <w:rPr>
                      <w:color w:val="auto"/>
                      <w:szCs w:val="21"/>
                    </w:rPr>
                    <w:t>1套</w:t>
                  </w:r>
                </w:p>
              </w:tc>
              <w:tc>
                <w:tcPr>
                  <w:tcW w:w="1311" w:type="pct"/>
                  <w:noWrap/>
                  <w:vAlign w:val="center"/>
                </w:tcPr>
                <w:p>
                  <w:pPr>
                    <w:snapToGrid w:val="0"/>
                    <w:spacing w:line="20" w:lineRule="atLeast"/>
                    <w:jc w:val="center"/>
                    <w:rPr>
                      <w:color w:val="auto"/>
                      <w:szCs w:val="21"/>
                    </w:rPr>
                  </w:pPr>
                  <w:r>
                    <w:rPr>
                      <w:color w:val="auto"/>
                      <w:szCs w:val="21"/>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控制操作室</w:t>
                  </w:r>
                </w:p>
              </w:tc>
              <w:tc>
                <w:tcPr>
                  <w:tcW w:w="1472" w:type="pct"/>
                  <w:noWrap w:val="0"/>
                  <w:vAlign w:val="center"/>
                </w:tcPr>
                <w:p>
                  <w:pPr>
                    <w:snapToGrid w:val="0"/>
                    <w:spacing w:line="20" w:lineRule="atLeast"/>
                    <w:jc w:val="center"/>
                    <w:rPr>
                      <w:color w:val="auto"/>
                      <w:szCs w:val="21"/>
                    </w:rPr>
                  </w:pPr>
                  <w:r>
                    <w:rPr>
                      <w:color w:val="auto"/>
                      <w:szCs w:val="21"/>
                    </w:rPr>
                    <w:t>/</w:t>
                  </w:r>
                </w:p>
              </w:tc>
              <w:tc>
                <w:tcPr>
                  <w:tcW w:w="446" w:type="pct"/>
                  <w:noWrap w:val="0"/>
                  <w:vAlign w:val="center"/>
                </w:tcPr>
                <w:p>
                  <w:pPr>
                    <w:snapToGrid w:val="0"/>
                    <w:spacing w:line="20" w:lineRule="atLeast"/>
                    <w:jc w:val="center"/>
                    <w:rPr>
                      <w:color w:val="auto"/>
                      <w:szCs w:val="21"/>
                    </w:rPr>
                  </w:pPr>
                  <w:r>
                    <w:rPr>
                      <w:color w:val="auto"/>
                      <w:szCs w:val="21"/>
                    </w:rPr>
                    <w:t>1套</w:t>
                  </w:r>
                </w:p>
              </w:tc>
              <w:tc>
                <w:tcPr>
                  <w:tcW w:w="1311" w:type="pct"/>
                  <w:noWrap/>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restart"/>
                  <w:noWrap w:val="0"/>
                  <w:vAlign w:val="center"/>
                </w:tcPr>
                <w:p>
                  <w:pPr>
                    <w:snapToGrid w:val="0"/>
                    <w:spacing w:line="20" w:lineRule="atLeast"/>
                    <w:jc w:val="center"/>
                    <w:rPr>
                      <w:color w:val="auto"/>
                      <w:szCs w:val="21"/>
                    </w:rPr>
                  </w:pPr>
                  <w:r>
                    <w:rPr>
                      <w:color w:val="auto"/>
                      <w:szCs w:val="21"/>
                    </w:rPr>
                    <w:t>再生料冷料系统</w:t>
                  </w:r>
                </w:p>
              </w:tc>
              <w:tc>
                <w:tcPr>
                  <w:tcW w:w="1330" w:type="pct"/>
                  <w:noWrap w:val="0"/>
                  <w:vAlign w:val="center"/>
                </w:tcPr>
                <w:p>
                  <w:pPr>
                    <w:snapToGrid w:val="0"/>
                    <w:spacing w:line="20" w:lineRule="atLeast"/>
                    <w:jc w:val="center"/>
                    <w:rPr>
                      <w:color w:val="auto"/>
                      <w:szCs w:val="21"/>
                    </w:rPr>
                  </w:pPr>
                  <w:r>
                    <w:rPr>
                      <w:color w:val="auto"/>
                      <w:szCs w:val="21"/>
                    </w:rPr>
                    <w:t>砂仓振动器</w:t>
                  </w:r>
                </w:p>
              </w:tc>
              <w:tc>
                <w:tcPr>
                  <w:tcW w:w="1472" w:type="pct"/>
                  <w:noWrap w:val="0"/>
                  <w:vAlign w:val="center"/>
                </w:tcPr>
                <w:p>
                  <w:pPr>
                    <w:snapToGrid w:val="0"/>
                    <w:spacing w:line="20" w:lineRule="atLeast"/>
                    <w:jc w:val="center"/>
                    <w:rPr>
                      <w:color w:val="auto"/>
                      <w:szCs w:val="21"/>
                    </w:rPr>
                  </w:pPr>
                  <w:r>
                    <w:rPr>
                      <w:color w:val="auto"/>
                      <w:szCs w:val="21"/>
                    </w:rPr>
                    <w:t>0.25kw</w:t>
                  </w:r>
                </w:p>
              </w:tc>
              <w:tc>
                <w:tcPr>
                  <w:tcW w:w="446" w:type="pct"/>
                  <w:noWrap w:val="0"/>
                  <w:vAlign w:val="center"/>
                </w:tcPr>
                <w:p>
                  <w:pPr>
                    <w:snapToGrid w:val="0"/>
                    <w:spacing w:line="20" w:lineRule="atLeast"/>
                    <w:jc w:val="center"/>
                    <w:rPr>
                      <w:color w:val="auto"/>
                      <w:szCs w:val="21"/>
                    </w:rPr>
                  </w:pPr>
                  <w:r>
                    <w:rPr>
                      <w:color w:val="auto"/>
                      <w:szCs w:val="21"/>
                    </w:rPr>
                    <w:t>2</w:t>
                  </w:r>
                </w:p>
              </w:tc>
              <w:tc>
                <w:tcPr>
                  <w:tcW w:w="1311" w:type="pct"/>
                  <w:noWrap w:val="0"/>
                  <w:vAlign w:val="center"/>
                </w:tcPr>
                <w:p>
                  <w:pPr>
                    <w:snapToGrid w:val="0"/>
                    <w:spacing w:line="20" w:lineRule="atLeast"/>
                    <w:jc w:val="center"/>
                    <w:rPr>
                      <w:color w:val="auto"/>
                      <w:szCs w:val="21"/>
                    </w:rPr>
                  </w:pPr>
                  <w:r>
                    <w:rPr>
                      <w:color w:val="auto"/>
                      <w:szCs w:val="21"/>
                    </w:rPr>
                    <w:t>欧力卧龙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冷料仓</w:t>
                  </w:r>
                </w:p>
              </w:tc>
              <w:tc>
                <w:tcPr>
                  <w:tcW w:w="1472" w:type="pct"/>
                  <w:noWrap w:val="0"/>
                  <w:vAlign w:val="center"/>
                </w:tcPr>
                <w:p>
                  <w:pPr>
                    <w:snapToGrid w:val="0"/>
                    <w:spacing w:line="20" w:lineRule="atLeast"/>
                    <w:jc w:val="center"/>
                    <w:rPr>
                      <w:color w:val="auto"/>
                      <w:szCs w:val="21"/>
                    </w:rPr>
                  </w:pPr>
                  <w:r>
                    <w:rPr>
                      <w:color w:val="auto"/>
                      <w:szCs w:val="21"/>
                    </w:rPr>
                    <w:t>16m³/仓</w:t>
                  </w:r>
                </w:p>
              </w:tc>
              <w:tc>
                <w:tcPr>
                  <w:tcW w:w="446" w:type="pct"/>
                  <w:noWrap w:val="0"/>
                  <w:vAlign w:val="center"/>
                </w:tcPr>
                <w:p>
                  <w:pPr>
                    <w:snapToGrid w:val="0"/>
                    <w:spacing w:line="20" w:lineRule="atLeast"/>
                    <w:jc w:val="center"/>
                    <w:rPr>
                      <w:color w:val="auto"/>
                      <w:szCs w:val="21"/>
                    </w:rPr>
                  </w:pPr>
                  <w:r>
                    <w:rPr>
                      <w:color w:val="auto"/>
                      <w:szCs w:val="21"/>
                    </w:rPr>
                    <w:t>2</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皮带给料减速电机</w:t>
                  </w:r>
                </w:p>
              </w:tc>
              <w:tc>
                <w:tcPr>
                  <w:tcW w:w="1472" w:type="pct"/>
                  <w:noWrap w:val="0"/>
                  <w:vAlign w:val="center"/>
                </w:tcPr>
                <w:p>
                  <w:pPr>
                    <w:snapToGrid w:val="0"/>
                    <w:spacing w:line="20" w:lineRule="atLeast"/>
                    <w:jc w:val="center"/>
                    <w:rPr>
                      <w:color w:val="auto"/>
                      <w:szCs w:val="21"/>
                    </w:rPr>
                  </w:pPr>
                  <w:r>
                    <w:rPr>
                      <w:color w:val="auto"/>
                      <w:szCs w:val="21"/>
                    </w:rPr>
                    <w:t>2.2kw/KA77DRE100M4</w:t>
                  </w:r>
                </w:p>
              </w:tc>
              <w:tc>
                <w:tcPr>
                  <w:tcW w:w="446" w:type="pct"/>
                  <w:noWrap w:val="0"/>
                  <w:vAlign w:val="center"/>
                </w:tcPr>
                <w:p>
                  <w:pPr>
                    <w:snapToGrid w:val="0"/>
                    <w:spacing w:line="20" w:lineRule="atLeast"/>
                    <w:jc w:val="center"/>
                    <w:rPr>
                      <w:color w:val="auto"/>
                      <w:szCs w:val="21"/>
                    </w:rPr>
                  </w:pPr>
                  <w:r>
                    <w:rPr>
                      <w:color w:val="auto"/>
                      <w:szCs w:val="21"/>
                    </w:rPr>
                    <w:t>2</w:t>
                  </w:r>
                </w:p>
              </w:tc>
              <w:tc>
                <w:tcPr>
                  <w:tcW w:w="1311" w:type="pct"/>
                  <w:noWrap w:val="0"/>
                  <w:vAlign w:val="center"/>
                </w:tcPr>
                <w:p>
                  <w:pPr>
                    <w:snapToGrid w:val="0"/>
                    <w:spacing w:line="20" w:lineRule="atLeast"/>
                    <w:jc w:val="center"/>
                    <w:rPr>
                      <w:color w:val="auto"/>
                      <w:szCs w:val="21"/>
                    </w:rPr>
                  </w:pPr>
                  <w:r>
                    <w:rPr>
                      <w:color w:val="auto"/>
                      <w:szCs w:val="21"/>
                    </w:rPr>
                    <w:t>德国SEW（诺德）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变频器</w:t>
                  </w:r>
                </w:p>
              </w:tc>
              <w:tc>
                <w:tcPr>
                  <w:tcW w:w="1472" w:type="pct"/>
                  <w:noWrap w:val="0"/>
                  <w:vAlign w:val="center"/>
                </w:tcPr>
                <w:p>
                  <w:pPr>
                    <w:snapToGrid w:val="0"/>
                    <w:spacing w:line="20" w:lineRule="atLeast"/>
                    <w:jc w:val="center"/>
                    <w:rPr>
                      <w:color w:val="auto"/>
                      <w:szCs w:val="21"/>
                    </w:rPr>
                  </w:pPr>
                  <w:r>
                    <w:rPr>
                      <w:color w:val="auto"/>
                      <w:szCs w:val="21"/>
                    </w:rPr>
                    <w:t>2.2kw</w:t>
                  </w:r>
                </w:p>
              </w:tc>
              <w:tc>
                <w:tcPr>
                  <w:tcW w:w="446" w:type="pct"/>
                  <w:noWrap w:val="0"/>
                  <w:vAlign w:val="center"/>
                </w:tcPr>
                <w:p>
                  <w:pPr>
                    <w:snapToGrid w:val="0"/>
                    <w:spacing w:line="20" w:lineRule="atLeast"/>
                    <w:jc w:val="center"/>
                    <w:rPr>
                      <w:color w:val="auto"/>
                      <w:szCs w:val="21"/>
                    </w:rPr>
                  </w:pPr>
                  <w:r>
                    <w:rPr>
                      <w:color w:val="auto"/>
                      <w:szCs w:val="21"/>
                    </w:rPr>
                    <w:t>2</w:t>
                  </w:r>
                </w:p>
              </w:tc>
              <w:tc>
                <w:tcPr>
                  <w:tcW w:w="1311" w:type="pct"/>
                  <w:noWrap w:val="0"/>
                  <w:vAlign w:val="center"/>
                </w:tcPr>
                <w:p>
                  <w:pPr>
                    <w:snapToGrid w:val="0"/>
                    <w:spacing w:line="20" w:lineRule="atLeast"/>
                    <w:jc w:val="center"/>
                    <w:rPr>
                      <w:color w:val="auto"/>
                      <w:szCs w:val="21"/>
                    </w:rPr>
                  </w:pPr>
                  <w:r>
                    <w:rPr>
                      <w:color w:val="auto"/>
                      <w:szCs w:val="21"/>
                    </w:rPr>
                    <w:t>日本尼得科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集料皮带减速电机</w:t>
                  </w:r>
                </w:p>
              </w:tc>
              <w:tc>
                <w:tcPr>
                  <w:tcW w:w="1472" w:type="pct"/>
                  <w:noWrap w:val="0"/>
                  <w:vAlign w:val="center"/>
                </w:tcPr>
                <w:p>
                  <w:pPr>
                    <w:snapToGrid w:val="0"/>
                    <w:spacing w:line="20" w:lineRule="atLeast"/>
                    <w:jc w:val="center"/>
                    <w:rPr>
                      <w:color w:val="auto"/>
                      <w:szCs w:val="21"/>
                    </w:rPr>
                  </w:pPr>
                  <w:r>
                    <w:rPr>
                      <w:color w:val="auto"/>
                      <w:szCs w:val="21"/>
                    </w:rPr>
                    <w:t>5.5kw/KA77DRE132MC4</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德国SEW（诺德）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集料皮带输送机</w:t>
                  </w:r>
                </w:p>
              </w:tc>
              <w:tc>
                <w:tcPr>
                  <w:tcW w:w="1472" w:type="pct"/>
                  <w:noWrap w:val="0"/>
                  <w:vAlign w:val="center"/>
                </w:tcPr>
                <w:p>
                  <w:pPr>
                    <w:snapToGrid w:val="0"/>
                    <w:spacing w:line="20" w:lineRule="atLeast"/>
                    <w:jc w:val="center"/>
                    <w:rPr>
                      <w:color w:val="auto"/>
                      <w:szCs w:val="21"/>
                    </w:rPr>
                  </w:pPr>
                  <w:r>
                    <w:rPr>
                      <w:color w:val="auto"/>
                      <w:szCs w:val="21"/>
                    </w:rPr>
                    <w:t>B=700mm</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斜皮带减速电机</w:t>
                  </w:r>
                </w:p>
              </w:tc>
              <w:tc>
                <w:tcPr>
                  <w:tcW w:w="1472" w:type="pct"/>
                  <w:noWrap w:val="0"/>
                  <w:vAlign w:val="center"/>
                </w:tcPr>
                <w:p>
                  <w:pPr>
                    <w:snapToGrid w:val="0"/>
                    <w:spacing w:line="20" w:lineRule="atLeast"/>
                    <w:jc w:val="center"/>
                    <w:rPr>
                      <w:color w:val="auto"/>
                      <w:szCs w:val="21"/>
                    </w:rPr>
                  </w:pPr>
                  <w:r>
                    <w:rPr>
                      <w:color w:val="auto"/>
                      <w:szCs w:val="21"/>
                    </w:rPr>
                    <w:t>5.5kw/R87DRE132MC4</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德国SEW（诺德）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斜皮带输送机</w:t>
                  </w:r>
                </w:p>
              </w:tc>
              <w:tc>
                <w:tcPr>
                  <w:tcW w:w="1472" w:type="pct"/>
                  <w:noWrap w:val="0"/>
                  <w:vAlign w:val="center"/>
                </w:tcPr>
                <w:p>
                  <w:pPr>
                    <w:snapToGrid w:val="0"/>
                    <w:spacing w:line="20" w:lineRule="atLeast"/>
                    <w:jc w:val="center"/>
                    <w:rPr>
                      <w:color w:val="auto"/>
                      <w:szCs w:val="21"/>
                    </w:rPr>
                  </w:pPr>
                  <w:r>
                    <w:rPr>
                      <w:color w:val="auto"/>
                      <w:szCs w:val="21"/>
                    </w:rPr>
                    <w:t>B=700mm</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restart"/>
                  <w:noWrap w:val="0"/>
                  <w:vAlign w:val="center"/>
                </w:tcPr>
                <w:p>
                  <w:pPr>
                    <w:snapToGrid w:val="0"/>
                    <w:spacing w:line="20" w:lineRule="atLeast"/>
                    <w:jc w:val="center"/>
                    <w:rPr>
                      <w:color w:val="auto"/>
                      <w:szCs w:val="21"/>
                    </w:rPr>
                  </w:pPr>
                  <w:r>
                    <w:rPr>
                      <w:color w:val="auto"/>
                      <w:szCs w:val="21"/>
                    </w:rPr>
                    <w:t>再生料热料提升机</w:t>
                  </w:r>
                </w:p>
              </w:tc>
              <w:tc>
                <w:tcPr>
                  <w:tcW w:w="1330" w:type="pct"/>
                  <w:noWrap w:val="0"/>
                  <w:vAlign w:val="center"/>
                </w:tcPr>
                <w:p>
                  <w:pPr>
                    <w:snapToGrid w:val="0"/>
                    <w:spacing w:line="20" w:lineRule="atLeast"/>
                    <w:jc w:val="center"/>
                    <w:rPr>
                      <w:color w:val="auto"/>
                      <w:szCs w:val="21"/>
                    </w:rPr>
                  </w:pPr>
                  <w:r>
                    <w:rPr>
                      <w:color w:val="auto"/>
                      <w:szCs w:val="21"/>
                    </w:rPr>
                    <w:t>热骨料提升机</w:t>
                  </w:r>
                </w:p>
              </w:tc>
              <w:tc>
                <w:tcPr>
                  <w:tcW w:w="1472" w:type="pct"/>
                  <w:noWrap w:val="0"/>
                  <w:vAlign w:val="center"/>
                </w:tcPr>
                <w:p>
                  <w:pPr>
                    <w:snapToGrid w:val="0"/>
                    <w:spacing w:line="20" w:lineRule="atLeast"/>
                    <w:jc w:val="center"/>
                    <w:rPr>
                      <w:color w:val="auto"/>
                      <w:szCs w:val="21"/>
                    </w:rPr>
                  </w:pPr>
                  <w:r>
                    <w:rPr>
                      <w:color w:val="auto"/>
                      <w:szCs w:val="21"/>
                    </w:rPr>
                    <w:t>180t/h</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减速电机</w:t>
                  </w:r>
                </w:p>
              </w:tc>
              <w:tc>
                <w:tcPr>
                  <w:tcW w:w="1472" w:type="pct"/>
                  <w:noWrap w:val="0"/>
                  <w:vAlign w:val="center"/>
                </w:tcPr>
                <w:p>
                  <w:pPr>
                    <w:snapToGrid w:val="0"/>
                    <w:spacing w:line="20" w:lineRule="atLeast"/>
                    <w:jc w:val="center"/>
                    <w:rPr>
                      <w:color w:val="auto"/>
                      <w:szCs w:val="21"/>
                    </w:rPr>
                  </w:pPr>
                  <w:r>
                    <w:rPr>
                      <w:color w:val="auto"/>
                      <w:szCs w:val="21"/>
                    </w:rPr>
                    <w:t>22kW</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德国SEW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restart"/>
                  <w:noWrap w:val="0"/>
                  <w:vAlign w:val="center"/>
                </w:tcPr>
                <w:p>
                  <w:pPr>
                    <w:snapToGrid w:val="0"/>
                    <w:spacing w:line="20" w:lineRule="atLeast"/>
                    <w:jc w:val="center"/>
                    <w:rPr>
                      <w:color w:val="auto"/>
                      <w:szCs w:val="21"/>
                    </w:rPr>
                  </w:pPr>
                  <w:r>
                    <w:rPr>
                      <w:color w:val="auto"/>
                      <w:szCs w:val="21"/>
                    </w:rPr>
                    <w:t>再生料烘干系统</w:t>
                  </w:r>
                </w:p>
              </w:tc>
              <w:tc>
                <w:tcPr>
                  <w:tcW w:w="1330" w:type="pct"/>
                  <w:noWrap w:val="0"/>
                  <w:vAlign w:val="center"/>
                </w:tcPr>
                <w:p>
                  <w:pPr>
                    <w:snapToGrid w:val="0"/>
                    <w:spacing w:line="20" w:lineRule="atLeast"/>
                    <w:jc w:val="center"/>
                    <w:rPr>
                      <w:color w:val="auto"/>
                      <w:szCs w:val="21"/>
                    </w:rPr>
                  </w:pPr>
                  <w:r>
                    <w:rPr>
                      <w:color w:val="auto"/>
                      <w:szCs w:val="21"/>
                    </w:rPr>
                    <w:t>再生料干燥滚筒</w:t>
                  </w:r>
                </w:p>
              </w:tc>
              <w:tc>
                <w:tcPr>
                  <w:tcW w:w="1472" w:type="pct"/>
                  <w:noWrap w:val="0"/>
                  <w:vAlign w:val="center"/>
                </w:tcPr>
                <w:p>
                  <w:pPr>
                    <w:snapToGrid w:val="0"/>
                    <w:spacing w:line="20" w:lineRule="atLeast"/>
                    <w:jc w:val="center"/>
                    <w:rPr>
                      <w:color w:val="auto"/>
                      <w:szCs w:val="21"/>
                    </w:rPr>
                  </w:pPr>
                  <w:r>
                    <w:rPr>
                      <w:color w:val="auto"/>
                      <w:szCs w:val="21"/>
                    </w:rPr>
                    <w:t>Φ2.5 m×12.0m</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减速电机</w:t>
                  </w:r>
                </w:p>
              </w:tc>
              <w:tc>
                <w:tcPr>
                  <w:tcW w:w="1472" w:type="pct"/>
                  <w:noWrap w:val="0"/>
                  <w:vAlign w:val="center"/>
                </w:tcPr>
                <w:p>
                  <w:pPr>
                    <w:snapToGrid w:val="0"/>
                    <w:spacing w:line="20" w:lineRule="atLeast"/>
                    <w:jc w:val="center"/>
                    <w:rPr>
                      <w:color w:val="auto"/>
                      <w:szCs w:val="21"/>
                    </w:rPr>
                  </w:pPr>
                  <w:r>
                    <w:rPr>
                      <w:color w:val="auto"/>
                      <w:szCs w:val="21"/>
                    </w:rPr>
                    <w:t>22kw/FA107DRE180LC4</w:t>
                  </w:r>
                </w:p>
              </w:tc>
              <w:tc>
                <w:tcPr>
                  <w:tcW w:w="446" w:type="pct"/>
                  <w:noWrap w:val="0"/>
                  <w:vAlign w:val="center"/>
                </w:tcPr>
                <w:p>
                  <w:pPr>
                    <w:snapToGrid w:val="0"/>
                    <w:spacing w:line="20" w:lineRule="atLeast"/>
                    <w:jc w:val="center"/>
                    <w:rPr>
                      <w:color w:val="auto"/>
                      <w:szCs w:val="21"/>
                    </w:rPr>
                  </w:pPr>
                  <w:r>
                    <w:rPr>
                      <w:color w:val="auto"/>
                      <w:szCs w:val="21"/>
                    </w:rPr>
                    <w:t>4</w:t>
                  </w:r>
                </w:p>
              </w:tc>
              <w:tc>
                <w:tcPr>
                  <w:tcW w:w="1311" w:type="pct"/>
                  <w:noWrap w:val="0"/>
                  <w:vAlign w:val="center"/>
                </w:tcPr>
                <w:p>
                  <w:pPr>
                    <w:snapToGrid w:val="0"/>
                    <w:spacing w:line="20" w:lineRule="atLeast"/>
                    <w:jc w:val="center"/>
                    <w:rPr>
                      <w:color w:val="auto"/>
                      <w:szCs w:val="21"/>
                    </w:rPr>
                  </w:pPr>
                  <w:r>
                    <w:rPr>
                      <w:color w:val="auto"/>
                      <w:szCs w:val="21"/>
                    </w:rPr>
                    <w:t>德国SEW（诺德）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 xml:space="preserve">油气两用燃烧器  </w:t>
                  </w:r>
                </w:p>
              </w:tc>
              <w:tc>
                <w:tcPr>
                  <w:tcW w:w="1472" w:type="pct"/>
                  <w:noWrap w:val="0"/>
                  <w:vAlign w:val="center"/>
                </w:tcPr>
                <w:p>
                  <w:pPr>
                    <w:snapToGrid w:val="0"/>
                    <w:spacing w:line="20" w:lineRule="atLeast"/>
                    <w:jc w:val="center"/>
                    <w:rPr>
                      <w:color w:val="auto"/>
                      <w:szCs w:val="21"/>
                    </w:rPr>
                  </w:pPr>
                  <w:r>
                    <w:rPr>
                      <w:color w:val="auto"/>
                      <w:szCs w:val="21"/>
                    </w:rPr>
                    <w:t>欧宝EBS1200型　</w:t>
                  </w:r>
                </w:p>
              </w:tc>
              <w:tc>
                <w:tcPr>
                  <w:tcW w:w="446" w:type="pct"/>
                  <w:noWrap w:val="0"/>
                  <w:vAlign w:val="center"/>
                </w:tcPr>
                <w:p>
                  <w:pPr>
                    <w:snapToGrid w:val="0"/>
                    <w:spacing w:line="20" w:lineRule="atLeast"/>
                    <w:jc w:val="center"/>
                    <w:rPr>
                      <w:color w:val="auto"/>
                      <w:szCs w:val="21"/>
                    </w:rPr>
                  </w:pPr>
                  <w:r>
                    <w:rPr>
                      <w:color w:val="auto"/>
                      <w:szCs w:val="21"/>
                    </w:rPr>
                    <w:t>1</w:t>
                  </w:r>
                </w:p>
              </w:tc>
              <w:tc>
                <w:tcPr>
                  <w:tcW w:w="1311" w:type="pct"/>
                  <w:noWrap w:val="0"/>
                  <w:vAlign w:val="center"/>
                </w:tcPr>
                <w:p>
                  <w:pPr>
                    <w:snapToGrid w:val="0"/>
                    <w:spacing w:line="20" w:lineRule="atLeast"/>
                    <w:jc w:val="center"/>
                    <w:rPr>
                      <w:rFonts w:hint="default" w:eastAsia="宋体"/>
                      <w:color w:val="auto"/>
                      <w:szCs w:val="21"/>
                      <w:lang w:val="en-US" w:eastAsia="zh-CN"/>
                    </w:rPr>
                  </w:pPr>
                  <w:r>
                    <w:rPr>
                      <w:color w:val="auto"/>
                      <w:szCs w:val="21"/>
                    </w:rPr>
                    <w:t>欧宝</w:t>
                  </w:r>
                  <w:r>
                    <w:rPr>
                      <w:rStyle w:val="11"/>
                      <w:rFonts w:hint="eastAsia"/>
                      <w:color w:val="auto"/>
                      <w:lang w:eastAsia="zh-CN"/>
                    </w:rPr>
                    <w:t>，</w:t>
                  </w:r>
                  <w:r>
                    <w:rPr>
                      <w:rStyle w:val="11"/>
                      <w:rFonts w:hint="eastAsia"/>
                      <w:color w:val="auto"/>
                      <w:lang w:val="en-US" w:eastAsia="zh-CN"/>
                    </w:rPr>
                    <w:t>拟用重油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restart"/>
                  <w:noWrap w:val="0"/>
                  <w:vAlign w:val="center"/>
                </w:tcPr>
                <w:p>
                  <w:pPr>
                    <w:snapToGrid w:val="0"/>
                    <w:spacing w:line="20" w:lineRule="atLeast"/>
                    <w:jc w:val="center"/>
                    <w:rPr>
                      <w:color w:val="auto"/>
                      <w:szCs w:val="21"/>
                    </w:rPr>
                  </w:pPr>
                  <w:r>
                    <w:rPr>
                      <w:color w:val="auto"/>
                      <w:szCs w:val="21"/>
                    </w:rPr>
                    <w:t>再生料储存计量系统</w:t>
                  </w:r>
                </w:p>
              </w:tc>
              <w:tc>
                <w:tcPr>
                  <w:tcW w:w="1330" w:type="pct"/>
                  <w:noWrap w:val="0"/>
                  <w:vAlign w:val="center"/>
                </w:tcPr>
                <w:p>
                  <w:pPr>
                    <w:snapToGrid w:val="0"/>
                    <w:spacing w:line="20" w:lineRule="atLeast"/>
                    <w:jc w:val="center"/>
                    <w:rPr>
                      <w:color w:val="auto"/>
                      <w:szCs w:val="21"/>
                    </w:rPr>
                  </w:pPr>
                  <w:r>
                    <w:rPr>
                      <w:color w:val="auto"/>
                      <w:szCs w:val="21"/>
                    </w:rPr>
                    <w:t>再生料储存仓</w:t>
                  </w:r>
                </w:p>
              </w:tc>
              <w:tc>
                <w:tcPr>
                  <w:tcW w:w="1472" w:type="pct"/>
                  <w:noWrap w:val="0"/>
                  <w:vAlign w:val="center"/>
                </w:tcPr>
                <w:p>
                  <w:pPr>
                    <w:snapToGrid w:val="0"/>
                    <w:spacing w:line="20" w:lineRule="atLeast"/>
                    <w:jc w:val="center"/>
                    <w:rPr>
                      <w:color w:val="auto"/>
                      <w:szCs w:val="21"/>
                    </w:rPr>
                  </w:pPr>
                  <w:r>
                    <w:rPr>
                      <w:color w:val="auto"/>
                      <w:szCs w:val="21"/>
                    </w:rPr>
                    <w:t>容量：9立方米</w:t>
                  </w:r>
                </w:p>
              </w:tc>
              <w:tc>
                <w:tcPr>
                  <w:tcW w:w="446" w:type="pct"/>
                  <w:noWrap w:val="0"/>
                  <w:vAlign w:val="center"/>
                </w:tcPr>
                <w:p>
                  <w:pPr>
                    <w:snapToGrid w:val="0"/>
                    <w:spacing w:line="20" w:lineRule="atLeast"/>
                    <w:jc w:val="center"/>
                    <w:rPr>
                      <w:color w:val="auto"/>
                      <w:szCs w:val="21"/>
                    </w:rPr>
                  </w:pPr>
                  <w:r>
                    <w:rPr>
                      <w:color w:val="auto"/>
                      <w:szCs w:val="21"/>
                    </w:rPr>
                    <w:t>1套</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再生料计量仓</w:t>
                  </w:r>
                </w:p>
              </w:tc>
              <w:tc>
                <w:tcPr>
                  <w:tcW w:w="1472" w:type="pct"/>
                  <w:noWrap w:val="0"/>
                  <w:vAlign w:val="center"/>
                </w:tcPr>
                <w:p>
                  <w:pPr>
                    <w:snapToGrid w:val="0"/>
                    <w:spacing w:line="20" w:lineRule="atLeast"/>
                    <w:jc w:val="center"/>
                    <w:rPr>
                      <w:color w:val="auto"/>
                      <w:szCs w:val="21"/>
                    </w:rPr>
                  </w:pPr>
                  <w:r>
                    <w:rPr>
                      <w:color w:val="auto"/>
                      <w:szCs w:val="21"/>
                    </w:rPr>
                    <w:t>容量：2T</w:t>
                  </w:r>
                </w:p>
              </w:tc>
              <w:tc>
                <w:tcPr>
                  <w:tcW w:w="446" w:type="pct"/>
                  <w:noWrap w:val="0"/>
                  <w:vAlign w:val="center"/>
                </w:tcPr>
                <w:p>
                  <w:pPr>
                    <w:snapToGrid w:val="0"/>
                    <w:spacing w:line="20" w:lineRule="atLeast"/>
                    <w:jc w:val="center"/>
                    <w:rPr>
                      <w:color w:val="auto"/>
                      <w:szCs w:val="21"/>
                    </w:rPr>
                  </w:pPr>
                  <w:r>
                    <w:rPr>
                      <w:color w:val="auto"/>
                      <w:szCs w:val="21"/>
                    </w:rPr>
                    <w:t>1套</w:t>
                  </w:r>
                </w:p>
              </w:tc>
              <w:tc>
                <w:tcPr>
                  <w:tcW w:w="1311" w:type="pct"/>
                  <w:noWrap w:val="0"/>
                  <w:vAlign w:val="center"/>
                </w:tcPr>
                <w:p>
                  <w:pPr>
                    <w:snapToGrid w:val="0"/>
                    <w:spacing w:line="20" w:lineRule="atLeast"/>
                    <w:jc w:val="center"/>
                    <w:rPr>
                      <w:color w:val="auto"/>
                      <w:szCs w:val="21"/>
                    </w:rPr>
                  </w:pPr>
                  <w:r>
                    <w:rPr>
                      <w:color w:val="auto"/>
                      <w:szCs w:val="21"/>
                    </w:rPr>
                    <w:t>辽筑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38" w:type="pct"/>
                  <w:vMerge w:val="continue"/>
                  <w:noWrap w:val="0"/>
                  <w:vAlign w:val="center"/>
                </w:tcPr>
                <w:p>
                  <w:pPr>
                    <w:snapToGrid w:val="0"/>
                    <w:spacing w:line="20" w:lineRule="atLeast"/>
                    <w:jc w:val="center"/>
                    <w:rPr>
                      <w:color w:val="auto"/>
                      <w:szCs w:val="21"/>
                    </w:rPr>
                  </w:pPr>
                </w:p>
              </w:tc>
              <w:tc>
                <w:tcPr>
                  <w:tcW w:w="1330" w:type="pct"/>
                  <w:noWrap w:val="0"/>
                  <w:vAlign w:val="center"/>
                </w:tcPr>
                <w:p>
                  <w:pPr>
                    <w:snapToGrid w:val="0"/>
                    <w:spacing w:line="20" w:lineRule="atLeast"/>
                    <w:jc w:val="center"/>
                    <w:rPr>
                      <w:color w:val="auto"/>
                      <w:szCs w:val="21"/>
                    </w:rPr>
                  </w:pPr>
                  <w:r>
                    <w:rPr>
                      <w:color w:val="auto"/>
                      <w:szCs w:val="21"/>
                    </w:rPr>
                    <w:t>再生料溜槽</w:t>
                  </w:r>
                </w:p>
              </w:tc>
              <w:tc>
                <w:tcPr>
                  <w:tcW w:w="1472" w:type="pct"/>
                  <w:noWrap w:val="0"/>
                  <w:vAlign w:val="center"/>
                </w:tcPr>
                <w:p>
                  <w:pPr>
                    <w:snapToGrid w:val="0"/>
                    <w:spacing w:line="20" w:lineRule="atLeast"/>
                    <w:jc w:val="center"/>
                    <w:rPr>
                      <w:color w:val="auto"/>
                      <w:szCs w:val="21"/>
                    </w:rPr>
                  </w:pPr>
                </w:p>
              </w:tc>
              <w:tc>
                <w:tcPr>
                  <w:tcW w:w="446" w:type="pct"/>
                  <w:noWrap w:val="0"/>
                  <w:vAlign w:val="center"/>
                </w:tcPr>
                <w:p>
                  <w:pPr>
                    <w:snapToGrid w:val="0"/>
                    <w:spacing w:line="20" w:lineRule="atLeast"/>
                    <w:jc w:val="center"/>
                    <w:rPr>
                      <w:color w:val="auto"/>
                      <w:szCs w:val="21"/>
                    </w:rPr>
                  </w:pPr>
                  <w:r>
                    <w:rPr>
                      <w:color w:val="auto"/>
                      <w:szCs w:val="21"/>
                    </w:rPr>
                    <w:t>1套</w:t>
                  </w:r>
                </w:p>
              </w:tc>
              <w:tc>
                <w:tcPr>
                  <w:tcW w:w="1311" w:type="pct"/>
                  <w:noWrap w:val="0"/>
                  <w:vAlign w:val="center"/>
                </w:tcPr>
                <w:p>
                  <w:pPr>
                    <w:snapToGrid w:val="0"/>
                    <w:spacing w:line="20" w:lineRule="atLeast"/>
                    <w:jc w:val="center"/>
                    <w:rPr>
                      <w:color w:val="auto"/>
                      <w:szCs w:val="21"/>
                    </w:rPr>
                  </w:pPr>
                  <w:r>
                    <w:rPr>
                      <w:color w:val="auto"/>
                      <w:szCs w:val="21"/>
                    </w:rPr>
                    <w:t>辽筑</w:t>
                  </w:r>
                </w:p>
              </w:tc>
            </w:tr>
          </w:tbl>
          <w:p>
            <w:pPr>
              <w:autoSpaceDE w:val="0"/>
              <w:autoSpaceDN w:val="0"/>
              <w:adjustRightInd w:val="0"/>
              <w:snapToGrid w:val="0"/>
              <w:spacing w:line="360" w:lineRule="auto"/>
              <w:ind w:firstLine="482" w:firstLineChars="200"/>
              <w:rPr>
                <w:b/>
                <w:bCs/>
                <w:color w:val="auto"/>
                <w:kern w:val="0"/>
                <w:sz w:val="24"/>
              </w:rPr>
            </w:pPr>
          </w:p>
          <w:p>
            <w:pPr>
              <w:autoSpaceDE w:val="0"/>
              <w:autoSpaceDN w:val="0"/>
              <w:adjustRightInd w:val="0"/>
              <w:snapToGrid w:val="0"/>
              <w:spacing w:line="360" w:lineRule="auto"/>
              <w:ind w:firstLine="482" w:firstLineChars="200"/>
              <w:rPr>
                <w:b/>
                <w:bCs/>
                <w:color w:val="auto"/>
                <w:kern w:val="0"/>
                <w:sz w:val="24"/>
              </w:rPr>
            </w:pPr>
            <w:r>
              <w:rPr>
                <w:b/>
                <w:bCs/>
                <w:color w:val="auto"/>
                <w:kern w:val="0"/>
                <w:sz w:val="24"/>
              </w:rPr>
              <w:t>（四）主要原辅材料及消耗量</w:t>
            </w:r>
          </w:p>
          <w:p>
            <w:pPr>
              <w:autoSpaceDE w:val="0"/>
              <w:autoSpaceDN w:val="0"/>
              <w:adjustRightInd w:val="0"/>
              <w:snapToGrid w:val="0"/>
              <w:ind w:firstLine="482" w:firstLineChars="200"/>
              <w:jc w:val="center"/>
              <w:rPr>
                <w:b/>
                <w:bCs/>
                <w:color w:val="auto"/>
                <w:kern w:val="0"/>
                <w:sz w:val="24"/>
              </w:rPr>
            </w:pPr>
            <w:r>
              <w:rPr>
                <w:b/>
                <w:bCs/>
                <w:color w:val="auto"/>
                <w:kern w:val="0"/>
                <w:sz w:val="24"/>
              </w:rPr>
              <w:t>表2-4  项目主要原辅材料及消耗量</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929"/>
              <w:gridCol w:w="837"/>
              <w:gridCol w:w="1335"/>
              <w:gridCol w:w="1430"/>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24" w:type="pct"/>
                  <w:noWrap w:val="0"/>
                  <w:vAlign w:val="center"/>
                </w:tcPr>
                <w:p>
                  <w:pPr>
                    <w:adjustRightInd w:val="0"/>
                    <w:snapToGrid w:val="0"/>
                    <w:jc w:val="center"/>
                    <w:textAlignment w:val="baseline"/>
                    <w:rPr>
                      <w:b/>
                      <w:color w:val="auto"/>
                      <w:szCs w:val="21"/>
                    </w:rPr>
                  </w:pPr>
                  <w:r>
                    <w:rPr>
                      <w:b/>
                      <w:color w:val="auto"/>
                      <w:szCs w:val="21"/>
                    </w:rPr>
                    <w:t>序号</w:t>
                  </w:r>
                </w:p>
              </w:tc>
              <w:tc>
                <w:tcPr>
                  <w:tcW w:w="1579" w:type="pct"/>
                  <w:noWrap w:val="0"/>
                  <w:vAlign w:val="center"/>
                </w:tcPr>
                <w:p>
                  <w:pPr>
                    <w:adjustRightInd w:val="0"/>
                    <w:snapToGrid w:val="0"/>
                    <w:jc w:val="center"/>
                    <w:textAlignment w:val="baseline"/>
                    <w:rPr>
                      <w:b/>
                      <w:color w:val="auto"/>
                      <w:szCs w:val="21"/>
                    </w:rPr>
                  </w:pPr>
                  <w:r>
                    <w:rPr>
                      <w:b/>
                      <w:color w:val="auto"/>
                      <w:szCs w:val="21"/>
                    </w:rPr>
                    <w:t>名称</w:t>
                  </w:r>
                </w:p>
              </w:tc>
              <w:tc>
                <w:tcPr>
                  <w:tcW w:w="451" w:type="pct"/>
                  <w:noWrap w:val="0"/>
                  <w:vAlign w:val="center"/>
                </w:tcPr>
                <w:p>
                  <w:pPr>
                    <w:adjustRightInd w:val="0"/>
                    <w:snapToGrid w:val="0"/>
                    <w:jc w:val="center"/>
                    <w:textAlignment w:val="baseline"/>
                    <w:rPr>
                      <w:b/>
                      <w:color w:val="auto"/>
                      <w:szCs w:val="21"/>
                    </w:rPr>
                  </w:pPr>
                  <w:r>
                    <w:rPr>
                      <w:b/>
                      <w:color w:val="auto"/>
                      <w:szCs w:val="21"/>
                    </w:rPr>
                    <w:t>单位</w:t>
                  </w:r>
                </w:p>
              </w:tc>
              <w:tc>
                <w:tcPr>
                  <w:tcW w:w="720" w:type="pct"/>
                  <w:noWrap w:val="0"/>
                  <w:vAlign w:val="center"/>
                </w:tcPr>
                <w:p>
                  <w:pPr>
                    <w:adjustRightInd w:val="0"/>
                    <w:snapToGrid w:val="0"/>
                    <w:jc w:val="center"/>
                    <w:textAlignment w:val="baseline"/>
                    <w:rPr>
                      <w:b/>
                      <w:color w:val="auto"/>
                      <w:szCs w:val="21"/>
                    </w:rPr>
                  </w:pPr>
                  <w:r>
                    <w:rPr>
                      <w:b/>
                      <w:color w:val="auto"/>
                      <w:szCs w:val="21"/>
                    </w:rPr>
                    <w:t>年耗用量</w:t>
                  </w:r>
                </w:p>
              </w:tc>
              <w:tc>
                <w:tcPr>
                  <w:tcW w:w="771" w:type="pct"/>
                  <w:noWrap w:val="0"/>
                  <w:vAlign w:val="center"/>
                </w:tcPr>
                <w:p>
                  <w:pPr>
                    <w:adjustRightInd w:val="0"/>
                    <w:snapToGrid w:val="0"/>
                    <w:jc w:val="center"/>
                    <w:textAlignment w:val="baseline"/>
                    <w:rPr>
                      <w:b/>
                      <w:color w:val="auto"/>
                      <w:szCs w:val="21"/>
                    </w:rPr>
                  </w:pPr>
                  <w:r>
                    <w:rPr>
                      <w:b/>
                      <w:color w:val="auto"/>
                      <w:szCs w:val="21"/>
                    </w:rPr>
                    <w:t>规格粒径</w:t>
                  </w:r>
                </w:p>
              </w:tc>
              <w:tc>
                <w:tcPr>
                  <w:tcW w:w="1052" w:type="pct"/>
                  <w:noWrap w:val="0"/>
                  <w:vAlign w:val="center"/>
                </w:tcPr>
                <w:p>
                  <w:pPr>
                    <w:adjustRightInd w:val="0"/>
                    <w:snapToGrid w:val="0"/>
                    <w:jc w:val="center"/>
                    <w:textAlignment w:val="baseline"/>
                    <w:rPr>
                      <w:b/>
                      <w:color w:val="auto"/>
                      <w:szCs w:val="21"/>
                    </w:rPr>
                  </w:pPr>
                  <w:r>
                    <w:rPr>
                      <w:b/>
                      <w:color w:val="auto"/>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24" w:type="pct"/>
                  <w:noWrap w:val="0"/>
                  <w:vAlign w:val="center"/>
                </w:tcPr>
                <w:p>
                  <w:pPr>
                    <w:adjustRightInd w:val="0"/>
                    <w:snapToGrid w:val="0"/>
                    <w:jc w:val="center"/>
                    <w:textAlignment w:val="baseline"/>
                    <w:rPr>
                      <w:color w:val="auto"/>
                      <w:szCs w:val="21"/>
                    </w:rPr>
                  </w:pPr>
                  <w:r>
                    <w:rPr>
                      <w:color w:val="auto"/>
                      <w:szCs w:val="21"/>
                    </w:rPr>
                    <w:t>1</w:t>
                  </w:r>
                </w:p>
              </w:tc>
              <w:tc>
                <w:tcPr>
                  <w:tcW w:w="1579" w:type="pct"/>
                  <w:noWrap w:val="0"/>
                  <w:vAlign w:val="center"/>
                </w:tcPr>
                <w:p>
                  <w:pPr>
                    <w:adjustRightInd w:val="0"/>
                    <w:snapToGrid w:val="0"/>
                    <w:jc w:val="center"/>
                    <w:textAlignment w:val="baseline"/>
                    <w:rPr>
                      <w:color w:val="auto"/>
                      <w:szCs w:val="21"/>
                    </w:rPr>
                  </w:pPr>
                  <w:r>
                    <w:rPr>
                      <w:color w:val="auto"/>
                      <w:szCs w:val="21"/>
                    </w:rPr>
                    <w:t>碎石</w:t>
                  </w:r>
                </w:p>
              </w:tc>
              <w:tc>
                <w:tcPr>
                  <w:tcW w:w="451" w:type="pct"/>
                  <w:noWrap w:val="0"/>
                  <w:vAlign w:val="center"/>
                </w:tcPr>
                <w:p>
                  <w:pPr>
                    <w:adjustRightInd w:val="0"/>
                    <w:snapToGrid w:val="0"/>
                    <w:jc w:val="center"/>
                    <w:rPr>
                      <w:color w:val="auto"/>
                    </w:rPr>
                  </w:pPr>
                  <w:r>
                    <w:rPr>
                      <w:color w:val="auto"/>
                    </w:rPr>
                    <w:t>吨</w:t>
                  </w:r>
                </w:p>
              </w:tc>
              <w:tc>
                <w:tcPr>
                  <w:tcW w:w="720" w:type="pct"/>
                  <w:noWrap w:val="0"/>
                  <w:vAlign w:val="center"/>
                </w:tcPr>
                <w:p>
                  <w:pPr>
                    <w:widowControl/>
                    <w:adjustRightInd w:val="0"/>
                    <w:snapToGrid w:val="0"/>
                    <w:jc w:val="center"/>
                    <w:textAlignment w:val="baseline"/>
                    <w:rPr>
                      <w:color w:val="auto"/>
                      <w:szCs w:val="21"/>
                    </w:rPr>
                  </w:pPr>
                  <w:r>
                    <w:rPr>
                      <w:color w:val="auto"/>
                      <w:szCs w:val="21"/>
                    </w:rPr>
                    <w:t>5000</w:t>
                  </w:r>
                </w:p>
              </w:tc>
              <w:tc>
                <w:tcPr>
                  <w:tcW w:w="771" w:type="pct"/>
                  <w:noWrap w:val="0"/>
                  <w:vAlign w:val="center"/>
                </w:tcPr>
                <w:p>
                  <w:pPr>
                    <w:widowControl/>
                    <w:adjustRightInd w:val="0"/>
                    <w:snapToGrid w:val="0"/>
                    <w:jc w:val="center"/>
                    <w:textAlignment w:val="baseline"/>
                    <w:rPr>
                      <w:color w:val="auto"/>
                      <w:szCs w:val="21"/>
                    </w:rPr>
                  </w:pPr>
                  <w:r>
                    <w:rPr>
                      <w:color w:val="auto"/>
                      <w:szCs w:val="21"/>
                    </w:rPr>
                    <w:t>1-3</w:t>
                  </w:r>
                </w:p>
              </w:tc>
              <w:tc>
                <w:tcPr>
                  <w:tcW w:w="1052" w:type="pct"/>
                  <w:noWrap w:val="0"/>
                  <w:vAlign w:val="center"/>
                </w:tcPr>
                <w:p>
                  <w:pPr>
                    <w:adjustRightInd w:val="0"/>
                    <w:snapToGrid w:val="0"/>
                    <w:jc w:val="center"/>
                    <w:textAlignment w:val="baseline"/>
                    <w:rPr>
                      <w:color w:val="auto"/>
                      <w:szCs w:val="21"/>
                    </w:rPr>
                  </w:pPr>
                  <w:r>
                    <w:rPr>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24" w:type="pct"/>
                  <w:noWrap w:val="0"/>
                  <w:vAlign w:val="center"/>
                </w:tcPr>
                <w:p>
                  <w:pPr>
                    <w:adjustRightInd w:val="0"/>
                    <w:snapToGrid w:val="0"/>
                    <w:jc w:val="center"/>
                    <w:textAlignment w:val="baseline"/>
                    <w:rPr>
                      <w:color w:val="auto"/>
                      <w:szCs w:val="21"/>
                    </w:rPr>
                  </w:pPr>
                  <w:r>
                    <w:rPr>
                      <w:color w:val="auto"/>
                      <w:szCs w:val="21"/>
                    </w:rPr>
                    <w:t>2</w:t>
                  </w:r>
                </w:p>
              </w:tc>
              <w:tc>
                <w:tcPr>
                  <w:tcW w:w="1579" w:type="pct"/>
                  <w:noWrap w:val="0"/>
                  <w:vAlign w:val="center"/>
                </w:tcPr>
                <w:p>
                  <w:pPr>
                    <w:adjustRightInd w:val="0"/>
                    <w:snapToGrid w:val="0"/>
                    <w:jc w:val="center"/>
                    <w:textAlignment w:val="baseline"/>
                    <w:rPr>
                      <w:color w:val="auto"/>
                      <w:szCs w:val="21"/>
                    </w:rPr>
                  </w:pPr>
                  <w:r>
                    <w:rPr>
                      <w:color w:val="auto"/>
                      <w:szCs w:val="21"/>
                    </w:rPr>
                    <w:t>碎石</w:t>
                  </w:r>
                </w:p>
              </w:tc>
              <w:tc>
                <w:tcPr>
                  <w:tcW w:w="451" w:type="pct"/>
                  <w:noWrap w:val="0"/>
                  <w:vAlign w:val="center"/>
                </w:tcPr>
                <w:p>
                  <w:pPr>
                    <w:adjustRightInd w:val="0"/>
                    <w:snapToGrid w:val="0"/>
                    <w:jc w:val="center"/>
                    <w:rPr>
                      <w:color w:val="auto"/>
                    </w:rPr>
                  </w:pPr>
                  <w:r>
                    <w:rPr>
                      <w:color w:val="auto"/>
                    </w:rPr>
                    <w:t>吨</w:t>
                  </w:r>
                </w:p>
              </w:tc>
              <w:tc>
                <w:tcPr>
                  <w:tcW w:w="720" w:type="pct"/>
                  <w:noWrap w:val="0"/>
                  <w:vAlign w:val="center"/>
                </w:tcPr>
                <w:p>
                  <w:pPr>
                    <w:widowControl/>
                    <w:adjustRightInd w:val="0"/>
                    <w:snapToGrid w:val="0"/>
                    <w:jc w:val="center"/>
                    <w:textAlignment w:val="baseline"/>
                    <w:rPr>
                      <w:color w:val="auto"/>
                      <w:szCs w:val="21"/>
                    </w:rPr>
                  </w:pPr>
                  <w:r>
                    <w:rPr>
                      <w:color w:val="auto"/>
                      <w:szCs w:val="21"/>
                    </w:rPr>
                    <w:t>20000</w:t>
                  </w:r>
                </w:p>
              </w:tc>
              <w:tc>
                <w:tcPr>
                  <w:tcW w:w="771" w:type="pct"/>
                  <w:noWrap w:val="0"/>
                  <w:vAlign w:val="center"/>
                </w:tcPr>
                <w:p>
                  <w:pPr>
                    <w:widowControl/>
                    <w:adjustRightInd w:val="0"/>
                    <w:snapToGrid w:val="0"/>
                    <w:jc w:val="center"/>
                    <w:textAlignment w:val="baseline"/>
                    <w:rPr>
                      <w:color w:val="auto"/>
                      <w:szCs w:val="21"/>
                    </w:rPr>
                  </w:pPr>
                  <w:r>
                    <w:rPr>
                      <w:color w:val="auto"/>
                      <w:szCs w:val="21"/>
                    </w:rPr>
                    <w:t>1-2</w:t>
                  </w:r>
                </w:p>
              </w:tc>
              <w:tc>
                <w:tcPr>
                  <w:tcW w:w="1052" w:type="pct"/>
                  <w:noWrap w:val="0"/>
                  <w:vAlign w:val="center"/>
                </w:tcPr>
                <w:p>
                  <w:pPr>
                    <w:adjustRightInd w:val="0"/>
                    <w:snapToGrid w:val="0"/>
                    <w:jc w:val="center"/>
                    <w:textAlignment w:val="baseline"/>
                    <w:rPr>
                      <w:color w:val="auto"/>
                      <w:szCs w:val="21"/>
                    </w:rPr>
                  </w:pPr>
                  <w:r>
                    <w:rPr>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24" w:type="pct"/>
                  <w:noWrap w:val="0"/>
                  <w:vAlign w:val="center"/>
                </w:tcPr>
                <w:p>
                  <w:pPr>
                    <w:adjustRightInd w:val="0"/>
                    <w:snapToGrid w:val="0"/>
                    <w:jc w:val="center"/>
                    <w:textAlignment w:val="baseline"/>
                    <w:rPr>
                      <w:color w:val="auto"/>
                      <w:szCs w:val="21"/>
                    </w:rPr>
                  </w:pPr>
                  <w:r>
                    <w:rPr>
                      <w:color w:val="auto"/>
                      <w:szCs w:val="21"/>
                    </w:rPr>
                    <w:t>3</w:t>
                  </w:r>
                </w:p>
              </w:tc>
              <w:tc>
                <w:tcPr>
                  <w:tcW w:w="1579" w:type="pct"/>
                  <w:noWrap w:val="0"/>
                  <w:vAlign w:val="center"/>
                </w:tcPr>
                <w:p>
                  <w:pPr>
                    <w:adjustRightInd w:val="0"/>
                    <w:snapToGrid w:val="0"/>
                    <w:jc w:val="center"/>
                    <w:textAlignment w:val="baseline"/>
                    <w:rPr>
                      <w:color w:val="auto"/>
                      <w:szCs w:val="21"/>
                    </w:rPr>
                  </w:pPr>
                  <w:r>
                    <w:rPr>
                      <w:color w:val="auto"/>
                      <w:szCs w:val="21"/>
                    </w:rPr>
                    <w:t>碎石</w:t>
                  </w:r>
                </w:p>
              </w:tc>
              <w:tc>
                <w:tcPr>
                  <w:tcW w:w="451" w:type="pct"/>
                  <w:noWrap w:val="0"/>
                  <w:vAlign w:val="center"/>
                </w:tcPr>
                <w:p>
                  <w:pPr>
                    <w:adjustRightInd w:val="0"/>
                    <w:snapToGrid w:val="0"/>
                    <w:jc w:val="center"/>
                    <w:rPr>
                      <w:color w:val="auto"/>
                    </w:rPr>
                  </w:pPr>
                  <w:r>
                    <w:rPr>
                      <w:color w:val="auto"/>
                    </w:rPr>
                    <w:t>吨</w:t>
                  </w:r>
                </w:p>
              </w:tc>
              <w:tc>
                <w:tcPr>
                  <w:tcW w:w="720" w:type="pct"/>
                  <w:noWrap w:val="0"/>
                  <w:vAlign w:val="center"/>
                </w:tcPr>
                <w:p>
                  <w:pPr>
                    <w:widowControl/>
                    <w:adjustRightInd w:val="0"/>
                    <w:snapToGrid w:val="0"/>
                    <w:jc w:val="center"/>
                    <w:textAlignment w:val="baseline"/>
                    <w:rPr>
                      <w:color w:val="auto"/>
                      <w:szCs w:val="21"/>
                    </w:rPr>
                  </w:pPr>
                  <w:r>
                    <w:rPr>
                      <w:color w:val="auto"/>
                      <w:szCs w:val="21"/>
                    </w:rPr>
                    <w:t>11000</w:t>
                  </w:r>
                </w:p>
              </w:tc>
              <w:tc>
                <w:tcPr>
                  <w:tcW w:w="771" w:type="pct"/>
                  <w:noWrap w:val="0"/>
                  <w:vAlign w:val="center"/>
                </w:tcPr>
                <w:p>
                  <w:pPr>
                    <w:widowControl/>
                    <w:adjustRightInd w:val="0"/>
                    <w:snapToGrid w:val="0"/>
                    <w:jc w:val="center"/>
                    <w:textAlignment w:val="baseline"/>
                    <w:rPr>
                      <w:color w:val="auto"/>
                      <w:szCs w:val="21"/>
                    </w:rPr>
                  </w:pPr>
                  <w:r>
                    <w:rPr>
                      <w:color w:val="auto"/>
                      <w:szCs w:val="21"/>
                    </w:rPr>
                    <w:t>0.6-1.1</w:t>
                  </w:r>
                </w:p>
              </w:tc>
              <w:tc>
                <w:tcPr>
                  <w:tcW w:w="1052" w:type="pct"/>
                  <w:noWrap w:val="0"/>
                  <w:vAlign w:val="center"/>
                </w:tcPr>
                <w:p>
                  <w:pPr>
                    <w:adjustRightInd w:val="0"/>
                    <w:snapToGrid w:val="0"/>
                    <w:jc w:val="center"/>
                    <w:textAlignment w:val="baseline"/>
                    <w:rPr>
                      <w:color w:val="auto"/>
                      <w:szCs w:val="21"/>
                    </w:rPr>
                  </w:pPr>
                  <w:r>
                    <w:rPr>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24" w:type="pct"/>
                  <w:noWrap w:val="0"/>
                  <w:vAlign w:val="center"/>
                </w:tcPr>
                <w:p>
                  <w:pPr>
                    <w:adjustRightInd w:val="0"/>
                    <w:snapToGrid w:val="0"/>
                    <w:jc w:val="center"/>
                    <w:textAlignment w:val="baseline"/>
                    <w:rPr>
                      <w:color w:val="auto"/>
                      <w:szCs w:val="21"/>
                    </w:rPr>
                  </w:pPr>
                  <w:r>
                    <w:rPr>
                      <w:color w:val="auto"/>
                      <w:szCs w:val="21"/>
                    </w:rPr>
                    <w:t>4</w:t>
                  </w:r>
                </w:p>
              </w:tc>
              <w:tc>
                <w:tcPr>
                  <w:tcW w:w="1579" w:type="pct"/>
                  <w:noWrap w:val="0"/>
                  <w:vAlign w:val="center"/>
                </w:tcPr>
                <w:p>
                  <w:pPr>
                    <w:adjustRightInd w:val="0"/>
                    <w:snapToGrid w:val="0"/>
                    <w:jc w:val="center"/>
                    <w:textAlignment w:val="baseline"/>
                    <w:rPr>
                      <w:color w:val="auto"/>
                      <w:szCs w:val="21"/>
                    </w:rPr>
                  </w:pPr>
                  <w:r>
                    <w:rPr>
                      <w:color w:val="auto"/>
                      <w:szCs w:val="21"/>
                    </w:rPr>
                    <w:t>碎石</w:t>
                  </w:r>
                </w:p>
              </w:tc>
              <w:tc>
                <w:tcPr>
                  <w:tcW w:w="451" w:type="pct"/>
                  <w:noWrap w:val="0"/>
                  <w:vAlign w:val="center"/>
                </w:tcPr>
                <w:p>
                  <w:pPr>
                    <w:adjustRightInd w:val="0"/>
                    <w:snapToGrid w:val="0"/>
                    <w:jc w:val="center"/>
                    <w:rPr>
                      <w:color w:val="auto"/>
                      <w:szCs w:val="21"/>
                    </w:rPr>
                  </w:pPr>
                  <w:r>
                    <w:rPr>
                      <w:color w:val="auto"/>
                    </w:rPr>
                    <w:t>吨</w:t>
                  </w:r>
                </w:p>
              </w:tc>
              <w:tc>
                <w:tcPr>
                  <w:tcW w:w="720" w:type="pct"/>
                  <w:noWrap w:val="0"/>
                  <w:vAlign w:val="center"/>
                </w:tcPr>
                <w:p>
                  <w:pPr>
                    <w:widowControl/>
                    <w:adjustRightInd w:val="0"/>
                    <w:snapToGrid w:val="0"/>
                    <w:jc w:val="center"/>
                    <w:textAlignment w:val="baseline"/>
                    <w:rPr>
                      <w:color w:val="auto"/>
                      <w:szCs w:val="21"/>
                    </w:rPr>
                  </w:pPr>
                  <w:r>
                    <w:rPr>
                      <w:color w:val="auto"/>
                      <w:szCs w:val="21"/>
                    </w:rPr>
                    <w:t>25000</w:t>
                  </w:r>
                </w:p>
              </w:tc>
              <w:tc>
                <w:tcPr>
                  <w:tcW w:w="771" w:type="pct"/>
                  <w:noWrap w:val="0"/>
                  <w:vAlign w:val="center"/>
                </w:tcPr>
                <w:p>
                  <w:pPr>
                    <w:widowControl/>
                    <w:adjustRightInd w:val="0"/>
                    <w:snapToGrid w:val="0"/>
                    <w:jc w:val="center"/>
                    <w:textAlignment w:val="baseline"/>
                    <w:rPr>
                      <w:color w:val="auto"/>
                      <w:szCs w:val="21"/>
                    </w:rPr>
                  </w:pPr>
                  <w:r>
                    <w:rPr>
                      <w:color w:val="auto"/>
                      <w:szCs w:val="21"/>
                    </w:rPr>
                    <w:t>0-0.4</w:t>
                  </w:r>
                </w:p>
              </w:tc>
              <w:tc>
                <w:tcPr>
                  <w:tcW w:w="1052" w:type="pct"/>
                  <w:noWrap w:val="0"/>
                  <w:vAlign w:val="center"/>
                </w:tcPr>
                <w:p>
                  <w:pPr>
                    <w:adjustRightInd w:val="0"/>
                    <w:snapToGrid w:val="0"/>
                    <w:jc w:val="center"/>
                    <w:textAlignment w:val="baseline"/>
                    <w:rPr>
                      <w:color w:val="auto"/>
                      <w:szCs w:val="21"/>
                    </w:rPr>
                  </w:pPr>
                  <w:r>
                    <w:rPr>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24" w:type="pct"/>
                  <w:noWrap w:val="0"/>
                  <w:vAlign w:val="center"/>
                </w:tcPr>
                <w:p>
                  <w:pPr>
                    <w:adjustRightInd w:val="0"/>
                    <w:snapToGrid w:val="0"/>
                    <w:jc w:val="center"/>
                    <w:textAlignment w:val="baseline"/>
                    <w:rPr>
                      <w:color w:val="auto"/>
                      <w:szCs w:val="21"/>
                    </w:rPr>
                  </w:pPr>
                  <w:r>
                    <w:rPr>
                      <w:color w:val="auto"/>
                      <w:szCs w:val="21"/>
                    </w:rPr>
                    <w:t>5</w:t>
                  </w:r>
                </w:p>
              </w:tc>
              <w:tc>
                <w:tcPr>
                  <w:tcW w:w="1579" w:type="pct"/>
                  <w:noWrap w:val="0"/>
                  <w:vAlign w:val="center"/>
                </w:tcPr>
                <w:p>
                  <w:pPr>
                    <w:adjustRightInd w:val="0"/>
                    <w:snapToGrid w:val="0"/>
                    <w:jc w:val="center"/>
                    <w:textAlignment w:val="baseline"/>
                    <w:rPr>
                      <w:color w:val="auto"/>
                      <w:szCs w:val="21"/>
                    </w:rPr>
                  </w:pPr>
                  <w:r>
                    <w:rPr>
                      <w:color w:val="auto"/>
                      <w:szCs w:val="21"/>
                    </w:rPr>
                    <w:t>碎石</w:t>
                  </w:r>
                </w:p>
              </w:tc>
              <w:tc>
                <w:tcPr>
                  <w:tcW w:w="451" w:type="pct"/>
                  <w:noWrap w:val="0"/>
                  <w:vAlign w:val="center"/>
                </w:tcPr>
                <w:p>
                  <w:pPr>
                    <w:adjustRightInd w:val="0"/>
                    <w:snapToGrid w:val="0"/>
                    <w:jc w:val="center"/>
                    <w:rPr>
                      <w:color w:val="auto"/>
                      <w:szCs w:val="21"/>
                    </w:rPr>
                  </w:pPr>
                  <w:r>
                    <w:rPr>
                      <w:color w:val="auto"/>
                    </w:rPr>
                    <w:t>吨</w:t>
                  </w:r>
                </w:p>
              </w:tc>
              <w:tc>
                <w:tcPr>
                  <w:tcW w:w="720" w:type="pct"/>
                  <w:noWrap w:val="0"/>
                  <w:vAlign w:val="center"/>
                </w:tcPr>
                <w:p>
                  <w:pPr>
                    <w:widowControl/>
                    <w:adjustRightInd w:val="0"/>
                    <w:snapToGrid w:val="0"/>
                    <w:jc w:val="center"/>
                    <w:textAlignment w:val="baseline"/>
                    <w:rPr>
                      <w:color w:val="auto"/>
                      <w:szCs w:val="21"/>
                    </w:rPr>
                  </w:pPr>
                  <w:r>
                    <w:rPr>
                      <w:color w:val="auto"/>
                      <w:szCs w:val="21"/>
                    </w:rPr>
                    <w:t>10000</w:t>
                  </w:r>
                </w:p>
              </w:tc>
              <w:tc>
                <w:tcPr>
                  <w:tcW w:w="771" w:type="pct"/>
                  <w:noWrap w:val="0"/>
                  <w:vAlign w:val="center"/>
                </w:tcPr>
                <w:p>
                  <w:pPr>
                    <w:widowControl/>
                    <w:adjustRightInd w:val="0"/>
                    <w:snapToGrid w:val="0"/>
                    <w:jc w:val="center"/>
                    <w:textAlignment w:val="baseline"/>
                    <w:rPr>
                      <w:color w:val="auto"/>
                      <w:szCs w:val="21"/>
                    </w:rPr>
                  </w:pPr>
                  <w:r>
                    <w:rPr>
                      <w:color w:val="auto"/>
                      <w:szCs w:val="21"/>
                    </w:rPr>
                    <w:t>0.4-0.6</w:t>
                  </w:r>
                </w:p>
              </w:tc>
              <w:tc>
                <w:tcPr>
                  <w:tcW w:w="1052" w:type="pct"/>
                  <w:noWrap w:val="0"/>
                  <w:vAlign w:val="center"/>
                </w:tcPr>
                <w:p>
                  <w:pPr>
                    <w:adjustRightInd w:val="0"/>
                    <w:snapToGrid w:val="0"/>
                    <w:jc w:val="center"/>
                    <w:textAlignment w:val="baseline"/>
                    <w:rPr>
                      <w:color w:val="auto"/>
                      <w:szCs w:val="21"/>
                    </w:rPr>
                  </w:pPr>
                  <w:r>
                    <w:rPr>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24" w:type="pct"/>
                  <w:noWrap w:val="0"/>
                  <w:vAlign w:val="center"/>
                </w:tcPr>
                <w:p>
                  <w:pPr>
                    <w:adjustRightInd w:val="0"/>
                    <w:snapToGrid w:val="0"/>
                    <w:jc w:val="center"/>
                    <w:textAlignment w:val="baseline"/>
                    <w:rPr>
                      <w:color w:val="auto"/>
                      <w:szCs w:val="21"/>
                    </w:rPr>
                  </w:pPr>
                  <w:r>
                    <w:rPr>
                      <w:color w:val="auto"/>
                      <w:szCs w:val="21"/>
                    </w:rPr>
                    <w:t>6</w:t>
                  </w:r>
                </w:p>
              </w:tc>
              <w:tc>
                <w:tcPr>
                  <w:tcW w:w="1579" w:type="pct"/>
                  <w:noWrap w:val="0"/>
                  <w:vAlign w:val="center"/>
                </w:tcPr>
                <w:p>
                  <w:pPr>
                    <w:adjustRightInd w:val="0"/>
                    <w:snapToGrid w:val="0"/>
                    <w:jc w:val="center"/>
                    <w:textAlignment w:val="baseline"/>
                    <w:rPr>
                      <w:color w:val="auto"/>
                      <w:szCs w:val="21"/>
                    </w:rPr>
                  </w:pPr>
                  <w:r>
                    <w:rPr>
                      <w:color w:val="auto"/>
                      <w:szCs w:val="21"/>
                    </w:rPr>
                    <w:t>石粉</w:t>
                  </w:r>
                </w:p>
              </w:tc>
              <w:tc>
                <w:tcPr>
                  <w:tcW w:w="451" w:type="pct"/>
                  <w:noWrap w:val="0"/>
                  <w:vAlign w:val="center"/>
                </w:tcPr>
                <w:p>
                  <w:pPr>
                    <w:adjustRightInd w:val="0"/>
                    <w:snapToGrid w:val="0"/>
                    <w:jc w:val="center"/>
                    <w:rPr>
                      <w:color w:val="auto"/>
                    </w:rPr>
                  </w:pPr>
                  <w:r>
                    <w:rPr>
                      <w:color w:val="auto"/>
                    </w:rPr>
                    <w:t>吨</w:t>
                  </w:r>
                </w:p>
              </w:tc>
              <w:tc>
                <w:tcPr>
                  <w:tcW w:w="720" w:type="pct"/>
                  <w:noWrap w:val="0"/>
                  <w:vAlign w:val="center"/>
                </w:tcPr>
                <w:p>
                  <w:pPr>
                    <w:widowControl/>
                    <w:adjustRightInd w:val="0"/>
                    <w:snapToGrid w:val="0"/>
                    <w:jc w:val="center"/>
                    <w:textAlignment w:val="baseline"/>
                    <w:rPr>
                      <w:color w:val="auto"/>
                      <w:szCs w:val="21"/>
                    </w:rPr>
                  </w:pPr>
                  <w:r>
                    <w:rPr>
                      <w:color w:val="auto"/>
                      <w:szCs w:val="21"/>
                    </w:rPr>
                    <w:t>3000</w:t>
                  </w:r>
                </w:p>
              </w:tc>
              <w:tc>
                <w:tcPr>
                  <w:tcW w:w="771" w:type="pct"/>
                  <w:noWrap w:val="0"/>
                  <w:vAlign w:val="center"/>
                </w:tcPr>
                <w:p>
                  <w:pPr>
                    <w:widowControl/>
                    <w:adjustRightInd w:val="0"/>
                    <w:snapToGrid w:val="0"/>
                    <w:jc w:val="center"/>
                    <w:textAlignment w:val="baseline"/>
                    <w:rPr>
                      <w:color w:val="auto"/>
                      <w:szCs w:val="21"/>
                    </w:rPr>
                  </w:pPr>
                </w:p>
              </w:tc>
              <w:tc>
                <w:tcPr>
                  <w:tcW w:w="1052" w:type="pct"/>
                  <w:noWrap w:val="0"/>
                  <w:vAlign w:val="center"/>
                </w:tcPr>
                <w:p>
                  <w:pPr>
                    <w:adjustRightInd w:val="0"/>
                    <w:snapToGrid w:val="0"/>
                    <w:jc w:val="center"/>
                    <w:textAlignment w:val="baseline"/>
                    <w:rPr>
                      <w:color w:val="auto"/>
                      <w:szCs w:val="21"/>
                    </w:rPr>
                  </w:pPr>
                  <w:r>
                    <w:rPr>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24" w:type="pct"/>
                  <w:noWrap w:val="0"/>
                  <w:vAlign w:val="center"/>
                </w:tcPr>
                <w:p>
                  <w:pPr>
                    <w:adjustRightInd w:val="0"/>
                    <w:snapToGrid w:val="0"/>
                    <w:jc w:val="center"/>
                    <w:textAlignment w:val="baseline"/>
                    <w:rPr>
                      <w:color w:val="auto"/>
                      <w:szCs w:val="21"/>
                    </w:rPr>
                  </w:pPr>
                  <w:r>
                    <w:rPr>
                      <w:color w:val="auto"/>
                      <w:szCs w:val="21"/>
                    </w:rPr>
                    <w:t>7</w:t>
                  </w:r>
                </w:p>
              </w:tc>
              <w:tc>
                <w:tcPr>
                  <w:tcW w:w="1579" w:type="pct"/>
                  <w:noWrap w:val="0"/>
                  <w:vAlign w:val="center"/>
                </w:tcPr>
                <w:p>
                  <w:pPr>
                    <w:adjustRightInd w:val="0"/>
                    <w:snapToGrid w:val="0"/>
                    <w:jc w:val="center"/>
                    <w:textAlignment w:val="baseline"/>
                    <w:rPr>
                      <w:color w:val="auto"/>
                      <w:szCs w:val="21"/>
                    </w:rPr>
                  </w:pPr>
                  <w:r>
                    <w:rPr>
                      <w:color w:val="auto"/>
                      <w:szCs w:val="21"/>
                    </w:rPr>
                    <w:t>沥青</w:t>
                  </w:r>
                </w:p>
              </w:tc>
              <w:tc>
                <w:tcPr>
                  <w:tcW w:w="451" w:type="pct"/>
                  <w:noWrap w:val="0"/>
                  <w:vAlign w:val="center"/>
                </w:tcPr>
                <w:p>
                  <w:pPr>
                    <w:adjustRightInd w:val="0"/>
                    <w:snapToGrid w:val="0"/>
                    <w:jc w:val="center"/>
                    <w:rPr>
                      <w:color w:val="auto"/>
                      <w:szCs w:val="21"/>
                    </w:rPr>
                  </w:pPr>
                  <w:r>
                    <w:rPr>
                      <w:color w:val="auto"/>
                    </w:rPr>
                    <w:t>吨</w:t>
                  </w:r>
                </w:p>
              </w:tc>
              <w:tc>
                <w:tcPr>
                  <w:tcW w:w="720" w:type="pct"/>
                  <w:noWrap w:val="0"/>
                  <w:vAlign w:val="center"/>
                </w:tcPr>
                <w:p>
                  <w:pPr>
                    <w:widowControl/>
                    <w:adjustRightInd w:val="0"/>
                    <w:snapToGrid w:val="0"/>
                    <w:jc w:val="center"/>
                    <w:textAlignment w:val="baseline"/>
                    <w:rPr>
                      <w:color w:val="auto"/>
                      <w:szCs w:val="21"/>
                    </w:rPr>
                  </w:pPr>
                  <w:r>
                    <w:rPr>
                      <w:color w:val="auto"/>
                      <w:szCs w:val="21"/>
                    </w:rPr>
                    <w:t>3</w:t>
                  </w:r>
                  <w:r>
                    <w:rPr>
                      <w:rFonts w:hint="eastAsia"/>
                      <w:color w:val="auto"/>
                      <w:szCs w:val="21"/>
                    </w:rPr>
                    <w:t>0</w:t>
                  </w:r>
                  <w:r>
                    <w:rPr>
                      <w:color w:val="auto"/>
                      <w:szCs w:val="21"/>
                    </w:rPr>
                    <w:t>00</w:t>
                  </w:r>
                </w:p>
              </w:tc>
              <w:tc>
                <w:tcPr>
                  <w:tcW w:w="771" w:type="pct"/>
                  <w:noWrap w:val="0"/>
                  <w:vAlign w:val="center"/>
                </w:tcPr>
                <w:p>
                  <w:pPr>
                    <w:widowControl/>
                    <w:adjustRightInd w:val="0"/>
                    <w:snapToGrid w:val="0"/>
                    <w:jc w:val="center"/>
                    <w:textAlignment w:val="baseline"/>
                    <w:rPr>
                      <w:color w:val="auto"/>
                      <w:szCs w:val="21"/>
                    </w:rPr>
                  </w:pPr>
                </w:p>
              </w:tc>
              <w:tc>
                <w:tcPr>
                  <w:tcW w:w="1052" w:type="pct"/>
                  <w:noWrap w:val="0"/>
                  <w:vAlign w:val="center"/>
                </w:tcPr>
                <w:p>
                  <w:pPr>
                    <w:adjustRightInd w:val="0"/>
                    <w:snapToGrid w:val="0"/>
                    <w:jc w:val="center"/>
                    <w:textAlignment w:val="baseline"/>
                    <w:rPr>
                      <w:color w:val="auto"/>
                      <w:szCs w:val="21"/>
                    </w:rPr>
                  </w:pPr>
                  <w:r>
                    <w:rPr>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24" w:type="pct"/>
                  <w:noWrap w:val="0"/>
                  <w:vAlign w:val="center"/>
                </w:tcPr>
                <w:p>
                  <w:pPr>
                    <w:adjustRightInd w:val="0"/>
                    <w:snapToGrid w:val="0"/>
                    <w:jc w:val="center"/>
                    <w:textAlignment w:val="baseline"/>
                    <w:rPr>
                      <w:color w:val="auto"/>
                      <w:szCs w:val="21"/>
                    </w:rPr>
                  </w:pPr>
                  <w:r>
                    <w:rPr>
                      <w:color w:val="auto"/>
                      <w:szCs w:val="21"/>
                    </w:rPr>
                    <w:t>8</w:t>
                  </w:r>
                </w:p>
              </w:tc>
              <w:tc>
                <w:tcPr>
                  <w:tcW w:w="1579" w:type="pct"/>
                  <w:noWrap w:val="0"/>
                  <w:vAlign w:val="center"/>
                </w:tcPr>
                <w:p>
                  <w:pPr>
                    <w:adjustRightInd w:val="0"/>
                    <w:snapToGrid w:val="0"/>
                    <w:jc w:val="center"/>
                    <w:textAlignment w:val="baseline"/>
                    <w:rPr>
                      <w:color w:val="auto"/>
                      <w:szCs w:val="21"/>
                    </w:rPr>
                  </w:pPr>
                  <w:r>
                    <w:rPr>
                      <w:color w:val="auto"/>
                      <w:szCs w:val="21"/>
                    </w:rPr>
                    <w:t>导热油</w:t>
                  </w:r>
                </w:p>
              </w:tc>
              <w:tc>
                <w:tcPr>
                  <w:tcW w:w="451" w:type="pct"/>
                  <w:noWrap w:val="0"/>
                  <w:vAlign w:val="center"/>
                </w:tcPr>
                <w:p>
                  <w:pPr>
                    <w:adjustRightInd w:val="0"/>
                    <w:snapToGrid w:val="0"/>
                    <w:jc w:val="center"/>
                    <w:rPr>
                      <w:color w:val="auto"/>
                      <w:szCs w:val="21"/>
                    </w:rPr>
                  </w:pPr>
                  <w:r>
                    <w:rPr>
                      <w:color w:val="auto"/>
                    </w:rPr>
                    <w:t>吨</w:t>
                  </w:r>
                </w:p>
              </w:tc>
              <w:tc>
                <w:tcPr>
                  <w:tcW w:w="720" w:type="pct"/>
                  <w:noWrap w:val="0"/>
                  <w:vAlign w:val="center"/>
                </w:tcPr>
                <w:p>
                  <w:pPr>
                    <w:widowControl/>
                    <w:adjustRightInd w:val="0"/>
                    <w:snapToGrid w:val="0"/>
                    <w:jc w:val="center"/>
                    <w:textAlignment w:val="baseline"/>
                    <w:rPr>
                      <w:color w:val="auto"/>
                      <w:szCs w:val="21"/>
                    </w:rPr>
                  </w:pPr>
                  <w:r>
                    <w:rPr>
                      <w:color w:val="auto"/>
                      <w:szCs w:val="21"/>
                    </w:rPr>
                    <w:t>0.5</w:t>
                  </w:r>
                </w:p>
              </w:tc>
              <w:tc>
                <w:tcPr>
                  <w:tcW w:w="771" w:type="pct"/>
                  <w:noWrap w:val="0"/>
                  <w:vAlign w:val="center"/>
                </w:tcPr>
                <w:p>
                  <w:pPr>
                    <w:widowControl/>
                    <w:adjustRightInd w:val="0"/>
                    <w:snapToGrid w:val="0"/>
                    <w:jc w:val="center"/>
                    <w:textAlignment w:val="baseline"/>
                    <w:rPr>
                      <w:color w:val="auto"/>
                      <w:szCs w:val="21"/>
                    </w:rPr>
                  </w:pPr>
                </w:p>
              </w:tc>
              <w:tc>
                <w:tcPr>
                  <w:tcW w:w="1052" w:type="pct"/>
                  <w:noWrap w:val="0"/>
                  <w:vAlign w:val="center"/>
                </w:tcPr>
                <w:p>
                  <w:pPr>
                    <w:adjustRightInd w:val="0"/>
                    <w:snapToGrid w:val="0"/>
                    <w:jc w:val="center"/>
                    <w:textAlignment w:val="baseline"/>
                    <w:rPr>
                      <w:color w:val="auto"/>
                      <w:szCs w:val="21"/>
                    </w:rPr>
                  </w:pPr>
                  <w:r>
                    <w:rPr>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24" w:type="pct"/>
                  <w:noWrap w:val="0"/>
                  <w:vAlign w:val="center"/>
                </w:tcPr>
                <w:p>
                  <w:pPr>
                    <w:adjustRightInd w:val="0"/>
                    <w:snapToGrid w:val="0"/>
                    <w:jc w:val="center"/>
                    <w:textAlignment w:val="baseline"/>
                    <w:rPr>
                      <w:color w:val="auto"/>
                      <w:szCs w:val="21"/>
                    </w:rPr>
                  </w:pPr>
                  <w:r>
                    <w:rPr>
                      <w:color w:val="auto"/>
                      <w:szCs w:val="21"/>
                    </w:rPr>
                    <w:t>9</w:t>
                  </w:r>
                </w:p>
              </w:tc>
              <w:tc>
                <w:tcPr>
                  <w:tcW w:w="1579" w:type="pct"/>
                  <w:noWrap w:val="0"/>
                  <w:vAlign w:val="center"/>
                </w:tcPr>
                <w:p>
                  <w:pPr>
                    <w:adjustRightInd w:val="0"/>
                    <w:snapToGrid w:val="0"/>
                    <w:jc w:val="center"/>
                    <w:textAlignment w:val="baseline"/>
                    <w:rPr>
                      <w:color w:val="auto"/>
                      <w:szCs w:val="21"/>
                    </w:rPr>
                  </w:pPr>
                  <w:r>
                    <w:rPr>
                      <w:color w:val="auto"/>
                      <w:szCs w:val="21"/>
                    </w:rPr>
                    <w:t>重油</w:t>
                  </w:r>
                </w:p>
              </w:tc>
              <w:tc>
                <w:tcPr>
                  <w:tcW w:w="451" w:type="pct"/>
                  <w:noWrap w:val="0"/>
                  <w:vAlign w:val="center"/>
                </w:tcPr>
                <w:p>
                  <w:pPr>
                    <w:adjustRightInd w:val="0"/>
                    <w:snapToGrid w:val="0"/>
                    <w:jc w:val="center"/>
                    <w:rPr>
                      <w:color w:val="auto"/>
                      <w:szCs w:val="21"/>
                    </w:rPr>
                  </w:pPr>
                  <w:r>
                    <w:rPr>
                      <w:color w:val="auto"/>
                    </w:rPr>
                    <w:t>吨</w:t>
                  </w:r>
                </w:p>
              </w:tc>
              <w:tc>
                <w:tcPr>
                  <w:tcW w:w="720" w:type="pct"/>
                  <w:noWrap w:val="0"/>
                  <w:vAlign w:val="center"/>
                </w:tcPr>
                <w:p>
                  <w:pPr>
                    <w:widowControl/>
                    <w:adjustRightInd w:val="0"/>
                    <w:snapToGrid w:val="0"/>
                    <w:jc w:val="center"/>
                    <w:textAlignment w:val="baseline"/>
                    <w:rPr>
                      <w:color w:val="auto"/>
                      <w:szCs w:val="21"/>
                    </w:rPr>
                  </w:pPr>
                  <w:r>
                    <w:rPr>
                      <w:color w:val="auto"/>
                      <w:szCs w:val="21"/>
                    </w:rPr>
                    <w:t>6</w:t>
                  </w:r>
                  <w:r>
                    <w:rPr>
                      <w:rFonts w:hint="eastAsia"/>
                      <w:color w:val="auto"/>
                      <w:szCs w:val="21"/>
                    </w:rPr>
                    <w:t>0</w:t>
                  </w:r>
                  <w:r>
                    <w:rPr>
                      <w:color w:val="auto"/>
                      <w:szCs w:val="21"/>
                    </w:rPr>
                    <w:t>0</w:t>
                  </w:r>
                </w:p>
              </w:tc>
              <w:tc>
                <w:tcPr>
                  <w:tcW w:w="771" w:type="pct"/>
                  <w:noWrap w:val="0"/>
                  <w:vAlign w:val="center"/>
                </w:tcPr>
                <w:p>
                  <w:pPr>
                    <w:widowControl/>
                    <w:adjustRightInd w:val="0"/>
                    <w:snapToGrid w:val="0"/>
                    <w:jc w:val="center"/>
                    <w:textAlignment w:val="baseline"/>
                    <w:rPr>
                      <w:color w:val="auto"/>
                      <w:szCs w:val="21"/>
                    </w:rPr>
                  </w:pPr>
                </w:p>
              </w:tc>
              <w:tc>
                <w:tcPr>
                  <w:tcW w:w="1052" w:type="pct"/>
                  <w:noWrap w:val="0"/>
                  <w:vAlign w:val="center"/>
                </w:tcPr>
                <w:p>
                  <w:pPr>
                    <w:adjustRightInd w:val="0"/>
                    <w:snapToGrid w:val="0"/>
                    <w:jc w:val="center"/>
                    <w:textAlignment w:val="baseline"/>
                    <w:rPr>
                      <w:color w:val="auto"/>
                      <w:szCs w:val="21"/>
                    </w:rPr>
                  </w:pPr>
                  <w:r>
                    <w:rPr>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24" w:type="pct"/>
                  <w:noWrap w:val="0"/>
                  <w:vAlign w:val="center"/>
                </w:tcPr>
                <w:p>
                  <w:pPr>
                    <w:adjustRightInd w:val="0"/>
                    <w:snapToGrid w:val="0"/>
                    <w:jc w:val="center"/>
                    <w:textAlignment w:val="baseline"/>
                    <w:rPr>
                      <w:color w:val="auto"/>
                      <w:szCs w:val="21"/>
                    </w:rPr>
                  </w:pPr>
                  <w:r>
                    <w:rPr>
                      <w:color w:val="auto"/>
                      <w:szCs w:val="21"/>
                    </w:rPr>
                    <w:t>10</w:t>
                  </w:r>
                </w:p>
              </w:tc>
              <w:tc>
                <w:tcPr>
                  <w:tcW w:w="1579" w:type="pct"/>
                  <w:noWrap w:val="0"/>
                  <w:vAlign w:val="center"/>
                </w:tcPr>
                <w:p>
                  <w:pPr>
                    <w:adjustRightInd w:val="0"/>
                    <w:snapToGrid w:val="0"/>
                    <w:jc w:val="center"/>
                    <w:textAlignment w:val="baseline"/>
                    <w:rPr>
                      <w:color w:val="auto"/>
                      <w:szCs w:val="21"/>
                    </w:rPr>
                  </w:pPr>
                  <w:r>
                    <w:rPr>
                      <w:color w:val="auto"/>
                      <w:szCs w:val="21"/>
                    </w:rPr>
                    <w:t>柴油</w:t>
                  </w:r>
                </w:p>
              </w:tc>
              <w:tc>
                <w:tcPr>
                  <w:tcW w:w="451" w:type="pct"/>
                  <w:noWrap w:val="0"/>
                  <w:vAlign w:val="center"/>
                </w:tcPr>
                <w:p>
                  <w:pPr>
                    <w:adjustRightInd w:val="0"/>
                    <w:snapToGrid w:val="0"/>
                    <w:jc w:val="center"/>
                    <w:rPr>
                      <w:color w:val="auto"/>
                      <w:szCs w:val="21"/>
                    </w:rPr>
                  </w:pPr>
                  <w:r>
                    <w:rPr>
                      <w:color w:val="auto"/>
                    </w:rPr>
                    <w:t>吨</w:t>
                  </w:r>
                </w:p>
              </w:tc>
              <w:tc>
                <w:tcPr>
                  <w:tcW w:w="720" w:type="pct"/>
                  <w:noWrap w:val="0"/>
                  <w:vAlign w:val="center"/>
                </w:tcPr>
                <w:p>
                  <w:pPr>
                    <w:widowControl/>
                    <w:adjustRightInd w:val="0"/>
                    <w:snapToGrid w:val="0"/>
                    <w:jc w:val="center"/>
                    <w:textAlignment w:val="baseline"/>
                    <w:rPr>
                      <w:rFonts w:hint="default" w:eastAsia="宋体"/>
                      <w:color w:val="auto"/>
                      <w:szCs w:val="21"/>
                      <w:lang w:val="en-US" w:eastAsia="zh-CN"/>
                    </w:rPr>
                  </w:pPr>
                  <w:r>
                    <w:rPr>
                      <w:rFonts w:hint="eastAsia"/>
                      <w:color w:val="auto"/>
                      <w:szCs w:val="21"/>
                    </w:rPr>
                    <w:t>1</w:t>
                  </w:r>
                  <w:r>
                    <w:rPr>
                      <w:rFonts w:hint="eastAsia"/>
                      <w:color w:val="auto"/>
                      <w:szCs w:val="21"/>
                      <w:lang w:val="en-US" w:eastAsia="zh-CN"/>
                    </w:rPr>
                    <w:t>15</w:t>
                  </w:r>
                </w:p>
              </w:tc>
              <w:tc>
                <w:tcPr>
                  <w:tcW w:w="771" w:type="pct"/>
                  <w:noWrap w:val="0"/>
                  <w:vAlign w:val="center"/>
                </w:tcPr>
                <w:p>
                  <w:pPr>
                    <w:widowControl/>
                    <w:adjustRightInd w:val="0"/>
                    <w:snapToGrid w:val="0"/>
                    <w:jc w:val="center"/>
                    <w:textAlignment w:val="baseline"/>
                    <w:rPr>
                      <w:color w:val="auto"/>
                      <w:szCs w:val="21"/>
                    </w:rPr>
                  </w:pPr>
                </w:p>
              </w:tc>
              <w:tc>
                <w:tcPr>
                  <w:tcW w:w="1052" w:type="pct"/>
                  <w:noWrap w:val="0"/>
                  <w:vAlign w:val="center"/>
                </w:tcPr>
                <w:p>
                  <w:pPr>
                    <w:adjustRightInd w:val="0"/>
                    <w:snapToGrid w:val="0"/>
                    <w:jc w:val="center"/>
                    <w:textAlignment w:val="baseline"/>
                    <w:rPr>
                      <w:color w:val="auto"/>
                      <w:szCs w:val="21"/>
                    </w:rPr>
                  </w:pPr>
                  <w:r>
                    <w:rPr>
                      <w:color w:val="auto"/>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24" w:type="pct"/>
                  <w:noWrap w:val="0"/>
                  <w:vAlign w:val="center"/>
                </w:tcPr>
                <w:p>
                  <w:pPr>
                    <w:adjustRightInd w:val="0"/>
                    <w:snapToGrid w:val="0"/>
                    <w:jc w:val="center"/>
                    <w:textAlignment w:val="baseline"/>
                    <w:rPr>
                      <w:color w:val="auto"/>
                      <w:szCs w:val="21"/>
                    </w:rPr>
                  </w:pPr>
                  <w:r>
                    <w:rPr>
                      <w:color w:val="auto"/>
                      <w:szCs w:val="21"/>
                    </w:rPr>
                    <w:t>11</w:t>
                  </w:r>
                </w:p>
              </w:tc>
              <w:tc>
                <w:tcPr>
                  <w:tcW w:w="1579" w:type="pct"/>
                  <w:noWrap w:val="0"/>
                  <w:vAlign w:val="center"/>
                </w:tcPr>
                <w:p>
                  <w:pPr>
                    <w:adjustRightInd w:val="0"/>
                    <w:snapToGrid w:val="0"/>
                    <w:jc w:val="center"/>
                    <w:textAlignment w:val="baseline"/>
                    <w:rPr>
                      <w:color w:val="auto"/>
                      <w:szCs w:val="21"/>
                    </w:rPr>
                  </w:pPr>
                  <w:r>
                    <w:rPr>
                      <w:color w:val="auto"/>
                      <w:szCs w:val="21"/>
                    </w:rPr>
                    <w:t>沥青洗刨料</w:t>
                  </w:r>
                  <w:bookmarkStart w:id="2" w:name="_GoBack"/>
                  <w:bookmarkEnd w:id="2"/>
                </w:p>
              </w:tc>
              <w:tc>
                <w:tcPr>
                  <w:tcW w:w="451" w:type="pct"/>
                  <w:noWrap w:val="0"/>
                  <w:vAlign w:val="center"/>
                </w:tcPr>
                <w:p>
                  <w:pPr>
                    <w:adjustRightInd w:val="0"/>
                    <w:snapToGrid w:val="0"/>
                    <w:jc w:val="center"/>
                    <w:rPr>
                      <w:color w:val="auto"/>
                      <w:szCs w:val="21"/>
                    </w:rPr>
                  </w:pPr>
                  <w:r>
                    <w:rPr>
                      <w:color w:val="auto"/>
                    </w:rPr>
                    <w:t>吨</w:t>
                  </w:r>
                </w:p>
              </w:tc>
              <w:tc>
                <w:tcPr>
                  <w:tcW w:w="720" w:type="pct"/>
                  <w:noWrap w:val="0"/>
                  <w:vAlign w:val="center"/>
                </w:tcPr>
                <w:p>
                  <w:pPr>
                    <w:widowControl/>
                    <w:adjustRightInd w:val="0"/>
                    <w:snapToGrid w:val="0"/>
                    <w:jc w:val="center"/>
                    <w:textAlignment w:val="baseline"/>
                    <w:rPr>
                      <w:color w:val="auto"/>
                      <w:szCs w:val="21"/>
                    </w:rPr>
                  </w:pPr>
                  <w:r>
                    <w:rPr>
                      <w:rFonts w:hint="eastAsia"/>
                      <w:color w:val="auto"/>
                      <w:szCs w:val="21"/>
                    </w:rPr>
                    <w:t>400</w:t>
                  </w:r>
                  <w:r>
                    <w:rPr>
                      <w:color w:val="auto"/>
                      <w:szCs w:val="21"/>
                    </w:rPr>
                    <w:t>00</w:t>
                  </w:r>
                </w:p>
              </w:tc>
              <w:tc>
                <w:tcPr>
                  <w:tcW w:w="771" w:type="pct"/>
                  <w:noWrap w:val="0"/>
                  <w:vAlign w:val="center"/>
                </w:tcPr>
                <w:p>
                  <w:pPr>
                    <w:widowControl/>
                    <w:adjustRightInd w:val="0"/>
                    <w:snapToGrid w:val="0"/>
                    <w:jc w:val="center"/>
                    <w:textAlignment w:val="baseline"/>
                    <w:rPr>
                      <w:color w:val="auto"/>
                      <w:szCs w:val="21"/>
                    </w:rPr>
                  </w:pPr>
                </w:p>
              </w:tc>
              <w:tc>
                <w:tcPr>
                  <w:tcW w:w="1052" w:type="pct"/>
                  <w:noWrap w:val="0"/>
                  <w:vAlign w:val="center"/>
                </w:tcPr>
                <w:p>
                  <w:pPr>
                    <w:adjustRightInd w:val="0"/>
                    <w:snapToGrid w:val="0"/>
                    <w:jc w:val="center"/>
                    <w:textAlignment w:val="baseline"/>
                    <w:rPr>
                      <w:color w:val="auto"/>
                      <w:szCs w:val="21"/>
                    </w:rPr>
                  </w:pPr>
                  <w:r>
                    <w:rPr>
                      <w:color w:val="auto"/>
                      <w:szCs w:val="21"/>
                    </w:rPr>
                    <w:t>外购</w:t>
                  </w:r>
                </w:p>
              </w:tc>
            </w:tr>
          </w:tbl>
          <w:p>
            <w:pPr>
              <w:autoSpaceDE w:val="0"/>
              <w:autoSpaceDN w:val="0"/>
              <w:adjustRightInd w:val="0"/>
              <w:snapToGrid w:val="0"/>
              <w:ind w:firstLine="480" w:firstLineChars="200"/>
              <w:rPr>
                <w:color w:val="auto"/>
                <w:kern w:val="0"/>
                <w:sz w:val="24"/>
              </w:rPr>
            </w:pPr>
          </w:p>
          <w:p>
            <w:pPr>
              <w:autoSpaceDE w:val="0"/>
              <w:autoSpaceDN w:val="0"/>
              <w:adjustRightInd w:val="0"/>
              <w:snapToGrid w:val="0"/>
              <w:spacing w:line="360" w:lineRule="auto"/>
              <w:ind w:firstLine="422" w:firstLineChars="200"/>
              <w:rPr>
                <w:color w:val="auto"/>
                <w:kern w:val="0"/>
                <w:sz w:val="24"/>
              </w:rPr>
            </w:pPr>
            <w:r>
              <w:rPr>
                <w:b/>
                <w:bCs/>
                <w:color w:val="auto"/>
              </w:rPr>
              <w:t>（</w:t>
            </w:r>
            <w:r>
              <w:rPr>
                <w:b/>
                <w:bCs/>
                <w:color w:val="auto"/>
                <w:kern w:val="0"/>
                <w:sz w:val="24"/>
              </w:rPr>
              <w:t>五）产品方案</w:t>
            </w:r>
          </w:p>
          <w:p>
            <w:pPr>
              <w:autoSpaceDE w:val="0"/>
              <w:autoSpaceDN w:val="0"/>
              <w:spacing w:line="360" w:lineRule="auto"/>
              <w:ind w:firstLine="480" w:firstLineChars="200"/>
              <w:rPr>
                <w:snapToGrid w:val="0"/>
                <w:color w:val="auto"/>
                <w:sz w:val="24"/>
              </w:rPr>
            </w:pPr>
            <w:r>
              <w:rPr>
                <w:snapToGrid w:val="0"/>
                <w:color w:val="auto"/>
                <w:sz w:val="24"/>
              </w:rPr>
              <w:t>根据建设单位提供的资料，本项目</w:t>
            </w:r>
            <w:r>
              <w:rPr>
                <w:snapToGrid w:val="0"/>
                <w:color w:val="auto"/>
                <w:sz w:val="24"/>
                <w:szCs w:val="21"/>
              </w:rPr>
              <w:t>产品方案见下表：</w:t>
            </w:r>
          </w:p>
          <w:p>
            <w:pPr>
              <w:widowControl/>
              <w:tabs>
                <w:tab w:val="left" w:pos="0"/>
              </w:tabs>
              <w:jc w:val="center"/>
              <w:rPr>
                <w:b/>
                <w:color w:val="auto"/>
                <w:kern w:val="0"/>
                <w:sz w:val="24"/>
                <w:szCs w:val="22"/>
              </w:rPr>
            </w:pPr>
            <w:r>
              <w:rPr>
                <w:b/>
                <w:color w:val="auto"/>
                <w:kern w:val="0"/>
                <w:sz w:val="24"/>
                <w:szCs w:val="22"/>
              </w:rPr>
              <w:t>表2-5  本项目产品方案一览表</w:t>
            </w:r>
          </w:p>
          <w:tbl>
            <w:tblPr>
              <w:tblStyle w:val="8"/>
              <w:tblW w:w="4999"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74"/>
              <w:gridCol w:w="2966"/>
              <w:gridCol w:w="2714"/>
              <w:gridCol w:w="27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471" w:type="pct"/>
                  <w:noWrap w:val="0"/>
                  <w:vAlign w:val="center"/>
                </w:tcPr>
                <w:p>
                  <w:pPr>
                    <w:jc w:val="center"/>
                    <w:rPr>
                      <w:b/>
                      <w:bCs/>
                      <w:snapToGrid w:val="0"/>
                      <w:color w:val="auto"/>
                      <w:szCs w:val="21"/>
                    </w:rPr>
                  </w:pPr>
                  <w:r>
                    <w:rPr>
                      <w:b/>
                      <w:bCs/>
                      <w:snapToGrid w:val="0"/>
                      <w:color w:val="auto"/>
                      <w:szCs w:val="21"/>
                    </w:rPr>
                    <w:t>序号</w:t>
                  </w:r>
                </w:p>
              </w:tc>
              <w:tc>
                <w:tcPr>
                  <w:tcW w:w="1599" w:type="pct"/>
                  <w:tcBorders>
                    <w:left w:val="single" w:color="auto" w:sz="4" w:space="0"/>
                  </w:tcBorders>
                  <w:noWrap w:val="0"/>
                  <w:vAlign w:val="center"/>
                </w:tcPr>
                <w:p>
                  <w:pPr>
                    <w:jc w:val="center"/>
                    <w:rPr>
                      <w:b/>
                      <w:bCs/>
                      <w:snapToGrid w:val="0"/>
                      <w:color w:val="auto"/>
                      <w:szCs w:val="21"/>
                    </w:rPr>
                  </w:pPr>
                  <w:r>
                    <w:rPr>
                      <w:b/>
                      <w:bCs/>
                      <w:snapToGrid w:val="0"/>
                      <w:color w:val="auto"/>
                      <w:szCs w:val="21"/>
                    </w:rPr>
                    <w:t>产品名称</w:t>
                  </w:r>
                </w:p>
              </w:tc>
              <w:tc>
                <w:tcPr>
                  <w:tcW w:w="1463" w:type="pct"/>
                  <w:tcBorders>
                    <w:right w:val="single" w:color="auto" w:sz="4" w:space="0"/>
                  </w:tcBorders>
                  <w:noWrap w:val="0"/>
                  <w:vAlign w:val="center"/>
                </w:tcPr>
                <w:p>
                  <w:pPr>
                    <w:jc w:val="center"/>
                    <w:rPr>
                      <w:b/>
                      <w:bCs/>
                      <w:snapToGrid w:val="0"/>
                      <w:color w:val="auto"/>
                      <w:szCs w:val="21"/>
                    </w:rPr>
                  </w:pPr>
                  <w:r>
                    <w:rPr>
                      <w:b/>
                      <w:bCs/>
                      <w:snapToGrid w:val="0"/>
                      <w:color w:val="auto"/>
                      <w:szCs w:val="21"/>
                    </w:rPr>
                    <w:t>单位</w:t>
                  </w:r>
                </w:p>
              </w:tc>
              <w:tc>
                <w:tcPr>
                  <w:tcW w:w="1464" w:type="pct"/>
                  <w:tcBorders>
                    <w:left w:val="single" w:color="auto" w:sz="4" w:space="0"/>
                    <w:right w:val="single" w:color="auto" w:sz="4" w:space="0"/>
                  </w:tcBorders>
                  <w:noWrap w:val="0"/>
                  <w:vAlign w:val="center"/>
                </w:tcPr>
                <w:p>
                  <w:pPr>
                    <w:jc w:val="center"/>
                    <w:rPr>
                      <w:b/>
                      <w:bCs/>
                      <w:snapToGrid w:val="0"/>
                      <w:color w:val="auto"/>
                      <w:szCs w:val="21"/>
                    </w:rPr>
                  </w:pPr>
                  <w:r>
                    <w:rPr>
                      <w:b/>
                      <w:bCs/>
                      <w:snapToGrid w:val="0"/>
                      <w:color w:val="auto"/>
                      <w:szCs w:val="21"/>
                    </w:rPr>
                    <w:t>年产量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471" w:type="pct"/>
                  <w:noWrap w:val="0"/>
                  <w:vAlign w:val="center"/>
                </w:tcPr>
                <w:p>
                  <w:pPr>
                    <w:jc w:val="center"/>
                    <w:rPr>
                      <w:snapToGrid w:val="0"/>
                      <w:color w:val="auto"/>
                      <w:szCs w:val="21"/>
                    </w:rPr>
                  </w:pPr>
                  <w:r>
                    <w:rPr>
                      <w:snapToGrid w:val="0"/>
                      <w:color w:val="auto"/>
                      <w:szCs w:val="21"/>
                    </w:rPr>
                    <w:t>1</w:t>
                  </w:r>
                </w:p>
              </w:tc>
              <w:tc>
                <w:tcPr>
                  <w:tcW w:w="1599" w:type="pct"/>
                  <w:tcBorders>
                    <w:left w:val="single" w:color="auto" w:sz="4" w:space="0"/>
                  </w:tcBorders>
                  <w:noWrap w:val="0"/>
                  <w:vAlign w:val="center"/>
                </w:tcPr>
                <w:p>
                  <w:pPr>
                    <w:jc w:val="center"/>
                    <w:rPr>
                      <w:snapToGrid w:val="0"/>
                      <w:color w:val="auto"/>
                      <w:szCs w:val="21"/>
                    </w:rPr>
                  </w:pPr>
                  <w:r>
                    <w:rPr>
                      <w:snapToGrid w:val="0"/>
                      <w:color w:val="auto"/>
                      <w:szCs w:val="21"/>
                    </w:rPr>
                    <w:t>沥青混凝土</w:t>
                  </w:r>
                </w:p>
              </w:tc>
              <w:tc>
                <w:tcPr>
                  <w:tcW w:w="1463" w:type="pct"/>
                  <w:tcBorders>
                    <w:right w:val="single" w:color="auto" w:sz="4" w:space="0"/>
                  </w:tcBorders>
                  <w:noWrap w:val="0"/>
                  <w:vAlign w:val="center"/>
                </w:tcPr>
                <w:p>
                  <w:pPr>
                    <w:jc w:val="center"/>
                    <w:rPr>
                      <w:snapToGrid w:val="0"/>
                      <w:color w:val="auto"/>
                      <w:szCs w:val="21"/>
                    </w:rPr>
                  </w:pPr>
                  <w:r>
                    <w:rPr>
                      <w:b/>
                      <w:bCs/>
                      <w:snapToGrid w:val="0"/>
                      <w:color w:val="auto"/>
                      <w:szCs w:val="21"/>
                    </w:rPr>
                    <w:t>万t/a</w:t>
                  </w:r>
                </w:p>
              </w:tc>
              <w:tc>
                <w:tcPr>
                  <w:tcW w:w="1464" w:type="pct"/>
                  <w:tcBorders>
                    <w:left w:val="single" w:color="auto" w:sz="4" w:space="0"/>
                    <w:right w:val="single" w:color="auto" w:sz="4" w:space="0"/>
                  </w:tcBorders>
                  <w:noWrap w:val="0"/>
                  <w:vAlign w:val="center"/>
                </w:tcPr>
                <w:p>
                  <w:pPr>
                    <w:jc w:val="center"/>
                    <w:rPr>
                      <w:snapToGrid w:val="0"/>
                      <w:color w:val="auto"/>
                      <w:szCs w:val="21"/>
                    </w:rPr>
                  </w:pPr>
                  <w:r>
                    <w:rPr>
                      <w:snapToGrid w:val="0"/>
                      <w:color w:val="auto"/>
                      <w:szCs w:val="21"/>
                    </w:rPr>
                    <w:t>10</w:t>
                  </w:r>
                </w:p>
              </w:tc>
            </w:tr>
          </w:tbl>
          <w:p>
            <w:pPr>
              <w:autoSpaceDE w:val="0"/>
              <w:autoSpaceDN w:val="0"/>
              <w:adjustRightInd w:val="0"/>
              <w:snapToGrid w:val="0"/>
              <w:ind w:firstLine="420" w:firstLineChars="200"/>
              <w:rPr>
                <w:color w:val="auto"/>
              </w:rPr>
            </w:pPr>
          </w:p>
          <w:p>
            <w:pPr>
              <w:autoSpaceDE w:val="0"/>
              <w:autoSpaceDN w:val="0"/>
              <w:adjustRightInd w:val="0"/>
              <w:snapToGrid w:val="0"/>
              <w:spacing w:line="360" w:lineRule="auto"/>
              <w:ind w:firstLine="482" w:firstLineChars="200"/>
              <w:rPr>
                <w:b/>
                <w:bCs/>
                <w:color w:val="auto"/>
                <w:kern w:val="0"/>
                <w:sz w:val="24"/>
              </w:rPr>
            </w:pPr>
            <w:r>
              <w:rPr>
                <w:b/>
                <w:bCs/>
                <w:color w:val="auto"/>
                <w:kern w:val="0"/>
                <w:sz w:val="24"/>
              </w:rPr>
              <w:t>（六）公用工程</w:t>
            </w:r>
          </w:p>
          <w:p>
            <w:pPr>
              <w:autoSpaceDE w:val="0"/>
              <w:autoSpaceDN w:val="0"/>
              <w:adjustRightInd w:val="0"/>
              <w:snapToGrid w:val="0"/>
              <w:spacing w:line="360" w:lineRule="auto"/>
              <w:ind w:firstLine="480" w:firstLineChars="200"/>
              <w:rPr>
                <w:color w:val="auto"/>
                <w:kern w:val="0"/>
                <w:sz w:val="24"/>
              </w:rPr>
            </w:pPr>
            <w:r>
              <w:rPr>
                <w:color w:val="auto"/>
                <w:kern w:val="0"/>
                <w:sz w:val="24"/>
              </w:rPr>
              <w:t>（1）给水</w:t>
            </w:r>
          </w:p>
          <w:p>
            <w:pPr>
              <w:autoSpaceDE w:val="0"/>
              <w:autoSpaceDN w:val="0"/>
              <w:adjustRightInd w:val="0"/>
              <w:snapToGrid w:val="0"/>
              <w:spacing w:line="360" w:lineRule="auto"/>
              <w:ind w:firstLine="480" w:firstLineChars="200"/>
              <w:rPr>
                <w:color w:val="auto"/>
                <w:kern w:val="0"/>
                <w:sz w:val="24"/>
              </w:rPr>
            </w:pPr>
            <w:r>
              <w:rPr>
                <w:color w:val="auto"/>
                <w:kern w:val="0"/>
                <w:sz w:val="24"/>
              </w:rPr>
              <w:t>本项目用水来源于山泉水，可能于满足生产、生活需求。</w:t>
            </w:r>
          </w:p>
          <w:p>
            <w:pPr>
              <w:autoSpaceDE w:val="0"/>
              <w:autoSpaceDN w:val="0"/>
              <w:adjustRightInd w:val="0"/>
              <w:snapToGrid w:val="0"/>
              <w:spacing w:line="360" w:lineRule="auto"/>
              <w:ind w:firstLine="480" w:firstLineChars="200"/>
              <w:rPr>
                <w:color w:val="auto"/>
                <w:kern w:val="0"/>
                <w:sz w:val="24"/>
              </w:rPr>
            </w:pPr>
            <w:r>
              <w:rPr>
                <w:color w:val="auto"/>
                <w:kern w:val="0"/>
                <w:sz w:val="24"/>
              </w:rPr>
              <w:t>（2）排水</w:t>
            </w:r>
          </w:p>
          <w:p>
            <w:pPr>
              <w:autoSpaceDE w:val="0"/>
              <w:autoSpaceDN w:val="0"/>
              <w:adjustRightInd w:val="0"/>
              <w:snapToGrid w:val="0"/>
              <w:spacing w:line="360" w:lineRule="auto"/>
              <w:ind w:firstLine="440" w:firstLineChars="200"/>
              <w:rPr>
                <w:color w:val="auto"/>
                <w:kern w:val="0"/>
                <w:sz w:val="24"/>
              </w:rPr>
            </w:pPr>
            <w:r>
              <w:rPr>
                <w:rFonts w:hint="eastAsia"/>
                <w:bCs/>
                <w:color w:val="auto"/>
                <w:spacing w:val="-10"/>
                <w:sz w:val="24"/>
              </w:rPr>
              <w:t>本项目生活污水经预处理后暂存，定期清掏，用于附近农用地浇灌，不外排；初期雨水经处理后用用，不外排。</w:t>
            </w:r>
          </w:p>
          <w:p>
            <w:pPr>
              <w:autoSpaceDE w:val="0"/>
              <w:autoSpaceDN w:val="0"/>
              <w:adjustRightInd w:val="0"/>
              <w:snapToGrid w:val="0"/>
              <w:spacing w:line="360" w:lineRule="auto"/>
              <w:ind w:firstLine="480" w:firstLineChars="200"/>
              <w:rPr>
                <w:color w:val="auto"/>
                <w:kern w:val="0"/>
                <w:sz w:val="24"/>
              </w:rPr>
            </w:pPr>
            <w:r>
              <w:rPr>
                <w:color w:val="auto"/>
                <w:kern w:val="0"/>
                <w:sz w:val="24"/>
              </w:rPr>
              <w:t>（3）供电</w:t>
            </w:r>
          </w:p>
          <w:p>
            <w:pPr>
              <w:autoSpaceDE w:val="0"/>
              <w:autoSpaceDN w:val="0"/>
              <w:adjustRightInd w:val="0"/>
              <w:snapToGrid w:val="0"/>
              <w:spacing w:line="360" w:lineRule="auto"/>
              <w:ind w:firstLine="480" w:firstLineChars="200"/>
              <w:rPr>
                <w:color w:val="auto"/>
                <w:kern w:val="0"/>
                <w:sz w:val="24"/>
              </w:rPr>
            </w:pPr>
            <w:r>
              <w:rPr>
                <w:color w:val="auto"/>
                <w:kern w:val="0"/>
                <w:sz w:val="24"/>
              </w:rPr>
              <w:t>本项目用电接自市政电网，可以满足项目生产需要。</w:t>
            </w:r>
          </w:p>
          <w:p>
            <w:pPr>
              <w:autoSpaceDE w:val="0"/>
              <w:autoSpaceDN w:val="0"/>
              <w:adjustRightInd w:val="0"/>
              <w:snapToGrid w:val="0"/>
              <w:spacing w:line="360" w:lineRule="auto"/>
              <w:ind w:firstLine="482" w:firstLineChars="200"/>
              <w:rPr>
                <w:b/>
                <w:bCs/>
                <w:color w:val="auto"/>
                <w:kern w:val="0"/>
                <w:sz w:val="24"/>
              </w:rPr>
            </w:pPr>
            <w:r>
              <w:rPr>
                <w:b/>
                <w:bCs/>
                <w:color w:val="auto"/>
                <w:kern w:val="0"/>
                <w:sz w:val="24"/>
              </w:rPr>
              <w:t>（七）劳动定员及工作制度</w:t>
            </w:r>
          </w:p>
          <w:p>
            <w:pPr>
              <w:autoSpaceDE w:val="0"/>
              <w:autoSpaceDN w:val="0"/>
              <w:adjustRightInd w:val="0"/>
              <w:snapToGrid w:val="0"/>
              <w:spacing w:line="360" w:lineRule="auto"/>
              <w:ind w:firstLine="480" w:firstLineChars="200"/>
              <w:rPr>
                <w:color w:val="auto"/>
                <w:kern w:val="0"/>
                <w:sz w:val="24"/>
              </w:rPr>
            </w:pPr>
            <w:r>
              <w:rPr>
                <w:color w:val="auto"/>
                <w:kern w:val="0"/>
                <w:sz w:val="24"/>
              </w:rPr>
              <w:t>本项目劳动定员为4人，厂区内不设食宿；本项目年工作</w:t>
            </w:r>
            <w:r>
              <w:rPr>
                <w:rFonts w:hint="eastAsia"/>
                <w:color w:val="auto"/>
                <w:kern w:val="0"/>
                <w:sz w:val="24"/>
              </w:rPr>
              <w:t>15</w:t>
            </w:r>
            <w:r>
              <w:rPr>
                <w:color w:val="auto"/>
                <w:kern w:val="0"/>
                <w:sz w:val="24"/>
              </w:rPr>
              <w:t>0天，实行白班制（生产时间为</w:t>
            </w:r>
            <w:r>
              <w:rPr>
                <w:rFonts w:hint="eastAsia"/>
                <w:color w:val="auto"/>
                <w:kern w:val="0"/>
                <w:sz w:val="24"/>
              </w:rPr>
              <w:t>9</w:t>
            </w:r>
            <w:r>
              <w:rPr>
                <w:color w:val="auto"/>
                <w:kern w:val="0"/>
                <w:sz w:val="24"/>
              </w:rPr>
              <w:t>:00~</w:t>
            </w:r>
            <w:r>
              <w:rPr>
                <w:rFonts w:hint="eastAsia"/>
                <w:color w:val="auto"/>
                <w:kern w:val="0"/>
                <w:sz w:val="24"/>
              </w:rPr>
              <w:t>17</w:t>
            </w:r>
            <w:r>
              <w:rPr>
                <w:color w:val="auto"/>
                <w:kern w:val="0"/>
                <w:sz w:val="24"/>
              </w:rPr>
              <w:t>:00），每天</w:t>
            </w:r>
            <w:r>
              <w:rPr>
                <w:rFonts w:hint="eastAsia"/>
                <w:color w:val="auto"/>
                <w:kern w:val="0"/>
                <w:sz w:val="24"/>
              </w:rPr>
              <w:t>一</w:t>
            </w:r>
            <w:r>
              <w:rPr>
                <w:color w:val="auto"/>
                <w:kern w:val="0"/>
                <w:sz w:val="24"/>
              </w:rPr>
              <w:t>班，每班8小时。</w:t>
            </w:r>
          </w:p>
          <w:p>
            <w:pPr>
              <w:autoSpaceDE w:val="0"/>
              <w:autoSpaceDN w:val="0"/>
              <w:adjustRightInd w:val="0"/>
              <w:snapToGrid w:val="0"/>
              <w:spacing w:line="360" w:lineRule="auto"/>
              <w:ind w:firstLine="482" w:firstLineChars="200"/>
              <w:rPr>
                <w:b/>
                <w:bCs/>
                <w:color w:val="auto"/>
                <w:kern w:val="0"/>
                <w:sz w:val="24"/>
              </w:rPr>
            </w:pPr>
            <w:r>
              <w:rPr>
                <w:b/>
                <w:bCs/>
                <w:color w:val="auto"/>
                <w:kern w:val="0"/>
                <w:sz w:val="24"/>
              </w:rPr>
              <w:t>（八）项目四至情况</w:t>
            </w:r>
          </w:p>
          <w:p>
            <w:pPr>
              <w:autoSpaceDE w:val="0"/>
              <w:autoSpaceDN w:val="0"/>
              <w:adjustRightInd w:val="0"/>
              <w:snapToGrid w:val="0"/>
              <w:spacing w:line="360" w:lineRule="auto"/>
              <w:ind w:firstLine="480" w:firstLineChars="200"/>
              <w:rPr>
                <w:color w:val="auto"/>
                <w:kern w:val="0"/>
                <w:sz w:val="24"/>
              </w:rPr>
            </w:pPr>
            <w:r>
              <w:rPr>
                <w:color w:val="auto"/>
                <w:kern w:val="0"/>
                <w:sz w:val="24"/>
              </w:rPr>
              <w:t>根据现场勘查得知，本项目东厂界外为农用地，南厂界外为农用地，西厂界外为农用地，北厂界外为农用地。</w:t>
            </w: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tc>
      </w:tr>
    </w:tbl>
    <w:p>
      <w:pPr>
        <w:jc w:val="center"/>
        <w:outlineLvl w:val="0"/>
        <w:rPr>
          <w:rFonts w:eastAsia="黑体"/>
          <w:b/>
          <w:bCs/>
          <w:snapToGrid w:val="0"/>
          <w:color w:val="auto"/>
          <w:sz w:val="30"/>
          <w:szCs w:val="30"/>
        </w:rPr>
        <w:sectPr>
          <w:pgSz w:w="11906" w:h="16838"/>
          <w:pgMar w:top="1440" w:right="1083" w:bottom="1440" w:left="1083" w:header="851" w:footer="851" w:gutter="0"/>
          <w:cols w:space="720" w:num="1"/>
          <w:docGrid w:linePitch="312" w:charSpace="0"/>
        </w:sectPr>
      </w:pPr>
    </w:p>
    <w:tbl>
      <w:tblPr>
        <w:tblStyle w:val="8"/>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6"/>
        <w:gridCol w:w="94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9" w:type="pct"/>
            <w:noWrap w:val="0"/>
            <w:vAlign w:val="center"/>
          </w:tcPr>
          <w:p>
            <w:pPr>
              <w:adjustRightInd w:val="0"/>
              <w:snapToGrid w:val="0"/>
              <w:jc w:val="center"/>
              <w:rPr>
                <w:b/>
                <w:bCs/>
                <w:color w:val="auto"/>
                <w:sz w:val="24"/>
              </w:rPr>
            </w:pPr>
            <w:r>
              <w:rPr>
                <w:b/>
                <w:bCs/>
                <w:color w:val="auto"/>
                <w:sz w:val="24"/>
              </w:rPr>
              <w:t>工艺流程和产排污环节</w:t>
            </w:r>
          </w:p>
        </w:tc>
        <w:tc>
          <w:tcPr>
            <w:tcW w:w="4770" w:type="pct"/>
            <w:noWrap w:val="0"/>
            <w:vAlign w:val="center"/>
          </w:tcPr>
          <w:p>
            <w:pPr>
              <w:autoSpaceDE w:val="0"/>
              <w:autoSpaceDN w:val="0"/>
              <w:adjustRightInd w:val="0"/>
              <w:snapToGrid w:val="0"/>
              <w:spacing w:line="360" w:lineRule="auto"/>
              <w:ind w:firstLine="482" w:firstLineChars="200"/>
              <w:rPr>
                <w:b/>
                <w:bCs/>
                <w:color w:val="auto"/>
                <w:kern w:val="0"/>
                <w:sz w:val="24"/>
              </w:rPr>
            </w:pPr>
            <w:r>
              <w:rPr>
                <w:b/>
                <w:bCs/>
                <w:color w:val="auto"/>
                <w:kern w:val="0"/>
                <w:sz w:val="24"/>
              </w:rPr>
              <w:t>（一）施工期</w:t>
            </w:r>
          </w:p>
          <w:p>
            <w:pPr>
              <w:topLinePunct/>
              <w:snapToGrid w:val="0"/>
              <w:spacing w:line="360" w:lineRule="auto"/>
              <w:ind w:firstLine="480" w:firstLineChars="200"/>
              <w:rPr>
                <w:color w:val="auto"/>
                <w:sz w:val="24"/>
              </w:rPr>
            </w:pPr>
            <w:r>
              <w:rPr>
                <w:color w:val="auto"/>
                <w:sz w:val="24"/>
              </w:rPr>
              <w:t>（1）工艺流程</w:t>
            </w:r>
          </w:p>
          <w:p>
            <w:pPr>
              <w:topLinePunct/>
              <w:snapToGrid w:val="0"/>
              <w:spacing w:line="360" w:lineRule="auto"/>
              <w:ind w:firstLine="480" w:firstLineChars="200"/>
              <w:rPr>
                <w:color w:val="auto"/>
                <w:sz w:val="24"/>
              </w:rPr>
            </w:pPr>
            <w:r>
              <w:rPr>
                <w:color w:val="auto"/>
                <w:sz w:val="24"/>
              </w:rPr>
              <w:t>本项目属于一般的土建工程，施工期具体的施工工艺流程见下图2-1：</w:t>
            </w:r>
          </w:p>
          <w:p>
            <w:pPr>
              <w:topLinePunct/>
              <w:snapToGrid w:val="0"/>
              <w:jc w:val="center"/>
              <w:rPr>
                <w:rFonts w:hint="eastAsia"/>
                <w:color w:val="auto"/>
                <w:sz w:val="24"/>
              </w:rPr>
            </w:pPr>
            <w:r>
              <w:rPr>
                <w:rFonts w:hint="eastAsia"/>
                <w:color w:val="auto"/>
                <w:sz w:val="24"/>
              </w:rPr>
              <w:drawing>
                <wp:inline distT="0" distB="0" distL="114300" distR="114300">
                  <wp:extent cx="5676265" cy="4451985"/>
                  <wp:effectExtent l="0" t="0" r="635" b="5715"/>
                  <wp:docPr id="1" name="图片 20" descr="1684107036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 descr="1684107036703"/>
                          <pic:cNvPicPr>
                            <a:picLocks noChangeAspect="1"/>
                          </pic:cNvPicPr>
                        </pic:nvPicPr>
                        <pic:blipFill>
                          <a:blip r:embed="rId6"/>
                          <a:srcRect l="748" t="769" r="925" b="1176"/>
                          <a:stretch>
                            <a:fillRect/>
                          </a:stretch>
                        </pic:blipFill>
                        <pic:spPr>
                          <a:xfrm>
                            <a:off x="0" y="0"/>
                            <a:ext cx="5676265" cy="4451985"/>
                          </a:xfrm>
                          <a:prstGeom prst="rect">
                            <a:avLst/>
                          </a:prstGeom>
                          <a:noFill/>
                          <a:ln>
                            <a:noFill/>
                          </a:ln>
                        </pic:spPr>
                      </pic:pic>
                    </a:graphicData>
                  </a:graphic>
                </wp:inline>
              </w:drawing>
            </w:r>
          </w:p>
          <w:p>
            <w:pPr>
              <w:topLinePunct/>
              <w:snapToGrid w:val="0"/>
              <w:spacing w:line="360" w:lineRule="auto"/>
              <w:jc w:val="center"/>
              <w:rPr>
                <w:b/>
                <w:bCs/>
                <w:color w:val="auto"/>
                <w:sz w:val="24"/>
              </w:rPr>
            </w:pPr>
            <w:r>
              <w:rPr>
                <w:b/>
                <w:bCs/>
                <w:color w:val="auto"/>
                <w:sz w:val="24"/>
              </w:rPr>
              <w:t>图2-1  施工工艺流程图</w:t>
            </w:r>
          </w:p>
          <w:p>
            <w:pPr>
              <w:autoSpaceDE w:val="0"/>
              <w:autoSpaceDN w:val="0"/>
              <w:adjustRightInd w:val="0"/>
              <w:snapToGrid w:val="0"/>
              <w:spacing w:line="360" w:lineRule="auto"/>
              <w:ind w:firstLine="482" w:firstLineChars="200"/>
              <w:rPr>
                <w:b/>
                <w:bCs/>
                <w:color w:val="auto"/>
                <w:kern w:val="0"/>
                <w:sz w:val="24"/>
              </w:rPr>
            </w:pPr>
          </w:p>
          <w:p>
            <w:pPr>
              <w:autoSpaceDE w:val="0"/>
              <w:autoSpaceDN w:val="0"/>
              <w:adjustRightInd w:val="0"/>
              <w:snapToGrid w:val="0"/>
              <w:spacing w:line="360" w:lineRule="auto"/>
              <w:ind w:firstLine="482" w:firstLineChars="200"/>
              <w:rPr>
                <w:b/>
                <w:bCs/>
                <w:color w:val="auto"/>
                <w:kern w:val="0"/>
                <w:sz w:val="24"/>
              </w:rPr>
            </w:pPr>
          </w:p>
          <w:p>
            <w:pPr>
              <w:autoSpaceDE w:val="0"/>
              <w:autoSpaceDN w:val="0"/>
              <w:adjustRightInd w:val="0"/>
              <w:snapToGrid w:val="0"/>
              <w:spacing w:line="360" w:lineRule="auto"/>
              <w:ind w:firstLine="482" w:firstLineChars="200"/>
              <w:rPr>
                <w:b/>
                <w:bCs/>
                <w:color w:val="auto"/>
                <w:kern w:val="0"/>
                <w:sz w:val="24"/>
              </w:rPr>
            </w:pPr>
          </w:p>
          <w:p>
            <w:pPr>
              <w:autoSpaceDE w:val="0"/>
              <w:autoSpaceDN w:val="0"/>
              <w:adjustRightInd w:val="0"/>
              <w:snapToGrid w:val="0"/>
              <w:spacing w:line="360" w:lineRule="auto"/>
              <w:ind w:firstLine="482" w:firstLineChars="200"/>
              <w:rPr>
                <w:b/>
                <w:bCs/>
                <w:color w:val="auto"/>
                <w:kern w:val="0"/>
                <w:sz w:val="24"/>
              </w:rPr>
            </w:pPr>
          </w:p>
          <w:p>
            <w:pPr>
              <w:autoSpaceDE w:val="0"/>
              <w:autoSpaceDN w:val="0"/>
              <w:adjustRightInd w:val="0"/>
              <w:snapToGrid w:val="0"/>
              <w:spacing w:line="360" w:lineRule="auto"/>
              <w:ind w:firstLine="482" w:firstLineChars="200"/>
              <w:rPr>
                <w:b/>
                <w:bCs/>
                <w:color w:val="auto"/>
                <w:kern w:val="0"/>
                <w:sz w:val="24"/>
              </w:rPr>
            </w:pPr>
          </w:p>
          <w:p>
            <w:pPr>
              <w:autoSpaceDE w:val="0"/>
              <w:autoSpaceDN w:val="0"/>
              <w:adjustRightInd w:val="0"/>
              <w:snapToGrid w:val="0"/>
              <w:spacing w:line="360" w:lineRule="auto"/>
              <w:ind w:firstLine="482" w:firstLineChars="200"/>
              <w:rPr>
                <w:b/>
                <w:bCs/>
                <w:color w:val="auto"/>
                <w:kern w:val="0"/>
                <w:sz w:val="24"/>
              </w:rPr>
            </w:pPr>
          </w:p>
          <w:p>
            <w:pPr>
              <w:autoSpaceDE w:val="0"/>
              <w:autoSpaceDN w:val="0"/>
              <w:adjustRightInd w:val="0"/>
              <w:snapToGrid w:val="0"/>
              <w:spacing w:line="360" w:lineRule="auto"/>
              <w:ind w:firstLine="482" w:firstLineChars="200"/>
              <w:rPr>
                <w:b/>
                <w:bCs/>
                <w:color w:val="auto"/>
                <w:kern w:val="0"/>
                <w:sz w:val="24"/>
              </w:rPr>
            </w:pPr>
          </w:p>
          <w:p>
            <w:pPr>
              <w:autoSpaceDE w:val="0"/>
              <w:autoSpaceDN w:val="0"/>
              <w:adjustRightInd w:val="0"/>
              <w:snapToGrid w:val="0"/>
              <w:spacing w:line="360" w:lineRule="auto"/>
              <w:ind w:firstLine="482" w:firstLineChars="200"/>
              <w:rPr>
                <w:b/>
                <w:bCs/>
                <w:color w:val="auto"/>
                <w:kern w:val="0"/>
                <w:sz w:val="24"/>
              </w:rPr>
            </w:pPr>
          </w:p>
          <w:p>
            <w:pPr>
              <w:autoSpaceDE w:val="0"/>
              <w:autoSpaceDN w:val="0"/>
              <w:adjustRightInd w:val="0"/>
              <w:snapToGrid w:val="0"/>
              <w:spacing w:line="360" w:lineRule="auto"/>
              <w:ind w:firstLine="482" w:firstLineChars="200"/>
              <w:rPr>
                <w:b/>
                <w:bCs/>
                <w:color w:val="auto"/>
                <w:kern w:val="0"/>
                <w:sz w:val="24"/>
              </w:rPr>
            </w:pPr>
          </w:p>
          <w:p>
            <w:pPr>
              <w:autoSpaceDE w:val="0"/>
              <w:autoSpaceDN w:val="0"/>
              <w:adjustRightInd w:val="0"/>
              <w:snapToGrid w:val="0"/>
              <w:spacing w:line="360" w:lineRule="auto"/>
              <w:ind w:firstLine="482" w:firstLineChars="200"/>
              <w:rPr>
                <w:b/>
                <w:bCs/>
                <w:color w:val="auto"/>
                <w:kern w:val="0"/>
                <w:sz w:val="24"/>
              </w:rPr>
            </w:pPr>
          </w:p>
          <w:p>
            <w:pPr>
              <w:autoSpaceDE w:val="0"/>
              <w:autoSpaceDN w:val="0"/>
              <w:adjustRightInd w:val="0"/>
              <w:snapToGrid w:val="0"/>
              <w:spacing w:line="360" w:lineRule="auto"/>
              <w:ind w:firstLine="482" w:firstLineChars="200"/>
              <w:rPr>
                <w:b/>
                <w:bCs/>
                <w:color w:val="auto"/>
                <w:kern w:val="0"/>
                <w:sz w:val="24"/>
              </w:rPr>
            </w:pPr>
          </w:p>
          <w:p>
            <w:pPr>
              <w:autoSpaceDE w:val="0"/>
              <w:autoSpaceDN w:val="0"/>
              <w:adjustRightInd w:val="0"/>
              <w:snapToGrid w:val="0"/>
              <w:spacing w:line="360" w:lineRule="auto"/>
              <w:ind w:firstLine="482" w:firstLineChars="200"/>
              <w:rPr>
                <w:b/>
                <w:bCs/>
                <w:color w:val="auto"/>
                <w:kern w:val="0"/>
                <w:sz w:val="24"/>
              </w:rPr>
            </w:pPr>
          </w:p>
          <w:p>
            <w:pPr>
              <w:autoSpaceDE w:val="0"/>
              <w:autoSpaceDN w:val="0"/>
              <w:adjustRightInd w:val="0"/>
              <w:snapToGrid w:val="0"/>
              <w:spacing w:line="360" w:lineRule="auto"/>
              <w:ind w:firstLine="482" w:firstLineChars="200"/>
              <w:rPr>
                <w:b/>
                <w:bCs/>
                <w:color w:val="auto"/>
                <w:kern w:val="0"/>
                <w:sz w:val="24"/>
              </w:rPr>
            </w:pPr>
            <w:r>
              <w:rPr>
                <w:b/>
                <w:bCs/>
                <w:color w:val="auto"/>
                <w:kern w:val="0"/>
                <w:sz w:val="24"/>
              </w:rPr>
              <w:t>（二）运营期</w:t>
            </w:r>
          </w:p>
          <w:p>
            <w:pPr>
              <w:autoSpaceDE w:val="0"/>
              <w:autoSpaceDN w:val="0"/>
              <w:adjustRightInd w:val="0"/>
              <w:snapToGrid w:val="0"/>
              <w:spacing w:line="360" w:lineRule="auto"/>
              <w:ind w:firstLine="482" w:firstLineChars="200"/>
              <w:rPr>
                <w:b/>
                <w:bCs/>
                <w:color w:val="auto"/>
                <w:kern w:val="0"/>
                <w:sz w:val="24"/>
              </w:rPr>
            </w:pPr>
            <w:r>
              <w:rPr>
                <w:b/>
                <w:bCs/>
                <w:color w:val="auto"/>
                <w:kern w:val="0"/>
                <w:sz w:val="24"/>
              </w:rPr>
              <w:t>1.生产工艺流程及产排污环节</w:t>
            </w:r>
          </w:p>
          <w:p>
            <w:pPr>
              <w:autoSpaceDE w:val="0"/>
              <w:autoSpaceDN w:val="0"/>
              <w:adjustRightInd w:val="0"/>
              <w:snapToGrid w:val="0"/>
              <w:spacing w:line="360" w:lineRule="auto"/>
              <w:ind w:firstLine="480" w:firstLineChars="200"/>
              <w:rPr>
                <w:color w:val="auto"/>
                <w:kern w:val="0"/>
                <w:sz w:val="24"/>
              </w:rPr>
            </w:pPr>
            <w:r>
              <w:rPr>
                <w:color w:val="auto"/>
                <w:kern w:val="0"/>
                <w:sz w:val="24"/>
              </w:rPr>
              <w:t>本项目生产工艺流程及产污节点如下图：</w:t>
            </w:r>
          </w:p>
          <w:p>
            <w:pPr>
              <w:autoSpaceDE w:val="0"/>
              <w:autoSpaceDN w:val="0"/>
              <w:adjustRightInd w:val="0"/>
              <w:snapToGrid w:val="0"/>
              <w:jc w:val="center"/>
              <w:rPr>
                <w:rFonts w:hint="eastAsia"/>
                <w:b/>
                <w:bCs/>
                <w:color w:val="auto"/>
                <w:kern w:val="0"/>
                <w:sz w:val="24"/>
              </w:rPr>
            </w:pPr>
            <w:r>
              <w:rPr>
                <w:rFonts w:hint="eastAsia"/>
                <w:b/>
                <w:bCs/>
                <w:color w:val="auto"/>
                <w:kern w:val="0"/>
                <w:sz w:val="24"/>
              </w:rPr>
              <w:drawing>
                <wp:inline distT="0" distB="0" distL="114300" distR="114300">
                  <wp:extent cx="7007225" cy="4815205"/>
                  <wp:effectExtent l="0" t="0" r="3175" b="4445"/>
                  <wp:docPr id="2" name="图片 21" descr="附图：工艺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descr="附图：工艺流程图"/>
                          <pic:cNvPicPr>
                            <a:picLocks noChangeAspect="1"/>
                          </pic:cNvPicPr>
                        </pic:nvPicPr>
                        <pic:blipFill>
                          <a:blip r:embed="rId7"/>
                          <a:srcRect l="7050" t="5908" r="4556" b="8214"/>
                          <a:stretch>
                            <a:fillRect/>
                          </a:stretch>
                        </pic:blipFill>
                        <pic:spPr>
                          <a:xfrm>
                            <a:off x="0" y="0"/>
                            <a:ext cx="7007225" cy="4815205"/>
                          </a:xfrm>
                          <a:prstGeom prst="rect">
                            <a:avLst/>
                          </a:prstGeom>
                          <a:noFill/>
                          <a:ln>
                            <a:noFill/>
                          </a:ln>
                        </pic:spPr>
                      </pic:pic>
                    </a:graphicData>
                  </a:graphic>
                </wp:inline>
              </w:drawing>
            </w:r>
          </w:p>
          <w:p>
            <w:pPr>
              <w:autoSpaceDE w:val="0"/>
              <w:autoSpaceDN w:val="0"/>
              <w:adjustRightInd w:val="0"/>
              <w:snapToGrid w:val="0"/>
              <w:spacing w:line="360" w:lineRule="auto"/>
              <w:jc w:val="center"/>
              <w:rPr>
                <w:b/>
                <w:bCs/>
                <w:color w:val="auto"/>
                <w:kern w:val="0"/>
                <w:sz w:val="24"/>
              </w:rPr>
            </w:pPr>
            <w:r>
              <w:rPr>
                <w:b/>
                <w:bCs/>
                <w:color w:val="auto"/>
                <w:kern w:val="0"/>
                <w:sz w:val="24"/>
              </w:rPr>
              <w:t>图2-2  生产工艺流程及产排污环节图</w:t>
            </w:r>
          </w:p>
          <w:p>
            <w:pPr>
              <w:spacing w:line="360" w:lineRule="auto"/>
              <w:ind w:firstLine="482" w:firstLineChars="200"/>
              <w:rPr>
                <w:color w:val="auto"/>
                <w:sz w:val="24"/>
              </w:rPr>
            </w:pPr>
            <w:r>
              <w:rPr>
                <w:b/>
                <w:color w:val="auto"/>
                <w:sz w:val="24"/>
              </w:rPr>
              <w:t>2.生产工艺流程简述</w:t>
            </w:r>
          </w:p>
          <w:p>
            <w:pPr>
              <w:snapToGrid w:val="0"/>
              <w:spacing w:line="360" w:lineRule="auto"/>
              <w:ind w:firstLine="480" w:firstLineChars="200"/>
              <w:rPr>
                <w:color w:val="auto"/>
                <w:kern w:val="0"/>
                <w:sz w:val="24"/>
              </w:rPr>
            </w:pPr>
            <w:r>
              <w:rPr>
                <w:color w:val="auto"/>
                <w:kern w:val="0"/>
                <w:sz w:val="24"/>
              </w:rPr>
              <w:t>再生沥青混凝土是将旧沥青混凝土路面铣刨后运到厂区内，根据旧料中的沥青含量、沥青老化程度、集料级配等情况，掺入一定数量的骨料进行热态拌和，使混合料达到规定的各项指标，并按热拌沥青混合料的施工工艺重新铺筑路面。</w:t>
            </w:r>
          </w:p>
          <w:p>
            <w:pPr>
              <w:snapToGrid w:val="0"/>
              <w:spacing w:line="360" w:lineRule="auto"/>
              <w:ind w:firstLine="480" w:firstLineChars="200"/>
              <w:rPr>
                <w:color w:val="auto"/>
                <w:kern w:val="0"/>
                <w:sz w:val="24"/>
              </w:rPr>
            </w:pPr>
            <w:r>
              <w:rPr>
                <w:color w:val="auto"/>
                <w:kern w:val="0"/>
                <w:sz w:val="24"/>
              </w:rPr>
              <w:t>1、骨料预处理</w:t>
            </w:r>
          </w:p>
          <w:p>
            <w:pPr>
              <w:snapToGrid w:val="0"/>
              <w:spacing w:line="360" w:lineRule="auto"/>
              <w:ind w:firstLine="480" w:firstLineChars="200"/>
              <w:rPr>
                <w:color w:val="auto"/>
                <w:kern w:val="0"/>
                <w:sz w:val="24"/>
              </w:rPr>
            </w:pPr>
            <w:r>
              <w:rPr>
                <w:color w:val="auto"/>
                <w:kern w:val="0"/>
                <w:sz w:val="24"/>
              </w:rPr>
              <w:t>项目骨料为外购的不同粒径的碎石，项目外购不同规格粒径的碎石，由汽车运入厂区后直接堆放在料场，生产时将骨料从料场送入冷料仓，通过皮带输送机输送至干燥滚筒（此过程采用完全封闭的输送方式），骨料搅拌前需要经过干燥滚筒加热处理，使沥青搅拌产品不至于因过快冷却而带来运输上的不便，干燥滚筒为逆流干燥方式，重油燃烧产生的热气与其直接加热干燥，加热过程中干燥滚筒不停地转动，使骨料受热均匀，烘干温度为160~200℃。加热后的骨料通过骨料提升机送到骨料筛选系统内经过振动筛筛分，让符合产品要求的骨料通过，经计量系统计量后送入搅拌系统即完成骨料预处理。不符合规格的被分离由专门的出口排出，收集后送回堆场，干燥滚筒、筛分系统均在密闭条件下进行，其产生的粉尘经袋式除尘器处理。</w:t>
            </w:r>
          </w:p>
          <w:p>
            <w:pPr>
              <w:snapToGrid w:val="0"/>
              <w:spacing w:line="360" w:lineRule="auto"/>
              <w:ind w:firstLine="480" w:firstLineChars="200"/>
              <w:rPr>
                <w:color w:val="auto"/>
                <w:kern w:val="0"/>
                <w:sz w:val="24"/>
              </w:rPr>
            </w:pPr>
            <w:r>
              <w:rPr>
                <w:color w:val="auto"/>
                <w:kern w:val="0"/>
                <w:sz w:val="24"/>
              </w:rPr>
              <w:t>2、再生沥青预处理</w:t>
            </w:r>
          </w:p>
          <w:p>
            <w:pPr>
              <w:snapToGrid w:val="0"/>
              <w:spacing w:line="360" w:lineRule="auto"/>
              <w:ind w:firstLine="480" w:firstLineChars="200"/>
              <w:rPr>
                <w:color w:val="auto"/>
                <w:kern w:val="0"/>
                <w:sz w:val="24"/>
              </w:rPr>
            </w:pPr>
            <w:r>
              <w:rPr>
                <w:rFonts w:hint="eastAsia"/>
                <w:color w:val="auto"/>
                <w:kern w:val="0"/>
                <w:sz w:val="24"/>
                <w:lang w:eastAsia="zh-CN"/>
              </w:rPr>
              <w:t>沥青洗刨料</w:t>
            </w:r>
            <w:r>
              <w:rPr>
                <w:color w:val="auto"/>
                <w:kern w:val="0"/>
                <w:sz w:val="24"/>
              </w:rPr>
              <w:t>外购进厂时为固体状态，通过皮带输送机输送至加热筒中加热，所需热量由燃烧柴油导热油炉提供，加热过程中加热筒不停地转动，使废料受热均匀，加热温度为120℃（废旧沥青软化即可），随后加热的废料经计量系统计量后送入搅拌系统即完成再生沥青预处理。</w:t>
            </w:r>
          </w:p>
          <w:p>
            <w:pPr>
              <w:snapToGrid w:val="0"/>
              <w:spacing w:line="360" w:lineRule="auto"/>
              <w:ind w:firstLine="480" w:firstLineChars="200"/>
              <w:rPr>
                <w:color w:val="auto"/>
                <w:kern w:val="0"/>
                <w:sz w:val="24"/>
              </w:rPr>
            </w:pPr>
            <w:r>
              <w:rPr>
                <w:color w:val="auto"/>
                <w:kern w:val="0"/>
                <w:sz w:val="24"/>
              </w:rPr>
              <w:t>3、搅拌</w:t>
            </w:r>
          </w:p>
          <w:p>
            <w:pPr>
              <w:snapToGrid w:val="0"/>
              <w:spacing w:line="360" w:lineRule="auto"/>
              <w:ind w:firstLine="480" w:firstLineChars="200"/>
              <w:rPr>
                <w:color w:val="auto"/>
                <w:kern w:val="0"/>
                <w:sz w:val="24"/>
              </w:rPr>
            </w:pPr>
            <w:r>
              <w:rPr>
                <w:color w:val="auto"/>
                <w:kern w:val="0"/>
                <w:sz w:val="24"/>
              </w:rPr>
              <w:t>进入搅拌系统的骨料、</w:t>
            </w:r>
            <w:r>
              <w:rPr>
                <w:rFonts w:hint="eastAsia"/>
                <w:color w:val="auto"/>
                <w:kern w:val="0"/>
                <w:sz w:val="24"/>
                <w:lang w:eastAsia="zh-CN"/>
              </w:rPr>
              <w:t>沥青洗刨料</w:t>
            </w:r>
            <w:r>
              <w:rPr>
                <w:color w:val="auto"/>
                <w:kern w:val="0"/>
                <w:sz w:val="24"/>
              </w:rPr>
              <w:t>经桨叶搅拌机搅拌后成为产品再生沥青混凝土，整个过程都在密闭系统中进行，搅拌完成后，再自落式卸出落入专用沥青混凝土运输车中外运，出料口温度为110~170℃，出料口设置全封闭。</w:t>
            </w: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p>
            <w:pPr>
              <w:autoSpaceDE w:val="0"/>
              <w:autoSpaceDN w:val="0"/>
              <w:adjustRightInd w:val="0"/>
              <w:snapToGrid w:val="0"/>
              <w:spacing w:line="360" w:lineRule="auto"/>
              <w:ind w:firstLine="480" w:firstLineChars="200"/>
              <w:rPr>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6" w:hRule="atLeast"/>
          <w:jc w:val="center"/>
        </w:trPr>
        <w:tc>
          <w:tcPr>
            <w:tcW w:w="229" w:type="pct"/>
            <w:noWrap w:val="0"/>
            <w:vAlign w:val="center"/>
          </w:tcPr>
          <w:p>
            <w:pPr>
              <w:adjustRightInd w:val="0"/>
              <w:snapToGrid w:val="0"/>
              <w:jc w:val="center"/>
              <w:rPr>
                <w:b/>
                <w:bCs/>
                <w:color w:val="auto"/>
                <w:sz w:val="24"/>
              </w:rPr>
            </w:pPr>
            <w:r>
              <w:rPr>
                <w:b/>
                <w:bCs/>
                <w:color w:val="auto"/>
                <w:sz w:val="24"/>
              </w:rPr>
              <w:t>与项目有关的原有环境污染问题</w:t>
            </w:r>
          </w:p>
        </w:tc>
        <w:tc>
          <w:tcPr>
            <w:tcW w:w="4770" w:type="pct"/>
            <w:noWrap w:val="0"/>
            <w:vAlign w:val="center"/>
          </w:tcPr>
          <w:p>
            <w:pPr>
              <w:autoSpaceDE w:val="0"/>
              <w:autoSpaceDN w:val="0"/>
              <w:adjustRightInd w:val="0"/>
              <w:snapToGrid w:val="0"/>
              <w:spacing w:line="360" w:lineRule="auto"/>
              <w:ind w:firstLine="480" w:firstLineChars="200"/>
              <w:rPr>
                <w:color w:val="auto"/>
                <w:kern w:val="0"/>
                <w:sz w:val="24"/>
              </w:rPr>
            </w:pPr>
            <w:r>
              <w:rPr>
                <w:color w:val="auto"/>
                <w:kern w:val="0"/>
                <w:sz w:val="24"/>
              </w:rPr>
              <w:t>本项目为新建项目，根据现场勘查，现状为林地，未发现与项目有关的原有环境污染问题。</w:t>
            </w:r>
          </w:p>
        </w:tc>
      </w:tr>
    </w:tbl>
    <w:p>
      <w:pPr>
        <w:jc w:val="center"/>
        <w:rPr>
          <w:rFonts w:eastAsia="黑体"/>
          <w:snapToGrid w:val="0"/>
          <w:color w:val="auto"/>
          <w:sz w:val="36"/>
          <w:szCs w:val="36"/>
        </w:rPr>
        <w:sectPr>
          <w:pgSz w:w="11906" w:h="16838"/>
          <w:pgMar w:top="1440" w:right="1083" w:bottom="1440" w:left="1083" w:header="851" w:footer="851" w:gutter="0"/>
          <w:cols w:space="720" w:num="1"/>
          <w:docGrid w:linePitch="312" w:charSpace="0"/>
        </w:sectPr>
      </w:pPr>
    </w:p>
    <w:p>
      <w:pPr>
        <w:adjustRightInd w:val="0"/>
        <w:snapToGrid w:val="0"/>
        <w:spacing w:line="14" w:lineRule="auto"/>
        <w:jc w:val="center"/>
        <w:rPr>
          <w:rFonts w:eastAsia="黑体"/>
          <w:snapToGrid w:val="0"/>
          <w:color w:val="auto"/>
          <w:sz w:val="30"/>
          <w:szCs w:val="30"/>
        </w:rPr>
      </w:pPr>
    </w:p>
    <w:p>
      <w:pPr>
        <w:jc w:val="center"/>
        <w:outlineLvl w:val="0"/>
        <w:rPr>
          <w:rFonts w:eastAsia="黑体"/>
          <w:b/>
          <w:bCs/>
          <w:snapToGrid w:val="0"/>
          <w:color w:val="auto"/>
          <w:sz w:val="30"/>
          <w:szCs w:val="30"/>
        </w:rPr>
      </w:pPr>
      <w:r>
        <w:rPr>
          <w:rFonts w:eastAsia="黑体"/>
          <w:b/>
          <w:bCs/>
          <w:snapToGrid w:val="0"/>
          <w:color w:val="auto"/>
          <w:sz w:val="30"/>
          <w:szCs w:val="30"/>
        </w:rPr>
        <w:t>三、区域环境质量现状、环境保护目标及评价标准</w:t>
      </w:r>
    </w:p>
    <w:tbl>
      <w:tblPr>
        <w:tblStyle w:val="8"/>
        <w:tblW w:w="499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94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 w:type="pct"/>
            <w:noWrap w:val="0"/>
            <w:vAlign w:val="center"/>
          </w:tcPr>
          <w:p>
            <w:pPr>
              <w:adjustRightInd w:val="0"/>
              <w:snapToGrid w:val="0"/>
              <w:jc w:val="center"/>
              <w:rPr>
                <w:b/>
                <w:bCs/>
                <w:color w:val="auto"/>
                <w:kern w:val="0"/>
                <w:sz w:val="24"/>
              </w:rPr>
            </w:pPr>
            <w:r>
              <w:rPr>
                <w:b/>
                <w:bCs/>
                <w:color w:val="auto"/>
                <w:kern w:val="0"/>
                <w:sz w:val="24"/>
              </w:rPr>
              <w:t>区域</w:t>
            </w:r>
          </w:p>
          <w:p>
            <w:pPr>
              <w:adjustRightInd w:val="0"/>
              <w:snapToGrid w:val="0"/>
              <w:jc w:val="center"/>
              <w:rPr>
                <w:b/>
                <w:bCs/>
                <w:color w:val="auto"/>
                <w:kern w:val="0"/>
                <w:sz w:val="24"/>
              </w:rPr>
            </w:pPr>
            <w:r>
              <w:rPr>
                <w:b/>
                <w:bCs/>
                <w:color w:val="auto"/>
                <w:kern w:val="0"/>
                <w:sz w:val="24"/>
              </w:rPr>
              <w:t>环境</w:t>
            </w:r>
          </w:p>
          <w:p>
            <w:pPr>
              <w:adjustRightInd w:val="0"/>
              <w:snapToGrid w:val="0"/>
              <w:jc w:val="center"/>
              <w:rPr>
                <w:b/>
                <w:bCs/>
                <w:color w:val="auto"/>
                <w:kern w:val="0"/>
                <w:sz w:val="24"/>
              </w:rPr>
            </w:pPr>
            <w:r>
              <w:rPr>
                <w:b/>
                <w:bCs/>
                <w:color w:val="auto"/>
                <w:kern w:val="0"/>
                <w:sz w:val="24"/>
              </w:rPr>
              <w:t>质量</w:t>
            </w:r>
          </w:p>
          <w:p>
            <w:pPr>
              <w:adjustRightInd w:val="0"/>
              <w:snapToGrid w:val="0"/>
              <w:jc w:val="center"/>
              <w:rPr>
                <w:b/>
                <w:bCs/>
                <w:color w:val="auto"/>
                <w:kern w:val="0"/>
                <w:sz w:val="24"/>
              </w:rPr>
            </w:pPr>
            <w:r>
              <w:rPr>
                <w:b/>
                <w:bCs/>
                <w:color w:val="auto"/>
                <w:kern w:val="0"/>
                <w:sz w:val="24"/>
              </w:rPr>
              <w:t>现状</w:t>
            </w:r>
          </w:p>
        </w:tc>
        <w:tc>
          <w:tcPr>
            <w:tcW w:w="4741" w:type="pct"/>
            <w:noWrap w:val="0"/>
            <w:vAlign w:val="center"/>
          </w:tcPr>
          <w:p>
            <w:pPr>
              <w:adjustRightInd w:val="0"/>
              <w:snapToGrid w:val="0"/>
              <w:spacing w:line="360" w:lineRule="auto"/>
              <w:ind w:firstLine="480" w:firstLineChars="200"/>
              <w:jc w:val="left"/>
              <w:rPr>
                <w:color w:val="auto"/>
                <w:kern w:val="0"/>
                <w:sz w:val="24"/>
              </w:rPr>
            </w:pPr>
            <w:r>
              <w:rPr>
                <w:color w:val="auto"/>
                <w:kern w:val="0"/>
                <w:sz w:val="24"/>
              </w:rPr>
              <w:t>本项目位于</w:t>
            </w:r>
            <w:r>
              <w:rPr>
                <w:color w:val="auto"/>
                <w:sz w:val="24"/>
              </w:rPr>
              <w:t>江西省赣州市宁都县赖村镇邮村村崠子小组小间坑，厂区中心地理坐标为东经115°53′1.632″，北纬26°23′36.411″。</w:t>
            </w:r>
          </w:p>
          <w:p>
            <w:pPr>
              <w:adjustRightInd w:val="0"/>
              <w:snapToGrid w:val="0"/>
              <w:spacing w:line="360" w:lineRule="auto"/>
              <w:ind w:firstLine="482" w:firstLineChars="200"/>
              <w:rPr>
                <w:b/>
                <w:bCs/>
                <w:color w:val="auto"/>
                <w:kern w:val="0"/>
                <w:sz w:val="24"/>
              </w:rPr>
            </w:pPr>
            <w:r>
              <w:rPr>
                <w:b/>
                <w:bCs/>
                <w:color w:val="auto"/>
                <w:kern w:val="0"/>
                <w:sz w:val="24"/>
              </w:rPr>
              <w:t>（一）环境空气质量现状</w:t>
            </w:r>
          </w:p>
          <w:p>
            <w:pPr>
              <w:adjustRightInd w:val="0"/>
              <w:snapToGrid w:val="0"/>
              <w:spacing w:line="360" w:lineRule="auto"/>
              <w:ind w:firstLine="480" w:firstLineChars="200"/>
              <w:jc w:val="left"/>
              <w:rPr>
                <w:color w:val="auto"/>
                <w:kern w:val="0"/>
                <w:sz w:val="24"/>
              </w:rPr>
            </w:pPr>
            <w:r>
              <w:rPr>
                <w:color w:val="auto"/>
                <w:kern w:val="0"/>
                <w:sz w:val="24"/>
              </w:rPr>
              <w:t>根据《环境影响评价技术导则 大气环境》（HJ2.2-2018），调查项目所在区域环境质量达标情况，作为项目所在区域是否为达标区的判断依据，评价指标SO</w:t>
            </w:r>
            <w:r>
              <w:rPr>
                <w:color w:val="auto"/>
                <w:kern w:val="0"/>
                <w:sz w:val="24"/>
                <w:vertAlign w:val="subscript"/>
              </w:rPr>
              <w:t>2</w:t>
            </w:r>
            <w:r>
              <w:rPr>
                <w:color w:val="auto"/>
                <w:kern w:val="0"/>
                <w:sz w:val="24"/>
              </w:rPr>
              <w:t>、NO</w:t>
            </w:r>
            <w:r>
              <w:rPr>
                <w:color w:val="auto"/>
                <w:kern w:val="0"/>
                <w:sz w:val="24"/>
                <w:vertAlign w:val="subscript"/>
              </w:rPr>
              <w:t>2</w:t>
            </w:r>
            <w:r>
              <w:rPr>
                <w:color w:val="auto"/>
                <w:kern w:val="0"/>
                <w:sz w:val="24"/>
              </w:rPr>
              <w:t>、PM</w:t>
            </w:r>
            <w:r>
              <w:rPr>
                <w:color w:val="auto"/>
                <w:kern w:val="0"/>
                <w:sz w:val="24"/>
                <w:vertAlign w:val="subscript"/>
              </w:rPr>
              <w:t>10</w:t>
            </w:r>
            <w:r>
              <w:rPr>
                <w:color w:val="auto"/>
                <w:kern w:val="0"/>
                <w:sz w:val="24"/>
              </w:rPr>
              <w:t>、PM</w:t>
            </w:r>
            <w:r>
              <w:rPr>
                <w:color w:val="auto"/>
                <w:kern w:val="0"/>
                <w:sz w:val="24"/>
                <w:vertAlign w:val="subscript"/>
              </w:rPr>
              <w:t>2.5</w:t>
            </w:r>
            <w:r>
              <w:rPr>
                <w:color w:val="auto"/>
                <w:kern w:val="0"/>
                <w:sz w:val="24"/>
              </w:rPr>
              <w:t>、CO、O</w:t>
            </w:r>
            <w:r>
              <w:rPr>
                <w:color w:val="auto"/>
                <w:kern w:val="0"/>
                <w:sz w:val="24"/>
                <w:vertAlign w:val="subscript"/>
              </w:rPr>
              <w:t>3</w:t>
            </w:r>
            <w:r>
              <w:rPr>
                <w:color w:val="auto"/>
                <w:kern w:val="0"/>
                <w:sz w:val="24"/>
              </w:rPr>
              <w:t>六项污染物全部达标即为达标区，若有一项不达标，则判定为不达标区。</w:t>
            </w:r>
          </w:p>
          <w:p>
            <w:pPr>
              <w:adjustRightInd w:val="0"/>
              <w:snapToGrid w:val="0"/>
              <w:spacing w:line="360" w:lineRule="auto"/>
              <w:ind w:firstLine="480" w:firstLineChars="200"/>
              <w:jc w:val="left"/>
              <w:rPr>
                <w:color w:val="auto"/>
                <w:kern w:val="0"/>
                <w:sz w:val="24"/>
              </w:rPr>
            </w:pPr>
            <w:r>
              <w:rPr>
                <w:color w:val="auto"/>
                <w:kern w:val="0"/>
                <w:sz w:val="24"/>
              </w:rPr>
              <w:t>根据江西省生态环境厅发布的《2021年江西省各县（市、区）六项污染物浓度年均值》，宁都县环境空气质量达标情况见下表：</w:t>
            </w:r>
          </w:p>
          <w:p>
            <w:pPr>
              <w:adjustRightInd w:val="0"/>
              <w:snapToGrid w:val="0"/>
              <w:jc w:val="center"/>
              <w:rPr>
                <w:b/>
                <w:bCs/>
                <w:color w:val="auto"/>
                <w:kern w:val="0"/>
                <w:sz w:val="24"/>
              </w:rPr>
            </w:pPr>
            <w:r>
              <w:rPr>
                <w:b/>
                <w:bCs/>
                <w:color w:val="auto"/>
                <w:kern w:val="0"/>
                <w:sz w:val="24"/>
              </w:rPr>
              <w:t>表3-1  宁都县环境空气质量达标情况表</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92"/>
              <w:gridCol w:w="3244"/>
              <w:gridCol w:w="1192"/>
              <w:gridCol w:w="1192"/>
              <w:gridCol w:w="1192"/>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47" w:type="pct"/>
                  <w:noWrap w:val="0"/>
                  <w:vAlign w:val="center"/>
                </w:tcPr>
                <w:p>
                  <w:pPr>
                    <w:jc w:val="center"/>
                    <w:rPr>
                      <w:b/>
                      <w:bCs/>
                      <w:snapToGrid w:val="0"/>
                      <w:color w:val="auto"/>
                      <w:kern w:val="0"/>
                      <w:szCs w:val="21"/>
                    </w:rPr>
                  </w:pPr>
                  <w:r>
                    <w:rPr>
                      <w:b/>
                      <w:bCs/>
                      <w:snapToGrid w:val="0"/>
                      <w:color w:val="auto"/>
                      <w:kern w:val="0"/>
                      <w:szCs w:val="21"/>
                    </w:rPr>
                    <w:t>污染物</w:t>
                  </w:r>
                </w:p>
              </w:tc>
              <w:tc>
                <w:tcPr>
                  <w:tcW w:w="1761" w:type="pct"/>
                  <w:noWrap w:val="0"/>
                  <w:vAlign w:val="center"/>
                </w:tcPr>
                <w:p>
                  <w:pPr>
                    <w:jc w:val="center"/>
                    <w:rPr>
                      <w:b/>
                      <w:bCs/>
                      <w:snapToGrid w:val="0"/>
                      <w:color w:val="auto"/>
                      <w:kern w:val="0"/>
                      <w:szCs w:val="21"/>
                    </w:rPr>
                  </w:pPr>
                  <w:r>
                    <w:rPr>
                      <w:b/>
                      <w:bCs/>
                      <w:snapToGrid w:val="0"/>
                      <w:color w:val="auto"/>
                      <w:kern w:val="0"/>
                      <w:szCs w:val="21"/>
                    </w:rPr>
                    <w:t>年评价指标</w:t>
                  </w:r>
                </w:p>
              </w:tc>
              <w:tc>
                <w:tcPr>
                  <w:tcW w:w="647" w:type="pct"/>
                  <w:noWrap w:val="0"/>
                  <w:vAlign w:val="center"/>
                </w:tcPr>
                <w:p>
                  <w:pPr>
                    <w:jc w:val="center"/>
                    <w:rPr>
                      <w:b/>
                      <w:bCs/>
                      <w:snapToGrid w:val="0"/>
                      <w:color w:val="auto"/>
                      <w:kern w:val="0"/>
                      <w:szCs w:val="21"/>
                    </w:rPr>
                  </w:pPr>
                  <w:r>
                    <w:rPr>
                      <w:b/>
                      <w:bCs/>
                      <w:snapToGrid w:val="0"/>
                      <w:color w:val="auto"/>
                      <w:kern w:val="0"/>
                      <w:szCs w:val="21"/>
                    </w:rPr>
                    <w:t>现状浓度/（μg/m</w:t>
                  </w:r>
                  <w:r>
                    <w:rPr>
                      <w:b/>
                      <w:bCs/>
                      <w:snapToGrid w:val="0"/>
                      <w:color w:val="auto"/>
                      <w:kern w:val="0"/>
                      <w:szCs w:val="21"/>
                      <w:vertAlign w:val="superscript"/>
                    </w:rPr>
                    <w:t>3</w:t>
                  </w:r>
                  <w:r>
                    <w:rPr>
                      <w:b/>
                      <w:bCs/>
                      <w:snapToGrid w:val="0"/>
                      <w:color w:val="auto"/>
                      <w:kern w:val="0"/>
                      <w:szCs w:val="21"/>
                    </w:rPr>
                    <w:t>）</w:t>
                  </w:r>
                </w:p>
              </w:tc>
              <w:tc>
                <w:tcPr>
                  <w:tcW w:w="647" w:type="pct"/>
                  <w:noWrap w:val="0"/>
                  <w:vAlign w:val="center"/>
                </w:tcPr>
                <w:p>
                  <w:pPr>
                    <w:jc w:val="center"/>
                    <w:rPr>
                      <w:b/>
                      <w:bCs/>
                      <w:snapToGrid w:val="0"/>
                      <w:color w:val="auto"/>
                      <w:kern w:val="0"/>
                      <w:szCs w:val="21"/>
                    </w:rPr>
                  </w:pPr>
                  <w:r>
                    <w:rPr>
                      <w:b/>
                      <w:bCs/>
                      <w:snapToGrid w:val="0"/>
                      <w:color w:val="auto"/>
                      <w:kern w:val="0"/>
                      <w:szCs w:val="21"/>
                    </w:rPr>
                    <w:t>标准值/（μg/m</w:t>
                  </w:r>
                  <w:r>
                    <w:rPr>
                      <w:b/>
                      <w:bCs/>
                      <w:snapToGrid w:val="0"/>
                      <w:color w:val="auto"/>
                      <w:kern w:val="0"/>
                      <w:szCs w:val="21"/>
                      <w:vertAlign w:val="superscript"/>
                    </w:rPr>
                    <w:t>3</w:t>
                  </w:r>
                  <w:r>
                    <w:rPr>
                      <w:b/>
                      <w:bCs/>
                      <w:snapToGrid w:val="0"/>
                      <w:color w:val="auto"/>
                      <w:kern w:val="0"/>
                      <w:szCs w:val="21"/>
                    </w:rPr>
                    <w:t>）</w:t>
                  </w:r>
                </w:p>
              </w:tc>
              <w:tc>
                <w:tcPr>
                  <w:tcW w:w="647" w:type="pct"/>
                  <w:noWrap w:val="0"/>
                  <w:vAlign w:val="center"/>
                </w:tcPr>
                <w:p>
                  <w:pPr>
                    <w:jc w:val="center"/>
                    <w:rPr>
                      <w:b/>
                      <w:bCs/>
                      <w:snapToGrid w:val="0"/>
                      <w:color w:val="auto"/>
                      <w:kern w:val="0"/>
                      <w:szCs w:val="21"/>
                    </w:rPr>
                  </w:pPr>
                  <w:r>
                    <w:rPr>
                      <w:b/>
                      <w:bCs/>
                      <w:snapToGrid w:val="0"/>
                      <w:color w:val="auto"/>
                      <w:kern w:val="0"/>
                      <w:szCs w:val="21"/>
                    </w:rPr>
                    <w:t>占标率</w:t>
                  </w:r>
                </w:p>
                <w:p>
                  <w:pPr>
                    <w:jc w:val="center"/>
                    <w:rPr>
                      <w:b/>
                      <w:bCs/>
                      <w:snapToGrid w:val="0"/>
                      <w:color w:val="auto"/>
                      <w:kern w:val="0"/>
                      <w:szCs w:val="21"/>
                    </w:rPr>
                  </w:pPr>
                  <w:r>
                    <w:rPr>
                      <w:b/>
                      <w:bCs/>
                      <w:snapToGrid w:val="0"/>
                      <w:color w:val="auto"/>
                      <w:kern w:val="0"/>
                      <w:szCs w:val="21"/>
                    </w:rPr>
                    <w:t>/%</w:t>
                  </w:r>
                </w:p>
              </w:tc>
              <w:tc>
                <w:tcPr>
                  <w:tcW w:w="647" w:type="pct"/>
                  <w:noWrap w:val="0"/>
                  <w:vAlign w:val="center"/>
                </w:tcPr>
                <w:p>
                  <w:pPr>
                    <w:jc w:val="center"/>
                    <w:rPr>
                      <w:b/>
                      <w:bCs/>
                      <w:snapToGrid w:val="0"/>
                      <w:color w:val="auto"/>
                      <w:kern w:val="0"/>
                      <w:szCs w:val="21"/>
                    </w:rPr>
                  </w:pPr>
                  <w:r>
                    <w:rPr>
                      <w:b/>
                      <w:bCs/>
                      <w:snapToGrid w:val="0"/>
                      <w:color w:val="auto"/>
                      <w:kern w:val="0"/>
                      <w:szCs w:val="21"/>
                    </w:rPr>
                    <w:t>达标</w:t>
                  </w:r>
                </w:p>
                <w:p>
                  <w:pPr>
                    <w:jc w:val="center"/>
                    <w:rPr>
                      <w:b/>
                      <w:bCs/>
                      <w:snapToGrid w:val="0"/>
                      <w:color w:val="auto"/>
                      <w:kern w:val="0"/>
                      <w:szCs w:val="21"/>
                    </w:rPr>
                  </w:pPr>
                  <w:r>
                    <w:rPr>
                      <w:b/>
                      <w:bCs/>
                      <w:snapToGrid w:val="0"/>
                      <w:color w:val="auto"/>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47" w:type="pct"/>
                  <w:noWrap w:val="0"/>
                  <w:vAlign w:val="center"/>
                </w:tcPr>
                <w:p>
                  <w:pPr>
                    <w:jc w:val="center"/>
                    <w:rPr>
                      <w:snapToGrid w:val="0"/>
                      <w:color w:val="auto"/>
                      <w:kern w:val="0"/>
                      <w:szCs w:val="21"/>
                    </w:rPr>
                  </w:pPr>
                  <w:r>
                    <w:rPr>
                      <w:snapToGrid w:val="0"/>
                      <w:color w:val="auto"/>
                      <w:kern w:val="0"/>
                      <w:szCs w:val="21"/>
                    </w:rPr>
                    <w:t>SO</w:t>
                  </w:r>
                  <w:r>
                    <w:rPr>
                      <w:snapToGrid w:val="0"/>
                      <w:color w:val="auto"/>
                      <w:kern w:val="0"/>
                      <w:szCs w:val="21"/>
                      <w:vertAlign w:val="subscript"/>
                    </w:rPr>
                    <w:t>2</w:t>
                  </w:r>
                </w:p>
              </w:tc>
              <w:tc>
                <w:tcPr>
                  <w:tcW w:w="1761" w:type="pct"/>
                  <w:noWrap w:val="0"/>
                  <w:vAlign w:val="center"/>
                </w:tcPr>
                <w:p>
                  <w:pPr>
                    <w:jc w:val="center"/>
                    <w:rPr>
                      <w:snapToGrid w:val="0"/>
                      <w:color w:val="auto"/>
                      <w:kern w:val="0"/>
                      <w:szCs w:val="21"/>
                    </w:rPr>
                  </w:pPr>
                  <w:r>
                    <w:rPr>
                      <w:snapToGrid w:val="0"/>
                      <w:color w:val="auto"/>
                      <w:kern w:val="0"/>
                      <w:szCs w:val="21"/>
                    </w:rPr>
                    <w:t>年平均质量浓度</w:t>
                  </w:r>
                </w:p>
              </w:tc>
              <w:tc>
                <w:tcPr>
                  <w:tcW w:w="647" w:type="pct"/>
                  <w:noWrap w:val="0"/>
                  <w:vAlign w:val="center"/>
                </w:tcPr>
                <w:p>
                  <w:pPr>
                    <w:jc w:val="center"/>
                    <w:rPr>
                      <w:snapToGrid w:val="0"/>
                      <w:color w:val="auto"/>
                      <w:kern w:val="0"/>
                      <w:szCs w:val="21"/>
                    </w:rPr>
                  </w:pPr>
                  <w:r>
                    <w:rPr>
                      <w:snapToGrid w:val="0"/>
                      <w:color w:val="auto"/>
                      <w:kern w:val="0"/>
                      <w:szCs w:val="21"/>
                    </w:rPr>
                    <w:t>11</w:t>
                  </w:r>
                </w:p>
              </w:tc>
              <w:tc>
                <w:tcPr>
                  <w:tcW w:w="647" w:type="pct"/>
                  <w:noWrap w:val="0"/>
                  <w:vAlign w:val="center"/>
                </w:tcPr>
                <w:p>
                  <w:pPr>
                    <w:jc w:val="center"/>
                    <w:rPr>
                      <w:snapToGrid w:val="0"/>
                      <w:color w:val="auto"/>
                      <w:kern w:val="0"/>
                      <w:szCs w:val="21"/>
                    </w:rPr>
                  </w:pPr>
                  <w:r>
                    <w:rPr>
                      <w:snapToGrid w:val="0"/>
                      <w:color w:val="auto"/>
                      <w:kern w:val="0"/>
                      <w:szCs w:val="21"/>
                    </w:rPr>
                    <w:t>60</w:t>
                  </w:r>
                </w:p>
              </w:tc>
              <w:tc>
                <w:tcPr>
                  <w:tcW w:w="647" w:type="pct"/>
                  <w:noWrap w:val="0"/>
                  <w:vAlign w:val="center"/>
                </w:tcPr>
                <w:p>
                  <w:pPr>
                    <w:jc w:val="center"/>
                    <w:rPr>
                      <w:snapToGrid w:val="0"/>
                      <w:color w:val="auto"/>
                      <w:kern w:val="0"/>
                      <w:szCs w:val="21"/>
                    </w:rPr>
                  </w:pPr>
                  <w:r>
                    <w:rPr>
                      <w:snapToGrid w:val="0"/>
                      <w:color w:val="auto"/>
                      <w:kern w:val="0"/>
                      <w:szCs w:val="21"/>
                    </w:rPr>
                    <w:t>18.33</w:t>
                  </w:r>
                </w:p>
              </w:tc>
              <w:tc>
                <w:tcPr>
                  <w:tcW w:w="647" w:type="pct"/>
                  <w:noWrap w:val="0"/>
                  <w:vAlign w:val="center"/>
                </w:tcPr>
                <w:p>
                  <w:pPr>
                    <w:jc w:val="center"/>
                    <w:rPr>
                      <w:snapToGrid w:val="0"/>
                      <w:color w:val="auto"/>
                      <w:kern w:val="0"/>
                      <w:szCs w:val="21"/>
                    </w:rPr>
                  </w:pPr>
                  <w:r>
                    <w:rPr>
                      <w:snapToGrid w:val="0"/>
                      <w:color w:val="auto"/>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47" w:type="pct"/>
                  <w:noWrap w:val="0"/>
                  <w:vAlign w:val="center"/>
                </w:tcPr>
                <w:p>
                  <w:pPr>
                    <w:jc w:val="center"/>
                    <w:rPr>
                      <w:snapToGrid w:val="0"/>
                      <w:color w:val="auto"/>
                      <w:kern w:val="0"/>
                      <w:szCs w:val="21"/>
                    </w:rPr>
                  </w:pPr>
                  <w:r>
                    <w:rPr>
                      <w:snapToGrid w:val="0"/>
                      <w:color w:val="auto"/>
                      <w:kern w:val="0"/>
                      <w:szCs w:val="21"/>
                    </w:rPr>
                    <w:t>NO</w:t>
                  </w:r>
                  <w:r>
                    <w:rPr>
                      <w:snapToGrid w:val="0"/>
                      <w:color w:val="auto"/>
                      <w:kern w:val="0"/>
                      <w:szCs w:val="21"/>
                      <w:vertAlign w:val="subscript"/>
                    </w:rPr>
                    <w:t>2</w:t>
                  </w:r>
                </w:p>
              </w:tc>
              <w:tc>
                <w:tcPr>
                  <w:tcW w:w="1761" w:type="pct"/>
                  <w:noWrap w:val="0"/>
                  <w:vAlign w:val="center"/>
                </w:tcPr>
                <w:p>
                  <w:pPr>
                    <w:jc w:val="center"/>
                    <w:rPr>
                      <w:snapToGrid w:val="0"/>
                      <w:color w:val="auto"/>
                      <w:kern w:val="0"/>
                      <w:szCs w:val="21"/>
                    </w:rPr>
                  </w:pPr>
                  <w:r>
                    <w:rPr>
                      <w:snapToGrid w:val="0"/>
                      <w:color w:val="auto"/>
                      <w:kern w:val="0"/>
                      <w:szCs w:val="21"/>
                    </w:rPr>
                    <w:t>年平均质量浓度</w:t>
                  </w:r>
                </w:p>
              </w:tc>
              <w:tc>
                <w:tcPr>
                  <w:tcW w:w="647" w:type="pct"/>
                  <w:noWrap w:val="0"/>
                  <w:vAlign w:val="center"/>
                </w:tcPr>
                <w:p>
                  <w:pPr>
                    <w:jc w:val="center"/>
                    <w:rPr>
                      <w:snapToGrid w:val="0"/>
                      <w:color w:val="auto"/>
                      <w:kern w:val="0"/>
                      <w:szCs w:val="21"/>
                    </w:rPr>
                  </w:pPr>
                  <w:r>
                    <w:rPr>
                      <w:snapToGrid w:val="0"/>
                      <w:color w:val="auto"/>
                      <w:kern w:val="0"/>
                      <w:szCs w:val="21"/>
                    </w:rPr>
                    <w:t>13</w:t>
                  </w:r>
                </w:p>
              </w:tc>
              <w:tc>
                <w:tcPr>
                  <w:tcW w:w="647" w:type="pct"/>
                  <w:noWrap w:val="0"/>
                  <w:vAlign w:val="center"/>
                </w:tcPr>
                <w:p>
                  <w:pPr>
                    <w:jc w:val="center"/>
                    <w:rPr>
                      <w:snapToGrid w:val="0"/>
                      <w:color w:val="auto"/>
                      <w:kern w:val="0"/>
                      <w:szCs w:val="21"/>
                    </w:rPr>
                  </w:pPr>
                  <w:r>
                    <w:rPr>
                      <w:snapToGrid w:val="0"/>
                      <w:color w:val="auto"/>
                      <w:kern w:val="0"/>
                      <w:szCs w:val="21"/>
                    </w:rPr>
                    <w:t>40</w:t>
                  </w:r>
                </w:p>
              </w:tc>
              <w:tc>
                <w:tcPr>
                  <w:tcW w:w="647" w:type="pct"/>
                  <w:noWrap w:val="0"/>
                  <w:vAlign w:val="center"/>
                </w:tcPr>
                <w:p>
                  <w:pPr>
                    <w:jc w:val="center"/>
                    <w:rPr>
                      <w:snapToGrid w:val="0"/>
                      <w:color w:val="auto"/>
                      <w:kern w:val="0"/>
                      <w:szCs w:val="21"/>
                    </w:rPr>
                  </w:pPr>
                  <w:r>
                    <w:rPr>
                      <w:snapToGrid w:val="0"/>
                      <w:color w:val="auto"/>
                      <w:kern w:val="0"/>
                      <w:szCs w:val="21"/>
                    </w:rPr>
                    <w:t>32.50</w:t>
                  </w:r>
                </w:p>
              </w:tc>
              <w:tc>
                <w:tcPr>
                  <w:tcW w:w="647" w:type="pct"/>
                  <w:noWrap w:val="0"/>
                  <w:vAlign w:val="center"/>
                </w:tcPr>
                <w:p>
                  <w:pPr>
                    <w:jc w:val="center"/>
                    <w:rPr>
                      <w:snapToGrid w:val="0"/>
                      <w:color w:val="auto"/>
                      <w:kern w:val="0"/>
                      <w:szCs w:val="21"/>
                    </w:rPr>
                  </w:pPr>
                  <w:r>
                    <w:rPr>
                      <w:snapToGrid w:val="0"/>
                      <w:color w:val="auto"/>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47" w:type="pct"/>
                  <w:noWrap w:val="0"/>
                  <w:vAlign w:val="center"/>
                </w:tcPr>
                <w:p>
                  <w:pPr>
                    <w:jc w:val="center"/>
                    <w:rPr>
                      <w:snapToGrid w:val="0"/>
                      <w:color w:val="auto"/>
                      <w:kern w:val="0"/>
                      <w:szCs w:val="21"/>
                    </w:rPr>
                  </w:pPr>
                  <w:r>
                    <w:rPr>
                      <w:snapToGrid w:val="0"/>
                      <w:color w:val="auto"/>
                      <w:kern w:val="0"/>
                      <w:szCs w:val="21"/>
                    </w:rPr>
                    <w:t>PM</w:t>
                  </w:r>
                  <w:r>
                    <w:rPr>
                      <w:snapToGrid w:val="0"/>
                      <w:color w:val="auto"/>
                      <w:kern w:val="0"/>
                      <w:szCs w:val="21"/>
                      <w:vertAlign w:val="subscript"/>
                    </w:rPr>
                    <w:t>10</w:t>
                  </w:r>
                </w:p>
              </w:tc>
              <w:tc>
                <w:tcPr>
                  <w:tcW w:w="1761" w:type="pct"/>
                  <w:noWrap w:val="0"/>
                  <w:vAlign w:val="center"/>
                </w:tcPr>
                <w:p>
                  <w:pPr>
                    <w:jc w:val="center"/>
                    <w:rPr>
                      <w:snapToGrid w:val="0"/>
                      <w:color w:val="auto"/>
                      <w:kern w:val="0"/>
                      <w:szCs w:val="21"/>
                    </w:rPr>
                  </w:pPr>
                  <w:r>
                    <w:rPr>
                      <w:snapToGrid w:val="0"/>
                      <w:color w:val="auto"/>
                      <w:kern w:val="0"/>
                      <w:szCs w:val="21"/>
                    </w:rPr>
                    <w:t>年平均质量浓度</w:t>
                  </w:r>
                </w:p>
              </w:tc>
              <w:tc>
                <w:tcPr>
                  <w:tcW w:w="647" w:type="pct"/>
                  <w:noWrap w:val="0"/>
                  <w:vAlign w:val="center"/>
                </w:tcPr>
                <w:p>
                  <w:pPr>
                    <w:jc w:val="center"/>
                    <w:rPr>
                      <w:snapToGrid w:val="0"/>
                      <w:color w:val="auto"/>
                      <w:kern w:val="0"/>
                      <w:szCs w:val="21"/>
                    </w:rPr>
                  </w:pPr>
                  <w:r>
                    <w:rPr>
                      <w:snapToGrid w:val="0"/>
                      <w:color w:val="auto"/>
                      <w:kern w:val="0"/>
                      <w:szCs w:val="21"/>
                    </w:rPr>
                    <w:t>35</w:t>
                  </w:r>
                </w:p>
              </w:tc>
              <w:tc>
                <w:tcPr>
                  <w:tcW w:w="647" w:type="pct"/>
                  <w:noWrap w:val="0"/>
                  <w:vAlign w:val="center"/>
                </w:tcPr>
                <w:p>
                  <w:pPr>
                    <w:jc w:val="center"/>
                    <w:rPr>
                      <w:snapToGrid w:val="0"/>
                      <w:color w:val="auto"/>
                      <w:kern w:val="0"/>
                      <w:szCs w:val="21"/>
                    </w:rPr>
                  </w:pPr>
                  <w:r>
                    <w:rPr>
                      <w:snapToGrid w:val="0"/>
                      <w:color w:val="auto"/>
                      <w:kern w:val="0"/>
                      <w:szCs w:val="21"/>
                    </w:rPr>
                    <w:t>70</w:t>
                  </w:r>
                </w:p>
              </w:tc>
              <w:tc>
                <w:tcPr>
                  <w:tcW w:w="647" w:type="pct"/>
                  <w:noWrap w:val="0"/>
                  <w:vAlign w:val="center"/>
                </w:tcPr>
                <w:p>
                  <w:pPr>
                    <w:jc w:val="center"/>
                    <w:rPr>
                      <w:snapToGrid w:val="0"/>
                      <w:color w:val="auto"/>
                      <w:kern w:val="0"/>
                      <w:szCs w:val="21"/>
                    </w:rPr>
                  </w:pPr>
                  <w:r>
                    <w:rPr>
                      <w:snapToGrid w:val="0"/>
                      <w:color w:val="auto"/>
                      <w:kern w:val="0"/>
                      <w:szCs w:val="21"/>
                    </w:rPr>
                    <w:t>50.00</w:t>
                  </w:r>
                </w:p>
              </w:tc>
              <w:tc>
                <w:tcPr>
                  <w:tcW w:w="647" w:type="pct"/>
                  <w:noWrap w:val="0"/>
                  <w:vAlign w:val="center"/>
                </w:tcPr>
                <w:p>
                  <w:pPr>
                    <w:jc w:val="center"/>
                    <w:rPr>
                      <w:snapToGrid w:val="0"/>
                      <w:color w:val="auto"/>
                      <w:kern w:val="0"/>
                      <w:szCs w:val="21"/>
                    </w:rPr>
                  </w:pPr>
                  <w:r>
                    <w:rPr>
                      <w:snapToGrid w:val="0"/>
                      <w:color w:val="auto"/>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47" w:type="pct"/>
                  <w:noWrap w:val="0"/>
                  <w:vAlign w:val="center"/>
                </w:tcPr>
                <w:p>
                  <w:pPr>
                    <w:jc w:val="center"/>
                    <w:rPr>
                      <w:snapToGrid w:val="0"/>
                      <w:color w:val="auto"/>
                      <w:kern w:val="0"/>
                      <w:szCs w:val="21"/>
                    </w:rPr>
                  </w:pPr>
                  <w:r>
                    <w:rPr>
                      <w:snapToGrid w:val="0"/>
                      <w:color w:val="auto"/>
                      <w:kern w:val="0"/>
                      <w:szCs w:val="21"/>
                    </w:rPr>
                    <w:t>PM</w:t>
                  </w:r>
                  <w:r>
                    <w:rPr>
                      <w:snapToGrid w:val="0"/>
                      <w:color w:val="auto"/>
                      <w:kern w:val="0"/>
                      <w:szCs w:val="21"/>
                      <w:vertAlign w:val="subscript"/>
                    </w:rPr>
                    <w:t>2.5</w:t>
                  </w:r>
                </w:p>
              </w:tc>
              <w:tc>
                <w:tcPr>
                  <w:tcW w:w="1761" w:type="pct"/>
                  <w:noWrap w:val="0"/>
                  <w:vAlign w:val="center"/>
                </w:tcPr>
                <w:p>
                  <w:pPr>
                    <w:jc w:val="center"/>
                    <w:rPr>
                      <w:snapToGrid w:val="0"/>
                      <w:color w:val="auto"/>
                      <w:kern w:val="0"/>
                      <w:szCs w:val="21"/>
                    </w:rPr>
                  </w:pPr>
                  <w:r>
                    <w:rPr>
                      <w:snapToGrid w:val="0"/>
                      <w:color w:val="auto"/>
                      <w:kern w:val="0"/>
                      <w:szCs w:val="21"/>
                    </w:rPr>
                    <w:t>年平均质量浓度</w:t>
                  </w:r>
                </w:p>
              </w:tc>
              <w:tc>
                <w:tcPr>
                  <w:tcW w:w="647" w:type="pct"/>
                  <w:noWrap w:val="0"/>
                  <w:vAlign w:val="center"/>
                </w:tcPr>
                <w:p>
                  <w:pPr>
                    <w:jc w:val="center"/>
                    <w:rPr>
                      <w:snapToGrid w:val="0"/>
                      <w:color w:val="auto"/>
                      <w:kern w:val="0"/>
                      <w:szCs w:val="21"/>
                    </w:rPr>
                  </w:pPr>
                  <w:r>
                    <w:rPr>
                      <w:snapToGrid w:val="0"/>
                      <w:color w:val="auto"/>
                      <w:kern w:val="0"/>
                      <w:szCs w:val="21"/>
                    </w:rPr>
                    <w:t>17</w:t>
                  </w:r>
                </w:p>
              </w:tc>
              <w:tc>
                <w:tcPr>
                  <w:tcW w:w="647" w:type="pct"/>
                  <w:noWrap w:val="0"/>
                  <w:vAlign w:val="center"/>
                </w:tcPr>
                <w:p>
                  <w:pPr>
                    <w:jc w:val="center"/>
                    <w:rPr>
                      <w:snapToGrid w:val="0"/>
                      <w:color w:val="auto"/>
                      <w:kern w:val="0"/>
                      <w:szCs w:val="21"/>
                    </w:rPr>
                  </w:pPr>
                  <w:r>
                    <w:rPr>
                      <w:snapToGrid w:val="0"/>
                      <w:color w:val="auto"/>
                      <w:kern w:val="0"/>
                      <w:szCs w:val="21"/>
                    </w:rPr>
                    <w:t>35</w:t>
                  </w:r>
                </w:p>
              </w:tc>
              <w:tc>
                <w:tcPr>
                  <w:tcW w:w="647" w:type="pct"/>
                  <w:noWrap w:val="0"/>
                  <w:vAlign w:val="center"/>
                </w:tcPr>
                <w:p>
                  <w:pPr>
                    <w:jc w:val="center"/>
                    <w:rPr>
                      <w:snapToGrid w:val="0"/>
                      <w:color w:val="auto"/>
                      <w:kern w:val="0"/>
                      <w:szCs w:val="21"/>
                    </w:rPr>
                  </w:pPr>
                  <w:r>
                    <w:rPr>
                      <w:snapToGrid w:val="0"/>
                      <w:color w:val="auto"/>
                      <w:kern w:val="0"/>
                      <w:szCs w:val="21"/>
                    </w:rPr>
                    <w:t>48.57</w:t>
                  </w:r>
                </w:p>
              </w:tc>
              <w:tc>
                <w:tcPr>
                  <w:tcW w:w="647" w:type="pct"/>
                  <w:noWrap w:val="0"/>
                  <w:vAlign w:val="center"/>
                </w:tcPr>
                <w:p>
                  <w:pPr>
                    <w:jc w:val="center"/>
                    <w:rPr>
                      <w:snapToGrid w:val="0"/>
                      <w:color w:val="auto"/>
                      <w:kern w:val="0"/>
                      <w:szCs w:val="21"/>
                    </w:rPr>
                  </w:pPr>
                  <w:r>
                    <w:rPr>
                      <w:snapToGrid w:val="0"/>
                      <w:color w:val="auto"/>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47" w:type="pct"/>
                  <w:noWrap w:val="0"/>
                  <w:vAlign w:val="center"/>
                </w:tcPr>
                <w:p>
                  <w:pPr>
                    <w:jc w:val="center"/>
                    <w:rPr>
                      <w:snapToGrid w:val="0"/>
                      <w:color w:val="auto"/>
                      <w:kern w:val="0"/>
                      <w:szCs w:val="21"/>
                    </w:rPr>
                  </w:pPr>
                  <w:r>
                    <w:rPr>
                      <w:snapToGrid w:val="0"/>
                      <w:color w:val="auto"/>
                      <w:kern w:val="0"/>
                      <w:szCs w:val="21"/>
                    </w:rPr>
                    <w:t>CO</w:t>
                  </w:r>
                </w:p>
              </w:tc>
              <w:tc>
                <w:tcPr>
                  <w:tcW w:w="1761" w:type="pct"/>
                  <w:noWrap w:val="0"/>
                  <w:vAlign w:val="center"/>
                </w:tcPr>
                <w:p>
                  <w:pPr>
                    <w:jc w:val="center"/>
                    <w:rPr>
                      <w:snapToGrid w:val="0"/>
                      <w:color w:val="auto"/>
                      <w:kern w:val="0"/>
                      <w:szCs w:val="21"/>
                    </w:rPr>
                  </w:pPr>
                  <w:r>
                    <w:rPr>
                      <w:snapToGrid w:val="0"/>
                      <w:color w:val="auto"/>
                      <w:kern w:val="0"/>
                      <w:szCs w:val="21"/>
                    </w:rPr>
                    <w:t>95%位数日均质量浓度</w:t>
                  </w:r>
                </w:p>
              </w:tc>
              <w:tc>
                <w:tcPr>
                  <w:tcW w:w="647" w:type="pct"/>
                  <w:noWrap w:val="0"/>
                  <w:vAlign w:val="center"/>
                </w:tcPr>
                <w:p>
                  <w:pPr>
                    <w:jc w:val="center"/>
                    <w:rPr>
                      <w:snapToGrid w:val="0"/>
                      <w:color w:val="auto"/>
                      <w:kern w:val="0"/>
                      <w:szCs w:val="21"/>
                    </w:rPr>
                  </w:pPr>
                  <w:r>
                    <w:rPr>
                      <w:snapToGrid w:val="0"/>
                      <w:color w:val="auto"/>
                      <w:kern w:val="0"/>
                      <w:szCs w:val="21"/>
                    </w:rPr>
                    <w:t>1100</w:t>
                  </w:r>
                </w:p>
              </w:tc>
              <w:tc>
                <w:tcPr>
                  <w:tcW w:w="647" w:type="pct"/>
                  <w:noWrap w:val="0"/>
                  <w:vAlign w:val="center"/>
                </w:tcPr>
                <w:p>
                  <w:pPr>
                    <w:jc w:val="center"/>
                    <w:rPr>
                      <w:snapToGrid w:val="0"/>
                      <w:color w:val="auto"/>
                      <w:kern w:val="0"/>
                      <w:szCs w:val="21"/>
                    </w:rPr>
                  </w:pPr>
                  <w:r>
                    <w:rPr>
                      <w:snapToGrid w:val="0"/>
                      <w:color w:val="auto"/>
                      <w:kern w:val="0"/>
                      <w:szCs w:val="21"/>
                    </w:rPr>
                    <w:t>4000</w:t>
                  </w:r>
                </w:p>
              </w:tc>
              <w:tc>
                <w:tcPr>
                  <w:tcW w:w="647" w:type="pct"/>
                  <w:noWrap w:val="0"/>
                  <w:vAlign w:val="center"/>
                </w:tcPr>
                <w:p>
                  <w:pPr>
                    <w:jc w:val="center"/>
                    <w:rPr>
                      <w:snapToGrid w:val="0"/>
                      <w:color w:val="auto"/>
                      <w:kern w:val="0"/>
                      <w:szCs w:val="21"/>
                    </w:rPr>
                  </w:pPr>
                  <w:r>
                    <w:rPr>
                      <w:snapToGrid w:val="0"/>
                      <w:color w:val="auto"/>
                      <w:kern w:val="0"/>
                      <w:szCs w:val="21"/>
                    </w:rPr>
                    <w:t>27.50</w:t>
                  </w:r>
                </w:p>
              </w:tc>
              <w:tc>
                <w:tcPr>
                  <w:tcW w:w="647" w:type="pct"/>
                  <w:noWrap w:val="0"/>
                  <w:vAlign w:val="center"/>
                </w:tcPr>
                <w:p>
                  <w:pPr>
                    <w:jc w:val="center"/>
                    <w:rPr>
                      <w:snapToGrid w:val="0"/>
                      <w:color w:val="auto"/>
                      <w:kern w:val="0"/>
                      <w:szCs w:val="21"/>
                    </w:rPr>
                  </w:pPr>
                  <w:r>
                    <w:rPr>
                      <w:snapToGrid w:val="0"/>
                      <w:color w:val="auto"/>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47" w:type="pct"/>
                  <w:noWrap w:val="0"/>
                  <w:vAlign w:val="center"/>
                </w:tcPr>
                <w:p>
                  <w:pPr>
                    <w:jc w:val="center"/>
                    <w:rPr>
                      <w:snapToGrid w:val="0"/>
                      <w:color w:val="auto"/>
                      <w:kern w:val="0"/>
                      <w:szCs w:val="21"/>
                    </w:rPr>
                  </w:pPr>
                  <w:r>
                    <w:rPr>
                      <w:snapToGrid w:val="0"/>
                      <w:color w:val="auto"/>
                      <w:kern w:val="0"/>
                      <w:szCs w:val="21"/>
                    </w:rPr>
                    <w:t>O</w:t>
                  </w:r>
                  <w:r>
                    <w:rPr>
                      <w:snapToGrid w:val="0"/>
                      <w:color w:val="auto"/>
                      <w:kern w:val="0"/>
                      <w:szCs w:val="21"/>
                      <w:vertAlign w:val="subscript"/>
                    </w:rPr>
                    <w:t>3</w:t>
                  </w:r>
                </w:p>
              </w:tc>
              <w:tc>
                <w:tcPr>
                  <w:tcW w:w="1761" w:type="pct"/>
                  <w:noWrap w:val="0"/>
                  <w:vAlign w:val="center"/>
                </w:tcPr>
                <w:p>
                  <w:pPr>
                    <w:jc w:val="center"/>
                    <w:rPr>
                      <w:snapToGrid w:val="0"/>
                      <w:color w:val="auto"/>
                      <w:kern w:val="0"/>
                      <w:szCs w:val="21"/>
                    </w:rPr>
                  </w:pPr>
                  <w:r>
                    <w:rPr>
                      <w:snapToGrid w:val="0"/>
                      <w:color w:val="auto"/>
                      <w:kern w:val="0"/>
                      <w:szCs w:val="21"/>
                    </w:rPr>
                    <w:t>90%位数8h平均质量浓度</w:t>
                  </w:r>
                </w:p>
              </w:tc>
              <w:tc>
                <w:tcPr>
                  <w:tcW w:w="647" w:type="pct"/>
                  <w:noWrap w:val="0"/>
                  <w:vAlign w:val="center"/>
                </w:tcPr>
                <w:p>
                  <w:pPr>
                    <w:jc w:val="center"/>
                    <w:rPr>
                      <w:snapToGrid w:val="0"/>
                      <w:color w:val="auto"/>
                      <w:kern w:val="0"/>
                      <w:szCs w:val="21"/>
                    </w:rPr>
                  </w:pPr>
                  <w:r>
                    <w:rPr>
                      <w:snapToGrid w:val="0"/>
                      <w:color w:val="auto"/>
                      <w:kern w:val="0"/>
                      <w:szCs w:val="21"/>
                    </w:rPr>
                    <w:t>110</w:t>
                  </w:r>
                </w:p>
              </w:tc>
              <w:tc>
                <w:tcPr>
                  <w:tcW w:w="647" w:type="pct"/>
                  <w:noWrap w:val="0"/>
                  <w:vAlign w:val="center"/>
                </w:tcPr>
                <w:p>
                  <w:pPr>
                    <w:jc w:val="center"/>
                    <w:rPr>
                      <w:snapToGrid w:val="0"/>
                      <w:color w:val="auto"/>
                      <w:kern w:val="0"/>
                      <w:szCs w:val="21"/>
                    </w:rPr>
                  </w:pPr>
                  <w:r>
                    <w:rPr>
                      <w:snapToGrid w:val="0"/>
                      <w:color w:val="auto"/>
                      <w:kern w:val="0"/>
                      <w:szCs w:val="21"/>
                    </w:rPr>
                    <w:t>160</w:t>
                  </w:r>
                </w:p>
              </w:tc>
              <w:tc>
                <w:tcPr>
                  <w:tcW w:w="647" w:type="pct"/>
                  <w:noWrap w:val="0"/>
                  <w:vAlign w:val="center"/>
                </w:tcPr>
                <w:p>
                  <w:pPr>
                    <w:jc w:val="center"/>
                    <w:rPr>
                      <w:snapToGrid w:val="0"/>
                      <w:color w:val="auto"/>
                      <w:kern w:val="0"/>
                      <w:szCs w:val="21"/>
                    </w:rPr>
                  </w:pPr>
                  <w:r>
                    <w:rPr>
                      <w:snapToGrid w:val="0"/>
                      <w:color w:val="auto"/>
                      <w:kern w:val="0"/>
                      <w:szCs w:val="21"/>
                    </w:rPr>
                    <w:t>68.75</w:t>
                  </w:r>
                </w:p>
              </w:tc>
              <w:tc>
                <w:tcPr>
                  <w:tcW w:w="647" w:type="pct"/>
                  <w:noWrap w:val="0"/>
                  <w:vAlign w:val="center"/>
                </w:tcPr>
                <w:p>
                  <w:pPr>
                    <w:jc w:val="center"/>
                    <w:rPr>
                      <w:snapToGrid w:val="0"/>
                      <w:color w:val="auto"/>
                      <w:kern w:val="0"/>
                      <w:szCs w:val="21"/>
                    </w:rPr>
                  </w:pPr>
                  <w:r>
                    <w:rPr>
                      <w:snapToGrid w:val="0"/>
                      <w:color w:val="auto"/>
                      <w:kern w:val="0"/>
                      <w:szCs w:val="21"/>
                    </w:rPr>
                    <w:t>达标</w:t>
                  </w:r>
                </w:p>
              </w:tc>
            </w:tr>
          </w:tbl>
          <w:p>
            <w:pPr>
              <w:adjustRightInd w:val="0"/>
              <w:snapToGrid w:val="0"/>
              <w:ind w:firstLine="480" w:firstLineChars="200"/>
              <w:rPr>
                <w:color w:val="auto"/>
                <w:kern w:val="0"/>
                <w:sz w:val="24"/>
              </w:rPr>
            </w:pPr>
          </w:p>
          <w:p>
            <w:pPr>
              <w:adjustRightInd w:val="0"/>
              <w:snapToGrid w:val="0"/>
              <w:spacing w:line="360" w:lineRule="auto"/>
              <w:ind w:firstLine="480" w:firstLineChars="200"/>
              <w:rPr>
                <w:color w:val="auto"/>
                <w:kern w:val="0"/>
                <w:sz w:val="24"/>
              </w:rPr>
            </w:pPr>
            <w:r>
              <w:rPr>
                <w:color w:val="auto"/>
                <w:kern w:val="0"/>
                <w:sz w:val="24"/>
              </w:rPr>
              <w:t>根据上表可知，宁都县2021年环境空气中的SO</w:t>
            </w:r>
            <w:r>
              <w:rPr>
                <w:color w:val="auto"/>
                <w:kern w:val="0"/>
                <w:sz w:val="24"/>
                <w:vertAlign w:val="subscript"/>
              </w:rPr>
              <w:t>2</w:t>
            </w:r>
            <w:r>
              <w:rPr>
                <w:color w:val="auto"/>
                <w:kern w:val="0"/>
                <w:sz w:val="24"/>
              </w:rPr>
              <w:t>、NO</w:t>
            </w:r>
            <w:r>
              <w:rPr>
                <w:color w:val="auto"/>
                <w:kern w:val="0"/>
                <w:sz w:val="24"/>
                <w:vertAlign w:val="subscript"/>
              </w:rPr>
              <w:t>2</w:t>
            </w:r>
            <w:r>
              <w:rPr>
                <w:color w:val="auto"/>
                <w:kern w:val="0"/>
                <w:sz w:val="24"/>
              </w:rPr>
              <w:t>、PM</w:t>
            </w:r>
            <w:r>
              <w:rPr>
                <w:color w:val="auto"/>
                <w:kern w:val="0"/>
                <w:sz w:val="24"/>
                <w:vertAlign w:val="subscript"/>
              </w:rPr>
              <w:t>10</w:t>
            </w:r>
            <w:r>
              <w:rPr>
                <w:color w:val="auto"/>
                <w:kern w:val="0"/>
                <w:sz w:val="24"/>
              </w:rPr>
              <w:t>、PM</w:t>
            </w:r>
            <w:r>
              <w:rPr>
                <w:color w:val="auto"/>
                <w:kern w:val="0"/>
                <w:sz w:val="24"/>
                <w:vertAlign w:val="subscript"/>
              </w:rPr>
              <w:t>2.5</w:t>
            </w:r>
            <w:r>
              <w:rPr>
                <w:color w:val="auto"/>
                <w:kern w:val="0"/>
                <w:sz w:val="24"/>
              </w:rPr>
              <w:t>、CO、O</w:t>
            </w:r>
            <w:r>
              <w:rPr>
                <w:color w:val="auto"/>
                <w:kern w:val="0"/>
                <w:sz w:val="24"/>
                <w:vertAlign w:val="subscript"/>
              </w:rPr>
              <w:t>3</w:t>
            </w:r>
            <w:r>
              <w:rPr>
                <w:color w:val="auto"/>
                <w:kern w:val="0"/>
                <w:sz w:val="24"/>
              </w:rPr>
              <w:t>均可达到《环境空气质量标准》（GB3095-2012）及其修改单二级标准，因此，宁都县属于环境空气达标区。</w:t>
            </w:r>
          </w:p>
          <w:p>
            <w:pPr>
              <w:adjustRightInd w:val="0"/>
              <w:snapToGrid w:val="0"/>
              <w:spacing w:line="360" w:lineRule="auto"/>
              <w:ind w:firstLine="482" w:firstLineChars="200"/>
              <w:rPr>
                <w:b/>
                <w:bCs/>
                <w:color w:val="auto"/>
                <w:kern w:val="0"/>
                <w:sz w:val="24"/>
              </w:rPr>
            </w:pPr>
            <w:r>
              <w:rPr>
                <w:b/>
                <w:bCs/>
                <w:color w:val="auto"/>
                <w:kern w:val="0"/>
                <w:sz w:val="24"/>
              </w:rPr>
              <w:t>（二）地表水环境质量现状</w:t>
            </w:r>
          </w:p>
          <w:p>
            <w:pPr>
              <w:adjustRightInd w:val="0"/>
              <w:snapToGrid w:val="0"/>
              <w:spacing w:line="360" w:lineRule="auto"/>
              <w:ind w:firstLine="480" w:firstLineChars="200"/>
              <w:rPr>
                <w:color w:val="auto"/>
                <w:kern w:val="0"/>
                <w:sz w:val="24"/>
              </w:rPr>
            </w:pPr>
            <w:r>
              <w:rPr>
                <w:color w:val="auto"/>
                <w:kern w:val="0"/>
                <w:sz w:val="24"/>
              </w:rPr>
              <w:t>本项目所在区域的地表水为青塘河，</w:t>
            </w:r>
            <w:r>
              <w:rPr>
                <w:color w:val="auto"/>
                <w:sz w:val="24"/>
              </w:rPr>
              <w:t>根据《江西省地表水（环境）功能区划》，青塘河属于“Ⅲ类水”，根据赣州市于都生态环境局公布的《于都县2022年12月地表水监测月报》显示，宁都青塘河监测断面水质类别为Ⅱ类</w:t>
            </w:r>
            <w:r>
              <w:rPr>
                <w:rFonts w:hint="eastAsia"/>
                <w:color w:val="auto"/>
                <w:sz w:val="24"/>
              </w:rPr>
              <w:t>，说明本项目所在区域的地表水环境质量状况良好。</w:t>
            </w:r>
          </w:p>
          <w:p>
            <w:pPr>
              <w:adjustRightInd w:val="0"/>
              <w:snapToGrid w:val="0"/>
              <w:spacing w:line="360" w:lineRule="auto"/>
              <w:ind w:firstLine="482" w:firstLineChars="200"/>
              <w:rPr>
                <w:b/>
                <w:bCs/>
                <w:color w:val="auto"/>
                <w:kern w:val="0"/>
                <w:sz w:val="24"/>
              </w:rPr>
            </w:pPr>
            <w:r>
              <w:rPr>
                <w:b/>
                <w:bCs/>
                <w:color w:val="auto"/>
                <w:kern w:val="0"/>
                <w:sz w:val="24"/>
              </w:rPr>
              <w:t>（三）声环境质量现状</w:t>
            </w:r>
          </w:p>
          <w:p>
            <w:pPr>
              <w:adjustRightInd w:val="0"/>
              <w:snapToGrid w:val="0"/>
              <w:spacing w:line="360" w:lineRule="auto"/>
              <w:ind w:firstLine="480" w:firstLineChars="200"/>
              <w:rPr>
                <w:color w:val="auto"/>
                <w:kern w:val="0"/>
                <w:sz w:val="24"/>
              </w:rPr>
            </w:pPr>
            <w:r>
              <w:rPr>
                <w:color w:val="auto"/>
                <w:kern w:val="0"/>
                <w:sz w:val="24"/>
              </w:rPr>
              <w:t>根据现场勘查，本项目厂界外周边50米范围内不存在声环境保护目标，故无需进行声环境质量现状监测。</w:t>
            </w:r>
          </w:p>
          <w:p>
            <w:pPr>
              <w:adjustRightInd w:val="0"/>
              <w:snapToGrid w:val="0"/>
              <w:spacing w:line="360" w:lineRule="auto"/>
              <w:ind w:firstLine="482" w:firstLineChars="200"/>
              <w:rPr>
                <w:b/>
                <w:bCs/>
                <w:color w:val="auto"/>
                <w:kern w:val="0"/>
                <w:sz w:val="24"/>
              </w:rPr>
            </w:pPr>
          </w:p>
          <w:p>
            <w:pPr>
              <w:adjustRightInd w:val="0"/>
              <w:snapToGrid w:val="0"/>
              <w:spacing w:line="360" w:lineRule="auto"/>
              <w:ind w:firstLine="482" w:firstLineChars="200"/>
              <w:rPr>
                <w:b/>
                <w:bCs/>
                <w:color w:val="auto"/>
                <w:kern w:val="0"/>
                <w:sz w:val="24"/>
              </w:rPr>
            </w:pPr>
          </w:p>
          <w:p>
            <w:pPr>
              <w:adjustRightInd w:val="0"/>
              <w:snapToGrid w:val="0"/>
              <w:spacing w:line="360" w:lineRule="auto"/>
              <w:ind w:firstLine="482" w:firstLineChars="200"/>
              <w:rPr>
                <w:b/>
                <w:bCs/>
                <w:color w:val="auto"/>
                <w:kern w:val="0"/>
                <w:sz w:val="24"/>
              </w:rPr>
            </w:pPr>
            <w:r>
              <w:rPr>
                <w:b/>
                <w:bCs/>
                <w:color w:val="auto"/>
                <w:kern w:val="0"/>
                <w:sz w:val="24"/>
              </w:rPr>
              <w:t>（四）生态环境质量现状</w:t>
            </w:r>
          </w:p>
          <w:p>
            <w:pPr>
              <w:adjustRightInd w:val="0"/>
              <w:snapToGrid w:val="0"/>
              <w:spacing w:line="360" w:lineRule="auto"/>
              <w:ind w:firstLine="480" w:firstLineChars="200"/>
              <w:rPr>
                <w:color w:val="auto"/>
                <w:kern w:val="0"/>
                <w:sz w:val="24"/>
                <w:lang w:val="zh-CN"/>
              </w:rPr>
            </w:pPr>
            <w:r>
              <w:rPr>
                <w:color w:val="auto"/>
                <w:kern w:val="0"/>
                <w:sz w:val="24"/>
              </w:rPr>
              <w:t>本项目所在</w:t>
            </w:r>
            <w:r>
              <w:rPr>
                <w:color w:val="auto"/>
                <w:kern w:val="0"/>
                <w:sz w:val="24"/>
                <w:lang w:val="zh-CN"/>
              </w:rPr>
              <w:t>区域附近以</w:t>
            </w:r>
            <w:r>
              <w:rPr>
                <w:color w:val="auto"/>
                <w:kern w:val="0"/>
                <w:sz w:val="24"/>
              </w:rPr>
              <w:t>农用地</w:t>
            </w:r>
            <w:r>
              <w:rPr>
                <w:color w:val="auto"/>
                <w:kern w:val="0"/>
                <w:sz w:val="24"/>
                <w:lang w:val="zh-CN"/>
              </w:rPr>
              <w:t>为主，处于人类活动频繁区，无原始植被生长和珍贵野生动物活动。</w:t>
            </w:r>
          </w:p>
          <w:p>
            <w:pPr>
              <w:adjustRightInd w:val="0"/>
              <w:snapToGrid w:val="0"/>
              <w:spacing w:line="360" w:lineRule="auto"/>
              <w:ind w:firstLine="482" w:firstLineChars="200"/>
              <w:rPr>
                <w:b/>
                <w:bCs/>
                <w:color w:val="auto"/>
                <w:kern w:val="0"/>
                <w:sz w:val="24"/>
              </w:rPr>
            </w:pPr>
            <w:r>
              <w:rPr>
                <w:b/>
                <w:bCs/>
                <w:color w:val="auto"/>
                <w:kern w:val="0"/>
                <w:sz w:val="24"/>
              </w:rPr>
              <w:t>（五）电磁辐射</w:t>
            </w:r>
          </w:p>
          <w:p>
            <w:pPr>
              <w:adjustRightInd w:val="0"/>
              <w:snapToGrid w:val="0"/>
              <w:spacing w:line="360" w:lineRule="auto"/>
              <w:ind w:firstLine="480" w:firstLineChars="200"/>
              <w:rPr>
                <w:color w:val="auto"/>
                <w:kern w:val="0"/>
                <w:sz w:val="24"/>
              </w:rPr>
            </w:pPr>
            <w:r>
              <w:rPr>
                <w:color w:val="auto"/>
                <w:kern w:val="0"/>
                <w:sz w:val="24"/>
              </w:rPr>
              <w:t>本项目不涉及电磁辐射，不需要进行电磁辐射环境质量现状调查。</w:t>
            </w:r>
          </w:p>
          <w:p>
            <w:pPr>
              <w:adjustRightInd w:val="0"/>
              <w:snapToGrid w:val="0"/>
              <w:spacing w:line="360" w:lineRule="auto"/>
              <w:ind w:firstLine="482" w:firstLineChars="200"/>
              <w:rPr>
                <w:b/>
                <w:bCs/>
                <w:color w:val="auto"/>
                <w:kern w:val="0"/>
                <w:sz w:val="24"/>
              </w:rPr>
            </w:pPr>
            <w:r>
              <w:rPr>
                <w:b/>
                <w:bCs/>
                <w:color w:val="auto"/>
                <w:kern w:val="0"/>
                <w:sz w:val="24"/>
              </w:rPr>
              <w:t>（六）地下水、土壤环境质量现状</w:t>
            </w:r>
          </w:p>
          <w:p>
            <w:pPr>
              <w:adjustRightInd w:val="0"/>
              <w:snapToGrid w:val="0"/>
              <w:spacing w:line="360" w:lineRule="auto"/>
              <w:ind w:firstLine="480" w:firstLineChars="200"/>
              <w:rPr>
                <w:color w:val="auto"/>
                <w:kern w:val="0"/>
                <w:sz w:val="24"/>
              </w:rPr>
            </w:pPr>
            <w:r>
              <w:rPr>
                <w:rFonts w:hint="eastAsia"/>
                <w:color w:val="auto"/>
                <w:kern w:val="0"/>
                <w:sz w:val="24"/>
              </w:rPr>
              <w:t>根据现场勘查，</w:t>
            </w:r>
            <w:r>
              <w:rPr>
                <w:color w:val="auto"/>
                <w:kern w:val="0"/>
                <w:sz w:val="24"/>
              </w:rPr>
              <w:t>本项目</w:t>
            </w:r>
            <w:r>
              <w:rPr>
                <w:rFonts w:hint="eastAsia"/>
                <w:color w:val="auto"/>
                <w:kern w:val="0"/>
                <w:sz w:val="24"/>
              </w:rPr>
              <w:t>现状为林地</w:t>
            </w:r>
            <w:r>
              <w:rPr>
                <w:color w:val="auto"/>
                <w:kern w:val="0"/>
                <w:sz w:val="24"/>
              </w:rPr>
              <w:t>，不存在地下水、土壤环境污染途径，故本次评价不进行地下水、土壤环境质量现状调查。</w:t>
            </w: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6" w:hRule="atLeast"/>
          <w:jc w:val="center"/>
        </w:trPr>
        <w:tc>
          <w:tcPr>
            <w:tcW w:w="258" w:type="pct"/>
            <w:noWrap w:val="0"/>
            <w:vAlign w:val="center"/>
          </w:tcPr>
          <w:p>
            <w:pPr>
              <w:adjustRightInd w:val="0"/>
              <w:snapToGrid w:val="0"/>
              <w:jc w:val="center"/>
              <w:rPr>
                <w:b/>
                <w:bCs/>
                <w:color w:val="auto"/>
                <w:kern w:val="0"/>
                <w:sz w:val="24"/>
              </w:rPr>
            </w:pPr>
            <w:r>
              <w:rPr>
                <w:b/>
                <w:bCs/>
                <w:color w:val="auto"/>
                <w:kern w:val="0"/>
                <w:sz w:val="24"/>
              </w:rPr>
              <w:t>环境</w:t>
            </w:r>
          </w:p>
          <w:p>
            <w:pPr>
              <w:adjustRightInd w:val="0"/>
              <w:snapToGrid w:val="0"/>
              <w:jc w:val="center"/>
              <w:rPr>
                <w:b/>
                <w:bCs/>
                <w:color w:val="auto"/>
                <w:kern w:val="0"/>
                <w:sz w:val="24"/>
              </w:rPr>
            </w:pPr>
            <w:r>
              <w:rPr>
                <w:b/>
                <w:bCs/>
                <w:color w:val="auto"/>
                <w:kern w:val="0"/>
                <w:sz w:val="24"/>
              </w:rPr>
              <w:t>保护</w:t>
            </w:r>
          </w:p>
          <w:p>
            <w:pPr>
              <w:adjustRightInd w:val="0"/>
              <w:snapToGrid w:val="0"/>
              <w:jc w:val="center"/>
              <w:rPr>
                <w:b/>
                <w:bCs/>
                <w:color w:val="auto"/>
                <w:kern w:val="0"/>
                <w:sz w:val="24"/>
              </w:rPr>
            </w:pPr>
            <w:r>
              <w:rPr>
                <w:b/>
                <w:bCs/>
                <w:color w:val="auto"/>
                <w:kern w:val="0"/>
                <w:sz w:val="24"/>
              </w:rPr>
              <w:t>目标</w:t>
            </w:r>
          </w:p>
        </w:tc>
        <w:tc>
          <w:tcPr>
            <w:tcW w:w="4741" w:type="pct"/>
            <w:noWrap w:val="0"/>
            <w:vAlign w:val="center"/>
          </w:tcPr>
          <w:p>
            <w:pPr>
              <w:adjustRightInd w:val="0"/>
              <w:snapToGrid w:val="0"/>
              <w:spacing w:line="360" w:lineRule="auto"/>
              <w:ind w:firstLine="482" w:firstLineChars="200"/>
              <w:rPr>
                <w:b/>
                <w:bCs/>
                <w:color w:val="auto"/>
                <w:kern w:val="0"/>
                <w:sz w:val="24"/>
              </w:rPr>
            </w:pPr>
            <w:r>
              <w:rPr>
                <w:b/>
                <w:bCs/>
                <w:color w:val="auto"/>
                <w:kern w:val="0"/>
                <w:sz w:val="24"/>
              </w:rPr>
              <w:t>（一）大气环境保护目标</w:t>
            </w:r>
          </w:p>
          <w:p>
            <w:pPr>
              <w:adjustRightInd w:val="0"/>
              <w:snapToGrid w:val="0"/>
              <w:spacing w:line="360" w:lineRule="auto"/>
              <w:ind w:firstLine="480" w:firstLineChars="200"/>
              <w:rPr>
                <w:color w:val="auto"/>
                <w:kern w:val="0"/>
                <w:sz w:val="24"/>
              </w:rPr>
            </w:pPr>
            <w:r>
              <w:rPr>
                <w:color w:val="auto"/>
                <w:kern w:val="0"/>
                <w:sz w:val="24"/>
              </w:rPr>
              <w:t>根据现场踏勘及查阅相关资料，本项目厂界外500米范围内的不存在大气环境保护目标。</w:t>
            </w:r>
          </w:p>
          <w:p>
            <w:pPr>
              <w:adjustRightInd w:val="0"/>
              <w:snapToGrid w:val="0"/>
              <w:spacing w:line="360" w:lineRule="auto"/>
              <w:ind w:firstLine="482" w:firstLineChars="200"/>
              <w:rPr>
                <w:b/>
                <w:bCs/>
                <w:color w:val="auto"/>
                <w:kern w:val="0"/>
                <w:sz w:val="24"/>
              </w:rPr>
            </w:pPr>
            <w:r>
              <w:rPr>
                <w:b/>
                <w:bCs/>
                <w:color w:val="auto"/>
                <w:kern w:val="0"/>
                <w:sz w:val="24"/>
              </w:rPr>
              <w:t>（二）声环境保护目标</w:t>
            </w:r>
          </w:p>
          <w:p>
            <w:pPr>
              <w:adjustRightInd w:val="0"/>
              <w:snapToGrid w:val="0"/>
              <w:spacing w:line="360" w:lineRule="auto"/>
              <w:ind w:firstLine="480" w:firstLineChars="200"/>
              <w:rPr>
                <w:color w:val="auto"/>
                <w:kern w:val="0"/>
                <w:sz w:val="24"/>
              </w:rPr>
            </w:pPr>
            <w:r>
              <w:rPr>
                <w:color w:val="auto"/>
                <w:kern w:val="0"/>
                <w:sz w:val="24"/>
              </w:rPr>
              <w:t>根据现场踏勘，本项目厂界外50米范围内无声环境保护目标</w:t>
            </w:r>
          </w:p>
          <w:p>
            <w:pPr>
              <w:adjustRightInd w:val="0"/>
              <w:snapToGrid w:val="0"/>
              <w:spacing w:line="360" w:lineRule="auto"/>
              <w:ind w:firstLine="482" w:firstLineChars="200"/>
              <w:rPr>
                <w:b/>
                <w:bCs/>
                <w:color w:val="auto"/>
                <w:kern w:val="0"/>
                <w:sz w:val="24"/>
              </w:rPr>
            </w:pPr>
            <w:r>
              <w:rPr>
                <w:b/>
                <w:bCs/>
                <w:color w:val="auto"/>
                <w:kern w:val="0"/>
                <w:sz w:val="24"/>
              </w:rPr>
              <w:t>（三）地下水环境保护目标</w:t>
            </w:r>
          </w:p>
          <w:p>
            <w:pPr>
              <w:adjustRightInd w:val="0"/>
              <w:snapToGrid w:val="0"/>
              <w:spacing w:line="360" w:lineRule="auto"/>
              <w:ind w:firstLine="480" w:firstLineChars="200"/>
              <w:rPr>
                <w:color w:val="auto"/>
                <w:kern w:val="0"/>
                <w:sz w:val="24"/>
              </w:rPr>
            </w:pPr>
            <w:r>
              <w:rPr>
                <w:color w:val="auto"/>
                <w:kern w:val="0"/>
                <w:sz w:val="24"/>
              </w:rPr>
              <w:t>根据现场踏勘及查阅相关资料，项目厂界500米范围内无地下水集中式饮用水水源和热水、矿泉水、温泉水等特殊地下水资源。</w:t>
            </w:r>
          </w:p>
          <w:p>
            <w:pPr>
              <w:adjustRightInd w:val="0"/>
              <w:snapToGrid w:val="0"/>
              <w:spacing w:line="360" w:lineRule="auto"/>
              <w:ind w:firstLine="482" w:firstLineChars="200"/>
              <w:rPr>
                <w:b/>
                <w:bCs/>
                <w:color w:val="auto"/>
                <w:kern w:val="0"/>
                <w:sz w:val="24"/>
              </w:rPr>
            </w:pPr>
            <w:r>
              <w:rPr>
                <w:b/>
                <w:bCs/>
                <w:color w:val="auto"/>
                <w:kern w:val="0"/>
                <w:sz w:val="24"/>
              </w:rPr>
              <w:t>（四）生态环境保护目标</w:t>
            </w:r>
          </w:p>
          <w:p>
            <w:pPr>
              <w:adjustRightInd w:val="0"/>
              <w:snapToGrid w:val="0"/>
              <w:spacing w:line="360" w:lineRule="auto"/>
              <w:ind w:firstLine="480" w:firstLineChars="200"/>
              <w:rPr>
                <w:color w:val="auto"/>
                <w:kern w:val="0"/>
                <w:sz w:val="24"/>
              </w:rPr>
            </w:pPr>
            <w:r>
              <w:rPr>
                <w:color w:val="auto"/>
                <w:kern w:val="0"/>
                <w:sz w:val="24"/>
              </w:rPr>
              <w:t>根据现场踏勘及查阅相关资料，项目周围人类活动频繁，无原始植被生长和珍稀野生动物活动，区域生态系统敏感程度较低，项目用地范围内不涉及生态环境保护目标。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258" w:type="pct"/>
            <w:noWrap w:val="0"/>
            <w:tcMar>
              <w:left w:w="28" w:type="dxa"/>
              <w:right w:w="28" w:type="dxa"/>
            </w:tcMar>
            <w:vAlign w:val="center"/>
          </w:tcPr>
          <w:p>
            <w:pPr>
              <w:adjustRightInd w:val="0"/>
              <w:snapToGrid w:val="0"/>
              <w:jc w:val="center"/>
              <w:rPr>
                <w:b/>
                <w:bCs/>
                <w:color w:val="auto"/>
                <w:kern w:val="0"/>
                <w:sz w:val="24"/>
              </w:rPr>
            </w:pPr>
            <w:r>
              <w:rPr>
                <w:b/>
                <w:bCs/>
                <w:color w:val="auto"/>
                <w:kern w:val="0"/>
                <w:sz w:val="24"/>
              </w:rPr>
              <w:t>污染</w:t>
            </w:r>
          </w:p>
          <w:p>
            <w:pPr>
              <w:adjustRightInd w:val="0"/>
              <w:snapToGrid w:val="0"/>
              <w:jc w:val="center"/>
              <w:rPr>
                <w:b/>
                <w:bCs/>
                <w:color w:val="auto"/>
                <w:kern w:val="0"/>
                <w:sz w:val="24"/>
              </w:rPr>
            </w:pPr>
            <w:r>
              <w:rPr>
                <w:b/>
                <w:bCs/>
                <w:color w:val="auto"/>
                <w:kern w:val="0"/>
                <w:sz w:val="24"/>
              </w:rPr>
              <w:t>物排</w:t>
            </w:r>
          </w:p>
          <w:p>
            <w:pPr>
              <w:adjustRightInd w:val="0"/>
              <w:snapToGrid w:val="0"/>
              <w:jc w:val="center"/>
              <w:rPr>
                <w:b/>
                <w:bCs/>
                <w:color w:val="auto"/>
                <w:kern w:val="0"/>
                <w:sz w:val="24"/>
              </w:rPr>
            </w:pPr>
            <w:r>
              <w:rPr>
                <w:b/>
                <w:bCs/>
                <w:color w:val="auto"/>
                <w:kern w:val="0"/>
                <w:sz w:val="24"/>
              </w:rPr>
              <w:t>放控</w:t>
            </w:r>
          </w:p>
          <w:p>
            <w:pPr>
              <w:adjustRightInd w:val="0"/>
              <w:snapToGrid w:val="0"/>
              <w:jc w:val="center"/>
              <w:rPr>
                <w:b/>
                <w:bCs/>
                <w:color w:val="auto"/>
                <w:kern w:val="0"/>
                <w:sz w:val="24"/>
              </w:rPr>
            </w:pPr>
            <w:r>
              <w:rPr>
                <w:b/>
                <w:bCs/>
                <w:color w:val="auto"/>
                <w:kern w:val="0"/>
                <w:sz w:val="24"/>
              </w:rPr>
              <w:t>制标</w:t>
            </w:r>
          </w:p>
          <w:p>
            <w:pPr>
              <w:adjustRightInd w:val="0"/>
              <w:snapToGrid w:val="0"/>
              <w:jc w:val="center"/>
              <w:rPr>
                <w:b/>
                <w:bCs/>
                <w:color w:val="auto"/>
                <w:kern w:val="0"/>
                <w:sz w:val="24"/>
              </w:rPr>
            </w:pPr>
            <w:r>
              <w:rPr>
                <w:b/>
                <w:bCs/>
                <w:color w:val="auto"/>
                <w:kern w:val="0"/>
                <w:sz w:val="24"/>
              </w:rPr>
              <w:t>准</w:t>
            </w:r>
          </w:p>
        </w:tc>
        <w:tc>
          <w:tcPr>
            <w:tcW w:w="4741" w:type="pct"/>
            <w:noWrap w:val="0"/>
            <w:vAlign w:val="center"/>
          </w:tcPr>
          <w:p>
            <w:pPr>
              <w:adjustRightInd w:val="0"/>
              <w:snapToGrid w:val="0"/>
              <w:spacing w:line="360" w:lineRule="auto"/>
              <w:ind w:firstLine="482" w:firstLineChars="200"/>
              <w:rPr>
                <w:b/>
                <w:bCs/>
                <w:color w:val="auto"/>
                <w:kern w:val="0"/>
                <w:sz w:val="24"/>
              </w:rPr>
            </w:pPr>
            <w:r>
              <w:rPr>
                <w:b/>
                <w:bCs/>
                <w:color w:val="auto"/>
                <w:kern w:val="0"/>
                <w:sz w:val="24"/>
              </w:rPr>
              <w:t>1.废气</w:t>
            </w:r>
          </w:p>
          <w:p>
            <w:pPr>
              <w:adjustRightInd w:val="0"/>
              <w:snapToGrid w:val="0"/>
              <w:spacing w:line="360" w:lineRule="auto"/>
              <w:ind w:firstLine="480" w:firstLineChars="200"/>
              <w:rPr>
                <w:color w:val="auto"/>
                <w:kern w:val="0"/>
                <w:sz w:val="24"/>
              </w:rPr>
            </w:pPr>
            <w:r>
              <w:rPr>
                <w:color w:val="auto"/>
                <w:kern w:val="0"/>
                <w:sz w:val="24"/>
              </w:rPr>
              <w:t>本项目</w:t>
            </w:r>
            <w:r>
              <w:rPr>
                <w:rFonts w:hint="eastAsia"/>
                <w:color w:val="auto"/>
                <w:kern w:val="0"/>
                <w:sz w:val="24"/>
              </w:rPr>
              <w:t>施工期厂界外无组织废气中的颗粒物执行《大气污染物综合排放标准》（GB16297-1996）中的无组织排放监控浓度限值。</w:t>
            </w:r>
          </w:p>
          <w:p>
            <w:pPr>
              <w:adjustRightInd w:val="0"/>
              <w:snapToGrid w:val="0"/>
              <w:spacing w:line="360" w:lineRule="auto"/>
              <w:ind w:firstLine="480" w:firstLineChars="200"/>
              <w:rPr>
                <w:color w:val="auto"/>
                <w:kern w:val="0"/>
                <w:sz w:val="24"/>
              </w:rPr>
            </w:pPr>
            <w:r>
              <w:rPr>
                <w:rFonts w:hint="eastAsia"/>
                <w:color w:val="auto"/>
                <w:kern w:val="0"/>
                <w:sz w:val="24"/>
              </w:rPr>
              <w:t>本项目</w:t>
            </w:r>
            <w:r>
              <w:rPr>
                <w:color w:val="auto"/>
                <w:kern w:val="0"/>
                <w:sz w:val="24"/>
              </w:rPr>
              <w:t>运营期燃烧器燃烧废气、干燥滚筒烘干废气</w:t>
            </w:r>
            <w:r>
              <w:rPr>
                <w:rFonts w:hint="eastAsia"/>
                <w:color w:val="auto"/>
                <w:kern w:val="0"/>
                <w:sz w:val="24"/>
              </w:rPr>
              <w:t>、搅拌器加热、搅拌、出料废气经收集治理后，颗粒物、SO</w:t>
            </w:r>
            <w:r>
              <w:rPr>
                <w:rFonts w:hint="eastAsia"/>
                <w:color w:val="auto"/>
                <w:kern w:val="0"/>
                <w:sz w:val="24"/>
                <w:vertAlign w:val="subscript"/>
              </w:rPr>
              <w:t>2</w:t>
            </w:r>
            <w:r>
              <w:rPr>
                <w:rFonts w:hint="eastAsia"/>
                <w:color w:val="auto"/>
                <w:kern w:val="0"/>
                <w:sz w:val="24"/>
              </w:rPr>
              <w:t>、NOx、沥青烟、苯并[a]芘、非甲烷总烃有组织排放执行《大气污染物综合排放标准》（GB16297-1996）中的二级标准限值；导热油炉燃烧废气经收集后，烟尘、烟气黑度、二氧化硫有组织排放执行《工业炉窑大气污染物排放标准》（GB9078-1996）中的其他炉窑、燃煤（油）炉窑排放限值、氮氧化物有组织排放执行《大气污染物综合排放标准》（GB16297-1996）中的二级标准限值。</w:t>
            </w:r>
          </w:p>
          <w:p>
            <w:pPr>
              <w:adjustRightInd w:val="0"/>
              <w:snapToGrid w:val="0"/>
              <w:spacing w:line="360" w:lineRule="auto"/>
              <w:ind w:firstLine="480" w:firstLineChars="200"/>
              <w:rPr>
                <w:rFonts w:hint="eastAsia"/>
                <w:color w:val="auto"/>
                <w:kern w:val="0"/>
                <w:sz w:val="24"/>
              </w:rPr>
            </w:pPr>
            <w:r>
              <w:rPr>
                <w:rFonts w:hint="eastAsia"/>
                <w:color w:val="auto"/>
                <w:kern w:val="0"/>
                <w:sz w:val="24"/>
              </w:rPr>
              <w:t>本项目运营期厂界外无组织废气中的颗粒物、沥青烟、苯并[a]芘、非甲烷总烃执行《大气污染物综合排放标准》（GB16297-1996）中的无组织排放监控浓度限值。</w:t>
            </w:r>
          </w:p>
          <w:p>
            <w:pPr>
              <w:adjustRightInd w:val="0"/>
              <w:snapToGrid w:val="0"/>
              <w:ind w:firstLine="482" w:firstLineChars="200"/>
              <w:jc w:val="center"/>
              <w:rPr>
                <w:b/>
                <w:bCs/>
                <w:color w:val="auto"/>
                <w:kern w:val="0"/>
                <w:sz w:val="24"/>
              </w:rPr>
            </w:pPr>
            <w:r>
              <w:rPr>
                <w:b/>
                <w:bCs/>
                <w:color w:val="auto"/>
                <w:kern w:val="0"/>
                <w:sz w:val="24"/>
              </w:rPr>
              <w:t>表3-</w:t>
            </w:r>
            <w:r>
              <w:rPr>
                <w:rFonts w:hint="eastAsia"/>
                <w:b/>
                <w:bCs/>
                <w:color w:val="auto"/>
                <w:kern w:val="0"/>
                <w:sz w:val="24"/>
              </w:rPr>
              <w:t>2</w:t>
            </w:r>
            <w:r>
              <w:rPr>
                <w:b/>
                <w:bCs/>
                <w:color w:val="auto"/>
                <w:kern w:val="0"/>
                <w:sz w:val="24"/>
              </w:rPr>
              <w:t xml:space="preserve"> 本项目废气排放控制标准</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1"/>
              <w:gridCol w:w="886"/>
              <w:gridCol w:w="1169"/>
              <w:gridCol w:w="2728"/>
              <w:gridCol w:w="1005"/>
              <w:gridCol w:w="735"/>
              <w:gridCol w:w="1065"/>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11" w:type="dxa"/>
                  <w:vMerge w:val="restart"/>
                  <w:shd w:val="clear" w:color="auto" w:fill="auto"/>
                  <w:noWrap w:val="0"/>
                  <w:vAlign w:val="center"/>
                </w:tcPr>
                <w:p>
                  <w:pPr>
                    <w:adjustRightInd w:val="0"/>
                    <w:jc w:val="center"/>
                    <w:rPr>
                      <w:b/>
                      <w:bCs/>
                      <w:snapToGrid w:val="0"/>
                      <w:color w:val="auto"/>
                      <w:kern w:val="0"/>
                      <w:szCs w:val="21"/>
                    </w:rPr>
                  </w:pPr>
                  <w:r>
                    <w:rPr>
                      <w:b/>
                      <w:bCs/>
                      <w:color w:val="auto"/>
                      <w:kern w:val="0"/>
                      <w:szCs w:val="21"/>
                    </w:rPr>
                    <w:t>排放时期</w:t>
                  </w:r>
                </w:p>
              </w:tc>
              <w:tc>
                <w:tcPr>
                  <w:tcW w:w="886" w:type="dxa"/>
                  <w:vMerge w:val="restart"/>
                  <w:shd w:val="clear" w:color="auto" w:fill="auto"/>
                  <w:noWrap w:val="0"/>
                  <w:vAlign w:val="center"/>
                </w:tcPr>
                <w:p>
                  <w:pPr>
                    <w:adjustRightInd w:val="0"/>
                    <w:jc w:val="center"/>
                    <w:rPr>
                      <w:b/>
                      <w:bCs/>
                      <w:color w:val="auto"/>
                      <w:kern w:val="0"/>
                      <w:szCs w:val="21"/>
                    </w:rPr>
                  </w:pPr>
                  <w:r>
                    <w:rPr>
                      <w:b/>
                      <w:bCs/>
                      <w:color w:val="auto"/>
                      <w:kern w:val="0"/>
                      <w:szCs w:val="21"/>
                    </w:rPr>
                    <w:t>产排污</w:t>
                  </w:r>
                </w:p>
                <w:p>
                  <w:pPr>
                    <w:adjustRightInd w:val="0"/>
                    <w:jc w:val="center"/>
                    <w:rPr>
                      <w:b/>
                      <w:bCs/>
                      <w:color w:val="auto"/>
                      <w:kern w:val="0"/>
                      <w:szCs w:val="21"/>
                    </w:rPr>
                  </w:pPr>
                  <w:r>
                    <w:rPr>
                      <w:b/>
                      <w:bCs/>
                      <w:color w:val="auto"/>
                      <w:kern w:val="0"/>
                      <w:szCs w:val="21"/>
                    </w:rPr>
                    <w:t>环节</w:t>
                  </w:r>
                </w:p>
              </w:tc>
              <w:tc>
                <w:tcPr>
                  <w:tcW w:w="1169" w:type="dxa"/>
                  <w:vMerge w:val="restart"/>
                  <w:shd w:val="clear" w:color="auto" w:fill="auto"/>
                  <w:noWrap w:val="0"/>
                  <w:vAlign w:val="center"/>
                </w:tcPr>
                <w:p>
                  <w:pPr>
                    <w:snapToGrid w:val="0"/>
                    <w:jc w:val="center"/>
                    <w:rPr>
                      <w:b/>
                      <w:bCs/>
                      <w:snapToGrid w:val="0"/>
                      <w:color w:val="auto"/>
                      <w:kern w:val="0"/>
                      <w:szCs w:val="21"/>
                    </w:rPr>
                  </w:pPr>
                  <w:r>
                    <w:rPr>
                      <w:b/>
                      <w:bCs/>
                      <w:snapToGrid w:val="0"/>
                      <w:color w:val="auto"/>
                      <w:kern w:val="0"/>
                      <w:szCs w:val="21"/>
                    </w:rPr>
                    <w:t>污染物</w:t>
                  </w:r>
                </w:p>
              </w:tc>
              <w:tc>
                <w:tcPr>
                  <w:tcW w:w="2728" w:type="dxa"/>
                  <w:vMerge w:val="restart"/>
                  <w:shd w:val="clear" w:color="auto" w:fill="auto"/>
                  <w:noWrap w:val="0"/>
                  <w:vAlign w:val="center"/>
                </w:tcPr>
                <w:p>
                  <w:pPr>
                    <w:snapToGrid w:val="0"/>
                    <w:jc w:val="center"/>
                    <w:rPr>
                      <w:b/>
                      <w:bCs/>
                      <w:snapToGrid w:val="0"/>
                      <w:color w:val="auto"/>
                      <w:kern w:val="0"/>
                      <w:szCs w:val="21"/>
                    </w:rPr>
                  </w:pPr>
                  <w:r>
                    <w:rPr>
                      <w:b/>
                      <w:bCs/>
                      <w:snapToGrid w:val="0"/>
                      <w:color w:val="auto"/>
                      <w:kern w:val="0"/>
                      <w:szCs w:val="21"/>
                    </w:rPr>
                    <w:t>执行标准</w:t>
                  </w:r>
                </w:p>
              </w:tc>
              <w:tc>
                <w:tcPr>
                  <w:tcW w:w="1005" w:type="dxa"/>
                  <w:vMerge w:val="restart"/>
                  <w:shd w:val="clear" w:color="auto" w:fill="auto"/>
                  <w:noWrap w:val="0"/>
                  <w:vAlign w:val="center"/>
                </w:tcPr>
                <w:p>
                  <w:pPr>
                    <w:snapToGrid w:val="0"/>
                    <w:jc w:val="center"/>
                    <w:rPr>
                      <w:b/>
                      <w:bCs/>
                      <w:snapToGrid w:val="0"/>
                      <w:color w:val="auto"/>
                      <w:kern w:val="0"/>
                      <w:szCs w:val="21"/>
                    </w:rPr>
                  </w:pPr>
                  <w:r>
                    <w:rPr>
                      <w:b/>
                      <w:bCs/>
                      <w:snapToGrid w:val="0"/>
                      <w:color w:val="auto"/>
                      <w:kern w:val="0"/>
                      <w:szCs w:val="21"/>
                    </w:rPr>
                    <w:t>最高允许</w:t>
                  </w:r>
                </w:p>
                <w:p>
                  <w:pPr>
                    <w:snapToGrid w:val="0"/>
                    <w:jc w:val="center"/>
                    <w:rPr>
                      <w:b/>
                      <w:bCs/>
                      <w:snapToGrid w:val="0"/>
                      <w:color w:val="auto"/>
                      <w:kern w:val="0"/>
                      <w:szCs w:val="21"/>
                    </w:rPr>
                  </w:pPr>
                  <w:r>
                    <w:rPr>
                      <w:b/>
                      <w:bCs/>
                      <w:snapToGrid w:val="0"/>
                      <w:color w:val="auto"/>
                      <w:kern w:val="0"/>
                      <w:szCs w:val="21"/>
                    </w:rPr>
                    <w:t>排放浓度mg/m</w:t>
                  </w:r>
                  <w:r>
                    <w:rPr>
                      <w:b/>
                      <w:bCs/>
                      <w:snapToGrid w:val="0"/>
                      <w:color w:val="auto"/>
                      <w:kern w:val="0"/>
                      <w:szCs w:val="21"/>
                      <w:vertAlign w:val="superscript"/>
                    </w:rPr>
                    <w:t>3</w:t>
                  </w:r>
                </w:p>
              </w:tc>
              <w:tc>
                <w:tcPr>
                  <w:tcW w:w="1800" w:type="dxa"/>
                  <w:gridSpan w:val="2"/>
                  <w:shd w:val="clear" w:color="auto" w:fill="auto"/>
                  <w:noWrap w:val="0"/>
                  <w:vAlign w:val="center"/>
                </w:tcPr>
                <w:p>
                  <w:pPr>
                    <w:snapToGrid w:val="0"/>
                    <w:jc w:val="center"/>
                    <w:rPr>
                      <w:b/>
                      <w:bCs/>
                      <w:snapToGrid w:val="0"/>
                      <w:color w:val="auto"/>
                      <w:kern w:val="0"/>
                      <w:szCs w:val="21"/>
                    </w:rPr>
                  </w:pPr>
                  <w:r>
                    <w:rPr>
                      <w:b/>
                      <w:bCs/>
                      <w:snapToGrid w:val="0"/>
                      <w:color w:val="auto"/>
                      <w:kern w:val="0"/>
                      <w:szCs w:val="21"/>
                    </w:rPr>
                    <w:t>最高允许排放速率，kg/h</w:t>
                  </w:r>
                </w:p>
              </w:tc>
              <w:tc>
                <w:tcPr>
                  <w:tcW w:w="1111" w:type="dxa"/>
                  <w:vMerge w:val="restart"/>
                  <w:shd w:val="clear" w:color="auto" w:fill="auto"/>
                  <w:noWrap w:val="0"/>
                  <w:vAlign w:val="center"/>
                </w:tcPr>
                <w:p>
                  <w:pPr>
                    <w:snapToGrid w:val="0"/>
                    <w:jc w:val="center"/>
                    <w:rPr>
                      <w:b/>
                      <w:bCs/>
                      <w:snapToGrid w:val="0"/>
                      <w:color w:val="auto"/>
                      <w:kern w:val="0"/>
                      <w:szCs w:val="21"/>
                    </w:rPr>
                  </w:pPr>
                  <w:r>
                    <w:rPr>
                      <w:b/>
                      <w:bCs/>
                      <w:snapToGrid w:val="0"/>
                      <w:color w:val="auto"/>
                      <w:kern w:val="0"/>
                      <w:szCs w:val="21"/>
                    </w:rPr>
                    <w:t>无组织排放监控浓度限值mg/m</w:t>
                  </w:r>
                  <w:r>
                    <w:rPr>
                      <w:b/>
                      <w:bCs/>
                      <w:snapToGrid w:val="0"/>
                      <w:color w:val="auto"/>
                      <w:kern w:val="0"/>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11" w:type="dxa"/>
                  <w:vMerge w:val="continue"/>
                  <w:shd w:val="clear" w:color="auto" w:fill="auto"/>
                  <w:noWrap w:val="0"/>
                  <w:vAlign w:val="center"/>
                </w:tcPr>
                <w:p>
                  <w:pPr>
                    <w:snapToGrid w:val="0"/>
                    <w:jc w:val="center"/>
                    <w:rPr>
                      <w:b/>
                      <w:bCs/>
                      <w:snapToGrid w:val="0"/>
                      <w:color w:val="auto"/>
                      <w:kern w:val="0"/>
                      <w:szCs w:val="21"/>
                    </w:rPr>
                  </w:pPr>
                </w:p>
              </w:tc>
              <w:tc>
                <w:tcPr>
                  <w:tcW w:w="886" w:type="dxa"/>
                  <w:vMerge w:val="continue"/>
                  <w:shd w:val="clear" w:color="auto" w:fill="auto"/>
                  <w:noWrap w:val="0"/>
                  <w:vAlign w:val="center"/>
                </w:tcPr>
                <w:p>
                  <w:pPr>
                    <w:snapToGrid w:val="0"/>
                    <w:jc w:val="center"/>
                    <w:rPr>
                      <w:b/>
                      <w:bCs/>
                      <w:snapToGrid w:val="0"/>
                      <w:color w:val="auto"/>
                      <w:kern w:val="0"/>
                      <w:szCs w:val="21"/>
                    </w:rPr>
                  </w:pPr>
                </w:p>
              </w:tc>
              <w:tc>
                <w:tcPr>
                  <w:tcW w:w="1169" w:type="dxa"/>
                  <w:vMerge w:val="continue"/>
                  <w:shd w:val="clear" w:color="auto" w:fill="auto"/>
                  <w:noWrap w:val="0"/>
                  <w:vAlign w:val="center"/>
                </w:tcPr>
                <w:p>
                  <w:pPr>
                    <w:snapToGrid w:val="0"/>
                    <w:jc w:val="center"/>
                    <w:rPr>
                      <w:b/>
                      <w:bCs/>
                      <w:snapToGrid w:val="0"/>
                      <w:color w:val="auto"/>
                      <w:kern w:val="0"/>
                      <w:szCs w:val="21"/>
                    </w:rPr>
                  </w:pPr>
                </w:p>
              </w:tc>
              <w:tc>
                <w:tcPr>
                  <w:tcW w:w="2728" w:type="dxa"/>
                  <w:vMerge w:val="continue"/>
                  <w:shd w:val="clear" w:color="auto" w:fill="auto"/>
                  <w:noWrap w:val="0"/>
                  <w:vAlign w:val="center"/>
                </w:tcPr>
                <w:p>
                  <w:pPr>
                    <w:snapToGrid w:val="0"/>
                    <w:jc w:val="center"/>
                    <w:rPr>
                      <w:b/>
                      <w:bCs/>
                      <w:snapToGrid w:val="0"/>
                      <w:color w:val="auto"/>
                      <w:kern w:val="0"/>
                      <w:szCs w:val="21"/>
                    </w:rPr>
                  </w:pPr>
                </w:p>
              </w:tc>
              <w:tc>
                <w:tcPr>
                  <w:tcW w:w="1005" w:type="dxa"/>
                  <w:vMerge w:val="continue"/>
                  <w:shd w:val="clear" w:color="auto" w:fill="auto"/>
                  <w:noWrap w:val="0"/>
                  <w:vAlign w:val="center"/>
                </w:tcPr>
                <w:p>
                  <w:pPr>
                    <w:snapToGrid w:val="0"/>
                    <w:jc w:val="center"/>
                    <w:rPr>
                      <w:b/>
                      <w:bCs/>
                      <w:snapToGrid w:val="0"/>
                      <w:color w:val="auto"/>
                      <w:kern w:val="0"/>
                      <w:szCs w:val="21"/>
                    </w:rPr>
                  </w:pPr>
                </w:p>
              </w:tc>
              <w:tc>
                <w:tcPr>
                  <w:tcW w:w="735" w:type="dxa"/>
                  <w:shd w:val="clear" w:color="auto" w:fill="auto"/>
                  <w:noWrap w:val="0"/>
                  <w:vAlign w:val="center"/>
                </w:tcPr>
                <w:p>
                  <w:pPr>
                    <w:snapToGrid w:val="0"/>
                    <w:jc w:val="center"/>
                    <w:rPr>
                      <w:b/>
                      <w:bCs/>
                      <w:snapToGrid w:val="0"/>
                      <w:color w:val="auto"/>
                      <w:kern w:val="0"/>
                      <w:szCs w:val="21"/>
                    </w:rPr>
                  </w:pPr>
                  <w:r>
                    <w:rPr>
                      <w:b/>
                      <w:bCs/>
                      <w:snapToGrid w:val="0"/>
                      <w:color w:val="auto"/>
                      <w:kern w:val="0"/>
                      <w:szCs w:val="21"/>
                    </w:rPr>
                    <w:t>排气筒</w:t>
                  </w:r>
                </w:p>
                <w:p>
                  <w:pPr>
                    <w:snapToGrid w:val="0"/>
                    <w:jc w:val="center"/>
                    <w:rPr>
                      <w:b/>
                      <w:bCs/>
                      <w:snapToGrid w:val="0"/>
                      <w:color w:val="auto"/>
                      <w:kern w:val="0"/>
                      <w:szCs w:val="21"/>
                    </w:rPr>
                  </w:pPr>
                  <w:r>
                    <w:rPr>
                      <w:b/>
                      <w:bCs/>
                      <w:snapToGrid w:val="0"/>
                      <w:color w:val="auto"/>
                      <w:kern w:val="0"/>
                      <w:szCs w:val="21"/>
                    </w:rPr>
                    <w:t>高度m</w:t>
                  </w:r>
                </w:p>
              </w:tc>
              <w:tc>
                <w:tcPr>
                  <w:tcW w:w="1065" w:type="dxa"/>
                  <w:shd w:val="clear" w:color="auto" w:fill="auto"/>
                  <w:noWrap w:val="0"/>
                  <w:vAlign w:val="center"/>
                </w:tcPr>
                <w:p>
                  <w:pPr>
                    <w:snapToGrid w:val="0"/>
                    <w:jc w:val="center"/>
                    <w:rPr>
                      <w:b/>
                      <w:bCs/>
                      <w:snapToGrid w:val="0"/>
                      <w:color w:val="auto"/>
                      <w:kern w:val="0"/>
                      <w:szCs w:val="21"/>
                    </w:rPr>
                  </w:pPr>
                  <w:r>
                    <w:rPr>
                      <w:b/>
                      <w:bCs/>
                      <w:snapToGrid w:val="0"/>
                      <w:color w:val="auto"/>
                      <w:kern w:val="0"/>
                      <w:szCs w:val="21"/>
                    </w:rPr>
                    <w:t>二级</w:t>
                  </w:r>
                </w:p>
              </w:tc>
              <w:tc>
                <w:tcPr>
                  <w:tcW w:w="1111" w:type="dxa"/>
                  <w:vMerge w:val="continue"/>
                  <w:shd w:val="clear" w:color="auto" w:fill="auto"/>
                  <w:noWrap w:val="0"/>
                  <w:vAlign w:val="center"/>
                </w:tcPr>
                <w:p>
                  <w:pPr>
                    <w:snapToGrid w:val="0"/>
                    <w:jc w:val="center"/>
                    <w:rPr>
                      <w:b/>
                      <w:bCs/>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11" w:type="dxa"/>
                  <w:shd w:val="clear" w:color="auto" w:fill="auto"/>
                  <w:noWrap w:val="0"/>
                  <w:vAlign w:val="center"/>
                </w:tcPr>
                <w:p>
                  <w:pPr>
                    <w:snapToGrid w:val="0"/>
                    <w:jc w:val="center"/>
                    <w:rPr>
                      <w:snapToGrid w:val="0"/>
                      <w:color w:val="auto"/>
                      <w:kern w:val="0"/>
                      <w:szCs w:val="21"/>
                    </w:rPr>
                  </w:pPr>
                  <w:r>
                    <w:rPr>
                      <w:snapToGrid w:val="0"/>
                      <w:color w:val="auto"/>
                      <w:kern w:val="0"/>
                      <w:szCs w:val="21"/>
                    </w:rPr>
                    <w:t>施工期</w:t>
                  </w:r>
                </w:p>
              </w:tc>
              <w:tc>
                <w:tcPr>
                  <w:tcW w:w="886" w:type="dxa"/>
                  <w:shd w:val="clear" w:color="auto" w:fill="auto"/>
                  <w:noWrap w:val="0"/>
                  <w:vAlign w:val="center"/>
                </w:tcPr>
                <w:p>
                  <w:pPr>
                    <w:snapToGrid w:val="0"/>
                    <w:jc w:val="center"/>
                    <w:rPr>
                      <w:snapToGrid w:val="0"/>
                      <w:color w:val="auto"/>
                      <w:kern w:val="0"/>
                      <w:szCs w:val="21"/>
                    </w:rPr>
                  </w:pPr>
                  <w:r>
                    <w:rPr>
                      <w:snapToGrid w:val="0"/>
                      <w:color w:val="auto"/>
                      <w:kern w:val="0"/>
                      <w:szCs w:val="21"/>
                    </w:rPr>
                    <w:t>施工扬尘</w:t>
                  </w:r>
                </w:p>
              </w:tc>
              <w:tc>
                <w:tcPr>
                  <w:tcW w:w="1169" w:type="dxa"/>
                  <w:shd w:val="clear" w:color="auto" w:fill="auto"/>
                  <w:noWrap w:val="0"/>
                  <w:vAlign w:val="center"/>
                </w:tcPr>
                <w:p>
                  <w:pPr>
                    <w:snapToGrid w:val="0"/>
                    <w:jc w:val="center"/>
                    <w:rPr>
                      <w:snapToGrid w:val="0"/>
                      <w:color w:val="auto"/>
                      <w:kern w:val="0"/>
                      <w:szCs w:val="21"/>
                    </w:rPr>
                  </w:pPr>
                  <w:r>
                    <w:rPr>
                      <w:snapToGrid w:val="0"/>
                      <w:color w:val="auto"/>
                      <w:kern w:val="0"/>
                      <w:szCs w:val="21"/>
                    </w:rPr>
                    <w:t>颗粒物</w:t>
                  </w:r>
                </w:p>
              </w:tc>
              <w:tc>
                <w:tcPr>
                  <w:tcW w:w="2728" w:type="dxa"/>
                  <w:shd w:val="clear" w:color="auto" w:fill="auto"/>
                  <w:noWrap w:val="0"/>
                  <w:vAlign w:val="center"/>
                </w:tcPr>
                <w:p>
                  <w:pPr>
                    <w:snapToGrid w:val="0"/>
                    <w:jc w:val="center"/>
                    <w:rPr>
                      <w:snapToGrid w:val="0"/>
                      <w:color w:val="auto"/>
                      <w:kern w:val="0"/>
                      <w:szCs w:val="21"/>
                    </w:rPr>
                  </w:pPr>
                  <w:r>
                    <w:rPr>
                      <w:snapToGrid w:val="0"/>
                      <w:color w:val="auto"/>
                      <w:kern w:val="0"/>
                      <w:szCs w:val="21"/>
                    </w:rPr>
                    <w:t>《大气污染物综合排放标准》（GB16297-1996）</w:t>
                  </w:r>
                </w:p>
              </w:tc>
              <w:tc>
                <w:tcPr>
                  <w:tcW w:w="1005" w:type="dxa"/>
                  <w:shd w:val="clear" w:color="auto" w:fill="auto"/>
                  <w:noWrap w:val="0"/>
                  <w:vAlign w:val="center"/>
                </w:tcPr>
                <w:p>
                  <w:pPr>
                    <w:snapToGrid w:val="0"/>
                    <w:jc w:val="center"/>
                    <w:rPr>
                      <w:snapToGrid w:val="0"/>
                      <w:color w:val="auto"/>
                      <w:kern w:val="0"/>
                      <w:szCs w:val="21"/>
                    </w:rPr>
                  </w:pPr>
                  <w:r>
                    <w:rPr>
                      <w:snapToGrid w:val="0"/>
                      <w:color w:val="auto"/>
                      <w:kern w:val="0"/>
                      <w:szCs w:val="21"/>
                    </w:rPr>
                    <w:t>/</w:t>
                  </w:r>
                </w:p>
              </w:tc>
              <w:tc>
                <w:tcPr>
                  <w:tcW w:w="735" w:type="dxa"/>
                  <w:shd w:val="clear" w:color="auto" w:fill="auto"/>
                  <w:noWrap w:val="0"/>
                  <w:vAlign w:val="center"/>
                </w:tcPr>
                <w:p>
                  <w:pPr>
                    <w:snapToGrid w:val="0"/>
                    <w:jc w:val="center"/>
                    <w:rPr>
                      <w:snapToGrid w:val="0"/>
                      <w:color w:val="auto"/>
                      <w:kern w:val="0"/>
                      <w:szCs w:val="21"/>
                    </w:rPr>
                  </w:pPr>
                  <w:r>
                    <w:rPr>
                      <w:snapToGrid w:val="0"/>
                      <w:color w:val="auto"/>
                      <w:kern w:val="0"/>
                      <w:szCs w:val="21"/>
                    </w:rPr>
                    <w:t>/</w:t>
                  </w:r>
                </w:p>
              </w:tc>
              <w:tc>
                <w:tcPr>
                  <w:tcW w:w="1065" w:type="dxa"/>
                  <w:shd w:val="clear" w:color="auto" w:fill="auto"/>
                  <w:noWrap w:val="0"/>
                  <w:vAlign w:val="center"/>
                </w:tcPr>
                <w:p>
                  <w:pPr>
                    <w:snapToGrid w:val="0"/>
                    <w:jc w:val="center"/>
                    <w:rPr>
                      <w:snapToGrid w:val="0"/>
                      <w:color w:val="auto"/>
                      <w:kern w:val="0"/>
                      <w:szCs w:val="21"/>
                    </w:rPr>
                  </w:pPr>
                  <w:r>
                    <w:rPr>
                      <w:snapToGrid w:val="0"/>
                      <w:color w:val="auto"/>
                      <w:kern w:val="0"/>
                      <w:szCs w:val="21"/>
                    </w:rPr>
                    <w:t>/</w:t>
                  </w:r>
                </w:p>
              </w:tc>
              <w:tc>
                <w:tcPr>
                  <w:tcW w:w="1111" w:type="dxa"/>
                  <w:shd w:val="clear" w:color="auto" w:fill="auto"/>
                  <w:noWrap w:val="0"/>
                  <w:vAlign w:val="center"/>
                </w:tcPr>
                <w:p>
                  <w:pPr>
                    <w:snapToGrid w:val="0"/>
                    <w:jc w:val="center"/>
                    <w:rPr>
                      <w:snapToGrid w:val="0"/>
                      <w:color w:val="auto"/>
                      <w:kern w:val="0"/>
                      <w:szCs w:val="21"/>
                    </w:rPr>
                  </w:pPr>
                  <w:r>
                    <w:rPr>
                      <w:snapToGrid w:val="0"/>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11" w:type="dxa"/>
                  <w:vMerge w:val="restart"/>
                  <w:shd w:val="clear" w:color="auto" w:fill="auto"/>
                  <w:noWrap w:val="0"/>
                  <w:vAlign w:val="center"/>
                </w:tcPr>
                <w:p>
                  <w:pPr>
                    <w:snapToGrid w:val="0"/>
                    <w:jc w:val="center"/>
                    <w:rPr>
                      <w:snapToGrid w:val="0"/>
                      <w:color w:val="auto"/>
                      <w:kern w:val="0"/>
                      <w:szCs w:val="21"/>
                    </w:rPr>
                  </w:pPr>
                  <w:r>
                    <w:rPr>
                      <w:snapToGrid w:val="0"/>
                      <w:color w:val="auto"/>
                      <w:kern w:val="0"/>
                      <w:szCs w:val="21"/>
                    </w:rPr>
                    <w:t>运营期</w:t>
                  </w:r>
                </w:p>
              </w:tc>
              <w:tc>
                <w:tcPr>
                  <w:tcW w:w="886" w:type="dxa"/>
                  <w:vMerge w:val="restart"/>
                  <w:shd w:val="clear" w:color="auto" w:fill="auto"/>
                  <w:noWrap w:val="0"/>
                  <w:vAlign w:val="center"/>
                </w:tcPr>
                <w:p>
                  <w:pPr>
                    <w:snapToGrid w:val="0"/>
                    <w:jc w:val="center"/>
                    <w:rPr>
                      <w:snapToGrid w:val="0"/>
                      <w:color w:val="auto"/>
                      <w:kern w:val="0"/>
                      <w:szCs w:val="21"/>
                    </w:rPr>
                  </w:pPr>
                  <w:r>
                    <w:rPr>
                      <w:snapToGrid w:val="0"/>
                      <w:color w:val="auto"/>
                      <w:kern w:val="0"/>
                      <w:szCs w:val="21"/>
                    </w:rPr>
                    <w:t>燃烧器燃烧废气、干燥滚筒烘干废气</w:t>
                  </w:r>
                </w:p>
              </w:tc>
              <w:tc>
                <w:tcPr>
                  <w:tcW w:w="1169" w:type="dxa"/>
                  <w:shd w:val="clear" w:color="auto" w:fill="auto"/>
                  <w:noWrap w:val="0"/>
                  <w:vAlign w:val="center"/>
                </w:tcPr>
                <w:p>
                  <w:pPr>
                    <w:spacing w:line="20" w:lineRule="atLeast"/>
                    <w:jc w:val="center"/>
                    <w:rPr>
                      <w:snapToGrid w:val="0"/>
                      <w:color w:val="auto"/>
                      <w:kern w:val="0"/>
                      <w:szCs w:val="21"/>
                    </w:rPr>
                  </w:pPr>
                  <w:r>
                    <w:rPr>
                      <w:bCs/>
                      <w:color w:val="auto"/>
                      <w:spacing w:val="-10"/>
                      <w:szCs w:val="21"/>
                    </w:rPr>
                    <w:t>颗粒物</w:t>
                  </w:r>
                </w:p>
              </w:tc>
              <w:tc>
                <w:tcPr>
                  <w:tcW w:w="2728" w:type="dxa"/>
                  <w:vMerge w:val="restart"/>
                  <w:shd w:val="clear" w:color="auto" w:fill="auto"/>
                  <w:noWrap w:val="0"/>
                  <w:vAlign w:val="center"/>
                </w:tcPr>
                <w:p>
                  <w:pPr>
                    <w:snapToGrid w:val="0"/>
                    <w:jc w:val="center"/>
                    <w:rPr>
                      <w:snapToGrid w:val="0"/>
                      <w:color w:val="auto"/>
                      <w:kern w:val="0"/>
                      <w:szCs w:val="21"/>
                    </w:rPr>
                  </w:pPr>
                  <w:r>
                    <w:rPr>
                      <w:snapToGrid w:val="0"/>
                      <w:color w:val="auto"/>
                      <w:kern w:val="0"/>
                      <w:szCs w:val="21"/>
                    </w:rPr>
                    <w:t>《大气污染物综合排放标准》（GB16297-1996）</w:t>
                  </w:r>
                </w:p>
              </w:tc>
              <w:tc>
                <w:tcPr>
                  <w:tcW w:w="1005" w:type="dxa"/>
                  <w:shd w:val="clear" w:color="auto" w:fill="auto"/>
                  <w:noWrap w:val="0"/>
                  <w:vAlign w:val="center"/>
                </w:tcPr>
                <w:p>
                  <w:pPr>
                    <w:snapToGrid w:val="0"/>
                    <w:jc w:val="center"/>
                    <w:rPr>
                      <w:snapToGrid w:val="0"/>
                      <w:color w:val="auto"/>
                      <w:kern w:val="0"/>
                      <w:szCs w:val="21"/>
                    </w:rPr>
                  </w:pPr>
                  <w:r>
                    <w:rPr>
                      <w:snapToGrid w:val="0"/>
                      <w:color w:val="auto"/>
                      <w:kern w:val="0"/>
                      <w:szCs w:val="21"/>
                    </w:rPr>
                    <w:t>120</w:t>
                  </w:r>
                </w:p>
              </w:tc>
              <w:tc>
                <w:tcPr>
                  <w:tcW w:w="735" w:type="dxa"/>
                  <w:vMerge w:val="restart"/>
                  <w:shd w:val="clear" w:color="auto" w:fill="auto"/>
                  <w:noWrap w:val="0"/>
                  <w:vAlign w:val="center"/>
                </w:tcPr>
                <w:p>
                  <w:pPr>
                    <w:snapToGrid w:val="0"/>
                    <w:jc w:val="center"/>
                    <w:rPr>
                      <w:snapToGrid w:val="0"/>
                      <w:color w:val="auto"/>
                      <w:kern w:val="0"/>
                      <w:szCs w:val="21"/>
                    </w:rPr>
                  </w:pPr>
                  <w:r>
                    <w:rPr>
                      <w:snapToGrid w:val="0"/>
                      <w:color w:val="auto"/>
                      <w:kern w:val="0"/>
                      <w:szCs w:val="21"/>
                    </w:rPr>
                    <w:t>15</w:t>
                  </w:r>
                </w:p>
              </w:tc>
              <w:tc>
                <w:tcPr>
                  <w:tcW w:w="1065" w:type="dxa"/>
                  <w:shd w:val="clear" w:color="auto" w:fill="auto"/>
                  <w:noWrap w:val="0"/>
                  <w:vAlign w:val="center"/>
                </w:tcPr>
                <w:p>
                  <w:pPr>
                    <w:snapToGrid w:val="0"/>
                    <w:jc w:val="center"/>
                    <w:rPr>
                      <w:snapToGrid w:val="0"/>
                      <w:color w:val="auto"/>
                      <w:kern w:val="0"/>
                      <w:szCs w:val="21"/>
                    </w:rPr>
                  </w:pPr>
                  <w:r>
                    <w:rPr>
                      <w:snapToGrid w:val="0"/>
                      <w:color w:val="auto"/>
                      <w:kern w:val="0"/>
                      <w:szCs w:val="21"/>
                    </w:rPr>
                    <w:t>3.5</w:t>
                  </w:r>
                </w:p>
              </w:tc>
              <w:tc>
                <w:tcPr>
                  <w:tcW w:w="1111" w:type="dxa"/>
                  <w:shd w:val="clear" w:color="auto" w:fill="auto"/>
                  <w:noWrap w:val="0"/>
                  <w:vAlign w:val="center"/>
                </w:tcPr>
                <w:p>
                  <w:pPr>
                    <w:snapToGrid w:val="0"/>
                    <w:jc w:val="center"/>
                    <w:rPr>
                      <w:snapToGrid w:val="0"/>
                      <w:color w:val="auto"/>
                      <w:kern w:val="0"/>
                      <w:szCs w:val="21"/>
                    </w:rPr>
                  </w:pPr>
                  <w:r>
                    <w:rPr>
                      <w:snapToGrid w:val="0"/>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11" w:type="dxa"/>
                  <w:vMerge w:val="continue"/>
                  <w:shd w:val="clear" w:color="auto" w:fill="auto"/>
                  <w:noWrap w:val="0"/>
                  <w:vAlign w:val="center"/>
                </w:tcPr>
                <w:p>
                  <w:pPr>
                    <w:snapToGrid w:val="0"/>
                    <w:jc w:val="center"/>
                    <w:rPr>
                      <w:snapToGrid w:val="0"/>
                      <w:color w:val="auto"/>
                      <w:kern w:val="0"/>
                      <w:szCs w:val="21"/>
                    </w:rPr>
                  </w:pPr>
                </w:p>
              </w:tc>
              <w:tc>
                <w:tcPr>
                  <w:tcW w:w="886" w:type="dxa"/>
                  <w:vMerge w:val="continue"/>
                  <w:shd w:val="clear" w:color="auto" w:fill="auto"/>
                  <w:noWrap w:val="0"/>
                  <w:vAlign w:val="center"/>
                </w:tcPr>
                <w:p>
                  <w:pPr>
                    <w:snapToGrid w:val="0"/>
                    <w:jc w:val="center"/>
                    <w:rPr>
                      <w:snapToGrid w:val="0"/>
                      <w:color w:val="auto"/>
                      <w:kern w:val="0"/>
                      <w:szCs w:val="21"/>
                    </w:rPr>
                  </w:pPr>
                </w:p>
              </w:tc>
              <w:tc>
                <w:tcPr>
                  <w:tcW w:w="1169" w:type="dxa"/>
                  <w:shd w:val="clear" w:color="auto" w:fill="auto"/>
                  <w:noWrap w:val="0"/>
                  <w:vAlign w:val="center"/>
                </w:tcPr>
                <w:p>
                  <w:pPr>
                    <w:spacing w:line="20" w:lineRule="atLeast"/>
                    <w:jc w:val="center"/>
                    <w:rPr>
                      <w:snapToGrid w:val="0"/>
                      <w:color w:val="auto"/>
                      <w:kern w:val="0"/>
                      <w:szCs w:val="21"/>
                    </w:rPr>
                  </w:pPr>
                  <w:r>
                    <w:rPr>
                      <w:bCs/>
                      <w:color w:val="auto"/>
                      <w:spacing w:val="-10"/>
                      <w:szCs w:val="21"/>
                    </w:rPr>
                    <w:t>SO</w:t>
                  </w:r>
                  <w:r>
                    <w:rPr>
                      <w:bCs/>
                      <w:color w:val="auto"/>
                      <w:spacing w:val="-10"/>
                      <w:szCs w:val="21"/>
                      <w:vertAlign w:val="subscript"/>
                    </w:rPr>
                    <w:t>2</w:t>
                  </w:r>
                </w:p>
              </w:tc>
              <w:tc>
                <w:tcPr>
                  <w:tcW w:w="2728" w:type="dxa"/>
                  <w:vMerge w:val="continue"/>
                  <w:shd w:val="clear" w:color="auto" w:fill="auto"/>
                  <w:noWrap w:val="0"/>
                  <w:vAlign w:val="center"/>
                </w:tcPr>
                <w:p>
                  <w:pPr>
                    <w:snapToGrid w:val="0"/>
                    <w:jc w:val="center"/>
                    <w:rPr>
                      <w:snapToGrid w:val="0"/>
                      <w:color w:val="auto"/>
                      <w:kern w:val="0"/>
                      <w:szCs w:val="21"/>
                    </w:rPr>
                  </w:pPr>
                </w:p>
              </w:tc>
              <w:tc>
                <w:tcPr>
                  <w:tcW w:w="1005" w:type="dxa"/>
                  <w:shd w:val="clear" w:color="auto" w:fill="auto"/>
                  <w:noWrap w:val="0"/>
                  <w:vAlign w:val="center"/>
                </w:tcPr>
                <w:p>
                  <w:pPr>
                    <w:snapToGrid w:val="0"/>
                    <w:jc w:val="center"/>
                    <w:rPr>
                      <w:snapToGrid w:val="0"/>
                      <w:color w:val="auto"/>
                      <w:kern w:val="0"/>
                      <w:szCs w:val="21"/>
                    </w:rPr>
                  </w:pPr>
                  <w:r>
                    <w:rPr>
                      <w:snapToGrid w:val="0"/>
                      <w:color w:val="auto"/>
                      <w:kern w:val="0"/>
                      <w:szCs w:val="21"/>
                    </w:rPr>
                    <w:t>550</w:t>
                  </w:r>
                </w:p>
              </w:tc>
              <w:tc>
                <w:tcPr>
                  <w:tcW w:w="735" w:type="dxa"/>
                  <w:vMerge w:val="continue"/>
                  <w:shd w:val="clear" w:color="auto" w:fill="auto"/>
                  <w:noWrap w:val="0"/>
                  <w:vAlign w:val="center"/>
                </w:tcPr>
                <w:p>
                  <w:pPr>
                    <w:snapToGrid w:val="0"/>
                    <w:jc w:val="center"/>
                    <w:rPr>
                      <w:snapToGrid w:val="0"/>
                      <w:color w:val="auto"/>
                      <w:kern w:val="0"/>
                      <w:szCs w:val="21"/>
                    </w:rPr>
                  </w:pPr>
                  <w:r>
                    <w:rPr>
                      <w:snapToGrid w:val="0"/>
                      <w:color w:val="auto"/>
                      <w:kern w:val="0"/>
                      <w:szCs w:val="21"/>
                    </w:rPr>
                    <w:t>25</w:t>
                  </w:r>
                </w:p>
              </w:tc>
              <w:tc>
                <w:tcPr>
                  <w:tcW w:w="1065" w:type="dxa"/>
                  <w:shd w:val="clear" w:color="auto" w:fill="auto"/>
                  <w:noWrap w:val="0"/>
                  <w:vAlign w:val="center"/>
                </w:tcPr>
                <w:p>
                  <w:pPr>
                    <w:snapToGrid w:val="0"/>
                    <w:jc w:val="center"/>
                    <w:rPr>
                      <w:snapToGrid w:val="0"/>
                      <w:color w:val="auto"/>
                      <w:kern w:val="0"/>
                      <w:szCs w:val="21"/>
                    </w:rPr>
                  </w:pPr>
                  <w:r>
                    <w:rPr>
                      <w:snapToGrid w:val="0"/>
                      <w:color w:val="auto"/>
                      <w:kern w:val="0"/>
                      <w:szCs w:val="21"/>
                    </w:rPr>
                    <w:t>2.6</w:t>
                  </w:r>
                </w:p>
              </w:tc>
              <w:tc>
                <w:tcPr>
                  <w:tcW w:w="1111" w:type="dxa"/>
                  <w:shd w:val="clear" w:color="auto" w:fill="auto"/>
                  <w:noWrap w:val="0"/>
                  <w:vAlign w:val="center"/>
                </w:tcPr>
                <w:p>
                  <w:pPr>
                    <w:snapToGrid w:val="0"/>
                    <w:jc w:val="center"/>
                    <w:rPr>
                      <w:snapToGrid w:val="0"/>
                      <w:color w:val="auto"/>
                      <w:kern w:val="0"/>
                      <w:szCs w:val="21"/>
                    </w:rPr>
                  </w:pPr>
                  <w:r>
                    <w:rPr>
                      <w:snapToGrid w:val="0"/>
                      <w:color w:val="auto"/>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11" w:type="dxa"/>
                  <w:vMerge w:val="continue"/>
                  <w:shd w:val="clear" w:color="auto" w:fill="auto"/>
                  <w:noWrap w:val="0"/>
                  <w:vAlign w:val="center"/>
                </w:tcPr>
                <w:p>
                  <w:pPr>
                    <w:snapToGrid w:val="0"/>
                    <w:jc w:val="center"/>
                    <w:rPr>
                      <w:snapToGrid w:val="0"/>
                      <w:color w:val="auto"/>
                      <w:kern w:val="0"/>
                      <w:szCs w:val="21"/>
                    </w:rPr>
                  </w:pPr>
                </w:p>
              </w:tc>
              <w:tc>
                <w:tcPr>
                  <w:tcW w:w="886" w:type="dxa"/>
                  <w:vMerge w:val="continue"/>
                  <w:shd w:val="clear" w:color="auto" w:fill="auto"/>
                  <w:noWrap w:val="0"/>
                  <w:vAlign w:val="center"/>
                </w:tcPr>
                <w:p>
                  <w:pPr>
                    <w:snapToGrid w:val="0"/>
                    <w:jc w:val="center"/>
                    <w:rPr>
                      <w:snapToGrid w:val="0"/>
                      <w:color w:val="auto"/>
                      <w:kern w:val="0"/>
                      <w:szCs w:val="21"/>
                    </w:rPr>
                  </w:pPr>
                </w:p>
              </w:tc>
              <w:tc>
                <w:tcPr>
                  <w:tcW w:w="1169" w:type="dxa"/>
                  <w:shd w:val="clear" w:color="auto" w:fill="auto"/>
                  <w:noWrap w:val="0"/>
                  <w:vAlign w:val="center"/>
                </w:tcPr>
                <w:p>
                  <w:pPr>
                    <w:spacing w:line="20" w:lineRule="atLeast"/>
                    <w:jc w:val="center"/>
                    <w:rPr>
                      <w:snapToGrid w:val="0"/>
                      <w:color w:val="auto"/>
                      <w:kern w:val="0"/>
                      <w:szCs w:val="21"/>
                    </w:rPr>
                  </w:pPr>
                  <w:r>
                    <w:rPr>
                      <w:bCs/>
                      <w:color w:val="auto"/>
                      <w:spacing w:val="-10"/>
                      <w:szCs w:val="21"/>
                    </w:rPr>
                    <w:t>NOx</w:t>
                  </w:r>
                </w:p>
              </w:tc>
              <w:tc>
                <w:tcPr>
                  <w:tcW w:w="2728" w:type="dxa"/>
                  <w:vMerge w:val="continue"/>
                  <w:shd w:val="clear" w:color="auto" w:fill="auto"/>
                  <w:noWrap w:val="0"/>
                  <w:vAlign w:val="center"/>
                </w:tcPr>
                <w:p>
                  <w:pPr>
                    <w:snapToGrid w:val="0"/>
                    <w:jc w:val="center"/>
                    <w:rPr>
                      <w:snapToGrid w:val="0"/>
                      <w:color w:val="auto"/>
                      <w:kern w:val="0"/>
                      <w:szCs w:val="21"/>
                    </w:rPr>
                  </w:pPr>
                </w:p>
              </w:tc>
              <w:tc>
                <w:tcPr>
                  <w:tcW w:w="1005" w:type="dxa"/>
                  <w:shd w:val="clear" w:color="auto" w:fill="auto"/>
                  <w:noWrap w:val="0"/>
                  <w:vAlign w:val="center"/>
                </w:tcPr>
                <w:p>
                  <w:pPr>
                    <w:snapToGrid w:val="0"/>
                    <w:jc w:val="center"/>
                    <w:rPr>
                      <w:snapToGrid w:val="0"/>
                      <w:color w:val="auto"/>
                      <w:kern w:val="0"/>
                      <w:szCs w:val="21"/>
                    </w:rPr>
                  </w:pPr>
                  <w:r>
                    <w:rPr>
                      <w:snapToGrid w:val="0"/>
                      <w:color w:val="auto"/>
                      <w:kern w:val="0"/>
                      <w:szCs w:val="21"/>
                    </w:rPr>
                    <w:t>240</w:t>
                  </w:r>
                </w:p>
              </w:tc>
              <w:tc>
                <w:tcPr>
                  <w:tcW w:w="735" w:type="dxa"/>
                  <w:vMerge w:val="continue"/>
                  <w:shd w:val="clear" w:color="auto" w:fill="auto"/>
                  <w:noWrap w:val="0"/>
                  <w:vAlign w:val="center"/>
                </w:tcPr>
                <w:p>
                  <w:pPr>
                    <w:snapToGrid w:val="0"/>
                    <w:jc w:val="center"/>
                    <w:rPr>
                      <w:snapToGrid w:val="0"/>
                      <w:color w:val="auto"/>
                      <w:kern w:val="0"/>
                      <w:szCs w:val="21"/>
                    </w:rPr>
                  </w:pPr>
                  <w:r>
                    <w:rPr>
                      <w:snapToGrid w:val="0"/>
                      <w:color w:val="auto"/>
                      <w:kern w:val="0"/>
                      <w:szCs w:val="21"/>
                    </w:rPr>
                    <w:t>25</w:t>
                  </w:r>
                </w:p>
              </w:tc>
              <w:tc>
                <w:tcPr>
                  <w:tcW w:w="1065" w:type="dxa"/>
                  <w:shd w:val="clear" w:color="auto" w:fill="auto"/>
                  <w:noWrap w:val="0"/>
                  <w:vAlign w:val="center"/>
                </w:tcPr>
                <w:p>
                  <w:pPr>
                    <w:snapToGrid w:val="0"/>
                    <w:jc w:val="center"/>
                    <w:rPr>
                      <w:snapToGrid w:val="0"/>
                      <w:color w:val="auto"/>
                      <w:kern w:val="0"/>
                      <w:szCs w:val="21"/>
                    </w:rPr>
                  </w:pPr>
                  <w:r>
                    <w:rPr>
                      <w:snapToGrid w:val="0"/>
                      <w:color w:val="auto"/>
                      <w:kern w:val="0"/>
                      <w:szCs w:val="21"/>
                    </w:rPr>
                    <w:t>0.77</w:t>
                  </w:r>
                </w:p>
              </w:tc>
              <w:tc>
                <w:tcPr>
                  <w:tcW w:w="1111" w:type="dxa"/>
                  <w:shd w:val="clear" w:color="auto" w:fill="auto"/>
                  <w:noWrap w:val="0"/>
                  <w:vAlign w:val="center"/>
                </w:tcPr>
                <w:p>
                  <w:pPr>
                    <w:snapToGrid w:val="0"/>
                    <w:jc w:val="center"/>
                    <w:rPr>
                      <w:snapToGrid w:val="0"/>
                      <w:color w:val="auto"/>
                      <w:kern w:val="0"/>
                      <w:szCs w:val="21"/>
                    </w:rPr>
                  </w:pPr>
                  <w:r>
                    <w:rPr>
                      <w:snapToGrid w:val="0"/>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11" w:type="dxa"/>
                  <w:vMerge w:val="continue"/>
                  <w:shd w:val="clear" w:color="auto" w:fill="auto"/>
                  <w:noWrap w:val="0"/>
                  <w:vAlign w:val="center"/>
                </w:tcPr>
                <w:p>
                  <w:pPr>
                    <w:snapToGrid w:val="0"/>
                    <w:jc w:val="center"/>
                    <w:rPr>
                      <w:snapToGrid w:val="0"/>
                      <w:color w:val="auto"/>
                      <w:kern w:val="0"/>
                      <w:szCs w:val="21"/>
                    </w:rPr>
                  </w:pPr>
                </w:p>
              </w:tc>
              <w:tc>
                <w:tcPr>
                  <w:tcW w:w="886" w:type="dxa"/>
                  <w:vMerge w:val="restart"/>
                  <w:shd w:val="clear" w:color="auto" w:fill="auto"/>
                  <w:noWrap w:val="0"/>
                  <w:vAlign w:val="center"/>
                </w:tcPr>
                <w:p>
                  <w:pPr>
                    <w:topLinePunct/>
                    <w:adjustRightInd w:val="0"/>
                    <w:snapToGrid w:val="0"/>
                    <w:jc w:val="center"/>
                    <w:textAlignment w:val="center"/>
                    <w:rPr>
                      <w:snapToGrid w:val="0"/>
                      <w:color w:val="auto"/>
                      <w:kern w:val="0"/>
                      <w:szCs w:val="21"/>
                    </w:rPr>
                  </w:pPr>
                  <w:r>
                    <w:rPr>
                      <w:color w:val="auto"/>
                      <w:szCs w:val="21"/>
                    </w:rPr>
                    <w:t>搅拌器加热、搅拌、出料废气</w:t>
                  </w:r>
                </w:p>
              </w:tc>
              <w:tc>
                <w:tcPr>
                  <w:tcW w:w="1169" w:type="dxa"/>
                  <w:shd w:val="clear" w:color="auto" w:fill="auto"/>
                  <w:noWrap w:val="0"/>
                  <w:vAlign w:val="center"/>
                </w:tcPr>
                <w:p>
                  <w:pPr>
                    <w:spacing w:line="20" w:lineRule="atLeast"/>
                    <w:jc w:val="center"/>
                    <w:rPr>
                      <w:snapToGrid w:val="0"/>
                      <w:color w:val="auto"/>
                      <w:kern w:val="0"/>
                      <w:szCs w:val="21"/>
                    </w:rPr>
                  </w:pPr>
                  <w:r>
                    <w:rPr>
                      <w:bCs/>
                      <w:color w:val="auto"/>
                      <w:spacing w:val="-10"/>
                      <w:szCs w:val="21"/>
                    </w:rPr>
                    <w:t>沥青烟</w:t>
                  </w:r>
                </w:p>
              </w:tc>
              <w:tc>
                <w:tcPr>
                  <w:tcW w:w="2728" w:type="dxa"/>
                  <w:vMerge w:val="restart"/>
                  <w:shd w:val="clear" w:color="auto" w:fill="auto"/>
                  <w:noWrap w:val="0"/>
                  <w:vAlign w:val="center"/>
                </w:tcPr>
                <w:p>
                  <w:pPr>
                    <w:snapToGrid w:val="0"/>
                    <w:jc w:val="center"/>
                    <w:rPr>
                      <w:snapToGrid w:val="0"/>
                      <w:color w:val="auto"/>
                      <w:kern w:val="0"/>
                      <w:szCs w:val="21"/>
                    </w:rPr>
                  </w:pPr>
                  <w:r>
                    <w:rPr>
                      <w:snapToGrid w:val="0"/>
                      <w:color w:val="auto"/>
                      <w:kern w:val="0"/>
                      <w:szCs w:val="21"/>
                    </w:rPr>
                    <w:t>《大气污染物综合排放标准》（GB16297-1996）</w:t>
                  </w:r>
                </w:p>
              </w:tc>
              <w:tc>
                <w:tcPr>
                  <w:tcW w:w="1005" w:type="dxa"/>
                  <w:shd w:val="clear" w:color="auto" w:fill="auto"/>
                  <w:noWrap w:val="0"/>
                  <w:vAlign w:val="center"/>
                </w:tcPr>
                <w:p>
                  <w:pPr>
                    <w:snapToGrid w:val="0"/>
                    <w:jc w:val="center"/>
                    <w:rPr>
                      <w:snapToGrid w:val="0"/>
                      <w:color w:val="auto"/>
                      <w:kern w:val="0"/>
                      <w:szCs w:val="21"/>
                    </w:rPr>
                  </w:pPr>
                  <w:r>
                    <w:rPr>
                      <w:snapToGrid w:val="0"/>
                      <w:color w:val="auto"/>
                      <w:kern w:val="0"/>
                      <w:szCs w:val="21"/>
                    </w:rPr>
                    <w:t>75</w:t>
                  </w:r>
                </w:p>
              </w:tc>
              <w:tc>
                <w:tcPr>
                  <w:tcW w:w="735" w:type="dxa"/>
                  <w:vMerge w:val="restart"/>
                  <w:shd w:val="clear" w:color="auto" w:fill="auto"/>
                  <w:noWrap w:val="0"/>
                  <w:vAlign w:val="center"/>
                </w:tcPr>
                <w:p>
                  <w:pPr>
                    <w:snapToGrid w:val="0"/>
                    <w:jc w:val="center"/>
                    <w:rPr>
                      <w:snapToGrid w:val="0"/>
                      <w:color w:val="auto"/>
                      <w:kern w:val="0"/>
                      <w:szCs w:val="21"/>
                    </w:rPr>
                  </w:pPr>
                  <w:r>
                    <w:rPr>
                      <w:snapToGrid w:val="0"/>
                      <w:color w:val="auto"/>
                      <w:kern w:val="0"/>
                      <w:szCs w:val="21"/>
                    </w:rPr>
                    <w:t>15</w:t>
                  </w:r>
                </w:p>
              </w:tc>
              <w:tc>
                <w:tcPr>
                  <w:tcW w:w="1065" w:type="dxa"/>
                  <w:shd w:val="clear" w:color="auto" w:fill="auto"/>
                  <w:noWrap w:val="0"/>
                  <w:vAlign w:val="center"/>
                </w:tcPr>
                <w:p>
                  <w:pPr>
                    <w:snapToGrid w:val="0"/>
                    <w:jc w:val="center"/>
                    <w:rPr>
                      <w:snapToGrid w:val="0"/>
                      <w:color w:val="auto"/>
                      <w:kern w:val="0"/>
                      <w:szCs w:val="21"/>
                    </w:rPr>
                  </w:pPr>
                  <w:r>
                    <w:rPr>
                      <w:snapToGrid w:val="0"/>
                      <w:color w:val="auto"/>
                      <w:kern w:val="0"/>
                      <w:szCs w:val="21"/>
                    </w:rPr>
                    <w:t>0.18</w:t>
                  </w:r>
                </w:p>
              </w:tc>
              <w:tc>
                <w:tcPr>
                  <w:tcW w:w="1111" w:type="dxa"/>
                  <w:shd w:val="clear" w:color="auto" w:fill="auto"/>
                  <w:noWrap w:val="0"/>
                  <w:vAlign w:val="center"/>
                </w:tcPr>
                <w:p>
                  <w:pPr>
                    <w:snapToGrid w:val="0"/>
                    <w:jc w:val="center"/>
                    <w:rPr>
                      <w:snapToGrid w:val="0"/>
                      <w:color w:val="auto"/>
                      <w:kern w:val="0"/>
                      <w:szCs w:val="21"/>
                    </w:rPr>
                  </w:pPr>
                  <w:r>
                    <w:rPr>
                      <w:snapToGrid w:val="0"/>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11" w:type="dxa"/>
                  <w:vMerge w:val="continue"/>
                  <w:shd w:val="clear" w:color="auto" w:fill="auto"/>
                  <w:noWrap w:val="0"/>
                  <w:vAlign w:val="center"/>
                </w:tcPr>
                <w:p>
                  <w:pPr>
                    <w:snapToGrid w:val="0"/>
                    <w:jc w:val="center"/>
                    <w:rPr>
                      <w:snapToGrid w:val="0"/>
                      <w:color w:val="auto"/>
                      <w:kern w:val="0"/>
                      <w:szCs w:val="21"/>
                    </w:rPr>
                  </w:pPr>
                </w:p>
              </w:tc>
              <w:tc>
                <w:tcPr>
                  <w:tcW w:w="886" w:type="dxa"/>
                  <w:vMerge w:val="continue"/>
                  <w:shd w:val="clear" w:color="auto" w:fill="auto"/>
                  <w:noWrap w:val="0"/>
                  <w:vAlign w:val="center"/>
                </w:tcPr>
                <w:p>
                  <w:pPr>
                    <w:snapToGrid w:val="0"/>
                    <w:jc w:val="center"/>
                    <w:rPr>
                      <w:snapToGrid w:val="0"/>
                      <w:color w:val="auto"/>
                      <w:kern w:val="0"/>
                      <w:szCs w:val="21"/>
                    </w:rPr>
                  </w:pPr>
                </w:p>
              </w:tc>
              <w:tc>
                <w:tcPr>
                  <w:tcW w:w="1169" w:type="dxa"/>
                  <w:shd w:val="clear" w:color="auto" w:fill="auto"/>
                  <w:noWrap w:val="0"/>
                  <w:vAlign w:val="center"/>
                </w:tcPr>
                <w:p>
                  <w:pPr>
                    <w:spacing w:line="20" w:lineRule="atLeast"/>
                    <w:jc w:val="center"/>
                    <w:rPr>
                      <w:snapToGrid w:val="0"/>
                      <w:color w:val="auto"/>
                      <w:kern w:val="0"/>
                      <w:szCs w:val="21"/>
                    </w:rPr>
                  </w:pPr>
                  <w:r>
                    <w:rPr>
                      <w:bCs/>
                      <w:color w:val="auto"/>
                      <w:spacing w:val="-10"/>
                      <w:szCs w:val="21"/>
                    </w:rPr>
                    <w:t>苯并[a]芘</w:t>
                  </w:r>
                </w:p>
              </w:tc>
              <w:tc>
                <w:tcPr>
                  <w:tcW w:w="2728" w:type="dxa"/>
                  <w:vMerge w:val="continue"/>
                  <w:shd w:val="clear" w:color="auto" w:fill="auto"/>
                  <w:noWrap w:val="0"/>
                  <w:vAlign w:val="center"/>
                </w:tcPr>
                <w:p>
                  <w:pPr>
                    <w:snapToGrid w:val="0"/>
                    <w:jc w:val="center"/>
                    <w:rPr>
                      <w:snapToGrid w:val="0"/>
                      <w:color w:val="auto"/>
                      <w:kern w:val="0"/>
                      <w:szCs w:val="21"/>
                    </w:rPr>
                  </w:pPr>
                </w:p>
              </w:tc>
              <w:tc>
                <w:tcPr>
                  <w:tcW w:w="1005" w:type="dxa"/>
                  <w:shd w:val="clear" w:color="auto" w:fill="auto"/>
                  <w:noWrap w:val="0"/>
                  <w:vAlign w:val="center"/>
                </w:tcPr>
                <w:p>
                  <w:pPr>
                    <w:snapToGrid w:val="0"/>
                    <w:jc w:val="center"/>
                    <w:rPr>
                      <w:snapToGrid w:val="0"/>
                      <w:color w:val="auto"/>
                      <w:kern w:val="0"/>
                      <w:szCs w:val="21"/>
                      <w:vertAlign w:val="superscript"/>
                    </w:rPr>
                  </w:pPr>
                  <w:r>
                    <w:rPr>
                      <w:snapToGrid w:val="0"/>
                      <w:color w:val="auto"/>
                      <w:kern w:val="0"/>
                      <w:szCs w:val="21"/>
                    </w:rPr>
                    <w:t>0.3×10</w:t>
                  </w:r>
                  <w:r>
                    <w:rPr>
                      <w:snapToGrid w:val="0"/>
                      <w:color w:val="auto"/>
                      <w:kern w:val="0"/>
                      <w:szCs w:val="21"/>
                      <w:vertAlign w:val="superscript"/>
                    </w:rPr>
                    <w:t>-3</w:t>
                  </w:r>
                </w:p>
              </w:tc>
              <w:tc>
                <w:tcPr>
                  <w:tcW w:w="735" w:type="dxa"/>
                  <w:vMerge w:val="continue"/>
                  <w:shd w:val="clear" w:color="auto" w:fill="auto"/>
                  <w:noWrap w:val="0"/>
                  <w:vAlign w:val="center"/>
                </w:tcPr>
                <w:p>
                  <w:pPr>
                    <w:snapToGrid w:val="0"/>
                    <w:jc w:val="center"/>
                    <w:rPr>
                      <w:snapToGrid w:val="0"/>
                      <w:color w:val="auto"/>
                      <w:kern w:val="0"/>
                      <w:szCs w:val="21"/>
                    </w:rPr>
                  </w:pPr>
                </w:p>
              </w:tc>
              <w:tc>
                <w:tcPr>
                  <w:tcW w:w="1065" w:type="dxa"/>
                  <w:shd w:val="clear" w:color="auto" w:fill="auto"/>
                  <w:noWrap w:val="0"/>
                  <w:vAlign w:val="center"/>
                </w:tcPr>
                <w:p>
                  <w:pPr>
                    <w:snapToGrid w:val="0"/>
                    <w:jc w:val="center"/>
                    <w:rPr>
                      <w:snapToGrid w:val="0"/>
                      <w:color w:val="auto"/>
                      <w:kern w:val="0"/>
                      <w:szCs w:val="21"/>
                    </w:rPr>
                  </w:pPr>
                  <w:r>
                    <w:rPr>
                      <w:snapToGrid w:val="0"/>
                      <w:color w:val="auto"/>
                      <w:kern w:val="0"/>
                      <w:szCs w:val="21"/>
                    </w:rPr>
                    <w:t>0.05×10</w:t>
                  </w:r>
                  <w:r>
                    <w:rPr>
                      <w:snapToGrid w:val="0"/>
                      <w:color w:val="auto"/>
                      <w:kern w:val="0"/>
                      <w:szCs w:val="21"/>
                      <w:vertAlign w:val="superscript"/>
                    </w:rPr>
                    <w:t>-3</w:t>
                  </w:r>
                </w:p>
              </w:tc>
              <w:tc>
                <w:tcPr>
                  <w:tcW w:w="1111" w:type="dxa"/>
                  <w:shd w:val="clear" w:color="auto" w:fill="auto"/>
                  <w:noWrap w:val="0"/>
                  <w:vAlign w:val="center"/>
                </w:tcPr>
                <w:p>
                  <w:pPr>
                    <w:snapToGrid w:val="0"/>
                    <w:jc w:val="center"/>
                    <w:rPr>
                      <w:snapToGrid w:val="0"/>
                      <w:color w:val="auto"/>
                      <w:kern w:val="0"/>
                      <w:szCs w:val="21"/>
                      <w:vertAlign w:val="superscript"/>
                    </w:rPr>
                  </w:pPr>
                  <w:r>
                    <w:rPr>
                      <w:snapToGrid w:val="0"/>
                      <w:color w:val="auto"/>
                      <w:kern w:val="0"/>
                      <w:szCs w:val="21"/>
                    </w:rPr>
                    <w:t>0.008×10-</w:t>
                  </w:r>
                  <w:r>
                    <w:rPr>
                      <w:snapToGrid w:val="0"/>
                      <w:color w:val="auto"/>
                      <w:kern w:val="0"/>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11" w:type="dxa"/>
                  <w:vMerge w:val="continue"/>
                  <w:shd w:val="clear" w:color="auto" w:fill="auto"/>
                  <w:noWrap w:val="0"/>
                  <w:vAlign w:val="center"/>
                </w:tcPr>
                <w:p>
                  <w:pPr>
                    <w:snapToGrid w:val="0"/>
                    <w:jc w:val="center"/>
                    <w:rPr>
                      <w:snapToGrid w:val="0"/>
                      <w:color w:val="auto"/>
                      <w:kern w:val="0"/>
                      <w:szCs w:val="21"/>
                    </w:rPr>
                  </w:pPr>
                </w:p>
              </w:tc>
              <w:tc>
                <w:tcPr>
                  <w:tcW w:w="886" w:type="dxa"/>
                  <w:vMerge w:val="continue"/>
                  <w:shd w:val="clear" w:color="auto" w:fill="auto"/>
                  <w:noWrap w:val="0"/>
                  <w:vAlign w:val="center"/>
                </w:tcPr>
                <w:p>
                  <w:pPr>
                    <w:snapToGrid w:val="0"/>
                    <w:jc w:val="center"/>
                    <w:rPr>
                      <w:snapToGrid w:val="0"/>
                      <w:color w:val="auto"/>
                      <w:kern w:val="0"/>
                      <w:szCs w:val="21"/>
                    </w:rPr>
                  </w:pPr>
                </w:p>
              </w:tc>
              <w:tc>
                <w:tcPr>
                  <w:tcW w:w="1169" w:type="dxa"/>
                  <w:shd w:val="clear" w:color="auto" w:fill="auto"/>
                  <w:noWrap w:val="0"/>
                  <w:vAlign w:val="center"/>
                </w:tcPr>
                <w:p>
                  <w:pPr>
                    <w:spacing w:line="20" w:lineRule="atLeast"/>
                    <w:jc w:val="center"/>
                    <w:rPr>
                      <w:snapToGrid w:val="0"/>
                      <w:color w:val="auto"/>
                      <w:kern w:val="0"/>
                      <w:szCs w:val="21"/>
                    </w:rPr>
                  </w:pPr>
                  <w:r>
                    <w:rPr>
                      <w:bCs/>
                      <w:color w:val="auto"/>
                      <w:spacing w:val="-10"/>
                      <w:szCs w:val="21"/>
                    </w:rPr>
                    <w:t>非甲烷总烃</w:t>
                  </w:r>
                </w:p>
              </w:tc>
              <w:tc>
                <w:tcPr>
                  <w:tcW w:w="2728" w:type="dxa"/>
                  <w:vMerge w:val="continue"/>
                  <w:shd w:val="clear" w:color="auto" w:fill="auto"/>
                  <w:noWrap w:val="0"/>
                  <w:vAlign w:val="center"/>
                </w:tcPr>
                <w:p>
                  <w:pPr>
                    <w:snapToGrid w:val="0"/>
                    <w:jc w:val="center"/>
                    <w:rPr>
                      <w:snapToGrid w:val="0"/>
                      <w:color w:val="auto"/>
                      <w:kern w:val="0"/>
                      <w:szCs w:val="21"/>
                    </w:rPr>
                  </w:pPr>
                </w:p>
              </w:tc>
              <w:tc>
                <w:tcPr>
                  <w:tcW w:w="1005" w:type="dxa"/>
                  <w:shd w:val="clear" w:color="auto" w:fill="auto"/>
                  <w:noWrap w:val="0"/>
                  <w:vAlign w:val="center"/>
                </w:tcPr>
                <w:p>
                  <w:pPr>
                    <w:snapToGrid w:val="0"/>
                    <w:jc w:val="center"/>
                    <w:rPr>
                      <w:snapToGrid w:val="0"/>
                      <w:color w:val="auto"/>
                      <w:kern w:val="0"/>
                      <w:szCs w:val="21"/>
                    </w:rPr>
                  </w:pPr>
                  <w:r>
                    <w:rPr>
                      <w:snapToGrid w:val="0"/>
                      <w:color w:val="auto"/>
                      <w:kern w:val="0"/>
                      <w:szCs w:val="21"/>
                    </w:rPr>
                    <w:t>120</w:t>
                  </w:r>
                </w:p>
              </w:tc>
              <w:tc>
                <w:tcPr>
                  <w:tcW w:w="735" w:type="dxa"/>
                  <w:vMerge w:val="continue"/>
                  <w:shd w:val="clear" w:color="auto" w:fill="auto"/>
                  <w:noWrap w:val="0"/>
                  <w:vAlign w:val="center"/>
                </w:tcPr>
                <w:p>
                  <w:pPr>
                    <w:snapToGrid w:val="0"/>
                    <w:jc w:val="center"/>
                    <w:rPr>
                      <w:snapToGrid w:val="0"/>
                      <w:color w:val="auto"/>
                      <w:kern w:val="0"/>
                      <w:szCs w:val="21"/>
                    </w:rPr>
                  </w:pPr>
                </w:p>
              </w:tc>
              <w:tc>
                <w:tcPr>
                  <w:tcW w:w="1065" w:type="dxa"/>
                  <w:shd w:val="clear" w:color="auto" w:fill="auto"/>
                  <w:noWrap w:val="0"/>
                  <w:vAlign w:val="center"/>
                </w:tcPr>
                <w:p>
                  <w:pPr>
                    <w:snapToGrid w:val="0"/>
                    <w:jc w:val="center"/>
                    <w:rPr>
                      <w:snapToGrid w:val="0"/>
                      <w:color w:val="auto"/>
                      <w:kern w:val="0"/>
                      <w:szCs w:val="21"/>
                    </w:rPr>
                  </w:pPr>
                  <w:r>
                    <w:rPr>
                      <w:snapToGrid w:val="0"/>
                      <w:color w:val="auto"/>
                      <w:kern w:val="0"/>
                      <w:szCs w:val="21"/>
                    </w:rPr>
                    <w:t>10</w:t>
                  </w:r>
                </w:p>
              </w:tc>
              <w:tc>
                <w:tcPr>
                  <w:tcW w:w="1111" w:type="dxa"/>
                  <w:shd w:val="clear" w:color="auto" w:fill="auto"/>
                  <w:noWrap w:val="0"/>
                  <w:vAlign w:val="center"/>
                </w:tcPr>
                <w:p>
                  <w:pPr>
                    <w:snapToGrid w:val="0"/>
                    <w:jc w:val="center"/>
                    <w:rPr>
                      <w:snapToGrid w:val="0"/>
                      <w:color w:val="auto"/>
                      <w:kern w:val="0"/>
                      <w:szCs w:val="21"/>
                    </w:rPr>
                  </w:pPr>
                  <w:r>
                    <w:rPr>
                      <w:snapToGrid w:val="0"/>
                      <w:color w:val="auto"/>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11" w:type="dxa"/>
                  <w:vMerge w:val="continue"/>
                  <w:shd w:val="clear" w:color="auto" w:fill="auto"/>
                  <w:noWrap w:val="0"/>
                  <w:vAlign w:val="center"/>
                </w:tcPr>
                <w:p>
                  <w:pPr>
                    <w:snapToGrid w:val="0"/>
                    <w:jc w:val="center"/>
                    <w:rPr>
                      <w:snapToGrid w:val="0"/>
                      <w:color w:val="auto"/>
                      <w:kern w:val="0"/>
                      <w:szCs w:val="21"/>
                    </w:rPr>
                  </w:pPr>
                </w:p>
              </w:tc>
              <w:tc>
                <w:tcPr>
                  <w:tcW w:w="886" w:type="dxa"/>
                  <w:vMerge w:val="restart"/>
                  <w:shd w:val="clear" w:color="auto" w:fill="auto"/>
                  <w:noWrap w:val="0"/>
                  <w:vAlign w:val="center"/>
                </w:tcPr>
                <w:p>
                  <w:pPr>
                    <w:topLinePunct/>
                    <w:adjustRightInd w:val="0"/>
                    <w:snapToGrid w:val="0"/>
                    <w:jc w:val="center"/>
                    <w:textAlignment w:val="center"/>
                    <w:rPr>
                      <w:snapToGrid w:val="0"/>
                      <w:color w:val="auto"/>
                      <w:kern w:val="0"/>
                      <w:szCs w:val="21"/>
                    </w:rPr>
                  </w:pPr>
                  <w:r>
                    <w:rPr>
                      <w:color w:val="auto"/>
                      <w:szCs w:val="21"/>
                    </w:rPr>
                    <w:t>导热油炉燃烧废气</w:t>
                  </w:r>
                </w:p>
              </w:tc>
              <w:tc>
                <w:tcPr>
                  <w:tcW w:w="1169" w:type="dxa"/>
                  <w:shd w:val="clear" w:color="auto" w:fill="auto"/>
                  <w:noWrap w:val="0"/>
                  <w:vAlign w:val="center"/>
                </w:tcPr>
                <w:p>
                  <w:pPr>
                    <w:spacing w:line="20" w:lineRule="atLeast"/>
                    <w:jc w:val="center"/>
                    <w:rPr>
                      <w:snapToGrid w:val="0"/>
                      <w:color w:val="auto"/>
                      <w:kern w:val="0"/>
                      <w:szCs w:val="21"/>
                    </w:rPr>
                  </w:pPr>
                  <w:r>
                    <w:rPr>
                      <w:rFonts w:hint="eastAsia"/>
                      <w:snapToGrid w:val="0"/>
                      <w:color w:val="auto"/>
                      <w:kern w:val="0"/>
                      <w:szCs w:val="21"/>
                    </w:rPr>
                    <w:t>烟气黑度</w:t>
                  </w:r>
                </w:p>
              </w:tc>
              <w:tc>
                <w:tcPr>
                  <w:tcW w:w="2728" w:type="dxa"/>
                  <w:vMerge w:val="restart"/>
                  <w:shd w:val="clear" w:color="auto" w:fill="auto"/>
                  <w:noWrap w:val="0"/>
                  <w:vAlign w:val="center"/>
                </w:tcPr>
                <w:p>
                  <w:pPr>
                    <w:snapToGrid w:val="0"/>
                    <w:jc w:val="center"/>
                    <w:rPr>
                      <w:snapToGrid w:val="0"/>
                      <w:color w:val="auto"/>
                      <w:kern w:val="0"/>
                      <w:szCs w:val="21"/>
                    </w:rPr>
                  </w:pPr>
                  <w:r>
                    <w:rPr>
                      <w:snapToGrid w:val="0"/>
                      <w:color w:val="auto"/>
                      <w:kern w:val="0"/>
                      <w:szCs w:val="21"/>
                    </w:rPr>
                    <w:t>《工业炉窑大气污染物排放标准》（GB9078-1996）</w:t>
                  </w:r>
                </w:p>
              </w:tc>
              <w:tc>
                <w:tcPr>
                  <w:tcW w:w="1005" w:type="dxa"/>
                  <w:shd w:val="clear" w:color="auto" w:fill="auto"/>
                  <w:noWrap w:val="0"/>
                  <w:vAlign w:val="center"/>
                </w:tcPr>
                <w:p>
                  <w:pPr>
                    <w:snapToGrid w:val="0"/>
                    <w:jc w:val="center"/>
                    <w:rPr>
                      <w:snapToGrid w:val="0"/>
                      <w:color w:val="auto"/>
                      <w:kern w:val="0"/>
                      <w:szCs w:val="21"/>
                    </w:rPr>
                  </w:pPr>
                  <w:r>
                    <w:rPr>
                      <w:rFonts w:hint="eastAsia"/>
                      <w:snapToGrid w:val="0"/>
                      <w:color w:val="auto"/>
                      <w:kern w:val="0"/>
                      <w:szCs w:val="21"/>
                    </w:rPr>
                    <w:t>1（级）</w:t>
                  </w:r>
                </w:p>
              </w:tc>
              <w:tc>
                <w:tcPr>
                  <w:tcW w:w="735" w:type="dxa"/>
                  <w:vMerge w:val="restart"/>
                  <w:shd w:val="clear" w:color="auto" w:fill="auto"/>
                  <w:noWrap w:val="0"/>
                  <w:vAlign w:val="center"/>
                </w:tcPr>
                <w:p>
                  <w:pPr>
                    <w:snapToGrid w:val="0"/>
                    <w:jc w:val="center"/>
                    <w:rPr>
                      <w:snapToGrid w:val="0"/>
                      <w:color w:val="auto"/>
                      <w:kern w:val="0"/>
                      <w:szCs w:val="21"/>
                    </w:rPr>
                  </w:pPr>
                  <w:r>
                    <w:rPr>
                      <w:snapToGrid w:val="0"/>
                      <w:color w:val="auto"/>
                      <w:kern w:val="0"/>
                      <w:szCs w:val="21"/>
                    </w:rPr>
                    <w:t>15</w:t>
                  </w:r>
                </w:p>
              </w:tc>
              <w:tc>
                <w:tcPr>
                  <w:tcW w:w="1065" w:type="dxa"/>
                  <w:shd w:val="clear" w:color="auto" w:fill="auto"/>
                  <w:noWrap w:val="0"/>
                  <w:vAlign w:val="center"/>
                </w:tcPr>
                <w:p>
                  <w:pPr>
                    <w:snapToGrid w:val="0"/>
                    <w:jc w:val="center"/>
                    <w:rPr>
                      <w:snapToGrid w:val="0"/>
                      <w:color w:val="auto"/>
                      <w:kern w:val="0"/>
                      <w:szCs w:val="21"/>
                    </w:rPr>
                  </w:pPr>
                  <w:r>
                    <w:rPr>
                      <w:rFonts w:hint="eastAsia"/>
                      <w:snapToGrid w:val="0"/>
                      <w:color w:val="auto"/>
                      <w:kern w:val="0"/>
                      <w:szCs w:val="21"/>
                    </w:rPr>
                    <w:t>/</w:t>
                  </w:r>
                </w:p>
              </w:tc>
              <w:tc>
                <w:tcPr>
                  <w:tcW w:w="1111" w:type="dxa"/>
                  <w:shd w:val="clear" w:color="auto" w:fill="auto"/>
                  <w:noWrap w:val="0"/>
                  <w:vAlign w:val="center"/>
                </w:tcPr>
                <w:p>
                  <w:pPr>
                    <w:snapToGrid w:val="0"/>
                    <w:jc w:val="center"/>
                    <w:rPr>
                      <w:snapToGrid w:val="0"/>
                      <w:color w:val="auto"/>
                      <w:kern w:val="0"/>
                      <w:szCs w:val="21"/>
                    </w:rPr>
                  </w:pPr>
                  <w:r>
                    <w:rPr>
                      <w:rFonts w:hint="eastAsia"/>
                      <w:snapToGrid w:val="0"/>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11" w:type="dxa"/>
                  <w:vMerge w:val="continue"/>
                  <w:shd w:val="clear" w:color="auto" w:fill="auto"/>
                  <w:noWrap w:val="0"/>
                  <w:vAlign w:val="center"/>
                </w:tcPr>
                <w:p>
                  <w:pPr>
                    <w:snapToGrid w:val="0"/>
                    <w:jc w:val="center"/>
                    <w:rPr>
                      <w:snapToGrid w:val="0"/>
                      <w:color w:val="auto"/>
                      <w:kern w:val="0"/>
                      <w:szCs w:val="21"/>
                    </w:rPr>
                  </w:pPr>
                </w:p>
              </w:tc>
              <w:tc>
                <w:tcPr>
                  <w:tcW w:w="886" w:type="dxa"/>
                  <w:vMerge w:val="continue"/>
                  <w:shd w:val="clear" w:color="auto" w:fill="auto"/>
                  <w:noWrap w:val="0"/>
                  <w:vAlign w:val="center"/>
                </w:tcPr>
                <w:p>
                  <w:pPr>
                    <w:topLinePunct/>
                    <w:adjustRightInd w:val="0"/>
                    <w:snapToGrid w:val="0"/>
                    <w:jc w:val="center"/>
                    <w:textAlignment w:val="center"/>
                    <w:rPr>
                      <w:color w:val="auto"/>
                      <w:szCs w:val="21"/>
                    </w:rPr>
                  </w:pPr>
                </w:p>
              </w:tc>
              <w:tc>
                <w:tcPr>
                  <w:tcW w:w="1169" w:type="dxa"/>
                  <w:shd w:val="clear" w:color="auto" w:fill="auto"/>
                  <w:noWrap w:val="0"/>
                  <w:vAlign w:val="center"/>
                </w:tcPr>
                <w:p>
                  <w:pPr>
                    <w:spacing w:line="20" w:lineRule="atLeast"/>
                    <w:jc w:val="center"/>
                    <w:rPr>
                      <w:snapToGrid w:val="0"/>
                      <w:color w:val="auto"/>
                      <w:kern w:val="0"/>
                      <w:szCs w:val="21"/>
                    </w:rPr>
                  </w:pPr>
                  <w:r>
                    <w:rPr>
                      <w:bCs/>
                      <w:color w:val="auto"/>
                      <w:spacing w:val="-10"/>
                      <w:szCs w:val="21"/>
                    </w:rPr>
                    <w:t>颗粒物</w:t>
                  </w:r>
                </w:p>
              </w:tc>
              <w:tc>
                <w:tcPr>
                  <w:tcW w:w="2728" w:type="dxa"/>
                  <w:vMerge w:val="continue"/>
                  <w:shd w:val="clear" w:color="auto" w:fill="auto"/>
                  <w:noWrap w:val="0"/>
                  <w:vAlign w:val="center"/>
                </w:tcPr>
                <w:p>
                  <w:pPr>
                    <w:snapToGrid w:val="0"/>
                    <w:jc w:val="center"/>
                    <w:rPr>
                      <w:snapToGrid w:val="0"/>
                      <w:color w:val="auto"/>
                      <w:kern w:val="0"/>
                      <w:szCs w:val="21"/>
                    </w:rPr>
                  </w:pPr>
                </w:p>
              </w:tc>
              <w:tc>
                <w:tcPr>
                  <w:tcW w:w="1005" w:type="dxa"/>
                  <w:shd w:val="clear" w:color="auto" w:fill="auto"/>
                  <w:noWrap w:val="0"/>
                  <w:vAlign w:val="center"/>
                </w:tcPr>
                <w:p>
                  <w:pPr>
                    <w:snapToGrid w:val="0"/>
                    <w:jc w:val="center"/>
                    <w:rPr>
                      <w:rFonts w:hint="eastAsia"/>
                      <w:snapToGrid w:val="0"/>
                      <w:color w:val="auto"/>
                      <w:kern w:val="0"/>
                      <w:szCs w:val="21"/>
                    </w:rPr>
                  </w:pPr>
                  <w:r>
                    <w:rPr>
                      <w:rFonts w:hint="eastAsia"/>
                      <w:snapToGrid w:val="0"/>
                      <w:color w:val="auto"/>
                      <w:kern w:val="0"/>
                      <w:szCs w:val="21"/>
                    </w:rPr>
                    <w:t>200</w:t>
                  </w:r>
                </w:p>
              </w:tc>
              <w:tc>
                <w:tcPr>
                  <w:tcW w:w="735" w:type="dxa"/>
                  <w:vMerge w:val="continue"/>
                  <w:shd w:val="clear" w:color="auto" w:fill="auto"/>
                  <w:noWrap w:val="0"/>
                  <w:vAlign w:val="center"/>
                </w:tcPr>
                <w:p>
                  <w:pPr>
                    <w:snapToGrid w:val="0"/>
                    <w:jc w:val="center"/>
                    <w:rPr>
                      <w:snapToGrid w:val="0"/>
                      <w:color w:val="auto"/>
                      <w:kern w:val="0"/>
                      <w:szCs w:val="21"/>
                    </w:rPr>
                  </w:pPr>
                </w:p>
              </w:tc>
              <w:tc>
                <w:tcPr>
                  <w:tcW w:w="1065" w:type="dxa"/>
                  <w:shd w:val="clear" w:color="auto" w:fill="auto"/>
                  <w:noWrap w:val="0"/>
                  <w:vAlign w:val="center"/>
                </w:tcPr>
                <w:p>
                  <w:pPr>
                    <w:snapToGrid w:val="0"/>
                    <w:jc w:val="center"/>
                    <w:rPr>
                      <w:rFonts w:hint="eastAsia"/>
                      <w:snapToGrid w:val="0"/>
                      <w:color w:val="auto"/>
                      <w:kern w:val="0"/>
                      <w:szCs w:val="21"/>
                    </w:rPr>
                  </w:pPr>
                  <w:r>
                    <w:rPr>
                      <w:rFonts w:hint="eastAsia"/>
                      <w:snapToGrid w:val="0"/>
                      <w:color w:val="auto"/>
                      <w:kern w:val="0"/>
                      <w:szCs w:val="21"/>
                    </w:rPr>
                    <w:t>/</w:t>
                  </w:r>
                </w:p>
              </w:tc>
              <w:tc>
                <w:tcPr>
                  <w:tcW w:w="1111" w:type="dxa"/>
                  <w:shd w:val="clear" w:color="auto" w:fill="auto"/>
                  <w:noWrap w:val="0"/>
                  <w:vAlign w:val="center"/>
                </w:tcPr>
                <w:p>
                  <w:pPr>
                    <w:snapToGrid w:val="0"/>
                    <w:jc w:val="center"/>
                    <w:rPr>
                      <w:rFonts w:hint="eastAsia"/>
                      <w:snapToGrid w:val="0"/>
                      <w:color w:val="auto"/>
                      <w:kern w:val="0"/>
                      <w:szCs w:val="21"/>
                    </w:rPr>
                  </w:pPr>
                  <w:r>
                    <w:rPr>
                      <w:rFonts w:hint="eastAsia"/>
                      <w:snapToGrid w:val="0"/>
                      <w:color w:val="auto"/>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11" w:type="dxa"/>
                  <w:vMerge w:val="continue"/>
                  <w:shd w:val="clear" w:color="auto" w:fill="auto"/>
                  <w:noWrap w:val="0"/>
                  <w:vAlign w:val="center"/>
                </w:tcPr>
                <w:p>
                  <w:pPr>
                    <w:snapToGrid w:val="0"/>
                    <w:jc w:val="center"/>
                    <w:rPr>
                      <w:snapToGrid w:val="0"/>
                      <w:color w:val="auto"/>
                      <w:kern w:val="0"/>
                      <w:szCs w:val="21"/>
                    </w:rPr>
                  </w:pPr>
                </w:p>
              </w:tc>
              <w:tc>
                <w:tcPr>
                  <w:tcW w:w="886" w:type="dxa"/>
                  <w:vMerge w:val="continue"/>
                  <w:shd w:val="clear" w:color="auto" w:fill="auto"/>
                  <w:noWrap w:val="0"/>
                  <w:vAlign w:val="center"/>
                </w:tcPr>
                <w:p>
                  <w:pPr>
                    <w:snapToGrid w:val="0"/>
                    <w:jc w:val="center"/>
                    <w:rPr>
                      <w:snapToGrid w:val="0"/>
                      <w:color w:val="auto"/>
                      <w:kern w:val="0"/>
                      <w:szCs w:val="21"/>
                    </w:rPr>
                  </w:pPr>
                </w:p>
              </w:tc>
              <w:tc>
                <w:tcPr>
                  <w:tcW w:w="1169" w:type="dxa"/>
                  <w:shd w:val="clear" w:color="auto" w:fill="auto"/>
                  <w:noWrap w:val="0"/>
                  <w:vAlign w:val="center"/>
                </w:tcPr>
                <w:p>
                  <w:pPr>
                    <w:spacing w:line="20" w:lineRule="atLeast"/>
                    <w:jc w:val="center"/>
                    <w:rPr>
                      <w:snapToGrid w:val="0"/>
                      <w:color w:val="auto"/>
                      <w:kern w:val="0"/>
                      <w:szCs w:val="21"/>
                    </w:rPr>
                  </w:pPr>
                  <w:r>
                    <w:rPr>
                      <w:bCs/>
                      <w:color w:val="auto"/>
                      <w:spacing w:val="-10"/>
                      <w:szCs w:val="21"/>
                    </w:rPr>
                    <w:t>SO</w:t>
                  </w:r>
                  <w:r>
                    <w:rPr>
                      <w:bCs/>
                      <w:color w:val="auto"/>
                      <w:spacing w:val="-10"/>
                      <w:szCs w:val="21"/>
                      <w:vertAlign w:val="subscript"/>
                    </w:rPr>
                    <w:t>2</w:t>
                  </w:r>
                </w:p>
              </w:tc>
              <w:tc>
                <w:tcPr>
                  <w:tcW w:w="2728" w:type="dxa"/>
                  <w:vMerge w:val="continue"/>
                  <w:shd w:val="clear" w:color="auto" w:fill="auto"/>
                  <w:noWrap w:val="0"/>
                  <w:vAlign w:val="center"/>
                </w:tcPr>
                <w:p>
                  <w:pPr>
                    <w:snapToGrid w:val="0"/>
                    <w:jc w:val="center"/>
                    <w:rPr>
                      <w:snapToGrid w:val="0"/>
                      <w:color w:val="auto"/>
                      <w:kern w:val="0"/>
                      <w:szCs w:val="21"/>
                    </w:rPr>
                  </w:pPr>
                </w:p>
              </w:tc>
              <w:tc>
                <w:tcPr>
                  <w:tcW w:w="1005" w:type="dxa"/>
                  <w:shd w:val="clear" w:color="auto" w:fill="auto"/>
                  <w:noWrap w:val="0"/>
                  <w:vAlign w:val="center"/>
                </w:tcPr>
                <w:p>
                  <w:pPr>
                    <w:snapToGrid w:val="0"/>
                    <w:jc w:val="center"/>
                    <w:rPr>
                      <w:snapToGrid w:val="0"/>
                      <w:color w:val="auto"/>
                      <w:kern w:val="0"/>
                      <w:szCs w:val="21"/>
                    </w:rPr>
                  </w:pPr>
                  <w:r>
                    <w:rPr>
                      <w:rFonts w:hint="eastAsia"/>
                      <w:snapToGrid w:val="0"/>
                      <w:color w:val="auto"/>
                      <w:kern w:val="0"/>
                      <w:szCs w:val="21"/>
                    </w:rPr>
                    <w:t>850</w:t>
                  </w:r>
                </w:p>
              </w:tc>
              <w:tc>
                <w:tcPr>
                  <w:tcW w:w="735" w:type="dxa"/>
                  <w:vMerge w:val="continue"/>
                  <w:shd w:val="clear" w:color="auto" w:fill="auto"/>
                  <w:noWrap w:val="0"/>
                  <w:vAlign w:val="center"/>
                </w:tcPr>
                <w:p>
                  <w:pPr>
                    <w:snapToGrid w:val="0"/>
                    <w:jc w:val="center"/>
                    <w:rPr>
                      <w:snapToGrid w:val="0"/>
                      <w:color w:val="auto"/>
                      <w:kern w:val="0"/>
                      <w:szCs w:val="21"/>
                    </w:rPr>
                  </w:pPr>
                </w:p>
              </w:tc>
              <w:tc>
                <w:tcPr>
                  <w:tcW w:w="1065" w:type="dxa"/>
                  <w:shd w:val="clear" w:color="auto" w:fill="auto"/>
                  <w:noWrap w:val="0"/>
                  <w:vAlign w:val="center"/>
                </w:tcPr>
                <w:p>
                  <w:pPr>
                    <w:snapToGrid w:val="0"/>
                    <w:jc w:val="center"/>
                    <w:rPr>
                      <w:rFonts w:hint="eastAsia"/>
                      <w:snapToGrid w:val="0"/>
                      <w:color w:val="auto"/>
                      <w:kern w:val="0"/>
                      <w:szCs w:val="21"/>
                    </w:rPr>
                  </w:pPr>
                  <w:r>
                    <w:rPr>
                      <w:rFonts w:hint="eastAsia"/>
                      <w:snapToGrid w:val="0"/>
                      <w:color w:val="auto"/>
                      <w:kern w:val="0"/>
                      <w:szCs w:val="21"/>
                    </w:rPr>
                    <w:t>/</w:t>
                  </w:r>
                </w:p>
              </w:tc>
              <w:tc>
                <w:tcPr>
                  <w:tcW w:w="1111" w:type="dxa"/>
                  <w:shd w:val="clear" w:color="auto" w:fill="auto"/>
                  <w:noWrap w:val="0"/>
                  <w:vAlign w:val="center"/>
                </w:tcPr>
                <w:p>
                  <w:pPr>
                    <w:snapToGrid w:val="0"/>
                    <w:jc w:val="center"/>
                    <w:rPr>
                      <w:rFonts w:hint="eastAsia"/>
                      <w:snapToGrid w:val="0"/>
                      <w:color w:val="auto"/>
                      <w:kern w:val="0"/>
                      <w:szCs w:val="21"/>
                    </w:rPr>
                  </w:pPr>
                  <w:r>
                    <w:rPr>
                      <w:rFonts w:hint="eastAsia"/>
                      <w:snapToGrid w:val="0"/>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11" w:type="dxa"/>
                  <w:vMerge w:val="continue"/>
                  <w:shd w:val="clear" w:color="auto" w:fill="auto"/>
                  <w:noWrap w:val="0"/>
                  <w:vAlign w:val="center"/>
                </w:tcPr>
                <w:p>
                  <w:pPr>
                    <w:snapToGrid w:val="0"/>
                    <w:jc w:val="center"/>
                    <w:rPr>
                      <w:snapToGrid w:val="0"/>
                      <w:color w:val="auto"/>
                      <w:kern w:val="0"/>
                      <w:szCs w:val="21"/>
                    </w:rPr>
                  </w:pPr>
                </w:p>
              </w:tc>
              <w:tc>
                <w:tcPr>
                  <w:tcW w:w="886" w:type="dxa"/>
                  <w:vMerge w:val="continue"/>
                  <w:shd w:val="clear" w:color="auto" w:fill="auto"/>
                  <w:noWrap w:val="0"/>
                  <w:vAlign w:val="center"/>
                </w:tcPr>
                <w:p>
                  <w:pPr>
                    <w:snapToGrid w:val="0"/>
                    <w:jc w:val="center"/>
                    <w:rPr>
                      <w:snapToGrid w:val="0"/>
                      <w:color w:val="auto"/>
                      <w:kern w:val="0"/>
                      <w:szCs w:val="21"/>
                    </w:rPr>
                  </w:pPr>
                </w:p>
              </w:tc>
              <w:tc>
                <w:tcPr>
                  <w:tcW w:w="1169" w:type="dxa"/>
                  <w:shd w:val="clear" w:color="auto" w:fill="auto"/>
                  <w:noWrap w:val="0"/>
                  <w:vAlign w:val="center"/>
                </w:tcPr>
                <w:p>
                  <w:pPr>
                    <w:spacing w:line="20" w:lineRule="atLeast"/>
                    <w:jc w:val="center"/>
                    <w:rPr>
                      <w:snapToGrid w:val="0"/>
                      <w:color w:val="auto"/>
                      <w:kern w:val="0"/>
                      <w:szCs w:val="21"/>
                    </w:rPr>
                  </w:pPr>
                  <w:r>
                    <w:rPr>
                      <w:bCs/>
                      <w:color w:val="auto"/>
                      <w:spacing w:val="-10"/>
                      <w:szCs w:val="21"/>
                    </w:rPr>
                    <w:t>NOx</w:t>
                  </w:r>
                </w:p>
              </w:tc>
              <w:tc>
                <w:tcPr>
                  <w:tcW w:w="2728" w:type="dxa"/>
                  <w:shd w:val="clear" w:color="auto" w:fill="auto"/>
                  <w:noWrap w:val="0"/>
                  <w:vAlign w:val="center"/>
                </w:tcPr>
                <w:p>
                  <w:pPr>
                    <w:snapToGrid w:val="0"/>
                    <w:jc w:val="center"/>
                    <w:rPr>
                      <w:snapToGrid w:val="0"/>
                      <w:color w:val="auto"/>
                      <w:kern w:val="0"/>
                      <w:szCs w:val="21"/>
                    </w:rPr>
                  </w:pPr>
                  <w:r>
                    <w:rPr>
                      <w:snapToGrid w:val="0"/>
                      <w:color w:val="auto"/>
                      <w:kern w:val="0"/>
                      <w:szCs w:val="21"/>
                    </w:rPr>
                    <w:t>《大气污染物综合排放标准》（GB16297-1996）</w:t>
                  </w:r>
                </w:p>
              </w:tc>
              <w:tc>
                <w:tcPr>
                  <w:tcW w:w="1005" w:type="dxa"/>
                  <w:shd w:val="clear" w:color="auto" w:fill="auto"/>
                  <w:noWrap w:val="0"/>
                  <w:vAlign w:val="center"/>
                </w:tcPr>
                <w:p>
                  <w:pPr>
                    <w:snapToGrid w:val="0"/>
                    <w:jc w:val="center"/>
                    <w:rPr>
                      <w:snapToGrid w:val="0"/>
                      <w:color w:val="auto"/>
                      <w:kern w:val="0"/>
                      <w:szCs w:val="21"/>
                    </w:rPr>
                  </w:pPr>
                  <w:r>
                    <w:rPr>
                      <w:snapToGrid w:val="0"/>
                      <w:color w:val="auto"/>
                      <w:kern w:val="0"/>
                      <w:szCs w:val="21"/>
                    </w:rPr>
                    <w:t>240</w:t>
                  </w:r>
                </w:p>
              </w:tc>
              <w:tc>
                <w:tcPr>
                  <w:tcW w:w="735" w:type="dxa"/>
                  <w:vMerge w:val="continue"/>
                  <w:shd w:val="clear" w:color="auto" w:fill="auto"/>
                  <w:noWrap w:val="0"/>
                  <w:vAlign w:val="center"/>
                </w:tcPr>
                <w:p>
                  <w:pPr>
                    <w:snapToGrid w:val="0"/>
                    <w:jc w:val="center"/>
                    <w:rPr>
                      <w:snapToGrid w:val="0"/>
                      <w:color w:val="auto"/>
                      <w:kern w:val="0"/>
                      <w:szCs w:val="21"/>
                    </w:rPr>
                  </w:pPr>
                </w:p>
              </w:tc>
              <w:tc>
                <w:tcPr>
                  <w:tcW w:w="1065" w:type="dxa"/>
                  <w:shd w:val="clear" w:color="auto" w:fill="auto"/>
                  <w:noWrap w:val="0"/>
                  <w:vAlign w:val="center"/>
                </w:tcPr>
                <w:p>
                  <w:pPr>
                    <w:snapToGrid w:val="0"/>
                    <w:jc w:val="center"/>
                    <w:rPr>
                      <w:snapToGrid w:val="0"/>
                      <w:color w:val="auto"/>
                      <w:kern w:val="0"/>
                      <w:szCs w:val="21"/>
                    </w:rPr>
                  </w:pPr>
                  <w:r>
                    <w:rPr>
                      <w:snapToGrid w:val="0"/>
                      <w:color w:val="auto"/>
                      <w:kern w:val="0"/>
                      <w:szCs w:val="21"/>
                    </w:rPr>
                    <w:t>0.77</w:t>
                  </w:r>
                </w:p>
              </w:tc>
              <w:tc>
                <w:tcPr>
                  <w:tcW w:w="1111" w:type="dxa"/>
                  <w:shd w:val="clear" w:color="auto" w:fill="auto"/>
                  <w:noWrap w:val="0"/>
                  <w:vAlign w:val="center"/>
                </w:tcPr>
                <w:p>
                  <w:pPr>
                    <w:snapToGrid w:val="0"/>
                    <w:jc w:val="center"/>
                    <w:rPr>
                      <w:snapToGrid w:val="0"/>
                      <w:color w:val="auto"/>
                      <w:kern w:val="0"/>
                      <w:szCs w:val="21"/>
                    </w:rPr>
                  </w:pPr>
                  <w:r>
                    <w:rPr>
                      <w:snapToGrid w:val="0"/>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11" w:type="dxa"/>
                  <w:vMerge w:val="continue"/>
                  <w:shd w:val="clear" w:color="auto" w:fill="auto"/>
                  <w:noWrap w:val="0"/>
                  <w:vAlign w:val="center"/>
                </w:tcPr>
                <w:p>
                  <w:pPr>
                    <w:snapToGrid w:val="0"/>
                    <w:jc w:val="center"/>
                    <w:rPr>
                      <w:snapToGrid w:val="0"/>
                      <w:color w:val="auto"/>
                      <w:kern w:val="0"/>
                      <w:szCs w:val="21"/>
                    </w:rPr>
                  </w:pPr>
                </w:p>
              </w:tc>
              <w:tc>
                <w:tcPr>
                  <w:tcW w:w="886" w:type="dxa"/>
                  <w:vMerge w:val="restart"/>
                  <w:shd w:val="clear" w:color="auto" w:fill="auto"/>
                  <w:noWrap w:val="0"/>
                  <w:vAlign w:val="center"/>
                </w:tcPr>
                <w:p>
                  <w:pPr>
                    <w:snapToGrid w:val="0"/>
                    <w:jc w:val="center"/>
                    <w:rPr>
                      <w:snapToGrid w:val="0"/>
                      <w:color w:val="auto"/>
                      <w:kern w:val="0"/>
                      <w:szCs w:val="21"/>
                    </w:rPr>
                  </w:pPr>
                  <w:r>
                    <w:rPr>
                      <w:snapToGrid w:val="0"/>
                      <w:color w:val="auto"/>
                      <w:kern w:val="0"/>
                      <w:szCs w:val="21"/>
                    </w:rPr>
                    <w:t>厂界外</w:t>
                  </w:r>
                </w:p>
              </w:tc>
              <w:tc>
                <w:tcPr>
                  <w:tcW w:w="1169" w:type="dxa"/>
                  <w:shd w:val="clear" w:color="auto" w:fill="auto"/>
                  <w:noWrap w:val="0"/>
                  <w:vAlign w:val="center"/>
                </w:tcPr>
                <w:p>
                  <w:pPr>
                    <w:spacing w:line="20" w:lineRule="atLeast"/>
                    <w:jc w:val="center"/>
                    <w:rPr>
                      <w:snapToGrid w:val="0"/>
                      <w:color w:val="auto"/>
                      <w:kern w:val="0"/>
                      <w:szCs w:val="21"/>
                    </w:rPr>
                  </w:pPr>
                  <w:r>
                    <w:rPr>
                      <w:bCs/>
                      <w:color w:val="auto"/>
                      <w:spacing w:val="-10"/>
                      <w:szCs w:val="21"/>
                    </w:rPr>
                    <w:t>颗粒物</w:t>
                  </w:r>
                </w:p>
              </w:tc>
              <w:tc>
                <w:tcPr>
                  <w:tcW w:w="2728" w:type="dxa"/>
                  <w:vMerge w:val="restart"/>
                  <w:shd w:val="clear" w:color="auto" w:fill="auto"/>
                  <w:noWrap w:val="0"/>
                  <w:vAlign w:val="center"/>
                </w:tcPr>
                <w:p>
                  <w:pPr>
                    <w:snapToGrid w:val="0"/>
                    <w:jc w:val="center"/>
                    <w:rPr>
                      <w:snapToGrid w:val="0"/>
                      <w:color w:val="auto"/>
                      <w:kern w:val="0"/>
                      <w:szCs w:val="21"/>
                    </w:rPr>
                  </w:pPr>
                  <w:r>
                    <w:rPr>
                      <w:snapToGrid w:val="0"/>
                      <w:color w:val="auto"/>
                      <w:kern w:val="0"/>
                      <w:szCs w:val="21"/>
                    </w:rPr>
                    <w:t>《大气污染物综合排放标准》（GB16297-1996）</w:t>
                  </w:r>
                </w:p>
              </w:tc>
              <w:tc>
                <w:tcPr>
                  <w:tcW w:w="1005" w:type="dxa"/>
                  <w:shd w:val="clear" w:color="auto" w:fill="auto"/>
                  <w:noWrap w:val="0"/>
                  <w:vAlign w:val="center"/>
                </w:tcPr>
                <w:p>
                  <w:pPr>
                    <w:snapToGrid w:val="0"/>
                    <w:jc w:val="center"/>
                    <w:rPr>
                      <w:snapToGrid w:val="0"/>
                      <w:color w:val="auto"/>
                      <w:kern w:val="0"/>
                      <w:szCs w:val="21"/>
                    </w:rPr>
                  </w:pPr>
                  <w:r>
                    <w:rPr>
                      <w:snapToGrid w:val="0"/>
                      <w:color w:val="auto"/>
                      <w:kern w:val="0"/>
                      <w:szCs w:val="21"/>
                    </w:rPr>
                    <w:t>/</w:t>
                  </w:r>
                </w:p>
              </w:tc>
              <w:tc>
                <w:tcPr>
                  <w:tcW w:w="735" w:type="dxa"/>
                  <w:shd w:val="clear" w:color="auto" w:fill="auto"/>
                  <w:noWrap w:val="0"/>
                  <w:vAlign w:val="center"/>
                </w:tcPr>
                <w:p>
                  <w:pPr>
                    <w:snapToGrid w:val="0"/>
                    <w:jc w:val="center"/>
                    <w:rPr>
                      <w:snapToGrid w:val="0"/>
                      <w:color w:val="auto"/>
                      <w:kern w:val="0"/>
                      <w:szCs w:val="21"/>
                    </w:rPr>
                  </w:pPr>
                  <w:r>
                    <w:rPr>
                      <w:snapToGrid w:val="0"/>
                      <w:color w:val="auto"/>
                      <w:kern w:val="0"/>
                      <w:szCs w:val="21"/>
                    </w:rPr>
                    <w:t>/</w:t>
                  </w:r>
                </w:p>
              </w:tc>
              <w:tc>
                <w:tcPr>
                  <w:tcW w:w="1065" w:type="dxa"/>
                  <w:shd w:val="clear" w:color="auto" w:fill="auto"/>
                  <w:noWrap w:val="0"/>
                  <w:vAlign w:val="center"/>
                </w:tcPr>
                <w:p>
                  <w:pPr>
                    <w:snapToGrid w:val="0"/>
                    <w:jc w:val="center"/>
                    <w:rPr>
                      <w:snapToGrid w:val="0"/>
                      <w:color w:val="auto"/>
                      <w:kern w:val="0"/>
                      <w:szCs w:val="21"/>
                    </w:rPr>
                  </w:pPr>
                  <w:r>
                    <w:rPr>
                      <w:snapToGrid w:val="0"/>
                      <w:color w:val="auto"/>
                      <w:kern w:val="0"/>
                      <w:szCs w:val="21"/>
                    </w:rPr>
                    <w:t>/</w:t>
                  </w:r>
                </w:p>
              </w:tc>
              <w:tc>
                <w:tcPr>
                  <w:tcW w:w="1111" w:type="dxa"/>
                  <w:shd w:val="clear" w:color="auto" w:fill="auto"/>
                  <w:noWrap w:val="0"/>
                  <w:vAlign w:val="center"/>
                </w:tcPr>
                <w:p>
                  <w:pPr>
                    <w:snapToGrid w:val="0"/>
                    <w:jc w:val="center"/>
                    <w:rPr>
                      <w:snapToGrid w:val="0"/>
                      <w:color w:val="auto"/>
                      <w:kern w:val="0"/>
                      <w:szCs w:val="21"/>
                    </w:rPr>
                  </w:pPr>
                  <w:r>
                    <w:rPr>
                      <w:snapToGrid w:val="0"/>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11" w:type="dxa"/>
                  <w:vMerge w:val="continue"/>
                  <w:shd w:val="clear" w:color="auto" w:fill="auto"/>
                  <w:noWrap w:val="0"/>
                  <w:vAlign w:val="center"/>
                </w:tcPr>
                <w:p>
                  <w:pPr>
                    <w:snapToGrid w:val="0"/>
                    <w:jc w:val="center"/>
                    <w:rPr>
                      <w:snapToGrid w:val="0"/>
                      <w:color w:val="auto"/>
                      <w:kern w:val="0"/>
                      <w:szCs w:val="21"/>
                    </w:rPr>
                  </w:pPr>
                </w:p>
              </w:tc>
              <w:tc>
                <w:tcPr>
                  <w:tcW w:w="886" w:type="dxa"/>
                  <w:vMerge w:val="continue"/>
                  <w:shd w:val="clear" w:color="auto" w:fill="auto"/>
                  <w:noWrap w:val="0"/>
                  <w:vAlign w:val="center"/>
                </w:tcPr>
                <w:p>
                  <w:pPr>
                    <w:snapToGrid w:val="0"/>
                    <w:jc w:val="center"/>
                    <w:rPr>
                      <w:snapToGrid w:val="0"/>
                      <w:color w:val="auto"/>
                      <w:kern w:val="0"/>
                      <w:szCs w:val="21"/>
                    </w:rPr>
                  </w:pPr>
                </w:p>
              </w:tc>
              <w:tc>
                <w:tcPr>
                  <w:tcW w:w="1169" w:type="dxa"/>
                  <w:shd w:val="clear" w:color="auto" w:fill="auto"/>
                  <w:noWrap w:val="0"/>
                  <w:vAlign w:val="center"/>
                </w:tcPr>
                <w:p>
                  <w:pPr>
                    <w:spacing w:line="20" w:lineRule="atLeast"/>
                    <w:jc w:val="center"/>
                    <w:rPr>
                      <w:snapToGrid w:val="0"/>
                      <w:color w:val="auto"/>
                      <w:kern w:val="0"/>
                      <w:szCs w:val="21"/>
                    </w:rPr>
                  </w:pPr>
                  <w:r>
                    <w:rPr>
                      <w:bCs/>
                      <w:color w:val="auto"/>
                      <w:spacing w:val="-10"/>
                      <w:szCs w:val="21"/>
                    </w:rPr>
                    <w:t>沥青烟</w:t>
                  </w:r>
                </w:p>
              </w:tc>
              <w:tc>
                <w:tcPr>
                  <w:tcW w:w="2728" w:type="dxa"/>
                  <w:vMerge w:val="continue"/>
                  <w:shd w:val="clear" w:color="auto" w:fill="auto"/>
                  <w:noWrap w:val="0"/>
                  <w:vAlign w:val="center"/>
                </w:tcPr>
                <w:p>
                  <w:pPr>
                    <w:snapToGrid w:val="0"/>
                    <w:jc w:val="center"/>
                    <w:rPr>
                      <w:snapToGrid w:val="0"/>
                      <w:color w:val="auto"/>
                      <w:kern w:val="0"/>
                      <w:szCs w:val="21"/>
                    </w:rPr>
                  </w:pPr>
                </w:p>
              </w:tc>
              <w:tc>
                <w:tcPr>
                  <w:tcW w:w="1005" w:type="dxa"/>
                  <w:shd w:val="clear" w:color="auto" w:fill="auto"/>
                  <w:noWrap w:val="0"/>
                  <w:vAlign w:val="center"/>
                </w:tcPr>
                <w:p>
                  <w:pPr>
                    <w:snapToGrid w:val="0"/>
                    <w:jc w:val="center"/>
                    <w:rPr>
                      <w:snapToGrid w:val="0"/>
                      <w:color w:val="auto"/>
                      <w:kern w:val="0"/>
                      <w:szCs w:val="21"/>
                    </w:rPr>
                  </w:pPr>
                  <w:r>
                    <w:rPr>
                      <w:snapToGrid w:val="0"/>
                      <w:color w:val="auto"/>
                      <w:kern w:val="0"/>
                      <w:szCs w:val="21"/>
                    </w:rPr>
                    <w:t>/</w:t>
                  </w:r>
                </w:p>
              </w:tc>
              <w:tc>
                <w:tcPr>
                  <w:tcW w:w="735" w:type="dxa"/>
                  <w:shd w:val="clear" w:color="auto" w:fill="auto"/>
                  <w:noWrap w:val="0"/>
                  <w:vAlign w:val="center"/>
                </w:tcPr>
                <w:p>
                  <w:pPr>
                    <w:snapToGrid w:val="0"/>
                    <w:jc w:val="center"/>
                    <w:rPr>
                      <w:snapToGrid w:val="0"/>
                      <w:color w:val="auto"/>
                      <w:kern w:val="0"/>
                      <w:szCs w:val="21"/>
                    </w:rPr>
                  </w:pPr>
                  <w:r>
                    <w:rPr>
                      <w:snapToGrid w:val="0"/>
                      <w:color w:val="auto"/>
                      <w:kern w:val="0"/>
                      <w:szCs w:val="21"/>
                    </w:rPr>
                    <w:t>/</w:t>
                  </w:r>
                </w:p>
              </w:tc>
              <w:tc>
                <w:tcPr>
                  <w:tcW w:w="1065" w:type="dxa"/>
                  <w:shd w:val="clear" w:color="auto" w:fill="auto"/>
                  <w:noWrap w:val="0"/>
                  <w:vAlign w:val="center"/>
                </w:tcPr>
                <w:p>
                  <w:pPr>
                    <w:snapToGrid w:val="0"/>
                    <w:jc w:val="center"/>
                    <w:rPr>
                      <w:snapToGrid w:val="0"/>
                      <w:color w:val="auto"/>
                      <w:kern w:val="0"/>
                      <w:szCs w:val="21"/>
                    </w:rPr>
                  </w:pPr>
                  <w:r>
                    <w:rPr>
                      <w:snapToGrid w:val="0"/>
                      <w:color w:val="auto"/>
                      <w:kern w:val="0"/>
                      <w:szCs w:val="21"/>
                    </w:rPr>
                    <w:t>/</w:t>
                  </w:r>
                </w:p>
              </w:tc>
              <w:tc>
                <w:tcPr>
                  <w:tcW w:w="1111" w:type="dxa"/>
                  <w:shd w:val="clear" w:color="auto" w:fill="auto"/>
                  <w:noWrap w:val="0"/>
                  <w:vAlign w:val="center"/>
                </w:tcPr>
                <w:p>
                  <w:pPr>
                    <w:snapToGrid w:val="0"/>
                    <w:jc w:val="center"/>
                    <w:rPr>
                      <w:snapToGrid w:val="0"/>
                      <w:color w:val="auto"/>
                      <w:kern w:val="0"/>
                      <w:sz w:val="18"/>
                      <w:szCs w:val="18"/>
                    </w:rPr>
                  </w:pPr>
                  <w:r>
                    <w:rPr>
                      <w:snapToGrid w:val="0"/>
                      <w:color w:val="auto"/>
                      <w:kern w:val="0"/>
                      <w:sz w:val="18"/>
                      <w:szCs w:val="18"/>
                    </w:rPr>
                    <w:t>生产设备不得有明显的无组织排放存在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11" w:type="dxa"/>
                  <w:vMerge w:val="continue"/>
                  <w:shd w:val="clear" w:color="auto" w:fill="auto"/>
                  <w:noWrap w:val="0"/>
                  <w:vAlign w:val="center"/>
                </w:tcPr>
                <w:p>
                  <w:pPr>
                    <w:snapToGrid w:val="0"/>
                    <w:jc w:val="center"/>
                    <w:rPr>
                      <w:snapToGrid w:val="0"/>
                      <w:color w:val="auto"/>
                      <w:kern w:val="0"/>
                      <w:szCs w:val="21"/>
                    </w:rPr>
                  </w:pPr>
                </w:p>
              </w:tc>
              <w:tc>
                <w:tcPr>
                  <w:tcW w:w="886" w:type="dxa"/>
                  <w:vMerge w:val="continue"/>
                  <w:shd w:val="clear" w:color="auto" w:fill="auto"/>
                  <w:noWrap w:val="0"/>
                  <w:vAlign w:val="center"/>
                </w:tcPr>
                <w:p>
                  <w:pPr>
                    <w:snapToGrid w:val="0"/>
                    <w:jc w:val="center"/>
                    <w:rPr>
                      <w:snapToGrid w:val="0"/>
                      <w:color w:val="auto"/>
                      <w:kern w:val="0"/>
                      <w:szCs w:val="21"/>
                    </w:rPr>
                  </w:pPr>
                </w:p>
              </w:tc>
              <w:tc>
                <w:tcPr>
                  <w:tcW w:w="1169" w:type="dxa"/>
                  <w:shd w:val="clear" w:color="auto" w:fill="auto"/>
                  <w:noWrap w:val="0"/>
                  <w:vAlign w:val="center"/>
                </w:tcPr>
                <w:p>
                  <w:pPr>
                    <w:spacing w:line="20" w:lineRule="atLeast"/>
                    <w:jc w:val="center"/>
                    <w:rPr>
                      <w:snapToGrid w:val="0"/>
                      <w:color w:val="auto"/>
                      <w:kern w:val="0"/>
                      <w:szCs w:val="21"/>
                    </w:rPr>
                  </w:pPr>
                  <w:r>
                    <w:rPr>
                      <w:bCs/>
                      <w:color w:val="auto"/>
                      <w:spacing w:val="-10"/>
                      <w:szCs w:val="21"/>
                    </w:rPr>
                    <w:t>苯并[a]芘</w:t>
                  </w:r>
                </w:p>
              </w:tc>
              <w:tc>
                <w:tcPr>
                  <w:tcW w:w="2728" w:type="dxa"/>
                  <w:vMerge w:val="continue"/>
                  <w:shd w:val="clear" w:color="auto" w:fill="auto"/>
                  <w:noWrap w:val="0"/>
                  <w:vAlign w:val="center"/>
                </w:tcPr>
                <w:p>
                  <w:pPr>
                    <w:snapToGrid w:val="0"/>
                    <w:jc w:val="center"/>
                    <w:rPr>
                      <w:snapToGrid w:val="0"/>
                      <w:color w:val="auto"/>
                      <w:kern w:val="0"/>
                      <w:szCs w:val="21"/>
                    </w:rPr>
                  </w:pPr>
                </w:p>
              </w:tc>
              <w:tc>
                <w:tcPr>
                  <w:tcW w:w="1005" w:type="dxa"/>
                  <w:shd w:val="clear" w:color="auto" w:fill="auto"/>
                  <w:noWrap w:val="0"/>
                  <w:vAlign w:val="center"/>
                </w:tcPr>
                <w:p>
                  <w:pPr>
                    <w:snapToGrid w:val="0"/>
                    <w:jc w:val="center"/>
                    <w:rPr>
                      <w:snapToGrid w:val="0"/>
                      <w:color w:val="auto"/>
                      <w:kern w:val="0"/>
                      <w:szCs w:val="21"/>
                    </w:rPr>
                  </w:pPr>
                  <w:r>
                    <w:rPr>
                      <w:snapToGrid w:val="0"/>
                      <w:color w:val="auto"/>
                      <w:kern w:val="0"/>
                      <w:szCs w:val="21"/>
                    </w:rPr>
                    <w:t>/</w:t>
                  </w:r>
                </w:p>
              </w:tc>
              <w:tc>
                <w:tcPr>
                  <w:tcW w:w="735" w:type="dxa"/>
                  <w:shd w:val="clear" w:color="auto" w:fill="auto"/>
                  <w:noWrap w:val="0"/>
                  <w:vAlign w:val="center"/>
                </w:tcPr>
                <w:p>
                  <w:pPr>
                    <w:snapToGrid w:val="0"/>
                    <w:jc w:val="center"/>
                    <w:rPr>
                      <w:snapToGrid w:val="0"/>
                      <w:color w:val="auto"/>
                      <w:kern w:val="0"/>
                      <w:szCs w:val="21"/>
                    </w:rPr>
                  </w:pPr>
                  <w:r>
                    <w:rPr>
                      <w:snapToGrid w:val="0"/>
                      <w:color w:val="auto"/>
                      <w:kern w:val="0"/>
                      <w:szCs w:val="21"/>
                    </w:rPr>
                    <w:t>/</w:t>
                  </w:r>
                </w:p>
              </w:tc>
              <w:tc>
                <w:tcPr>
                  <w:tcW w:w="1065" w:type="dxa"/>
                  <w:shd w:val="clear" w:color="auto" w:fill="auto"/>
                  <w:noWrap w:val="0"/>
                  <w:vAlign w:val="center"/>
                </w:tcPr>
                <w:p>
                  <w:pPr>
                    <w:snapToGrid w:val="0"/>
                    <w:jc w:val="center"/>
                    <w:rPr>
                      <w:snapToGrid w:val="0"/>
                      <w:color w:val="auto"/>
                      <w:kern w:val="0"/>
                      <w:szCs w:val="21"/>
                    </w:rPr>
                  </w:pPr>
                  <w:r>
                    <w:rPr>
                      <w:snapToGrid w:val="0"/>
                      <w:color w:val="auto"/>
                      <w:kern w:val="0"/>
                      <w:szCs w:val="21"/>
                    </w:rPr>
                    <w:t>/</w:t>
                  </w:r>
                </w:p>
              </w:tc>
              <w:tc>
                <w:tcPr>
                  <w:tcW w:w="1111" w:type="dxa"/>
                  <w:shd w:val="clear" w:color="auto" w:fill="auto"/>
                  <w:noWrap w:val="0"/>
                  <w:vAlign w:val="center"/>
                </w:tcPr>
                <w:p>
                  <w:pPr>
                    <w:snapToGrid w:val="0"/>
                    <w:jc w:val="center"/>
                    <w:rPr>
                      <w:snapToGrid w:val="0"/>
                      <w:color w:val="auto"/>
                      <w:kern w:val="0"/>
                      <w:szCs w:val="21"/>
                      <w:vertAlign w:val="superscript"/>
                    </w:rPr>
                  </w:pPr>
                  <w:r>
                    <w:rPr>
                      <w:snapToGrid w:val="0"/>
                      <w:color w:val="auto"/>
                      <w:kern w:val="0"/>
                      <w:szCs w:val="21"/>
                    </w:rPr>
                    <w:t>0.008×10-</w:t>
                  </w:r>
                  <w:r>
                    <w:rPr>
                      <w:snapToGrid w:val="0"/>
                      <w:color w:val="auto"/>
                      <w:kern w:val="0"/>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11" w:type="dxa"/>
                  <w:vMerge w:val="continue"/>
                  <w:shd w:val="clear" w:color="auto" w:fill="auto"/>
                  <w:noWrap w:val="0"/>
                  <w:vAlign w:val="center"/>
                </w:tcPr>
                <w:p>
                  <w:pPr>
                    <w:snapToGrid w:val="0"/>
                    <w:jc w:val="center"/>
                    <w:rPr>
                      <w:snapToGrid w:val="0"/>
                      <w:color w:val="auto"/>
                      <w:kern w:val="0"/>
                      <w:szCs w:val="21"/>
                    </w:rPr>
                  </w:pPr>
                </w:p>
              </w:tc>
              <w:tc>
                <w:tcPr>
                  <w:tcW w:w="886" w:type="dxa"/>
                  <w:vMerge w:val="continue"/>
                  <w:shd w:val="clear" w:color="auto" w:fill="auto"/>
                  <w:noWrap w:val="0"/>
                  <w:vAlign w:val="center"/>
                </w:tcPr>
                <w:p>
                  <w:pPr>
                    <w:snapToGrid w:val="0"/>
                    <w:jc w:val="center"/>
                    <w:rPr>
                      <w:snapToGrid w:val="0"/>
                      <w:color w:val="auto"/>
                      <w:kern w:val="0"/>
                      <w:szCs w:val="21"/>
                    </w:rPr>
                  </w:pPr>
                </w:p>
              </w:tc>
              <w:tc>
                <w:tcPr>
                  <w:tcW w:w="1169" w:type="dxa"/>
                  <w:shd w:val="clear" w:color="auto" w:fill="auto"/>
                  <w:noWrap w:val="0"/>
                  <w:vAlign w:val="center"/>
                </w:tcPr>
                <w:p>
                  <w:pPr>
                    <w:spacing w:line="20" w:lineRule="atLeast"/>
                    <w:jc w:val="center"/>
                    <w:rPr>
                      <w:snapToGrid w:val="0"/>
                      <w:color w:val="auto"/>
                      <w:kern w:val="0"/>
                      <w:szCs w:val="21"/>
                    </w:rPr>
                  </w:pPr>
                  <w:r>
                    <w:rPr>
                      <w:bCs/>
                      <w:color w:val="auto"/>
                      <w:spacing w:val="-10"/>
                      <w:szCs w:val="21"/>
                    </w:rPr>
                    <w:t>非甲烷总烃</w:t>
                  </w:r>
                </w:p>
              </w:tc>
              <w:tc>
                <w:tcPr>
                  <w:tcW w:w="2728" w:type="dxa"/>
                  <w:vMerge w:val="continue"/>
                  <w:shd w:val="clear" w:color="auto" w:fill="auto"/>
                  <w:noWrap w:val="0"/>
                  <w:vAlign w:val="center"/>
                </w:tcPr>
                <w:p>
                  <w:pPr>
                    <w:snapToGrid w:val="0"/>
                    <w:jc w:val="center"/>
                    <w:rPr>
                      <w:snapToGrid w:val="0"/>
                      <w:color w:val="auto"/>
                      <w:kern w:val="0"/>
                      <w:szCs w:val="21"/>
                    </w:rPr>
                  </w:pPr>
                </w:p>
              </w:tc>
              <w:tc>
                <w:tcPr>
                  <w:tcW w:w="1005" w:type="dxa"/>
                  <w:shd w:val="clear" w:color="auto" w:fill="auto"/>
                  <w:noWrap w:val="0"/>
                  <w:vAlign w:val="center"/>
                </w:tcPr>
                <w:p>
                  <w:pPr>
                    <w:snapToGrid w:val="0"/>
                    <w:jc w:val="center"/>
                    <w:rPr>
                      <w:snapToGrid w:val="0"/>
                      <w:color w:val="auto"/>
                      <w:kern w:val="0"/>
                      <w:szCs w:val="21"/>
                    </w:rPr>
                  </w:pPr>
                  <w:r>
                    <w:rPr>
                      <w:snapToGrid w:val="0"/>
                      <w:color w:val="auto"/>
                      <w:kern w:val="0"/>
                      <w:szCs w:val="21"/>
                    </w:rPr>
                    <w:t>/</w:t>
                  </w:r>
                </w:p>
              </w:tc>
              <w:tc>
                <w:tcPr>
                  <w:tcW w:w="735" w:type="dxa"/>
                  <w:shd w:val="clear" w:color="auto" w:fill="auto"/>
                  <w:noWrap w:val="0"/>
                  <w:vAlign w:val="center"/>
                </w:tcPr>
                <w:p>
                  <w:pPr>
                    <w:snapToGrid w:val="0"/>
                    <w:jc w:val="center"/>
                    <w:rPr>
                      <w:snapToGrid w:val="0"/>
                      <w:color w:val="auto"/>
                      <w:kern w:val="0"/>
                      <w:szCs w:val="21"/>
                    </w:rPr>
                  </w:pPr>
                  <w:r>
                    <w:rPr>
                      <w:snapToGrid w:val="0"/>
                      <w:color w:val="auto"/>
                      <w:kern w:val="0"/>
                      <w:szCs w:val="21"/>
                    </w:rPr>
                    <w:t>/</w:t>
                  </w:r>
                </w:p>
              </w:tc>
              <w:tc>
                <w:tcPr>
                  <w:tcW w:w="1065" w:type="dxa"/>
                  <w:shd w:val="clear" w:color="auto" w:fill="auto"/>
                  <w:noWrap w:val="0"/>
                  <w:vAlign w:val="center"/>
                </w:tcPr>
                <w:p>
                  <w:pPr>
                    <w:snapToGrid w:val="0"/>
                    <w:jc w:val="center"/>
                    <w:rPr>
                      <w:snapToGrid w:val="0"/>
                      <w:color w:val="auto"/>
                      <w:kern w:val="0"/>
                      <w:szCs w:val="21"/>
                    </w:rPr>
                  </w:pPr>
                  <w:r>
                    <w:rPr>
                      <w:snapToGrid w:val="0"/>
                      <w:color w:val="auto"/>
                      <w:kern w:val="0"/>
                      <w:szCs w:val="21"/>
                    </w:rPr>
                    <w:t>/</w:t>
                  </w:r>
                </w:p>
              </w:tc>
              <w:tc>
                <w:tcPr>
                  <w:tcW w:w="1111" w:type="dxa"/>
                  <w:shd w:val="clear" w:color="auto" w:fill="auto"/>
                  <w:noWrap w:val="0"/>
                  <w:vAlign w:val="center"/>
                </w:tcPr>
                <w:p>
                  <w:pPr>
                    <w:snapToGrid w:val="0"/>
                    <w:jc w:val="center"/>
                    <w:rPr>
                      <w:snapToGrid w:val="0"/>
                      <w:color w:val="auto"/>
                      <w:kern w:val="0"/>
                      <w:szCs w:val="21"/>
                    </w:rPr>
                  </w:pPr>
                  <w:r>
                    <w:rPr>
                      <w:snapToGrid w:val="0"/>
                      <w:color w:val="auto"/>
                      <w:kern w:val="0"/>
                      <w:szCs w:val="21"/>
                    </w:rPr>
                    <w:t>4.0</w:t>
                  </w:r>
                </w:p>
              </w:tc>
            </w:tr>
          </w:tbl>
          <w:p>
            <w:pPr>
              <w:adjustRightInd w:val="0"/>
              <w:snapToGrid w:val="0"/>
              <w:ind w:firstLine="482" w:firstLineChars="200"/>
              <w:jc w:val="center"/>
              <w:rPr>
                <w:b/>
                <w:bCs/>
                <w:color w:val="auto"/>
                <w:kern w:val="0"/>
                <w:sz w:val="24"/>
              </w:rPr>
            </w:pPr>
          </w:p>
          <w:p>
            <w:pPr>
              <w:adjustRightInd w:val="0"/>
              <w:snapToGrid w:val="0"/>
              <w:spacing w:line="360" w:lineRule="auto"/>
              <w:ind w:firstLine="482" w:firstLineChars="200"/>
              <w:rPr>
                <w:b/>
                <w:bCs/>
                <w:color w:val="auto"/>
                <w:kern w:val="0"/>
                <w:sz w:val="24"/>
              </w:rPr>
            </w:pPr>
            <w:r>
              <w:rPr>
                <w:b/>
                <w:bCs/>
                <w:color w:val="auto"/>
                <w:kern w:val="0"/>
                <w:sz w:val="24"/>
              </w:rPr>
              <w:t>2.废水</w:t>
            </w:r>
          </w:p>
          <w:p>
            <w:pPr>
              <w:adjustRightInd w:val="0"/>
              <w:snapToGrid w:val="0"/>
              <w:spacing w:line="360" w:lineRule="auto"/>
              <w:ind w:firstLine="480" w:firstLineChars="200"/>
              <w:rPr>
                <w:color w:val="auto"/>
                <w:kern w:val="0"/>
                <w:sz w:val="24"/>
              </w:rPr>
            </w:pPr>
            <w:r>
              <w:rPr>
                <w:color w:val="auto"/>
                <w:kern w:val="0"/>
                <w:sz w:val="24"/>
              </w:rPr>
              <w:t>本项目</w:t>
            </w:r>
            <w:r>
              <w:rPr>
                <w:rFonts w:hint="eastAsia"/>
                <w:color w:val="auto"/>
                <w:kern w:val="0"/>
                <w:sz w:val="24"/>
              </w:rPr>
              <w:t>运营期</w:t>
            </w:r>
            <w:r>
              <w:rPr>
                <w:color w:val="auto"/>
                <w:kern w:val="0"/>
                <w:sz w:val="24"/>
              </w:rPr>
              <w:t>生活污水采用</w:t>
            </w:r>
            <w:r>
              <w:rPr>
                <w:rFonts w:hint="eastAsia"/>
                <w:color w:val="auto"/>
                <w:kern w:val="0"/>
                <w:sz w:val="24"/>
              </w:rPr>
              <w:t>临时</w:t>
            </w:r>
            <w:r>
              <w:rPr>
                <w:color w:val="auto"/>
                <w:kern w:val="0"/>
                <w:sz w:val="24"/>
              </w:rPr>
              <w:t>化粪池预处理，处理达《农田灌溉水质标准》（GB5084-2021）中的“旱地作物”限值后，定期清掏，用于附近农用地浇灌。</w:t>
            </w:r>
          </w:p>
          <w:p>
            <w:pPr>
              <w:adjustRightInd w:val="0"/>
              <w:snapToGrid w:val="0"/>
              <w:ind w:firstLine="482" w:firstLineChars="200"/>
              <w:jc w:val="center"/>
              <w:rPr>
                <w:b/>
                <w:bCs/>
                <w:color w:val="auto"/>
                <w:kern w:val="0"/>
                <w:sz w:val="24"/>
              </w:rPr>
            </w:pPr>
            <w:r>
              <w:rPr>
                <w:b/>
                <w:bCs/>
                <w:color w:val="auto"/>
                <w:kern w:val="0"/>
                <w:sz w:val="24"/>
              </w:rPr>
              <w:t>表3-</w:t>
            </w:r>
            <w:r>
              <w:rPr>
                <w:rFonts w:hint="eastAsia"/>
                <w:b/>
                <w:bCs/>
                <w:color w:val="auto"/>
                <w:kern w:val="0"/>
                <w:sz w:val="24"/>
              </w:rPr>
              <w:t>3  本项目废水基本控制项目限值</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41"/>
              <w:gridCol w:w="2610"/>
              <w:gridCol w:w="2070"/>
              <w:gridCol w:w="2520"/>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41" w:type="dxa"/>
                  <w:noWrap w:val="0"/>
                  <w:vAlign w:val="center"/>
                </w:tcPr>
                <w:p>
                  <w:pPr>
                    <w:snapToGrid w:val="0"/>
                    <w:jc w:val="center"/>
                    <w:rPr>
                      <w:b/>
                      <w:color w:val="auto"/>
                      <w:kern w:val="0"/>
                      <w:szCs w:val="21"/>
                    </w:rPr>
                  </w:pPr>
                  <w:r>
                    <w:rPr>
                      <w:b/>
                      <w:color w:val="auto"/>
                      <w:kern w:val="0"/>
                      <w:szCs w:val="21"/>
                    </w:rPr>
                    <w:t>序号</w:t>
                  </w:r>
                </w:p>
              </w:tc>
              <w:tc>
                <w:tcPr>
                  <w:tcW w:w="2610" w:type="dxa"/>
                  <w:noWrap w:val="0"/>
                  <w:vAlign w:val="center"/>
                </w:tcPr>
                <w:p>
                  <w:pPr>
                    <w:snapToGrid w:val="0"/>
                    <w:jc w:val="center"/>
                    <w:rPr>
                      <w:b/>
                      <w:color w:val="auto"/>
                      <w:kern w:val="0"/>
                      <w:szCs w:val="21"/>
                    </w:rPr>
                  </w:pPr>
                  <w:r>
                    <w:rPr>
                      <w:rFonts w:hint="eastAsia"/>
                      <w:b/>
                      <w:color w:val="auto"/>
                      <w:kern w:val="0"/>
                      <w:szCs w:val="21"/>
                    </w:rPr>
                    <w:t>执行标准</w:t>
                  </w:r>
                </w:p>
              </w:tc>
              <w:tc>
                <w:tcPr>
                  <w:tcW w:w="2070" w:type="dxa"/>
                  <w:noWrap w:val="0"/>
                  <w:vAlign w:val="center"/>
                </w:tcPr>
                <w:p>
                  <w:pPr>
                    <w:snapToGrid w:val="0"/>
                    <w:jc w:val="center"/>
                    <w:rPr>
                      <w:b/>
                      <w:color w:val="auto"/>
                      <w:kern w:val="0"/>
                      <w:szCs w:val="21"/>
                    </w:rPr>
                  </w:pPr>
                  <w:r>
                    <w:rPr>
                      <w:b/>
                      <w:color w:val="auto"/>
                      <w:kern w:val="0"/>
                      <w:szCs w:val="21"/>
                    </w:rPr>
                    <w:t>污染物</w:t>
                  </w:r>
                </w:p>
              </w:tc>
              <w:tc>
                <w:tcPr>
                  <w:tcW w:w="2520" w:type="dxa"/>
                  <w:noWrap w:val="0"/>
                  <w:vAlign w:val="center"/>
                </w:tcPr>
                <w:p>
                  <w:pPr>
                    <w:snapToGrid w:val="0"/>
                    <w:jc w:val="center"/>
                    <w:rPr>
                      <w:b/>
                      <w:bCs/>
                      <w:color w:val="auto"/>
                      <w:kern w:val="0"/>
                      <w:szCs w:val="21"/>
                    </w:rPr>
                  </w:pPr>
                  <w:r>
                    <w:rPr>
                      <w:rFonts w:hint="eastAsia"/>
                      <w:b/>
                      <w:bCs/>
                      <w:color w:val="auto"/>
                      <w:kern w:val="0"/>
                      <w:szCs w:val="21"/>
                    </w:rPr>
                    <w:t>旱地作物</w:t>
                  </w:r>
                </w:p>
              </w:tc>
              <w:tc>
                <w:tcPr>
                  <w:tcW w:w="1269" w:type="dxa"/>
                  <w:noWrap w:val="0"/>
                  <w:vAlign w:val="center"/>
                </w:tcPr>
                <w:p>
                  <w:pPr>
                    <w:snapToGrid w:val="0"/>
                    <w:jc w:val="center"/>
                    <w:rPr>
                      <w:b/>
                      <w:color w:val="auto"/>
                      <w:kern w:val="0"/>
                      <w:szCs w:val="21"/>
                    </w:rPr>
                  </w:pPr>
                  <w:r>
                    <w:rPr>
                      <w:rFonts w:hint="eastAsia"/>
                      <w:b/>
                      <w:color w:val="auto"/>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41" w:type="dxa"/>
                  <w:noWrap w:val="0"/>
                  <w:vAlign w:val="center"/>
                </w:tcPr>
                <w:p>
                  <w:pPr>
                    <w:snapToGrid w:val="0"/>
                    <w:jc w:val="center"/>
                    <w:rPr>
                      <w:color w:val="auto"/>
                      <w:kern w:val="0"/>
                      <w:szCs w:val="21"/>
                    </w:rPr>
                  </w:pPr>
                  <w:r>
                    <w:rPr>
                      <w:color w:val="auto"/>
                      <w:kern w:val="0"/>
                      <w:szCs w:val="21"/>
                    </w:rPr>
                    <w:t>1</w:t>
                  </w:r>
                </w:p>
              </w:tc>
              <w:tc>
                <w:tcPr>
                  <w:tcW w:w="2610" w:type="dxa"/>
                  <w:vMerge w:val="restart"/>
                  <w:noWrap w:val="0"/>
                  <w:vAlign w:val="center"/>
                </w:tcPr>
                <w:p>
                  <w:pPr>
                    <w:snapToGrid w:val="0"/>
                    <w:jc w:val="center"/>
                    <w:rPr>
                      <w:color w:val="auto"/>
                      <w:kern w:val="0"/>
                      <w:szCs w:val="21"/>
                    </w:rPr>
                  </w:pPr>
                  <w:r>
                    <w:rPr>
                      <w:rFonts w:hint="eastAsia"/>
                      <w:color w:val="auto"/>
                      <w:kern w:val="0"/>
                      <w:szCs w:val="21"/>
                    </w:rPr>
                    <w:t>《农田灌溉水质标准》（GB5084-2021）</w:t>
                  </w:r>
                </w:p>
              </w:tc>
              <w:tc>
                <w:tcPr>
                  <w:tcW w:w="2070" w:type="dxa"/>
                  <w:noWrap w:val="0"/>
                  <w:vAlign w:val="center"/>
                </w:tcPr>
                <w:p>
                  <w:pPr>
                    <w:snapToGrid w:val="0"/>
                    <w:jc w:val="center"/>
                    <w:rPr>
                      <w:bCs/>
                      <w:color w:val="auto"/>
                      <w:kern w:val="0"/>
                      <w:szCs w:val="21"/>
                    </w:rPr>
                  </w:pPr>
                  <w:r>
                    <w:rPr>
                      <w:bCs/>
                      <w:color w:val="auto"/>
                      <w:kern w:val="0"/>
                      <w:szCs w:val="21"/>
                    </w:rPr>
                    <w:t>pH值</w:t>
                  </w:r>
                </w:p>
              </w:tc>
              <w:tc>
                <w:tcPr>
                  <w:tcW w:w="2520" w:type="dxa"/>
                  <w:noWrap w:val="0"/>
                  <w:vAlign w:val="center"/>
                </w:tcPr>
                <w:p>
                  <w:pPr>
                    <w:jc w:val="center"/>
                    <w:rPr>
                      <w:color w:val="auto"/>
                      <w:kern w:val="0"/>
                      <w:szCs w:val="21"/>
                    </w:rPr>
                  </w:pPr>
                  <w:r>
                    <w:rPr>
                      <w:rFonts w:hint="eastAsia"/>
                      <w:color w:val="auto"/>
                      <w:kern w:val="0"/>
                      <w:szCs w:val="21"/>
                    </w:rPr>
                    <w:t>5.5~8.5</w:t>
                  </w:r>
                </w:p>
              </w:tc>
              <w:tc>
                <w:tcPr>
                  <w:tcW w:w="1269" w:type="dxa"/>
                  <w:noWrap w:val="0"/>
                  <w:vAlign w:val="center"/>
                </w:tcPr>
                <w:p>
                  <w:pPr>
                    <w:jc w:val="center"/>
                    <w:rPr>
                      <w:color w:val="auto"/>
                      <w:kern w:val="0"/>
                      <w:szCs w:val="21"/>
                    </w:rPr>
                  </w:pPr>
                  <w:r>
                    <w:rPr>
                      <w:rFonts w:hint="eastAsia"/>
                      <w:color w:val="auto"/>
                      <w:kern w:val="0"/>
                      <w:szCs w:val="21"/>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41" w:type="dxa"/>
                  <w:noWrap w:val="0"/>
                  <w:vAlign w:val="center"/>
                </w:tcPr>
                <w:p>
                  <w:pPr>
                    <w:snapToGrid w:val="0"/>
                    <w:jc w:val="center"/>
                    <w:rPr>
                      <w:color w:val="auto"/>
                      <w:kern w:val="0"/>
                      <w:szCs w:val="21"/>
                    </w:rPr>
                  </w:pPr>
                  <w:r>
                    <w:rPr>
                      <w:color w:val="auto"/>
                      <w:kern w:val="0"/>
                      <w:szCs w:val="21"/>
                    </w:rPr>
                    <w:t>2</w:t>
                  </w:r>
                </w:p>
              </w:tc>
              <w:tc>
                <w:tcPr>
                  <w:tcW w:w="2610" w:type="dxa"/>
                  <w:vMerge w:val="continue"/>
                  <w:noWrap w:val="0"/>
                  <w:vAlign w:val="center"/>
                </w:tcPr>
                <w:p>
                  <w:pPr>
                    <w:snapToGrid w:val="0"/>
                    <w:jc w:val="center"/>
                    <w:rPr>
                      <w:color w:val="auto"/>
                      <w:kern w:val="0"/>
                      <w:szCs w:val="21"/>
                    </w:rPr>
                  </w:pPr>
                </w:p>
              </w:tc>
              <w:tc>
                <w:tcPr>
                  <w:tcW w:w="2070" w:type="dxa"/>
                  <w:noWrap w:val="0"/>
                  <w:vAlign w:val="center"/>
                </w:tcPr>
                <w:p>
                  <w:pPr>
                    <w:snapToGrid w:val="0"/>
                    <w:jc w:val="center"/>
                    <w:rPr>
                      <w:bCs/>
                      <w:color w:val="auto"/>
                      <w:kern w:val="0"/>
                      <w:szCs w:val="21"/>
                    </w:rPr>
                  </w:pPr>
                  <w:r>
                    <w:rPr>
                      <w:rFonts w:hint="eastAsia"/>
                      <w:bCs/>
                      <w:color w:val="auto"/>
                      <w:kern w:val="0"/>
                      <w:szCs w:val="21"/>
                    </w:rPr>
                    <w:t>COD</w:t>
                  </w:r>
                </w:p>
              </w:tc>
              <w:tc>
                <w:tcPr>
                  <w:tcW w:w="2520" w:type="dxa"/>
                  <w:noWrap w:val="0"/>
                  <w:vAlign w:val="center"/>
                </w:tcPr>
                <w:p>
                  <w:pPr>
                    <w:jc w:val="center"/>
                    <w:rPr>
                      <w:color w:val="auto"/>
                      <w:kern w:val="0"/>
                      <w:szCs w:val="21"/>
                    </w:rPr>
                  </w:pPr>
                  <w:r>
                    <w:rPr>
                      <w:rFonts w:hint="eastAsia"/>
                      <w:bCs/>
                      <w:color w:val="auto"/>
                      <w:kern w:val="0"/>
                      <w:szCs w:val="21"/>
                    </w:rPr>
                    <w:t>200</w:t>
                  </w:r>
                </w:p>
              </w:tc>
              <w:tc>
                <w:tcPr>
                  <w:tcW w:w="1269" w:type="dxa"/>
                  <w:noWrap w:val="0"/>
                  <w:vAlign w:val="center"/>
                </w:tcPr>
                <w:p>
                  <w:pPr>
                    <w:jc w:val="center"/>
                    <w:rPr>
                      <w:bCs/>
                      <w:color w:val="auto"/>
                      <w:kern w:val="0"/>
                      <w:szCs w:val="21"/>
                    </w:rPr>
                  </w:pPr>
                  <w:r>
                    <w:rPr>
                      <w:rFonts w:hint="eastAsia"/>
                      <w:bCs/>
                      <w:color w:val="auto"/>
                      <w:kern w:val="0"/>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41" w:type="dxa"/>
                  <w:noWrap w:val="0"/>
                  <w:vAlign w:val="center"/>
                </w:tcPr>
                <w:p>
                  <w:pPr>
                    <w:snapToGrid w:val="0"/>
                    <w:jc w:val="center"/>
                    <w:rPr>
                      <w:color w:val="auto"/>
                      <w:kern w:val="0"/>
                      <w:szCs w:val="21"/>
                    </w:rPr>
                  </w:pPr>
                  <w:r>
                    <w:rPr>
                      <w:color w:val="auto"/>
                      <w:kern w:val="0"/>
                      <w:szCs w:val="21"/>
                    </w:rPr>
                    <w:t>3</w:t>
                  </w:r>
                </w:p>
              </w:tc>
              <w:tc>
                <w:tcPr>
                  <w:tcW w:w="2610" w:type="dxa"/>
                  <w:vMerge w:val="continue"/>
                  <w:noWrap w:val="0"/>
                  <w:vAlign w:val="center"/>
                </w:tcPr>
                <w:p>
                  <w:pPr>
                    <w:snapToGrid w:val="0"/>
                    <w:jc w:val="center"/>
                    <w:rPr>
                      <w:color w:val="auto"/>
                      <w:kern w:val="0"/>
                      <w:szCs w:val="21"/>
                    </w:rPr>
                  </w:pPr>
                </w:p>
              </w:tc>
              <w:tc>
                <w:tcPr>
                  <w:tcW w:w="2070" w:type="dxa"/>
                  <w:noWrap w:val="0"/>
                  <w:vAlign w:val="center"/>
                </w:tcPr>
                <w:p>
                  <w:pPr>
                    <w:snapToGrid w:val="0"/>
                    <w:jc w:val="center"/>
                    <w:rPr>
                      <w:bCs/>
                      <w:color w:val="auto"/>
                      <w:kern w:val="0"/>
                      <w:szCs w:val="21"/>
                    </w:rPr>
                  </w:pPr>
                  <w:r>
                    <w:rPr>
                      <w:bCs/>
                      <w:color w:val="auto"/>
                      <w:kern w:val="0"/>
                      <w:szCs w:val="21"/>
                    </w:rPr>
                    <w:t>BOD</w:t>
                  </w:r>
                  <w:r>
                    <w:rPr>
                      <w:bCs/>
                      <w:color w:val="auto"/>
                      <w:kern w:val="0"/>
                      <w:szCs w:val="21"/>
                      <w:vertAlign w:val="subscript"/>
                    </w:rPr>
                    <w:t>5</w:t>
                  </w:r>
                </w:p>
              </w:tc>
              <w:tc>
                <w:tcPr>
                  <w:tcW w:w="2520" w:type="dxa"/>
                  <w:noWrap w:val="0"/>
                  <w:vAlign w:val="center"/>
                </w:tcPr>
                <w:p>
                  <w:pPr>
                    <w:jc w:val="center"/>
                    <w:rPr>
                      <w:color w:val="auto"/>
                      <w:kern w:val="0"/>
                      <w:szCs w:val="21"/>
                    </w:rPr>
                  </w:pPr>
                  <w:r>
                    <w:rPr>
                      <w:rFonts w:hint="eastAsia"/>
                      <w:bCs/>
                      <w:color w:val="auto"/>
                      <w:kern w:val="0"/>
                      <w:szCs w:val="21"/>
                    </w:rPr>
                    <w:t>100</w:t>
                  </w:r>
                </w:p>
              </w:tc>
              <w:tc>
                <w:tcPr>
                  <w:tcW w:w="1269" w:type="dxa"/>
                  <w:noWrap w:val="0"/>
                  <w:vAlign w:val="center"/>
                </w:tcPr>
                <w:p>
                  <w:pPr>
                    <w:jc w:val="center"/>
                    <w:rPr>
                      <w:bCs/>
                      <w:color w:val="auto"/>
                      <w:kern w:val="0"/>
                      <w:szCs w:val="21"/>
                    </w:rPr>
                  </w:pPr>
                  <w:r>
                    <w:rPr>
                      <w:rFonts w:hint="eastAsia"/>
                      <w:bCs/>
                      <w:color w:val="auto"/>
                      <w:kern w:val="0"/>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741" w:type="dxa"/>
                  <w:noWrap w:val="0"/>
                  <w:vAlign w:val="center"/>
                </w:tcPr>
                <w:p>
                  <w:pPr>
                    <w:snapToGrid w:val="0"/>
                    <w:jc w:val="center"/>
                    <w:rPr>
                      <w:color w:val="auto"/>
                      <w:kern w:val="0"/>
                      <w:szCs w:val="21"/>
                    </w:rPr>
                  </w:pPr>
                  <w:r>
                    <w:rPr>
                      <w:color w:val="auto"/>
                      <w:kern w:val="0"/>
                      <w:szCs w:val="21"/>
                    </w:rPr>
                    <w:t>4</w:t>
                  </w:r>
                </w:p>
              </w:tc>
              <w:tc>
                <w:tcPr>
                  <w:tcW w:w="2610" w:type="dxa"/>
                  <w:vMerge w:val="continue"/>
                  <w:noWrap w:val="0"/>
                  <w:vAlign w:val="center"/>
                </w:tcPr>
                <w:p>
                  <w:pPr>
                    <w:snapToGrid w:val="0"/>
                    <w:jc w:val="center"/>
                    <w:rPr>
                      <w:color w:val="auto"/>
                      <w:kern w:val="0"/>
                      <w:szCs w:val="21"/>
                    </w:rPr>
                  </w:pPr>
                </w:p>
              </w:tc>
              <w:tc>
                <w:tcPr>
                  <w:tcW w:w="2070" w:type="dxa"/>
                  <w:noWrap w:val="0"/>
                  <w:vAlign w:val="center"/>
                </w:tcPr>
                <w:p>
                  <w:pPr>
                    <w:snapToGrid w:val="0"/>
                    <w:jc w:val="center"/>
                    <w:rPr>
                      <w:bCs/>
                      <w:color w:val="auto"/>
                      <w:kern w:val="0"/>
                      <w:szCs w:val="21"/>
                    </w:rPr>
                  </w:pPr>
                  <w:r>
                    <w:rPr>
                      <w:bCs/>
                      <w:color w:val="auto"/>
                      <w:kern w:val="0"/>
                      <w:szCs w:val="21"/>
                    </w:rPr>
                    <w:t>SS</w:t>
                  </w:r>
                </w:p>
              </w:tc>
              <w:tc>
                <w:tcPr>
                  <w:tcW w:w="2520" w:type="dxa"/>
                  <w:noWrap w:val="0"/>
                  <w:vAlign w:val="center"/>
                </w:tcPr>
                <w:p>
                  <w:pPr>
                    <w:jc w:val="center"/>
                    <w:rPr>
                      <w:color w:val="auto"/>
                      <w:kern w:val="0"/>
                      <w:szCs w:val="21"/>
                    </w:rPr>
                  </w:pPr>
                  <w:r>
                    <w:rPr>
                      <w:rFonts w:hint="eastAsia"/>
                      <w:bCs/>
                      <w:color w:val="auto"/>
                      <w:kern w:val="0"/>
                      <w:szCs w:val="21"/>
                    </w:rPr>
                    <w:t>100</w:t>
                  </w:r>
                </w:p>
              </w:tc>
              <w:tc>
                <w:tcPr>
                  <w:tcW w:w="1269" w:type="dxa"/>
                  <w:noWrap w:val="0"/>
                  <w:vAlign w:val="center"/>
                </w:tcPr>
                <w:p>
                  <w:pPr>
                    <w:jc w:val="center"/>
                    <w:rPr>
                      <w:bCs/>
                      <w:color w:val="auto"/>
                      <w:kern w:val="0"/>
                      <w:szCs w:val="21"/>
                    </w:rPr>
                  </w:pPr>
                  <w:r>
                    <w:rPr>
                      <w:rFonts w:hint="eastAsia"/>
                      <w:bCs/>
                      <w:color w:val="auto"/>
                      <w:kern w:val="0"/>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41" w:type="dxa"/>
                  <w:noWrap w:val="0"/>
                  <w:vAlign w:val="center"/>
                </w:tcPr>
                <w:p>
                  <w:pPr>
                    <w:snapToGrid w:val="0"/>
                    <w:jc w:val="center"/>
                    <w:rPr>
                      <w:color w:val="auto"/>
                      <w:kern w:val="0"/>
                      <w:szCs w:val="21"/>
                    </w:rPr>
                  </w:pPr>
                  <w:r>
                    <w:rPr>
                      <w:color w:val="auto"/>
                      <w:kern w:val="0"/>
                      <w:szCs w:val="21"/>
                    </w:rPr>
                    <w:t>5</w:t>
                  </w:r>
                </w:p>
              </w:tc>
              <w:tc>
                <w:tcPr>
                  <w:tcW w:w="2610" w:type="dxa"/>
                  <w:vMerge w:val="continue"/>
                  <w:noWrap w:val="0"/>
                  <w:vAlign w:val="center"/>
                </w:tcPr>
                <w:p>
                  <w:pPr>
                    <w:snapToGrid w:val="0"/>
                    <w:jc w:val="center"/>
                    <w:rPr>
                      <w:color w:val="auto"/>
                      <w:kern w:val="0"/>
                      <w:szCs w:val="21"/>
                    </w:rPr>
                  </w:pPr>
                </w:p>
              </w:tc>
              <w:tc>
                <w:tcPr>
                  <w:tcW w:w="2070" w:type="dxa"/>
                  <w:noWrap w:val="0"/>
                  <w:vAlign w:val="center"/>
                </w:tcPr>
                <w:p>
                  <w:pPr>
                    <w:snapToGrid w:val="0"/>
                    <w:jc w:val="center"/>
                    <w:rPr>
                      <w:bCs/>
                      <w:color w:val="auto"/>
                      <w:kern w:val="0"/>
                      <w:szCs w:val="21"/>
                    </w:rPr>
                  </w:pPr>
                  <w:r>
                    <w:rPr>
                      <w:rFonts w:hint="eastAsia"/>
                      <w:bCs/>
                      <w:color w:val="auto"/>
                      <w:kern w:val="0"/>
                      <w:szCs w:val="21"/>
                    </w:rPr>
                    <w:t>NH</w:t>
                  </w:r>
                  <w:r>
                    <w:rPr>
                      <w:rFonts w:hint="eastAsia"/>
                      <w:bCs/>
                      <w:color w:val="auto"/>
                      <w:kern w:val="0"/>
                      <w:szCs w:val="21"/>
                      <w:vertAlign w:val="subscript"/>
                    </w:rPr>
                    <w:t>3</w:t>
                  </w:r>
                  <w:r>
                    <w:rPr>
                      <w:rFonts w:hint="eastAsia"/>
                      <w:bCs/>
                      <w:color w:val="auto"/>
                      <w:kern w:val="0"/>
                      <w:szCs w:val="21"/>
                    </w:rPr>
                    <w:t>-N</w:t>
                  </w:r>
                </w:p>
              </w:tc>
              <w:tc>
                <w:tcPr>
                  <w:tcW w:w="2520" w:type="dxa"/>
                  <w:noWrap w:val="0"/>
                  <w:vAlign w:val="center"/>
                </w:tcPr>
                <w:p>
                  <w:pPr>
                    <w:jc w:val="center"/>
                    <w:rPr>
                      <w:rFonts w:hint="eastAsia"/>
                      <w:color w:val="auto"/>
                      <w:kern w:val="0"/>
                      <w:szCs w:val="21"/>
                    </w:rPr>
                  </w:pPr>
                  <w:r>
                    <w:rPr>
                      <w:rFonts w:hint="eastAsia"/>
                      <w:bCs/>
                      <w:color w:val="auto"/>
                      <w:kern w:val="0"/>
                      <w:szCs w:val="21"/>
                    </w:rPr>
                    <w:t>/</w:t>
                  </w:r>
                </w:p>
              </w:tc>
              <w:tc>
                <w:tcPr>
                  <w:tcW w:w="1269" w:type="dxa"/>
                  <w:noWrap w:val="0"/>
                  <w:vAlign w:val="center"/>
                </w:tcPr>
                <w:p>
                  <w:pPr>
                    <w:jc w:val="center"/>
                    <w:rPr>
                      <w:bCs/>
                      <w:color w:val="auto"/>
                      <w:kern w:val="0"/>
                      <w:szCs w:val="21"/>
                    </w:rPr>
                  </w:pPr>
                  <w:r>
                    <w:rPr>
                      <w:rFonts w:hint="eastAsia"/>
                      <w:bCs/>
                      <w:color w:val="auto"/>
                      <w:kern w:val="0"/>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41" w:type="dxa"/>
                  <w:noWrap w:val="0"/>
                  <w:vAlign w:val="center"/>
                </w:tcPr>
                <w:p>
                  <w:pPr>
                    <w:snapToGrid w:val="0"/>
                    <w:jc w:val="center"/>
                    <w:rPr>
                      <w:rFonts w:hint="eastAsia"/>
                      <w:color w:val="auto"/>
                      <w:kern w:val="0"/>
                      <w:szCs w:val="21"/>
                    </w:rPr>
                  </w:pPr>
                  <w:r>
                    <w:rPr>
                      <w:rFonts w:hint="eastAsia"/>
                      <w:color w:val="auto"/>
                      <w:kern w:val="0"/>
                      <w:szCs w:val="21"/>
                    </w:rPr>
                    <w:t>6</w:t>
                  </w:r>
                </w:p>
              </w:tc>
              <w:tc>
                <w:tcPr>
                  <w:tcW w:w="2610" w:type="dxa"/>
                  <w:vMerge w:val="continue"/>
                  <w:noWrap w:val="0"/>
                  <w:vAlign w:val="center"/>
                </w:tcPr>
                <w:p>
                  <w:pPr>
                    <w:snapToGrid w:val="0"/>
                    <w:jc w:val="center"/>
                    <w:rPr>
                      <w:color w:val="auto"/>
                      <w:kern w:val="0"/>
                      <w:szCs w:val="21"/>
                    </w:rPr>
                  </w:pPr>
                </w:p>
              </w:tc>
              <w:tc>
                <w:tcPr>
                  <w:tcW w:w="2070" w:type="dxa"/>
                  <w:noWrap w:val="0"/>
                  <w:vAlign w:val="center"/>
                </w:tcPr>
                <w:p>
                  <w:pPr>
                    <w:snapToGrid w:val="0"/>
                    <w:jc w:val="center"/>
                    <w:rPr>
                      <w:bCs/>
                      <w:color w:val="auto"/>
                      <w:kern w:val="0"/>
                      <w:szCs w:val="21"/>
                    </w:rPr>
                  </w:pPr>
                  <w:r>
                    <w:rPr>
                      <w:rFonts w:hint="eastAsia"/>
                      <w:bCs/>
                      <w:color w:val="auto"/>
                      <w:kern w:val="0"/>
                      <w:szCs w:val="21"/>
                    </w:rPr>
                    <w:t>TP</w:t>
                  </w:r>
                </w:p>
              </w:tc>
              <w:tc>
                <w:tcPr>
                  <w:tcW w:w="2520" w:type="dxa"/>
                  <w:noWrap w:val="0"/>
                  <w:vAlign w:val="center"/>
                </w:tcPr>
                <w:p>
                  <w:pPr>
                    <w:jc w:val="center"/>
                    <w:rPr>
                      <w:rFonts w:hint="eastAsia"/>
                      <w:bCs/>
                      <w:color w:val="auto"/>
                      <w:kern w:val="0"/>
                      <w:szCs w:val="21"/>
                    </w:rPr>
                  </w:pPr>
                  <w:r>
                    <w:rPr>
                      <w:rFonts w:hint="eastAsia"/>
                      <w:bCs/>
                      <w:color w:val="auto"/>
                      <w:kern w:val="0"/>
                      <w:szCs w:val="21"/>
                    </w:rPr>
                    <w:t>/</w:t>
                  </w:r>
                </w:p>
              </w:tc>
              <w:tc>
                <w:tcPr>
                  <w:tcW w:w="1269" w:type="dxa"/>
                  <w:noWrap w:val="0"/>
                  <w:vAlign w:val="center"/>
                </w:tcPr>
                <w:p>
                  <w:pPr>
                    <w:jc w:val="center"/>
                    <w:rPr>
                      <w:rFonts w:hint="eastAsia"/>
                      <w:bCs/>
                      <w:color w:val="auto"/>
                      <w:kern w:val="0"/>
                      <w:szCs w:val="21"/>
                    </w:rPr>
                  </w:pPr>
                  <w:r>
                    <w:rPr>
                      <w:rFonts w:hint="eastAsia"/>
                      <w:bCs/>
                      <w:color w:val="auto"/>
                      <w:kern w:val="0"/>
                      <w:szCs w:val="21"/>
                    </w:rPr>
                    <w:t>mg/L</w:t>
                  </w:r>
                </w:p>
              </w:tc>
            </w:tr>
          </w:tbl>
          <w:p>
            <w:pPr>
              <w:adjustRightInd w:val="0"/>
              <w:snapToGrid w:val="0"/>
              <w:ind w:firstLine="480" w:firstLineChars="200"/>
              <w:jc w:val="center"/>
              <w:rPr>
                <w:color w:val="auto"/>
                <w:kern w:val="0"/>
                <w:sz w:val="24"/>
              </w:rPr>
            </w:pPr>
          </w:p>
          <w:p>
            <w:pPr>
              <w:adjustRightInd w:val="0"/>
              <w:snapToGrid w:val="0"/>
              <w:spacing w:line="360" w:lineRule="auto"/>
              <w:ind w:firstLine="482" w:firstLineChars="200"/>
              <w:rPr>
                <w:b/>
                <w:bCs/>
                <w:color w:val="auto"/>
                <w:kern w:val="0"/>
                <w:sz w:val="24"/>
              </w:rPr>
            </w:pPr>
            <w:r>
              <w:rPr>
                <w:b/>
                <w:bCs/>
                <w:color w:val="auto"/>
                <w:kern w:val="0"/>
                <w:sz w:val="24"/>
              </w:rPr>
              <w:t>3.噪声</w:t>
            </w:r>
          </w:p>
          <w:p>
            <w:pPr>
              <w:autoSpaceDE w:val="0"/>
              <w:autoSpaceDN w:val="0"/>
              <w:adjustRightInd w:val="0"/>
              <w:snapToGrid w:val="0"/>
              <w:spacing w:line="360" w:lineRule="auto"/>
              <w:ind w:firstLine="480" w:firstLineChars="200"/>
              <w:rPr>
                <w:color w:val="auto"/>
                <w:kern w:val="0"/>
                <w:sz w:val="24"/>
              </w:rPr>
            </w:pPr>
            <w:r>
              <w:rPr>
                <w:color w:val="auto"/>
                <w:kern w:val="0"/>
                <w:sz w:val="24"/>
              </w:rPr>
              <w:t>本项目所在区域为2类声环境功能区</w:t>
            </w:r>
            <w:r>
              <w:rPr>
                <w:rFonts w:hint="eastAsia"/>
                <w:color w:val="auto"/>
                <w:kern w:val="0"/>
                <w:sz w:val="24"/>
              </w:rPr>
              <w:t>，</w:t>
            </w:r>
            <w:r>
              <w:rPr>
                <w:color w:val="auto"/>
                <w:kern w:val="0"/>
                <w:sz w:val="24"/>
              </w:rPr>
              <w:t>因此，</w:t>
            </w:r>
            <w:r>
              <w:rPr>
                <w:rFonts w:hint="eastAsia"/>
                <w:color w:val="auto"/>
                <w:kern w:val="0"/>
                <w:sz w:val="24"/>
              </w:rPr>
              <w:t>本项目施工期场界噪声执行《建筑施工场界环境噪声排放标准》（GB12523-2011）中的相关标准；</w:t>
            </w:r>
            <w:r>
              <w:rPr>
                <w:color w:val="auto"/>
                <w:kern w:val="0"/>
                <w:sz w:val="24"/>
              </w:rPr>
              <w:t>本项目</w:t>
            </w:r>
            <w:r>
              <w:rPr>
                <w:rFonts w:hint="eastAsia"/>
                <w:color w:val="auto"/>
                <w:kern w:val="0"/>
                <w:sz w:val="24"/>
              </w:rPr>
              <w:t>运营期</w:t>
            </w:r>
            <w:r>
              <w:rPr>
                <w:color w:val="auto"/>
                <w:kern w:val="0"/>
                <w:sz w:val="24"/>
              </w:rPr>
              <w:t>厂界环境噪声排放执行《工业企业厂界环境噪声排放标准》（GB12348-2008）中的2类区标准。</w:t>
            </w:r>
          </w:p>
          <w:p>
            <w:pPr>
              <w:adjustRightInd w:val="0"/>
              <w:snapToGrid w:val="0"/>
              <w:ind w:firstLine="482" w:firstLineChars="200"/>
              <w:jc w:val="center"/>
              <w:rPr>
                <w:b/>
                <w:bCs/>
                <w:color w:val="auto"/>
                <w:kern w:val="0"/>
                <w:sz w:val="24"/>
              </w:rPr>
            </w:pPr>
            <w:r>
              <w:rPr>
                <w:b/>
                <w:bCs/>
                <w:color w:val="auto"/>
                <w:kern w:val="0"/>
                <w:sz w:val="24"/>
              </w:rPr>
              <w:t xml:space="preserve">表3-4 </w:t>
            </w:r>
            <w:r>
              <w:rPr>
                <w:rFonts w:hint="eastAsia"/>
                <w:b/>
                <w:bCs/>
                <w:color w:val="auto"/>
                <w:kern w:val="0"/>
                <w:sz w:val="24"/>
              </w:rPr>
              <w:t>本项目</w:t>
            </w:r>
            <w:r>
              <w:rPr>
                <w:b/>
                <w:bCs/>
                <w:color w:val="auto"/>
                <w:kern w:val="0"/>
                <w:sz w:val="24"/>
              </w:rPr>
              <w:t>厂界环境噪声排放限值</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4118"/>
              <w:gridCol w:w="1680"/>
              <w:gridCol w:w="1174"/>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77" w:type="pct"/>
                  <w:vMerge w:val="restart"/>
                  <w:noWrap w:val="0"/>
                  <w:vAlign w:val="center"/>
                </w:tcPr>
                <w:p>
                  <w:pPr>
                    <w:snapToGrid w:val="0"/>
                    <w:jc w:val="center"/>
                    <w:rPr>
                      <w:b/>
                      <w:bCs/>
                      <w:color w:val="auto"/>
                      <w:szCs w:val="21"/>
                    </w:rPr>
                  </w:pPr>
                  <w:r>
                    <w:rPr>
                      <w:rFonts w:hint="eastAsia"/>
                      <w:b/>
                      <w:bCs/>
                      <w:color w:val="auto"/>
                      <w:szCs w:val="21"/>
                    </w:rPr>
                    <w:t>排放时期</w:t>
                  </w:r>
                </w:p>
              </w:tc>
              <w:tc>
                <w:tcPr>
                  <w:tcW w:w="2235" w:type="pct"/>
                  <w:vMerge w:val="restart"/>
                  <w:noWrap w:val="0"/>
                  <w:vAlign w:val="center"/>
                </w:tcPr>
                <w:p>
                  <w:pPr>
                    <w:snapToGrid w:val="0"/>
                    <w:jc w:val="center"/>
                    <w:rPr>
                      <w:b/>
                      <w:bCs/>
                      <w:color w:val="auto"/>
                      <w:szCs w:val="21"/>
                    </w:rPr>
                  </w:pPr>
                  <w:r>
                    <w:rPr>
                      <w:b/>
                      <w:bCs/>
                      <w:color w:val="auto"/>
                      <w:szCs w:val="21"/>
                    </w:rPr>
                    <w:t>执行标准</w:t>
                  </w:r>
                </w:p>
              </w:tc>
              <w:tc>
                <w:tcPr>
                  <w:tcW w:w="912" w:type="pct"/>
                  <w:vMerge w:val="restart"/>
                  <w:noWrap w:val="0"/>
                  <w:vAlign w:val="center"/>
                </w:tcPr>
                <w:p>
                  <w:pPr>
                    <w:snapToGrid w:val="0"/>
                    <w:jc w:val="center"/>
                    <w:rPr>
                      <w:b/>
                      <w:bCs/>
                      <w:color w:val="auto"/>
                      <w:szCs w:val="21"/>
                    </w:rPr>
                  </w:pPr>
                  <w:r>
                    <w:rPr>
                      <w:b/>
                      <w:bCs/>
                      <w:color w:val="auto"/>
                      <w:szCs w:val="21"/>
                    </w:rPr>
                    <w:t>厂界外声环境功能区类别</w:t>
                  </w:r>
                </w:p>
              </w:tc>
              <w:tc>
                <w:tcPr>
                  <w:tcW w:w="1275" w:type="pct"/>
                  <w:gridSpan w:val="2"/>
                  <w:noWrap w:val="0"/>
                  <w:vAlign w:val="center"/>
                </w:tcPr>
                <w:p>
                  <w:pPr>
                    <w:snapToGrid w:val="0"/>
                    <w:jc w:val="center"/>
                    <w:rPr>
                      <w:b/>
                      <w:bCs/>
                      <w:color w:val="auto"/>
                      <w:szCs w:val="21"/>
                    </w:rPr>
                  </w:pPr>
                  <w:r>
                    <w:rPr>
                      <w:b/>
                      <w:bCs/>
                      <w:color w:val="auto"/>
                      <w:szCs w:val="21"/>
                    </w:rPr>
                    <w:t>标准限值（dB(A)）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77" w:type="pct"/>
                  <w:vMerge w:val="continue"/>
                  <w:noWrap w:val="0"/>
                  <w:vAlign w:val="center"/>
                </w:tcPr>
                <w:p>
                  <w:pPr>
                    <w:snapToGrid w:val="0"/>
                    <w:jc w:val="center"/>
                    <w:rPr>
                      <w:rFonts w:hint="eastAsia"/>
                      <w:b/>
                      <w:bCs/>
                      <w:color w:val="auto"/>
                      <w:szCs w:val="21"/>
                    </w:rPr>
                  </w:pPr>
                </w:p>
              </w:tc>
              <w:tc>
                <w:tcPr>
                  <w:tcW w:w="2235" w:type="pct"/>
                  <w:vMerge w:val="continue"/>
                  <w:noWrap w:val="0"/>
                  <w:vAlign w:val="center"/>
                </w:tcPr>
                <w:p>
                  <w:pPr>
                    <w:snapToGrid w:val="0"/>
                    <w:jc w:val="center"/>
                    <w:rPr>
                      <w:b/>
                      <w:bCs/>
                      <w:color w:val="auto"/>
                      <w:szCs w:val="21"/>
                    </w:rPr>
                  </w:pPr>
                </w:p>
              </w:tc>
              <w:tc>
                <w:tcPr>
                  <w:tcW w:w="912" w:type="pct"/>
                  <w:vMerge w:val="continue"/>
                  <w:noWrap w:val="0"/>
                  <w:vAlign w:val="center"/>
                </w:tcPr>
                <w:p>
                  <w:pPr>
                    <w:snapToGrid w:val="0"/>
                    <w:jc w:val="center"/>
                    <w:rPr>
                      <w:b/>
                      <w:bCs/>
                      <w:color w:val="auto"/>
                      <w:szCs w:val="21"/>
                    </w:rPr>
                  </w:pPr>
                </w:p>
              </w:tc>
              <w:tc>
                <w:tcPr>
                  <w:tcW w:w="637" w:type="pct"/>
                  <w:noWrap w:val="0"/>
                  <w:vAlign w:val="center"/>
                </w:tcPr>
                <w:p>
                  <w:pPr>
                    <w:snapToGrid w:val="0"/>
                    <w:jc w:val="center"/>
                    <w:rPr>
                      <w:b/>
                      <w:bCs/>
                      <w:color w:val="auto"/>
                      <w:szCs w:val="21"/>
                    </w:rPr>
                  </w:pPr>
                  <w:r>
                    <w:rPr>
                      <w:b/>
                      <w:bCs/>
                      <w:color w:val="auto"/>
                      <w:szCs w:val="21"/>
                    </w:rPr>
                    <w:t>昼间</w:t>
                  </w:r>
                </w:p>
              </w:tc>
              <w:tc>
                <w:tcPr>
                  <w:tcW w:w="637" w:type="pct"/>
                  <w:noWrap w:val="0"/>
                  <w:vAlign w:val="center"/>
                </w:tcPr>
                <w:p>
                  <w:pPr>
                    <w:snapToGrid w:val="0"/>
                    <w:jc w:val="center"/>
                    <w:rPr>
                      <w:b/>
                      <w:bCs/>
                      <w:color w:val="auto"/>
                      <w:szCs w:val="21"/>
                    </w:rPr>
                  </w:pPr>
                  <w:r>
                    <w:rPr>
                      <w:b/>
                      <w:bCs/>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77" w:type="pct"/>
                  <w:noWrap w:val="0"/>
                  <w:vAlign w:val="center"/>
                </w:tcPr>
                <w:p>
                  <w:pPr>
                    <w:snapToGrid w:val="0"/>
                    <w:jc w:val="center"/>
                    <w:rPr>
                      <w:rFonts w:hint="eastAsia"/>
                      <w:color w:val="auto"/>
                      <w:szCs w:val="21"/>
                    </w:rPr>
                  </w:pPr>
                  <w:r>
                    <w:rPr>
                      <w:rFonts w:hint="eastAsia"/>
                      <w:color w:val="auto"/>
                      <w:szCs w:val="21"/>
                    </w:rPr>
                    <w:t>施工期</w:t>
                  </w:r>
                </w:p>
              </w:tc>
              <w:tc>
                <w:tcPr>
                  <w:tcW w:w="2235" w:type="pct"/>
                  <w:noWrap w:val="0"/>
                  <w:vAlign w:val="center"/>
                </w:tcPr>
                <w:p>
                  <w:pPr>
                    <w:snapToGrid w:val="0"/>
                    <w:jc w:val="center"/>
                    <w:rPr>
                      <w:color w:val="auto"/>
                      <w:szCs w:val="21"/>
                    </w:rPr>
                  </w:pPr>
                  <w:r>
                    <w:rPr>
                      <w:rFonts w:hint="eastAsia"/>
                      <w:color w:val="auto"/>
                      <w:kern w:val="0"/>
                      <w:szCs w:val="21"/>
                    </w:rPr>
                    <w:t>《建筑施工场界环境噪声排放标准》（GB12523-2011）</w:t>
                  </w:r>
                </w:p>
              </w:tc>
              <w:tc>
                <w:tcPr>
                  <w:tcW w:w="912" w:type="pct"/>
                  <w:vMerge w:val="restart"/>
                  <w:noWrap w:val="0"/>
                  <w:vAlign w:val="center"/>
                </w:tcPr>
                <w:p>
                  <w:pPr>
                    <w:snapToGrid w:val="0"/>
                    <w:jc w:val="center"/>
                    <w:rPr>
                      <w:color w:val="auto"/>
                      <w:szCs w:val="21"/>
                    </w:rPr>
                  </w:pPr>
                  <w:r>
                    <w:rPr>
                      <w:color w:val="auto"/>
                      <w:szCs w:val="21"/>
                    </w:rPr>
                    <w:t>2类区</w:t>
                  </w:r>
                </w:p>
              </w:tc>
              <w:tc>
                <w:tcPr>
                  <w:tcW w:w="637" w:type="pct"/>
                  <w:noWrap w:val="0"/>
                  <w:vAlign w:val="center"/>
                </w:tcPr>
                <w:p>
                  <w:pPr>
                    <w:snapToGrid w:val="0"/>
                    <w:jc w:val="center"/>
                    <w:rPr>
                      <w:color w:val="auto"/>
                      <w:szCs w:val="21"/>
                    </w:rPr>
                  </w:pPr>
                  <w:r>
                    <w:rPr>
                      <w:rFonts w:hint="eastAsia"/>
                      <w:color w:val="auto"/>
                      <w:szCs w:val="21"/>
                    </w:rPr>
                    <w:t>70</w:t>
                  </w:r>
                </w:p>
              </w:tc>
              <w:tc>
                <w:tcPr>
                  <w:tcW w:w="637" w:type="pct"/>
                  <w:noWrap w:val="0"/>
                  <w:vAlign w:val="center"/>
                </w:tcPr>
                <w:p>
                  <w:pPr>
                    <w:snapToGrid w:val="0"/>
                    <w:jc w:val="center"/>
                    <w:rPr>
                      <w:color w:val="auto"/>
                      <w:szCs w:val="21"/>
                    </w:rPr>
                  </w:pPr>
                  <w:r>
                    <w:rPr>
                      <w:rFonts w:hint="eastAsia"/>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77" w:type="pct"/>
                  <w:noWrap w:val="0"/>
                  <w:vAlign w:val="center"/>
                </w:tcPr>
                <w:p>
                  <w:pPr>
                    <w:snapToGrid w:val="0"/>
                    <w:jc w:val="center"/>
                    <w:rPr>
                      <w:rFonts w:hint="eastAsia"/>
                      <w:color w:val="auto"/>
                      <w:szCs w:val="21"/>
                    </w:rPr>
                  </w:pPr>
                  <w:r>
                    <w:rPr>
                      <w:rFonts w:hint="eastAsia"/>
                      <w:color w:val="auto"/>
                      <w:szCs w:val="21"/>
                    </w:rPr>
                    <w:t>运营期</w:t>
                  </w:r>
                </w:p>
              </w:tc>
              <w:tc>
                <w:tcPr>
                  <w:tcW w:w="2235" w:type="pct"/>
                  <w:noWrap w:val="0"/>
                  <w:vAlign w:val="center"/>
                </w:tcPr>
                <w:p>
                  <w:pPr>
                    <w:snapToGrid w:val="0"/>
                    <w:jc w:val="center"/>
                    <w:rPr>
                      <w:color w:val="auto"/>
                      <w:szCs w:val="21"/>
                    </w:rPr>
                  </w:pPr>
                  <w:r>
                    <w:rPr>
                      <w:color w:val="auto"/>
                      <w:szCs w:val="21"/>
                    </w:rPr>
                    <w:t>《工业企业厂界环境噪声排放标准》</w:t>
                  </w:r>
                </w:p>
                <w:p>
                  <w:pPr>
                    <w:snapToGrid w:val="0"/>
                    <w:jc w:val="center"/>
                    <w:rPr>
                      <w:color w:val="auto"/>
                      <w:szCs w:val="21"/>
                    </w:rPr>
                  </w:pPr>
                  <w:r>
                    <w:rPr>
                      <w:color w:val="auto"/>
                      <w:szCs w:val="21"/>
                    </w:rPr>
                    <w:t>（GB12348-2008）</w:t>
                  </w:r>
                </w:p>
              </w:tc>
              <w:tc>
                <w:tcPr>
                  <w:tcW w:w="912" w:type="pct"/>
                  <w:vMerge w:val="continue"/>
                  <w:noWrap w:val="0"/>
                  <w:vAlign w:val="center"/>
                </w:tcPr>
                <w:p>
                  <w:pPr>
                    <w:snapToGrid w:val="0"/>
                    <w:jc w:val="center"/>
                    <w:rPr>
                      <w:color w:val="auto"/>
                      <w:szCs w:val="21"/>
                    </w:rPr>
                  </w:pPr>
                </w:p>
              </w:tc>
              <w:tc>
                <w:tcPr>
                  <w:tcW w:w="637" w:type="pct"/>
                  <w:noWrap w:val="0"/>
                  <w:vAlign w:val="center"/>
                </w:tcPr>
                <w:p>
                  <w:pPr>
                    <w:snapToGrid w:val="0"/>
                    <w:jc w:val="center"/>
                    <w:rPr>
                      <w:b/>
                      <w:bCs/>
                      <w:color w:val="auto"/>
                      <w:szCs w:val="21"/>
                    </w:rPr>
                  </w:pPr>
                  <w:r>
                    <w:rPr>
                      <w:color w:val="auto"/>
                      <w:szCs w:val="21"/>
                    </w:rPr>
                    <w:t>60</w:t>
                  </w:r>
                </w:p>
              </w:tc>
              <w:tc>
                <w:tcPr>
                  <w:tcW w:w="637" w:type="pct"/>
                  <w:noWrap w:val="0"/>
                  <w:vAlign w:val="center"/>
                </w:tcPr>
                <w:p>
                  <w:pPr>
                    <w:snapToGrid w:val="0"/>
                    <w:jc w:val="center"/>
                    <w:rPr>
                      <w:b/>
                      <w:bCs/>
                      <w:color w:val="auto"/>
                      <w:szCs w:val="21"/>
                    </w:rPr>
                  </w:pPr>
                  <w:r>
                    <w:rPr>
                      <w:color w:val="auto"/>
                      <w:szCs w:val="21"/>
                    </w:rPr>
                    <w:t>50</w:t>
                  </w:r>
                </w:p>
              </w:tc>
            </w:tr>
          </w:tbl>
          <w:p>
            <w:pPr>
              <w:adjustRightInd w:val="0"/>
              <w:snapToGrid w:val="0"/>
              <w:ind w:firstLine="482" w:firstLineChars="200"/>
              <w:jc w:val="center"/>
              <w:rPr>
                <w:b/>
                <w:bCs/>
                <w:color w:val="auto"/>
                <w:kern w:val="0"/>
                <w:sz w:val="24"/>
              </w:rPr>
            </w:pPr>
          </w:p>
          <w:p>
            <w:pPr>
              <w:adjustRightInd w:val="0"/>
              <w:snapToGrid w:val="0"/>
              <w:spacing w:line="360" w:lineRule="auto"/>
              <w:ind w:firstLine="482" w:firstLineChars="200"/>
              <w:rPr>
                <w:b/>
                <w:bCs/>
                <w:color w:val="auto"/>
                <w:kern w:val="0"/>
                <w:sz w:val="24"/>
              </w:rPr>
            </w:pPr>
            <w:r>
              <w:rPr>
                <w:b/>
                <w:bCs/>
                <w:color w:val="auto"/>
                <w:kern w:val="0"/>
                <w:sz w:val="24"/>
              </w:rPr>
              <w:t>4.固废</w:t>
            </w:r>
          </w:p>
          <w:p>
            <w:pPr>
              <w:adjustRightInd w:val="0"/>
              <w:snapToGrid w:val="0"/>
              <w:spacing w:line="360" w:lineRule="auto"/>
              <w:ind w:firstLine="480" w:firstLineChars="200"/>
              <w:rPr>
                <w:color w:val="auto"/>
                <w:kern w:val="0"/>
                <w:sz w:val="24"/>
              </w:rPr>
            </w:pPr>
            <w:r>
              <w:rPr>
                <w:color w:val="auto"/>
                <w:kern w:val="0"/>
                <w:sz w:val="24"/>
              </w:rPr>
              <w:t>本项目一般工业固体废物在厂内采用库房或包装工具贮存，贮存过程应满足相应防渗漏、防雨淋、防扬尘等环境保护要求”；危险废物收集贮存运输执行《危险废物贮存污染控制标准》（GB18597-2001）及其2013年修改单、《危险废物收集贮存运输技术规范》（HJ2025-2012）中的相关标准和规范要求。</w:t>
            </w: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p>
            <w:pPr>
              <w:adjustRightInd w:val="0"/>
              <w:snapToGrid w:val="0"/>
              <w:spacing w:line="360" w:lineRule="auto"/>
              <w:ind w:firstLine="480" w:firstLineChars="200"/>
              <w:rPr>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6" w:hRule="atLeast"/>
          <w:jc w:val="center"/>
        </w:trPr>
        <w:tc>
          <w:tcPr>
            <w:tcW w:w="258" w:type="pct"/>
            <w:noWrap w:val="0"/>
            <w:vAlign w:val="center"/>
          </w:tcPr>
          <w:p>
            <w:pPr>
              <w:adjustRightInd w:val="0"/>
              <w:snapToGrid w:val="0"/>
              <w:jc w:val="center"/>
              <w:rPr>
                <w:b/>
                <w:bCs/>
                <w:color w:val="auto"/>
                <w:kern w:val="0"/>
                <w:sz w:val="24"/>
              </w:rPr>
            </w:pPr>
            <w:r>
              <w:rPr>
                <w:b/>
                <w:bCs/>
                <w:color w:val="auto"/>
                <w:kern w:val="0"/>
                <w:sz w:val="24"/>
              </w:rPr>
              <w:t>总量</w:t>
            </w:r>
          </w:p>
          <w:p>
            <w:pPr>
              <w:adjustRightInd w:val="0"/>
              <w:snapToGrid w:val="0"/>
              <w:jc w:val="center"/>
              <w:rPr>
                <w:b/>
                <w:bCs/>
                <w:color w:val="auto"/>
                <w:kern w:val="0"/>
                <w:sz w:val="24"/>
              </w:rPr>
            </w:pPr>
            <w:r>
              <w:rPr>
                <w:b/>
                <w:bCs/>
                <w:color w:val="auto"/>
                <w:kern w:val="0"/>
                <w:sz w:val="24"/>
              </w:rPr>
              <w:t>控制</w:t>
            </w:r>
          </w:p>
          <w:p>
            <w:pPr>
              <w:adjustRightInd w:val="0"/>
              <w:snapToGrid w:val="0"/>
              <w:jc w:val="center"/>
              <w:rPr>
                <w:b/>
                <w:bCs/>
                <w:color w:val="auto"/>
                <w:kern w:val="0"/>
                <w:sz w:val="24"/>
              </w:rPr>
            </w:pPr>
            <w:r>
              <w:rPr>
                <w:b/>
                <w:bCs/>
                <w:color w:val="auto"/>
                <w:kern w:val="0"/>
                <w:sz w:val="24"/>
              </w:rPr>
              <w:t>指标</w:t>
            </w:r>
          </w:p>
        </w:tc>
        <w:tc>
          <w:tcPr>
            <w:tcW w:w="4741" w:type="pct"/>
            <w:noWrap w:val="0"/>
            <w:vAlign w:val="center"/>
          </w:tcPr>
          <w:p>
            <w:pPr>
              <w:adjustRightInd w:val="0"/>
              <w:snapToGrid w:val="0"/>
              <w:spacing w:line="360" w:lineRule="auto"/>
              <w:ind w:firstLine="480" w:firstLineChars="200"/>
              <w:rPr>
                <w:color w:val="auto"/>
                <w:kern w:val="0"/>
                <w:sz w:val="24"/>
              </w:rPr>
            </w:pPr>
            <w:r>
              <w:rPr>
                <w:color w:val="auto"/>
                <w:sz w:val="24"/>
              </w:rPr>
              <w:t>根据</w:t>
            </w:r>
            <w:r>
              <w:rPr>
                <w:color w:val="auto"/>
                <w:kern w:val="0"/>
                <w:sz w:val="24"/>
              </w:rPr>
              <w:t>《国务院关于环境保护若干问题的决定》</w:t>
            </w:r>
            <w:r>
              <w:rPr>
                <w:rFonts w:hint="eastAsia"/>
                <w:color w:val="auto"/>
                <w:kern w:val="0"/>
                <w:sz w:val="24"/>
              </w:rPr>
              <w:t>中的要求：</w:t>
            </w:r>
            <w:r>
              <w:rPr>
                <w:color w:val="auto"/>
                <w:kern w:val="0"/>
                <w:sz w:val="24"/>
              </w:rPr>
              <w:t>“污染源排放污染物要达到国家或地方规定的标准”</w:t>
            </w:r>
            <w:r>
              <w:rPr>
                <w:rFonts w:hint="eastAsia"/>
                <w:color w:val="auto"/>
                <w:kern w:val="0"/>
                <w:sz w:val="24"/>
              </w:rPr>
              <w:t>，</w:t>
            </w:r>
            <w:r>
              <w:rPr>
                <w:color w:val="auto"/>
                <w:kern w:val="0"/>
                <w:sz w:val="24"/>
              </w:rPr>
              <w:t>“各省、自治区、直辖市要使本辖区主要污染物排放总量控制在国家规定的排放总量指标内”</w:t>
            </w:r>
            <w:r>
              <w:rPr>
                <w:rFonts w:hint="eastAsia"/>
                <w:color w:val="auto"/>
                <w:kern w:val="0"/>
                <w:sz w:val="24"/>
              </w:rPr>
              <w:t>。</w:t>
            </w:r>
            <w:r>
              <w:rPr>
                <w:color w:val="auto"/>
                <w:kern w:val="0"/>
                <w:sz w:val="24"/>
              </w:rPr>
              <w:t>针对本项目的特点，确定本项目纳入总量控制的污染物为</w:t>
            </w:r>
            <w:r>
              <w:rPr>
                <w:rFonts w:hint="eastAsia"/>
                <w:color w:val="auto"/>
                <w:kern w:val="0"/>
                <w:sz w:val="24"/>
              </w:rPr>
              <w:t>氮氧化物</w:t>
            </w:r>
            <w:r>
              <w:rPr>
                <w:color w:val="auto"/>
                <w:kern w:val="0"/>
                <w:sz w:val="24"/>
              </w:rPr>
              <w:t>（</w:t>
            </w:r>
            <w:r>
              <w:rPr>
                <w:rFonts w:hint="eastAsia"/>
                <w:color w:val="auto"/>
                <w:kern w:val="0"/>
                <w:sz w:val="24"/>
              </w:rPr>
              <w:t>NOx</w:t>
            </w:r>
            <w:r>
              <w:rPr>
                <w:color w:val="auto"/>
                <w:kern w:val="0"/>
                <w:sz w:val="24"/>
              </w:rPr>
              <w:t>）、</w:t>
            </w:r>
            <w:r>
              <w:rPr>
                <w:rFonts w:hint="eastAsia"/>
                <w:color w:val="auto"/>
                <w:kern w:val="0"/>
                <w:sz w:val="24"/>
              </w:rPr>
              <w:t>挥发性有机化合物</w:t>
            </w:r>
            <w:r>
              <w:rPr>
                <w:color w:val="auto"/>
                <w:kern w:val="0"/>
                <w:sz w:val="24"/>
              </w:rPr>
              <w:t>（</w:t>
            </w:r>
            <w:r>
              <w:rPr>
                <w:rFonts w:hint="eastAsia"/>
                <w:color w:val="auto"/>
                <w:kern w:val="0"/>
                <w:sz w:val="24"/>
              </w:rPr>
              <w:t>VOCs</w:t>
            </w:r>
            <w:r>
              <w:rPr>
                <w:color w:val="auto"/>
                <w:kern w:val="0"/>
                <w:sz w:val="24"/>
              </w:rPr>
              <w:t>）。</w:t>
            </w:r>
          </w:p>
          <w:p>
            <w:pPr>
              <w:adjustRightInd w:val="0"/>
              <w:snapToGrid w:val="0"/>
              <w:spacing w:line="360" w:lineRule="auto"/>
              <w:ind w:firstLine="480" w:firstLineChars="200"/>
              <w:rPr>
                <w:color w:val="auto"/>
                <w:kern w:val="0"/>
                <w:sz w:val="24"/>
              </w:rPr>
            </w:pPr>
            <w:r>
              <w:rPr>
                <w:color w:val="auto"/>
                <w:kern w:val="0"/>
                <w:sz w:val="24"/>
              </w:rPr>
              <w:t>根据本项目污染物核算情况，总量控制建议指标</w:t>
            </w:r>
            <w:r>
              <w:rPr>
                <w:rFonts w:hint="eastAsia"/>
                <w:color w:val="auto"/>
                <w:kern w:val="0"/>
                <w:sz w:val="24"/>
              </w:rPr>
              <w:t>为氮氧化物</w:t>
            </w:r>
            <w:r>
              <w:rPr>
                <w:color w:val="auto"/>
                <w:kern w:val="0"/>
                <w:sz w:val="24"/>
              </w:rPr>
              <w:t>（</w:t>
            </w:r>
            <w:r>
              <w:rPr>
                <w:rFonts w:hint="eastAsia"/>
                <w:color w:val="auto"/>
                <w:kern w:val="0"/>
                <w:sz w:val="24"/>
              </w:rPr>
              <w:t>NOx</w:t>
            </w:r>
            <w:r>
              <w:rPr>
                <w:color w:val="auto"/>
                <w:kern w:val="0"/>
                <w:sz w:val="24"/>
              </w:rPr>
              <w:t>）</w:t>
            </w:r>
            <w:r>
              <w:rPr>
                <w:rFonts w:hint="eastAsia"/>
                <w:color w:val="auto"/>
                <w:kern w:val="0"/>
                <w:sz w:val="24"/>
              </w:rPr>
              <w:t>2.463t/a：</w:t>
            </w:r>
            <w:r>
              <w:rPr>
                <w:color w:val="auto"/>
                <w:kern w:val="0"/>
                <w:sz w:val="24"/>
              </w:rPr>
              <w:t>、</w:t>
            </w:r>
            <w:r>
              <w:rPr>
                <w:rFonts w:hint="eastAsia"/>
                <w:color w:val="auto"/>
                <w:kern w:val="0"/>
                <w:sz w:val="24"/>
              </w:rPr>
              <w:t>挥发性有机化合物</w:t>
            </w:r>
            <w:r>
              <w:rPr>
                <w:color w:val="auto"/>
                <w:kern w:val="0"/>
                <w:sz w:val="24"/>
              </w:rPr>
              <w:t>（</w:t>
            </w:r>
            <w:r>
              <w:rPr>
                <w:rFonts w:hint="eastAsia"/>
                <w:color w:val="auto"/>
                <w:kern w:val="0"/>
                <w:sz w:val="24"/>
              </w:rPr>
              <w:t>VOCs</w:t>
            </w:r>
            <w:r>
              <w:rPr>
                <w:color w:val="auto"/>
                <w:kern w:val="0"/>
                <w:sz w:val="24"/>
              </w:rPr>
              <w:t>）</w:t>
            </w:r>
            <w:r>
              <w:rPr>
                <w:rFonts w:hint="eastAsia"/>
                <w:color w:val="auto"/>
                <w:kern w:val="0"/>
                <w:sz w:val="24"/>
              </w:rPr>
              <w:t>：0.18t/a</w:t>
            </w:r>
            <w:r>
              <w:rPr>
                <w:color w:val="auto"/>
                <w:kern w:val="0"/>
                <w:sz w:val="24"/>
              </w:rPr>
              <w:t>。</w:t>
            </w:r>
          </w:p>
        </w:tc>
      </w:tr>
    </w:tbl>
    <w:p>
      <w:pPr>
        <w:jc w:val="center"/>
        <w:outlineLvl w:val="0"/>
        <w:rPr>
          <w:rFonts w:eastAsia="黑体"/>
          <w:b/>
          <w:bCs/>
          <w:snapToGrid w:val="0"/>
          <w:color w:val="auto"/>
          <w:sz w:val="30"/>
          <w:szCs w:val="30"/>
        </w:rPr>
        <w:sectPr>
          <w:pgSz w:w="11907" w:h="16840"/>
          <w:pgMar w:top="1440" w:right="1083" w:bottom="1440" w:left="1083" w:header="851" w:footer="851" w:gutter="0"/>
          <w:cols w:space="720" w:num="1"/>
          <w:docGrid w:linePitch="312" w:charSpace="0"/>
        </w:sectPr>
      </w:pPr>
    </w:p>
    <w:p>
      <w:pPr>
        <w:jc w:val="center"/>
        <w:outlineLvl w:val="0"/>
        <w:rPr>
          <w:rFonts w:eastAsia="黑体"/>
          <w:b/>
          <w:bCs/>
          <w:snapToGrid w:val="0"/>
          <w:color w:val="auto"/>
          <w:sz w:val="30"/>
          <w:szCs w:val="30"/>
        </w:rPr>
      </w:pPr>
      <w:r>
        <w:rPr>
          <w:rFonts w:eastAsia="黑体"/>
          <w:b/>
          <w:bCs/>
          <w:snapToGrid w:val="0"/>
          <w:color w:val="auto"/>
          <w:sz w:val="30"/>
          <w:szCs w:val="30"/>
        </w:rPr>
        <w:t>四、主要环境影响和保护措施</w:t>
      </w:r>
    </w:p>
    <w:tbl>
      <w:tblPr>
        <w:tblStyle w:val="8"/>
        <w:tblW w:w="503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12"/>
        <w:gridCol w:w="9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 w:type="pct"/>
            <w:noWrap w:val="0"/>
            <w:tcMar>
              <w:left w:w="28" w:type="dxa"/>
              <w:right w:w="28" w:type="dxa"/>
            </w:tcMar>
            <w:vAlign w:val="center"/>
          </w:tcPr>
          <w:p>
            <w:pPr>
              <w:adjustRightInd w:val="0"/>
              <w:snapToGrid w:val="0"/>
              <w:jc w:val="center"/>
              <w:rPr>
                <w:b/>
                <w:bCs/>
                <w:color w:val="auto"/>
                <w:sz w:val="24"/>
              </w:rPr>
            </w:pPr>
            <w:r>
              <w:rPr>
                <w:b/>
                <w:bCs/>
                <w:color w:val="auto"/>
                <w:sz w:val="24"/>
              </w:rPr>
              <w:t>施工期环境保护措施</w:t>
            </w:r>
          </w:p>
        </w:tc>
        <w:tc>
          <w:tcPr>
            <w:tcW w:w="4792" w:type="pct"/>
            <w:noWrap w:val="0"/>
            <w:vAlign w:val="center"/>
          </w:tcPr>
          <w:p>
            <w:pPr>
              <w:topLinePunct/>
              <w:snapToGrid w:val="0"/>
              <w:spacing w:line="360" w:lineRule="auto"/>
              <w:ind w:firstLine="442" w:firstLineChars="200"/>
              <w:rPr>
                <w:b/>
                <w:color w:val="auto"/>
                <w:spacing w:val="-10"/>
                <w:sz w:val="24"/>
              </w:rPr>
            </w:pPr>
            <w:r>
              <w:rPr>
                <w:rFonts w:hint="eastAsia"/>
                <w:b/>
                <w:color w:val="auto"/>
                <w:spacing w:val="-10"/>
                <w:sz w:val="24"/>
              </w:rPr>
              <w:t>1、废气</w:t>
            </w:r>
          </w:p>
          <w:p>
            <w:pPr>
              <w:topLinePunct/>
              <w:snapToGrid w:val="0"/>
              <w:spacing w:line="360" w:lineRule="auto"/>
              <w:ind w:firstLine="480" w:firstLineChars="200"/>
              <w:rPr>
                <w:color w:val="auto"/>
                <w:sz w:val="24"/>
              </w:rPr>
            </w:pPr>
            <w:r>
              <w:rPr>
                <w:color w:val="auto"/>
                <w:sz w:val="24"/>
              </w:rPr>
              <w:t>本项目施工期的大气污染物</w:t>
            </w:r>
            <w:r>
              <w:rPr>
                <w:rFonts w:hint="eastAsia"/>
                <w:color w:val="auto"/>
                <w:sz w:val="24"/>
              </w:rPr>
              <w:t>主要</w:t>
            </w:r>
            <w:r>
              <w:rPr>
                <w:color w:val="auto"/>
                <w:sz w:val="24"/>
              </w:rPr>
              <w:t>有</w:t>
            </w:r>
            <w:r>
              <w:rPr>
                <w:rFonts w:hint="eastAsia"/>
                <w:color w:val="auto"/>
                <w:sz w:val="24"/>
              </w:rPr>
              <w:t>施工</w:t>
            </w:r>
            <w:r>
              <w:rPr>
                <w:color w:val="auto"/>
                <w:sz w:val="24"/>
              </w:rPr>
              <w:t>扬尘</w:t>
            </w:r>
            <w:r>
              <w:rPr>
                <w:rFonts w:hint="eastAsia"/>
                <w:color w:val="auto"/>
                <w:sz w:val="24"/>
              </w:rPr>
              <w:t>、机械</w:t>
            </w:r>
            <w:r>
              <w:rPr>
                <w:color w:val="auto"/>
                <w:sz w:val="24"/>
              </w:rPr>
              <w:t>废气。</w:t>
            </w:r>
          </w:p>
          <w:p>
            <w:pPr>
              <w:adjustRightInd w:val="0"/>
              <w:snapToGrid w:val="0"/>
              <w:spacing w:line="360" w:lineRule="auto"/>
              <w:ind w:firstLine="440" w:firstLineChars="200"/>
              <w:rPr>
                <w:bCs/>
                <w:color w:val="auto"/>
                <w:spacing w:val="-10"/>
                <w:sz w:val="24"/>
              </w:rPr>
            </w:pPr>
            <w:r>
              <w:rPr>
                <w:rFonts w:hint="eastAsia"/>
                <w:bCs/>
                <w:color w:val="auto"/>
                <w:spacing w:val="-10"/>
                <w:sz w:val="24"/>
              </w:rPr>
              <w:t>（</w:t>
            </w:r>
            <w:r>
              <w:rPr>
                <w:bCs/>
                <w:color w:val="auto"/>
                <w:spacing w:val="-10"/>
                <w:sz w:val="24"/>
              </w:rPr>
              <w:t>1）</w:t>
            </w:r>
            <w:r>
              <w:rPr>
                <w:rFonts w:hint="eastAsia"/>
                <w:bCs/>
                <w:color w:val="auto"/>
                <w:spacing w:val="-10"/>
                <w:sz w:val="24"/>
              </w:rPr>
              <w:t>施工</w:t>
            </w:r>
            <w:r>
              <w:rPr>
                <w:bCs/>
                <w:color w:val="auto"/>
                <w:spacing w:val="-10"/>
                <w:sz w:val="24"/>
              </w:rPr>
              <w:t>扬尘</w:t>
            </w:r>
          </w:p>
          <w:p>
            <w:pPr>
              <w:adjustRightInd w:val="0"/>
              <w:snapToGrid w:val="0"/>
              <w:spacing w:line="360" w:lineRule="auto"/>
              <w:ind w:firstLine="440" w:firstLineChars="200"/>
              <w:rPr>
                <w:rFonts w:hint="eastAsia"/>
                <w:bCs/>
                <w:color w:val="auto"/>
                <w:spacing w:val="-10"/>
                <w:sz w:val="24"/>
              </w:rPr>
            </w:pPr>
            <w:r>
              <w:rPr>
                <w:rFonts w:hint="eastAsia"/>
                <w:bCs/>
                <w:color w:val="auto"/>
                <w:spacing w:val="-10"/>
                <w:sz w:val="24"/>
              </w:rPr>
              <w:t>项目施工场地扬尘产生的原因，通常主要有以下几个方面：</w:t>
            </w:r>
          </w:p>
          <w:p>
            <w:pPr>
              <w:adjustRightInd w:val="0"/>
              <w:snapToGrid w:val="0"/>
              <w:spacing w:line="360" w:lineRule="auto"/>
              <w:ind w:firstLine="440" w:firstLineChars="200"/>
              <w:rPr>
                <w:rFonts w:hint="eastAsia"/>
                <w:bCs/>
                <w:color w:val="auto"/>
                <w:spacing w:val="-10"/>
                <w:sz w:val="24"/>
              </w:rPr>
            </w:pPr>
            <w:r>
              <w:rPr>
                <w:rFonts w:hint="eastAsia"/>
                <w:bCs/>
                <w:color w:val="auto"/>
                <w:spacing w:val="-10"/>
                <w:sz w:val="24"/>
              </w:rPr>
              <w:t>①平整场地、挖填土石方，从而使施工场地的地表和植被遭到破坏，遇风产生扬尘；</w:t>
            </w:r>
          </w:p>
          <w:p>
            <w:pPr>
              <w:adjustRightInd w:val="0"/>
              <w:snapToGrid w:val="0"/>
              <w:spacing w:line="360" w:lineRule="auto"/>
              <w:ind w:firstLine="440" w:firstLineChars="200"/>
              <w:rPr>
                <w:rFonts w:hint="eastAsia"/>
                <w:bCs/>
                <w:color w:val="auto"/>
                <w:spacing w:val="-10"/>
                <w:sz w:val="24"/>
              </w:rPr>
            </w:pPr>
            <w:r>
              <w:rPr>
                <w:rFonts w:hint="eastAsia"/>
                <w:bCs/>
                <w:color w:val="auto"/>
                <w:spacing w:val="-10"/>
                <w:sz w:val="24"/>
              </w:rPr>
              <w:t>②堆放沙子、水泥和石灰等易产尘的建筑材料，如无围档、随意堆放，会产生二次扬尘；</w:t>
            </w:r>
          </w:p>
          <w:p>
            <w:pPr>
              <w:adjustRightInd w:val="0"/>
              <w:snapToGrid w:val="0"/>
              <w:spacing w:line="360" w:lineRule="auto"/>
              <w:ind w:firstLine="440" w:firstLineChars="200"/>
              <w:rPr>
                <w:rFonts w:hint="eastAsia"/>
                <w:bCs/>
                <w:color w:val="auto"/>
                <w:spacing w:val="-10"/>
                <w:sz w:val="24"/>
              </w:rPr>
            </w:pPr>
            <w:r>
              <w:rPr>
                <w:rFonts w:hint="eastAsia"/>
                <w:bCs/>
                <w:color w:val="auto"/>
                <w:spacing w:val="-10"/>
                <w:sz w:val="24"/>
              </w:rPr>
              <w:t>③建筑材料的运输，如不采取有效的遮盖措施，会沿路遗撒，产生扬尘；</w:t>
            </w:r>
          </w:p>
          <w:p>
            <w:pPr>
              <w:adjustRightInd w:val="0"/>
              <w:snapToGrid w:val="0"/>
              <w:spacing w:line="360" w:lineRule="auto"/>
              <w:ind w:firstLine="440" w:firstLineChars="200"/>
              <w:rPr>
                <w:rFonts w:hint="eastAsia"/>
                <w:bCs/>
                <w:color w:val="auto"/>
                <w:spacing w:val="-10"/>
                <w:sz w:val="24"/>
              </w:rPr>
            </w:pPr>
            <w:r>
              <w:rPr>
                <w:rFonts w:hint="eastAsia"/>
                <w:bCs/>
                <w:color w:val="auto"/>
                <w:spacing w:val="-10"/>
                <w:sz w:val="24"/>
              </w:rPr>
              <w:t>④在建、构筑物施工期间搅拌机搅拌混凝土和砂浆时也会造成水泥粉尘散发；</w:t>
            </w:r>
          </w:p>
          <w:p>
            <w:pPr>
              <w:adjustRightInd w:val="0"/>
              <w:snapToGrid w:val="0"/>
              <w:spacing w:line="360" w:lineRule="auto"/>
              <w:ind w:firstLine="440" w:firstLineChars="200"/>
              <w:rPr>
                <w:rFonts w:hint="eastAsia"/>
                <w:bCs/>
                <w:color w:val="auto"/>
                <w:spacing w:val="-10"/>
                <w:sz w:val="24"/>
              </w:rPr>
            </w:pPr>
            <w:r>
              <w:rPr>
                <w:rFonts w:hint="eastAsia"/>
                <w:bCs/>
                <w:color w:val="auto"/>
                <w:spacing w:val="-10"/>
                <w:sz w:val="24"/>
              </w:rPr>
              <w:t>⑤施工垃圾的清理会产生扬尘。</w:t>
            </w:r>
          </w:p>
          <w:p>
            <w:pPr>
              <w:adjustRightInd w:val="0"/>
              <w:snapToGrid w:val="0"/>
              <w:spacing w:line="360" w:lineRule="auto"/>
              <w:ind w:firstLine="440" w:firstLineChars="200"/>
              <w:rPr>
                <w:bCs/>
                <w:color w:val="auto"/>
                <w:spacing w:val="-10"/>
                <w:sz w:val="24"/>
              </w:rPr>
            </w:pPr>
            <w:r>
              <w:rPr>
                <w:rFonts w:hint="eastAsia"/>
                <w:bCs/>
                <w:color w:val="auto"/>
                <w:spacing w:val="-10"/>
                <w:sz w:val="24"/>
              </w:rPr>
              <w:t>对此，</w:t>
            </w:r>
            <w:r>
              <w:rPr>
                <w:bCs/>
                <w:color w:val="auto"/>
                <w:spacing w:val="-10"/>
                <w:sz w:val="24"/>
              </w:rPr>
              <w:t>本次评价建议施工单位采取</w:t>
            </w:r>
            <w:r>
              <w:rPr>
                <w:rFonts w:hint="eastAsia"/>
                <w:bCs/>
                <w:color w:val="auto"/>
                <w:spacing w:val="-10"/>
                <w:sz w:val="24"/>
              </w:rPr>
              <w:t>以下</w:t>
            </w:r>
            <w:r>
              <w:rPr>
                <w:bCs/>
                <w:color w:val="auto"/>
                <w:spacing w:val="-10"/>
                <w:sz w:val="24"/>
              </w:rPr>
              <w:t>措施：</w:t>
            </w:r>
          </w:p>
          <w:p>
            <w:pPr>
              <w:adjustRightInd w:val="0"/>
              <w:snapToGrid w:val="0"/>
              <w:spacing w:line="360" w:lineRule="auto"/>
              <w:ind w:firstLine="440" w:firstLineChars="200"/>
              <w:rPr>
                <w:bCs/>
                <w:color w:val="auto"/>
                <w:spacing w:val="-10"/>
                <w:sz w:val="24"/>
              </w:rPr>
            </w:pPr>
            <w:r>
              <w:rPr>
                <w:rFonts w:hint="eastAsia"/>
                <w:bCs/>
                <w:color w:val="auto"/>
                <w:spacing w:val="-10"/>
                <w:sz w:val="24"/>
              </w:rPr>
              <w:t>①</w:t>
            </w:r>
            <w:r>
              <w:rPr>
                <w:bCs/>
                <w:color w:val="auto"/>
                <w:spacing w:val="-10"/>
                <w:sz w:val="24"/>
              </w:rPr>
              <w:t>施工现场按标准设置封闭围挡墙；并在围挡墙上设置扬尘治理公示栏，公示施工扬尘控制措施、项目经理、具体责任人姓名及扬尘投诉举报电话，举报电话应包括施工企业、建设单位和行业监管部门电话，接受社会监督；</w:t>
            </w:r>
          </w:p>
          <w:p>
            <w:pPr>
              <w:adjustRightInd w:val="0"/>
              <w:snapToGrid w:val="0"/>
              <w:spacing w:line="360" w:lineRule="auto"/>
              <w:ind w:firstLine="440" w:firstLineChars="200"/>
              <w:rPr>
                <w:bCs/>
                <w:color w:val="auto"/>
                <w:spacing w:val="-10"/>
                <w:sz w:val="24"/>
              </w:rPr>
            </w:pPr>
            <w:r>
              <w:rPr>
                <w:rFonts w:hint="eastAsia"/>
                <w:bCs/>
                <w:color w:val="auto"/>
                <w:spacing w:val="-10"/>
                <w:sz w:val="24"/>
              </w:rPr>
              <w:t>②</w:t>
            </w:r>
            <w:r>
              <w:rPr>
                <w:bCs/>
                <w:color w:val="auto"/>
                <w:spacing w:val="-10"/>
                <w:sz w:val="24"/>
              </w:rPr>
              <w:t>施工现场道路、作业区地面硬化，</w:t>
            </w:r>
            <w:r>
              <w:rPr>
                <w:rFonts w:hint="eastAsia"/>
                <w:bCs/>
                <w:color w:val="auto"/>
                <w:spacing w:val="-10"/>
                <w:sz w:val="24"/>
              </w:rPr>
              <w:t>校内</w:t>
            </w:r>
            <w:r>
              <w:rPr>
                <w:bCs/>
                <w:color w:val="auto"/>
                <w:spacing w:val="-10"/>
                <w:sz w:val="24"/>
              </w:rPr>
              <w:t>出口设置车辆冲洗设施，车辆驶离前应对轮胎及车身实施有效清洗，不得带泥上路；</w:t>
            </w:r>
          </w:p>
          <w:p>
            <w:pPr>
              <w:adjustRightInd w:val="0"/>
              <w:snapToGrid w:val="0"/>
              <w:spacing w:line="360" w:lineRule="auto"/>
              <w:ind w:firstLine="440" w:firstLineChars="200"/>
              <w:rPr>
                <w:bCs/>
                <w:color w:val="auto"/>
                <w:spacing w:val="-10"/>
                <w:sz w:val="24"/>
              </w:rPr>
            </w:pPr>
            <w:r>
              <w:rPr>
                <w:rFonts w:hint="eastAsia"/>
                <w:bCs/>
                <w:color w:val="auto"/>
                <w:spacing w:val="-10"/>
                <w:sz w:val="24"/>
              </w:rPr>
              <w:t>③</w:t>
            </w:r>
            <w:r>
              <w:rPr>
                <w:bCs/>
                <w:color w:val="auto"/>
                <w:spacing w:val="-10"/>
                <w:sz w:val="24"/>
              </w:rPr>
              <w:t>施工中产生的物料堆、建筑垃圾采取遮盖、洒水或其他防尘措施；</w:t>
            </w:r>
          </w:p>
          <w:p>
            <w:pPr>
              <w:adjustRightInd w:val="0"/>
              <w:snapToGrid w:val="0"/>
              <w:spacing w:line="360" w:lineRule="auto"/>
              <w:ind w:firstLine="440" w:firstLineChars="200"/>
              <w:rPr>
                <w:bCs/>
                <w:color w:val="auto"/>
                <w:spacing w:val="-10"/>
                <w:sz w:val="24"/>
              </w:rPr>
            </w:pPr>
            <w:r>
              <w:rPr>
                <w:rFonts w:hint="eastAsia"/>
                <w:bCs/>
                <w:color w:val="auto"/>
                <w:spacing w:val="-10"/>
                <w:sz w:val="24"/>
              </w:rPr>
              <w:t>④</w:t>
            </w:r>
            <w:r>
              <w:rPr>
                <w:bCs/>
                <w:color w:val="auto"/>
                <w:spacing w:val="-10"/>
                <w:sz w:val="24"/>
              </w:rPr>
              <w:t>严格落实施工工地“六个100%”（施工现场100%围挡、物料堆放100%覆盖、裸露地面100%绿化或覆盖、进出车辆100%冲洗、拆除和土方作业100%喷淋、渣土运输车100%封闭）、开复工验收、“三员”（扬尘污染防治监督员、网格员、管理员）管理等制度；</w:t>
            </w:r>
          </w:p>
          <w:p>
            <w:pPr>
              <w:adjustRightInd w:val="0"/>
              <w:snapToGrid w:val="0"/>
              <w:spacing w:line="360" w:lineRule="auto"/>
              <w:ind w:firstLine="440" w:firstLineChars="200"/>
              <w:rPr>
                <w:bCs/>
                <w:color w:val="auto"/>
                <w:spacing w:val="-10"/>
                <w:sz w:val="24"/>
              </w:rPr>
            </w:pPr>
            <w:r>
              <w:rPr>
                <w:rFonts w:hint="eastAsia"/>
                <w:bCs/>
                <w:color w:val="auto"/>
                <w:spacing w:val="-10"/>
                <w:sz w:val="24"/>
              </w:rPr>
              <w:t>⑤</w:t>
            </w:r>
            <w:r>
              <w:rPr>
                <w:bCs/>
                <w:color w:val="auto"/>
                <w:spacing w:val="-10"/>
                <w:sz w:val="24"/>
              </w:rPr>
              <w:t>施工现场配备洒水车，对道路场区进行洒水降尘；</w:t>
            </w:r>
          </w:p>
          <w:p>
            <w:pPr>
              <w:adjustRightInd w:val="0"/>
              <w:snapToGrid w:val="0"/>
              <w:spacing w:line="360" w:lineRule="auto"/>
              <w:ind w:firstLine="440" w:firstLineChars="200"/>
              <w:rPr>
                <w:rFonts w:hint="eastAsia"/>
                <w:color w:val="auto"/>
                <w:sz w:val="24"/>
              </w:rPr>
            </w:pPr>
            <w:r>
              <w:rPr>
                <w:rFonts w:hint="eastAsia"/>
                <w:bCs/>
                <w:color w:val="auto"/>
                <w:spacing w:val="-10"/>
                <w:sz w:val="24"/>
              </w:rPr>
              <w:t>⑥</w:t>
            </w:r>
            <w:r>
              <w:rPr>
                <w:bCs/>
                <w:color w:val="auto"/>
                <w:spacing w:val="-10"/>
                <w:sz w:val="24"/>
              </w:rPr>
              <w:t>裸露土地进行临时绿化或铺装，采取围挡降尘；遇到重污染天气时应全部或局部停止施工作业</w:t>
            </w:r>
            <w:r>
              <w:rPr>
                <w:rFonts w:hint="eastAsia"/>
                <w:bCs/>
                <w:color w:val="auto"/>
                <w:spacing w:val="-10"/>
                <w:sz w:val="24"/>
              </w:rPr>
              <w:t>。</w:t>
            </w:r>
          </w:p>
          <w:p>
            <w:pPr>
              <w:topLinePunct/>
              <w:snapToGrid w:val="0"/>
              <w:spacing w:line="360" w:lineRule="auto"/>
              <w:ind w:firstLine="480" w:firstLineChars="200"/>
              <w:rPr>
                <w:color w:val="auto"/>
                <w:sz w:val="24"/>
              </w:rPr>
            </w:pPr>
            <w:r>
              <w:rPr>
                <w:rFonts w:hint="eastAsia"/>
                <w:color w:val="auto"/>
                <w:sz w:val="24"/>
              </w:rPr>
              <w:t>（2）机械</w:t>
            </w:r>
            <w:r>
              <w:rPr>
                <w:color w:val="auto"/>
                <w:sz w:val="24"/>
              </w:rPr>
              <w:t>废气</w:t>
            </w:r>
          </w:p>
          <w:p>
            <w:pPr>
              <w:topLinePunct/>
              <w:snapToGrid w:val="0"/>
              <w:spacing w:line="360" w:lineRule="auto"/>
              <w:ind w:firstLine="480" w:firstLineChars="200"/>
              <w:rPr>
                <w:rFonts w:hint="eastAsia"/>
                <w:color w:val="auto"/>
                <w:sz w:val="24"/>
              </w:rPr>
            </w:pPr>
            <w:r>
              <w:rPr>
                <w:rFonts w:hint="eastAsia"/>
                <w:color w:val="auto"/>
                <w:sz w:val="24"/>
              </w:rPr>
              <w:t>项目施工期机械废气主要来自燃油机械及运输车辆在运行时产生的尾气，主要污染物为CO、NOx、碳氢化合物等。其特点是排放量小，这些废气排放局限于施工现场和运输沿线，为非连续性的污染源。</w:t>
            </w:r>
          </w:p>
          <w:p>
            <w:pPr>
              <w:topLinePunct/>
              <w:snapToGrid w:val="0"/>
              <w:spacing w:line="360" w:lineRule="auto"/>
              <w:ind w:firstLine="480" w:firstLineChars="200"/>
              <w:rPr>
                <w:rFonts w:hint="eastAsia"/>
                <w:color w:val="auto"/>
                <w:sz w:val="24"/>
              </w:rPr>
            </w:pPr>
            <w:r>
              <w:rPr>
                <w:rFonts w:hint="eastAsia"/>
                <w:color w:val="auto"/>
                <w:sz w:val="24"/>
              </w:rPr>
              <w:t>施工单位</w:t>
            </w:r>
            <w:r>
              <w:rPr>
                <w:color w:val="auto"/>
                <w:sz w:val="24"/>
              </w:rPr>
              <w:t>在施工期内</w:t>
            </w:r>
            <w:r>
              <w:rPr>
                <w:rFonts w:hint="eastAsia"/>
                <w:color w:val="auto"/>
                <w:sz w:val="24"/>
              </w:rPr>
              <w:t>，</w:t>
            </w:r>
            <w:r>
              <w:rPr>
                <w:color w:val="auto"/>
                <w:sz w:val="24"/>
              </w:rPr>
              <w:t>应多加注意施工</w:t>
            </w:r>
            <w:r>
              <w:rPr>
                <w:rFonts w:hint="eastAsia"/>
                <w:color w:val="auto"/>
                <w:sz w:val="24"/>
              </w:rPr>
              <w:t>机械</w:t>
            </w:r>
            <w:r>
              <w:rPr>
                <w:color w:val="auto"/>
                <w:sz w:val="24"/>
              </w:rPr>
              <w:t>的维护，使其能够正常的运行</w:t>
            </w:r>
            <w:r>
              <w:rPr>
                <w:rFonts w:hint="eastAsia"/>
                <w:color w:val="auto"/>
                <w:sz w:val="24"/>
              </w:rPr>
              <w:t>；</w:t>
            </w:r>
            <w:r>
              <w:rPr>
                <w:color w:val="auto"/>
                <w:sz w:val="24"/>
              </w:rPr>
              <w:t>对</w:t>
            </w:r>
            <w:r>
              <w:rPr>
                <w:rFonts w:hint="eastAsia"/>
                <w:color w:val="auto"/>
                <w:sz w:val="24"/>
              </w:rPr>
              <w:t>于运输车辆产生的</w:t>
            </w:r>
            <w:r>
              <w:rPr>
                <w:color w:val="auto"/>
                <w:sz w:val="24"/>
              </w:rPr>
              <w:t>尾气，应通过控制车辆行驶速度降低影响</w:t>
            </w:r>
            <w:r>
              <w:rPr>
                <w:rFonts w:hint="eastAsia"/>
                <w:color w:val="auto"/>
                <w:sz w:val="24"/>
              </w:rPr>
              <w:t>。鉴于项目</w:t>
            </w:r>
            <w:r>
              <w:rPr>
                <w:color w:val="auto"/>
                <w:sz w:val="24"/>
              </w:rPr>
              <w:t>施工场地开阔，扩散条件良好，因此不会对大气环境造成明显影响。</w:t>
            </w:r>
          </w:p>
          <w:p>
            <w:pPr>
              <w:topLinePunct/>
              <w:snapToGrid w:val="0"/>
              <w:spacing w:line="360" w:lineRule="auto"/>
              <w:ind w:firstLine="482" w:firstLineChars="200"/>
              <w:rPr>
                <w:b/>
                <w:bCs/>
                <w:color w:val="auto"/>
                <w:sz w:val="24"/>
              </w:rPr>
            </w:pPr>
            <w:r>
              <w:rPr>
                <w:rFonts w:hint="eastAsia"/>
                <w:b/>
                <w:bCs/>
                <w:color w:val="auto"/>
                <w:sz w:val="24"/>
              </w:rPr>
              <w:t>2、</w:t>
            </w:r>
            <w:r>
              <w:rPr>
                <w:b/>
                <w:bCs/>
                <w:color w:val="auto"/>
                <w:sz w:val="24"/>
              </w:rPr>
              <w:t>废水</w:t>
            </w:r>
          </w:p>
          <w:p>
            <w:pPr>
              <w:topLinePunct/>
              <w:snapToGrid w:val="0"/>
              <w:spacing w:line="360" w:lineRule="auto"/>
              <w:ind w:firstLine="480" w:firstLineChars="200"/>
              <w:rPr>
                <w:color w:val="auto"/>
                <w:sz w:val="24"/>
              </w:rPr>
            </w:pPr>
            <w:r>
              <w:rPr>
                <w:color w:val="auto"/>
                <w:sz w:val="24"/>
              </w:rPr>
              <w:t>本项目施工期水污染源主要为施工生产废水、施工人员生活污水。</w:t>
            </w:r>
          </w:p>
          <w:p>
            <w:pPr>
              <w:topLinePunct/>
              <w:snapToGrid w:val="0"/>
              <w:spacing w:line="360" w:lineRule="auto"/>
              <w:ind w:firstLine="480" w:firstLineChars="200"/>
              <w:rPr>
                <w:color w:val="auto"/>
                <w:sz w:val="24"/>
              </w:rPr>
            </w:pPr>
            <w:r>
              <w:rPr>
                <w:color w:val="auto"/>
                <w:sz w:val="24"/>
              </w:rPr>
              <w:t>（1）施工生产废水</w:t>
            </w:r>
          </w:p>
          <w:p>
            <w:pPr>
              <w:topLinePunct/>
              <w:snapToGrid w:val="0"/>
              <w:spacing w:line="360" w:lineRule="auto"/>
              <w:ind w:firstLine="480" w:firstLineChars="200"/>
              <w:rPr>
                <w:color w:val="auto"/>
                <w:sz w:val="24"/>
              </w:rPr>
            </w:pPr>
            <w:r>
              <w:rPr>
                <w:color w:val="auto"/>
                <w:sz w:val="24"/>
              </w:rPr>
              <w:t>项目施工期生产废水主要包括施工机械、运输车辆的冲洗废水，废水中含油泥沙等悬浮物及石油类</w:t>
            </w:r>
            <w:r>
              <w:rPr>
                <w:rFonts w:hint="eastAsia"/>
                <w:color w:val="auto"/>
                <w:sz w:val="24"/>
              </w:rPr>
              <w:t>，含量与施工机械、工程性质及工程进度等有关</w:t>
            </w:r>
            <w:r>
              <w:rPr>
                <w:color w:val="auto"/>
                <w:sz w:val="24"/>
              </w:rPr>
              <w:t>。</w:t>
            </w:r>
          </w:p>
          <w:p>
            <w:pPr>
              <w:topLinePunct/>
              <w:snapToGrid w:val="0"/>
              <w:spacing w:line="360" w:lineRule="auto"/>
              <w:ind w:firstLine="480" w:firstLineChars="200"/>
              <w:rPr>
                <w:color w:val="auto"/>
                <w:sz w:val="24"/>
              </w:rPr>
            </w:pPr>
            <w:r>
              <w:rPr>
                <w:color w:val="auto"/>
                <w:sz w:val="24"/>
              </w:rPr>
              <w:t>项目施工期设有沉淀池，用于收集施工</w:t>
            </w:r>
            <w:r>
              <w:rPr>
                <w:rFonts w:hint="eastAsia"/>
                <w:color w:val="auto"/>
                <w:sz w:val="24"/>
              </w:rPr>
              <w:t>生产</w:t>
            </w:r>
            <w:r>
              <w:rPr>
                <w:color w:val="auto"/>
                <w:sz w:val="24"/>
              </w:rPr>
              <w:t>废水，施工废水经沉淀后回用，不外排。</w:t>
            </w:r>
          </w:p>
          <w:p>
            <w:pPr>
              <w:topLinePunct/>
              <w:snapToGrid w:val="0"/>
              <w:spacing w:line="360" w:lineRule="auto"/>
              <w:ind w:firstLine="480" w:firstLineChars="200"/>
              <w:rPr>
                <w:color w:val="auto"/>
                <w:sz w:val="24"/>
              </w:rPr>
            </w:pPr>
            <w:r>
              <w:rPr>
                <w:color w:val="auto"/>
                <w:sz w:val="24"/>
              </w:rPr>
              <w:t>（2）施工生活污水</w:t>
            </w:r>
          </w:p>
          <w:p>
            <w:pPr>
              <w:topLinePunct/>
              <w:snapToGrid w:val="0"/>
              <w:spacing w:line="360" w:lineRule="auto"/>
              <w:ind w:firstLine="480" w:firstLineChars="200"/>
              <w:rPr>
                <w:color w:val="auto"/>
                <w:sz w:val="24"/>
              </w:rPr>
            </w:pPr>
            <w:r>
              <w:rPr>
                <w:color w:val="auto"/>
                <w:sz w:val="24"/>
              </w:rPr>
              <w:t>项目施工期</w:t>
            </w:r>
            <w:r>
              <w:rPr>
                <w:rFonts w:hint="eastAsia"/>
                <w:color w:val="auto"/>
                <w:sz w:val="24"/>
              </w:rPr>
              <w:t>不设施工营地，施工人员食宿依托周边居民住宅，</w:t>
            </w:r>
            <w:r>
              <w:rPr>
                <w:color w:val="auto"/>
                <w:sz w:val="24"/>
              </w:rPr>
              <w:t>生活污水主要由施工人员日常饮用、洗涤、冲厕、洗漱等日常用水过程中产生，主要污染物为COD、BOD</w:t>
            </w:r>
            <w:r>
              <w:rPr>
                <w:color w:val="auto"/>
                <w:sz w:val="24"/>
                <w:vertAlign w:val="subscript"/>
              </w:rPr>
              <w:t>5</w:t>
            </w:r>
            <w:r>
              <w:rPr>
                <w:color w:val="auto"/>
                <w:sz w:val="24"/>
              </w:rPr>
              <w:t>、SS、NH</w:t>
            </w:r>
            <w:r>
              <w:rPr>
                <w:color w:val="auto"/>
                <w:sz w:val="24"/>
                <w:vertAlign w:val="subscript"/>
              </w:rPr>
              <w:t>3</w:t>
            </w:r>
            <w:r>
              <w:rPr>
                <w:color w:val="auto"/>
                <w:sz w:val="24"/>
              </w:rPr>
              <w:t>–N。</w:t>
            </w:r>
            <w:r>
              <w:rPr>
                <w:rFonts w:hint="eastAsia"/>
                <w:color w:val="auto"/>
                <w:sz w:val="24"/>
              </w:rPr>
              <w:t>施工生活污水依托周边居民住在的生活污水</w:t>
            </w:r>
            <w:r>
              <w:rPr>
                <w:color w:val="auto"/>
                <w:sz w:val="24"/>
              </w:rPr>
              <w:t>处理设施</w:t>
            </w:r>
            <w:r>
              <w:rPr>
                <w:rFonts w:hint="eastAsia"/>
                <w:color w:val="auto"/>
                <w:sz w:val="24"/>
              </w:rPr>
              <w:t>处理</w:t>
            </w:r>
            <w:r>
              <w:rPr>
                <w:color w:val="auto"/>
                <w:sz w:val="24"/>
              </w:rPr>
              <w:t>。</w:t>
            </w:r>
          </w:p>
          <w:p>
            <w:pPr>
              <w:topLinePunct/>
              <w:snapToGrid w:val="0"/>
              <w:spacing w:line="360" w:lineRule="auto"/>
              <w:ind w:firstLine="482" w:firstLineChars="200"/>
              <w:rPr>
                <w:b/>
                <w:color w:val="auto"/>
                <w:sz w:val="24"/>
              </w:rPr>
            </w:pPr>
            <w:r>
              <w:rPr>
                <w:rFonts w:hint="eastAsia"/>
                <w:b/>
                <w:color w:val="auto"/>
                <w:sz w:val="24"/>
              </w:rPr>
              <w:t>3、</w:t>
            </w:r>
            <w:r>
              <w:rPr>
                <w:b/>
                <w:color w:val="auto"/>
                <w:sz w:val="24"/>
              </w:rPr>
              <w:t>噪声</w:t>
            </w:r>
          </w:p>
          <w:p>
            <w:pPr>
              <w:topLinePunct/>
              <w:snapToGrid w:val="0"/>
              <w:spacing w:line="360" w:lineRule="auto"/>
              <w:ind w:firstLine="480" w:firstLineChars="200"/>
              <w:rPr>
                <w:color w:val="auto"/>
                <w:sz w:val="24"/>
              </w:rPr>
            </w:pPr>
            <w:r>
              <w:rPr>
                <w:rFonts w:hint="eastAsia"/>
                <w:color w:val="auto"/>
                <w:sz w:val="24"/>
              </w:rPr>
              <w:t>项目</w:t>
            </w:r>
            <w:r>
              <w:rPr>
                <w:color w:val="auto"/>
                <w:sz w:val="24"/>
              </w:rPr>
              <w:t>施工期噪声主要分为施工机械噪声、施工作业噪声以及施工运输车辆噪声</w:t>
            </w:r>
            <w:r>
              <w:rPr>
                <w:rFonts w:hint="eastAsia"/>
                <w:color w:val="auto"/>
                <w:sz w:val="24"/>
              </w:rPr>
              <w:t>，施工期产生的噪声具有阶段性、临时性和不固定性。</w:t>
            </w:r>
          </w:p>
          <w:p>
            <w:pPr>
              <w:topLinePunct/>
              <w:snapToGrid w:val="0"/>
              <w:spacing w:line="360" w:lineRule="auto"/>
              <w:ind w:firstLine="480" w:firstLineChars="200"/>
              <w:rPr>
                <w:color w:val="auto"/>
                <w:sz w:val="24"/>
              </w:rPr>
            </w:pPr>
            <w:r>
              <w:rPr>
                <w:color w:val="auto"/>
                <w:sz w:val="24"/>
              </w:rPr>
              <w:t>施工机械噪声主要由施工机械所造成，如电锯、电焊机、振捣棒、空压机、电钻、轻型载重车和打桩机等，多为点声源。施工作业噪声主要由施工作业过程中产生的一些零星的敲打声、装卸车辆的撞击声，多为瞬时噪声。</w:t>
            </w:r>
            <w:r>
              <w:rPr>
                <w:rFonts w:hint="eastAsia"/>
                <w:color w:val="auto"/>
                <w:sz w:val="24"/>
              </w:rPr>
              <w:t>施工运输车辆噪声主要由运输车辆运行过程中产生的噪声，为移动源噪声。</w:t>
            </w:r>
          </w:p>
          <w:p>
            <w:pPr>
              <w:topLinePunct/>
              <w:snapToGrid w:val="0"/>
              <w:spacing w:line="360" w:lineRule="auto"/>
              <w:ind w:firstLine="480" w:firstLineChars="200"/>
              <w:rPr>
                <w:color w:val="auto"/>
                <w:sz w:val="24"/>
              </w:rPr>
            </w:pPr>
            <w:r>
              <w:rPr>
                <w:color w:val="auto"/>
                <w:sz w:val="24"/>
              </w:rPr>
              <w:t>为降低施工期噪声对该区域声环境质量的影响，评价要求采取以下减缓措施：</w:t>
            </w:r>
          </w:p>
          <w:p>
            <w:pPr>
              <w:topLinePunct/>
              <w:snapToGrid w:val="0"/>
              <w:spacing w:line="360" w:lineRule="auto"/>
              <w:ind w:firstLine="480" w:firstLineChars="200"/>
              <w:rPr>
                <w:color w:val="auto"/>
                <w:sz w:val="24"/>
              </w:rPr>
            </w:pPr>
            <w:r>
              <w:rPr>
                <w:rFonts w:hint="eastAsia"/>
                <w:color w:val="auto"/>
                <w:sz w:val="24"/>
              </w:rPr>
              <w:t>①</w:t>
            </w:r>
            <w:r>
              <w:rPr>
                <w:color w:val="auto"/>
                <w:sz w:val="24"/>
              </w:rPr>
              <w:t>从声源上控制。建设单位在与施工单位签订施工合同时，应要求其使用的主要设备为低噪声设备，同时</w:t>
            </w:r>
            <w:r>
              <w:rPr>
                <w:rFonts w:hint="eastAsia"/>
                <w:color w:val="auto"/>
                <w:sz w:val="24"/>
              </w:rPr>
              <w:t>按标准该</w:t>
            </w:r>
            <w:r>
              <w:rPr>
                <w:color w:val="auto"/>
                <w:sz w:val="24"/>
              </w:rPr>
              <w:t>《建筑施工场界环境噪声排放标准》（GB12523-2011）要求的标准进行施工，在施工过程中施工单位应设置专人对设备进行定期保养和维护，负责对施工工作人员进行培训，严格操作规范使用各类机械。</w:t>
            </w:r>
          </w:p>
          <w:p>
            <w:pPr>
              <w:topLinePunct/>
              <w:snapToGrid w:val="0"/>
              <w:spacing w:line="360" w:lineRule="auto"/>
              <w:ind w:firstLine="480" w:firstLineChars="200"/>
              <w:rPr>
                <w:color w:val="auto"/>
                <w:sz w:val="24"/>
              </w:rPr>
            </w:pPr>
            <w:r>
              <w:rPr>
                <w:rFonts w:hint="eastAsia"/>
                <w:color w:val="auto"/>
                <w:sz w:val="24"/>
              </w:rPr>
              <w:t>②</w:t>
            </w:r>
            <w:r>
              <w:rPr>
                <w:color w:val="auto"/>
                <w:sz w:val="24"/>
              </w:rPr>
              <w:t>合理安排施工计划和进度，禁止夜间施工。</w:t>
            </w:r>
          </w:p>
          <w:p>
            <w:pPr>
              <w:topLinePunct/>
              <w:snapToGrid w:val="0"/>
              <w:spacing w:line="360" w:lineRule="auto"/>
              <w:ind w:firstLine="480" w:firstLineChars="200"/>
              <w:rPr>
                <w:color w:val="auto"/>
                <w:sz w:val="24"/>
              </w:rPr>
            </w:pPr>
            <w:r>
              <w:rPr>
                <w:rFonts w:hint="eastAsia"/>
                <w:color w:val="auto"/>
                <w:sz w:val="24"/>
              </w:rPr>
              <w:t>③</w:t>
            </w:r>
            <w:r>
              <w:rPr>
                <w:color w:val="auto"/>
                <w:sz w:val="24"/>
              </w:rPr>
              <w:t>施工场地的施工车辆进出场时应低速，</w:t>
            </w:r>
            <w:r>
              <w:rPr>
                <w:rFonts w:hint="eastAsia"/>
                <w:color w:val="auto"/>
                <w:sz w:val="24"/>
              </w:rPr>
              <w:t>禁止鸣笛</w:t>
            </w:r>
            <w:r>
              <w:rPr>
                <w:color w:val="auto"/>
                <w:sz w:val="24"/>
              </w:rPr>
              <w:t>。</w:t>
            </w:r>
          </w:p>
          <w:p>
            <w:pPr>
              <w:topLinePunct/>
              <w:snapToGrid w:val="0"/>
              <w:spacing w:line="360" w:lineRule="auto"/>
              <w:ind w:firstLine="482" w:firstLineChars="200"/>
              <w:rPr>
                <w:b/>
                <w:bCs/>
                <w:color w:val="auto"/>
                <w:sz w:val="24"/>
              </w:rPr>
            </w:pPr>
            <w:r>
              <w:rPr>
                <w:rFonts w:hint="eastAsia"/>
                <w:b/>
                <w:bCs/>
                <w:color w:val="auto"/>
                <w:sz w:val="24"/>
              </w:rPr>
              <w:t>4、</w:t>
            </w:r>
            <w:r>
              <w:rPr>
                <w:b/>
                <w:bCs/>
                <w:color w:val="auto"/>
                <w:sz w:val="24"/>
              </w:rPr>
              <w:t>固体废物</w:t>
            </w:r>
          </w:p>
          <w:p>
            <w:pPr>
              <w:topLinePunct/>
              <w:snapToGrid w:val="0"/>
              <w:spacing w:line="360" w:lineRule="auto"/>
              <w:ind w:firstLine="480" w:firstLineChars="200"/>
              <w:rPr>
                <w:rFonts w:hint="eastAsia"/>
                <w:color w:val="auto"/>
                <w:sz w:val="24"/>
              </w:rPr>
            </w:pPr>
            <w:r>
              <w:rPr>
                <w:rFonts w:hint="eastAsia"/>
                <w:color w:val="auto"/>
                <w:sz w:val="24"/>
              </w:rPr>
              <w:t>项目施工期固体废物主要为施工土石方、建筑垃圾及生活垃圾。</w:t>
            </w:r>
          </w:p>
          <w:p>
            <w:pPr>
              <w:topLinePunct/>
              <w:snapToGrid w:val="0"/>
              <w:spacing w:line="360" w:lineRule="auto"/>
              <w:ind w:firstLine="480" w:firstLineChars="200"/>
              <w:rPr>
                <w:rFonts w:hint="eastAsia"/>
                <w:color w:val="auto"/>
                <w:sz w:val="24"/>
              </w:rPr>
            </w:pPr>
            <w:r>
              <w:rPr>
                <w:rFonts w:hint="eastAsia"/>
                <w:color w:val="auto"/>
                <w:sz w:val="24"/>
              </w:rPr>
              <w:t>（1）施工土石方</w:t>
            </w:r>
          </w:p>
          <w:p>
            <w:pPr>
              <w:topLinePunct/>
              <w:snapToGrid w:val="0"/>
              <w:spacing w:line="360" w:lineRule="auto"/>
              <w:ind w:firstLine="480" w:firstLineChars="200"/>
              <w:rPr>
                <w:color w:val="auto"/>
                <w:sz w:val="24"/>
              </w:rPr>
            </w:pPr>
            <w:r>
              <w:rPr>
                <w:color w:val="auto"/>
                <w:sz w:val="24"/>
              </w:rPr>
              <w:t>项目选址地面较平整，土建工程</w:t>
            </w:r>
            <w:r>
              <w:rPr>
                <w:rFonts w:hint="eastAsia"/>
                <w:color w:val="auto"/>
                <w:sz w:val="24"/>
              </w:rPr>
              <w:t>会</w:t>
            </w:r>
            <w:r>
              <w:rPr>
                <w:color w:val="auto"/>
                <w:sz w:val="24"/>
              </w:rPr>
              <w:t>产生土石方，表层适用于种植的腐殖土收集后运往当地相关管理部门指定的地点；对开挖出的适用材料，应用于路基填筑，不适用的材料应按弃土处理的规定办理，弃土堆的边坡不应陡于1：1.0，顶面向外应设不小于2%的横坡，其高度不宜大于3m，应做到边挖边做边坡防护。</w:t>
            </w:r>
          </w:p>
          <w:p>
            <w:pPr>
              <w:topLinePunct/>
              <w:snapToGrid w:val="0"/>
              <w:spacing w:line="360" w:lineRule="auto"/>
              <w:ind w:firstLine="480" w:firstLineChars="200"/>
              <w:rPr>
                <w:color w:val="auto"/>
                <w:sz w:val="24"/>
              </w:rPr>
            </w:pPr>
            <w:r>
              <w:rPr>
                <w:rFonts w:hint="eastAsia"/>
                <w:color w:val="auto"/>
                <w:sz w:val="24"/>
              </w:rPr>
              <w:t>（2）施工建筑垃圾</w:t>
            </w:r>
          </w:p>
          <w:p>
            <w:pPr>
              <w:topLinePunct/>
              <w:snapToGrid w:val="0"/>
              <w:spacing w:line="360" w:lineRule="auto"/>
              <w:ind w:firstLine="480" w:firstLineChars="200"/>
              <w:rPr>
                <w:rFonts w:hint="eastAsia"/>
                <w:color w:val="auto"/>
                <w:sz w:val="24"/>
              </w:rPr>
            </w:pPr>
            <w:r>
              <w:rPr>
                <w:rFonts w:hint="eastAsia"/>
                <w:color w:val="auto"/>
                <w:sz w:val="24"/>
              </w:rPr>
              <w:t>项目施工期间需要运输各种建筑材料（如砂石、砖等），工程完工后，会残留一部分废建筑材料，主要包括废弃钢筋、废包装材料以及废零部件等。建议施工单位能重新利用的分类收集后作为再生资源利用，其余部分送到市政部门指定场所处理，不得随意倾倒垃圾。</w:t>
            </w:r>
          </w:p>
          <w:p>
            <w:pPr>
              <w:topLinePunct/>
              <w:snapToGrid w:val="0"/>
              <w:spacing w:line="360" w:lineRule="auto"/>
              <w:ind w:firstLine="480" w:firstLineChars="200"/>
              <w:rPr>
                <w:rFonts w:hint="eastAsia"/>
                <w:color w:val="auto"/>
                <w:sz w:val="24"/>
              </w:rPr>
            </w:pPr>
            <w:r>
              <w:rPr>
                <w:rFonts w:hint="eastAsia"/>
                <w:color w:val="auto"/>
                <w:sz w:val="24"/>
              </w:rPr>
              <w:t>（3）施工人员生活垃圾</w:t>
            </w:r>
          </w:p>
          <w:p>
            <w:pPr>
              <w:topLinePunct/>
              <w:snapToGrid w:val="0"/>
              <w:spacing w:line="360" w:lineRule="auto"/>
              <w:ind w:firstLine="480" w:firstLineChars="200"/>
              <w:rPr>
                <w:color w:val="auto"/>
                <w:sz w:val="24"/>
              </w:rPr>
            </w:pPr>
            <w:r>
              <w:rPr>
                <w:rFonts w:hint="eastAsia"/>
                <w:color w:val="auto"/>
                <w:sz w:val="24"/>
              </w:rPr>
              <w:t>项目施工期施工人员在日常生活及施工过程中，会产生一定量的生活垃圾，与城市居民生活垃圾成分相似，主要包括废旧塑料袋、饮料罐、纸盒等。生活垃圾集中收集后，由当地环卫部门统一清运。</w:t>
            </w:r>
          </w:p>
          <w:p>
            <w:pPr>
              <w:topLinePunct/>
              <w:snapToGrid w:val="0"/>
              <w:spacing w:line="360" w:lineRule="auto"/>
              <w:ind w:firstLine="482" w:firstLineChars="200"/>
              <w:rPr>
                <w:b/>
                <w:bCs/>
                <w:color w:val="auto"/>
                <w:sz w:val="24"/>
              </w:rPr>
            </w:pPr>
            <w:r>
              <w:rPr>
                <w:rFonts w:hint="eastAsia"/>
                <w:b/>
                <w:bCs/>
                <w:color w:val="auto"/>
                <w:sz w:val="24"/>
              </w:rPr>
              <w:t>5</w:t>
            </w:r>
            <w:r>
              <w:rPr>
                <w:b/>
                <w:bCs/>
                <w:color w:val="auto"/>
                <w:sz w:val="24"/>
              </w:rPr>
              <w:t>、施工</w:t>
            </w:r>
            <w:r>
              <w:rPr>
                <w:rFonts w:hint="eastAsia"/>
                <w:b/>
                <w:bCs/>
                <w:color w:val="auto"/>
                <w:sz w:val="24"/>
              </w:rPr>
              <w:t>生态环境影响和保护措施</w:t>
            </w:r>
          </w:p>
          <w:p>
            <w:pPr>
              <w:widowControl/>
              <w:snapToGrid w:val="0"/>
              <w:spacing w:line="360" w:lineRule="auto"/>
              <w:ind w:firstLine="480" w:firstLineChars="200"/>
              <w:rPr>
                <w:color w:val="auto"/>
                <w:sz w:val="24"/>
                <w:szCs w:val="22"/>
              </w:rPr>
            </w:pPr>
            <w:r>
              <w:rPr>
                <w:rFonts w:hint="eastAsia"/>
                <w:color w:val="auto"/>
                <w:sz w:val="24"/>
                <w:szCs w:val="22"/>
              </w:rPr>
              <w:t>（</w:t>
            </w:r>
            <w:r>
              <w:rPr>
                <w:color w:val="auto"/>
                <w:sz w:val="24"/>
                <w:szCs w:val="22"/>
              </w:rPr>
              <w:t>1）</w:t>
            </w:r>
            <w:r>
              <w:rPr>
                <w:color w:val="auto"/>
                <w:sz w:val="24"/>
                <w:szCs w:val="22"/>
                <w:lang w:val="zh-CN"/>
              </w:rPr>
              <w:t>工程占地影响</w:t>
            </w:r>
            <w:r>
              <w:rPr>
                <w:rFonts w:hint="eastAsia"/>
                <w:color w:val="auto"/>
                <w:sz w:val="24"/>
                <w:szCs w:val="22"/>
              </w:rPr>
              <w:t>及保护措施</w:t>
            </w:r>
          </w:p>
          <w:p>
            <w:pPr>
              <w:widowControl/>
              <w:snapToGrid w:val="0"/>
              <w:spacing w:line="360" w:lineRule="auto"/>
              <w:ind w:firstLine="480" w:firstLineChars="200"/>
              <w:rPr>
                <w:color w:val="auto"/>
                <w:sz w:val="24"/>
                <w:szCs w:val="22"/>
                <w:lang w:val="zh-CN"/>
              </w:rPr>
            </w:pPr>
            <w:r>
              <w:rPr>
                <w:color w:val="auto"/>
                <w:sz w:val="24"/>
                <w:szCs w:val="22"/>
                <w:lang w:val="zh-CN"/>
              </w:rPr>
              <w:t>项目占地类型为</w:t>
            </w:r>
            <w:r>
              <w:rPr>
                <w:rFonts w:hint="eastAsia"/>
                <w:color w:val="auto"/>
                <w:sz w:val="24"/>
                <w:szCs w:val="22"/>
              </w:rPr>
              <w:t>林地</w:t>
            </w:r>
            <w:r>
              <w:rPr>
                <w:color w:val="auto"/>
                <w:sz w:val="24"/>
                <w:szCs w:val="22"/>
                <w:lang w:val="zh-CN"/>
              </w:rPr>
              <w:t>。随着</w:t>
            </w:r>
            <w:r>
              <w:rPr>
                <w:rFonts w:hint="eastAsia"/>
                <w:color w:val="auto"/>
                <w:sz w:val="24"/>
                <w:szCs w:val="22"/>
              </w:rPr>
              <w:t>项目的实施</w:t>
            </w:r>
            <w:r>
              <w:rPr>
                <w:color w:val="auto"/>
                <w:sz w:val="24"/>
                <w:szCs w:val="22"/>
                <w:lang w:val="zh-CN"/>
              </w:rPr>
              <w:t>，原有的土地利用类型将会发生变化，土地利用性质由</w:t>
            </w:r>
            <w:r>
              <w:rPr>
                <w:rFonts w:hint="eastAsia"/>
                <w:color w:val="auto"/>
                <w:sz w:val="24"/>
                <w:szCs w:val="22"/>
              </w:rPr>
              <w:t>林地变</w:t>
            </w:r>
            <w:r>
              <w:rPr>
                <w:color w:val="auto"/>
                <w:sz w:val="24"/>
                <w:szCs w:val="22"/>
                <w:lang w:val="zh-CN"/>
              </w:rPr>
              <w:t>为</w:t>
            </w:r>
            <w:r>
              <w:rPr>
                <w:rFonts w:hint="eastAsia"/>
                <w:color w:val="auto"/>
                <w:sz w:val="24"/>
                <w:szCs w:val="22"/>
              </w:rPr>
              <w:t>临时建设用地</w:t>
            </w:r>
            <w:r>
              <w:rPr>
                <w:rFonts w:hint="eastAsia"/>
                <w:color w:val="auto"/>
                <w:sz w:val="24"/>
                <w:szCs w:val="22"/>
                <w:lang w:val="zh-CN"/>
              </w:rPr>
              <w:t>，对生态环境产生影响。</w:t>
            </w:r>
            <w:r>
              <w:rPr>
                <w:color w:val="auto"/>
                <w:sz w:val="24"/>
                <w:szCs w:val="22"/>
                <w:lang w:val="zh-CN"/>
              </w:rPr>
              <w:t>项目用地占</w:t>
            </w:r>
            <w:r>
              <w:rPr>
                <w:rFonts w:hint="eastAsia"/>
                <w:color w:val="auto"/>
                <w:sz w:val="24"/>
                <w:szCs w:val="22"/>
              </w:rPr>
              <w:t>宁都县</w:t>
            </w:r>
            <w:r>
              <w:rPr>
                <w:color w:val="auto"/>
                <w:sz w:val="24"/>
                <w:szCs w:val="22"/>
                <w:lang w:val="zh-CN"/>
              </w:rPr>
              <w:t>土地总面积的比例较小，总体不会改变当地土地利用格局，</w:t>
            </w:r>
            <w:r>
              <w:rPr>
                <w:rFonts w:hint="eastAsia"/>
                <w:color w:val="auto"/>
                <w:sz w:val="24"/>
                <w:szCs w:val="22"/>
              </w:rPr>
              <w:t>同时项目用地符合宁都县土地利用规划，因此，项目工程占地带来的影响可接受</w:t>
            </w:r>
            <w:r>
              <w:rPr>
                <w:color w:val="auto"/>
                <w:sz w:val="24"/>
                <w:szCs w:val="22"/>
                <w:lang w:val="zh-CN"/>
              </w:rPr>
              <w:t>。</w:t>
            </w:r>
          </w:p>
          <w:p>
            <w:pPr>
              <w:widowControl/>
              <w:snapToGrid w:val="0"/>
              <w:spacing w:line="360" w:lineRule="auto"/>
              <w:ind w:firstLine="480" w:firstLineChars="200"/>
              <w:rPr>
                <w:color w:val="auto"/>
                <w:sz w:val="24"/>
                <w:szCs w:val="22"/>
                <w:lang w:val="zh-CN"/>
              </w:rPr>
            </w:pPr>
            <w:r>
              <w:rPr>
                <w:color w:val="auto"/>
                <w:sz w:val="24"/>
                <w:szCs w:val="22"/>
                <w:lang w:val="zh-CN"/>
              </w:rPr>
              <w:t>针对工程占地带来的影响，建设单位应做到以下几点：</w:t>
            </w:r>
          </w:p>
          <w:p>
            <w:pPr>
              <w:widowControl/>
              <w:snapToGrid w:val="0"/>
              <w:spacing w:line="360" w:lineRule="auto"/>
              <w:ind w:firstLine="480" w:firstLineChars="200"/>
              <w:rPr>
                <w:color w:val="auto"/>
                <w:sz w:val="24"/>
                <w:szCs w:val="22"/>
                <w:lang w:val="zh-CN"/>
              </w:rPr>
            </w:pPr>
            <w:r>
              <w:rPr>
                <w:color w:val="auto"/>
                <w:sz w:val="24"/>
                <w:szCs w:val="22"/>
                <w:lang w:val="zh-CN"/>
              </w:rPr>
              <w:t>①</w:t>
            </w:r>
            <w:r>
              <w:rPr>
                <w:rFonts w:hint="eastAsia"/>
                <w:color w:val="auto"/>
                <w:sz w:val="24"/>
                <w:szCs w:val="22"/>
              </w:rPr>
              <w:t>施工</w:t>
            </w:r>
            <w:r>
              <w:rPr>
                <w:color w:val="auto"/>
                <w:sz w:val="24"/>
                <w:szCs w:val="22"/>
                <w:lang w:val="zh-CN"/>
              </w:rPr>
              <w:t>过程中禁止随意侵占用地红线范围以外的土地</w:t>
            </w:r>
            <w:r>
              <w:rPr>
                <w:rFonts w:hint="eastAsia"/>
                <w:color w:val="auto"/>
                <w:sz w:val="24"/>
                <w:szCs w:val="22"/>
                <w:lang w:val="zh-CN"/>
              </w:rPr>
              <w:t>；</w:t>
            </w:r>
          </w:p>
          <w:p>
            <w:pPr>
              <w:widowControl/>
              <w:snapToGrid w:val="0"/>
              <w:spacing w:line="360" w:lineRule="auto"/>
              <w:ind w:firstLine="480" w:firstLineChars="200"/>
              <w:rPr>
                <w:color w:val="auto"/>
                <w:sz w:val="24"/>
                <w:szCs w:val="22"/>
                <w:lang w:val="zh-CN"/>
              </w:rPr>
            </w:pPr>
            <w:r>
              <w:rPr>
                <w:color w:val="auto"/>
                <w:sz w:val="24"/>
                <w:szCs w:val="22"/>
                <w:lang w:val="zh-CN"/>
              </w:rPr>
              <w:t>②</w:t>
            </w:r>
            <w:r>
              <w:rPr>
                <w:rFonts w:hint="eastAsia"/>
                <w:color w:val="auto"/>
                <w:sz w:val="24"/>
                <w:szCs w:val="22"/>
              </w:rPr>
              <w:t>项目施工完成后，应及时进行</w:t>
            </w:r>
            <w:r>
              <w:rPr>
                <w:color w:val="auto"/>
                <w:sz w:val="24"/>
                <w:szCs w:val="22"/>
                <w:lang w:val="zh-CN"/>
              </w:rPr>
              <w:t>绿化。</w:t>
            </w:r>
          </w:p>
          <w:p>
            <w:pPr>
              <w:widowControl/>
              <w:snapToGrid w:val="0"/>
              <w:spacing w:line="360" w:lineRule="auto"/>
              <w:ind w:firstLine="480" w:firstLineChars="200"/>
              <w:rPr>
                <w:color w:val="auto"/>
                <w:sz w:val="24"/>
                <w:szCs w:val="22"/>
                <w:lang w:val="zh-CN"/>
              </w:rPr>
            </w:pPr>
            <w:r>
              <w:rPr>
                <w:rFonts w:hint="eastAsia"/>
                <w:color w:val="auto"/>
                <w:sz w:val="24"/>
                <w:szCs w:val="22"/>
              </w:rPr>
              <w:t>（2</w:t>
            </w:r>
            <w:r>
              <w:rPr>
                <w:color w:val="auto"/>
                <w:sz w:val="24"/>
                <w:szCs w:val="22"/>
              </w:rPr>
              <w:t>）</w:t>
            </w:r>
            <w:r>
              <w:rPr>
                <w:color w:val="auto"/>
                <w:sz w:val="24"/>
                <w:szCs w:val="22"/>
                <w:lang w:val="zh-CN"/>
              </w:rPr>
              <w:t>对植物的影响及保护措施</w:t>
            </w:r>
          </w:p>
          <w:p>
            <w:pPr>
              <w:widowControl/>
              <w:snapToGrid w:val="0"/>
              <w:spacing w:line="360" w:lineRule="auto"/>
              <w:ind w:firstLine="480" w:firstLineChars="200"/>
              <w:rPr>
                <w:color w:val="auto"/>
                <w:sz w:val="24"/>
                <w:szCs w:val="22"/>
                <w:lang w:val="zh-CN"/>
              </w:rPr>
            </w:pPr>
            <w:r>
              <w:rPr>
                <w:color w:val="auto"/>
                <w:sz w:val="24"/>
                <w:szCs w:val="22"/>
                <w:lang w:val="zh-CN"/>
              </w:rPr>
              <w:t>项目</w:t>
            </w:r>
            <w:r>
              <w:rPr>
                <w:rFonts w:hint="eastAsia"/>
                <w:color w:val="auto"/>
                <w:sz w:val="24"/>
                <w:szCs w:val="22"/>
              </w:rPr>
              <w:t>用地主要为</w:t>
            </w:r>
            <w:r>
              <w:rPr>
                <w:color w:val="auto"/>
                <w:sz w:val="24"/>
                <w:szCs w:val="22"/>
                <w:lang w:val="zh-CN"/>
              </w:rPr>
              <w:t>林地，根据现场调查，项目区域内未见国家级重点保护珍稀濒危物种、江西省重点保护物种和古树名木。由于项目施工、车辆运输等人为活动，会使区域</w:t>
            </w:r>
            <w:r>
              <w:rPr>
                <w:rFonts w:hint="eastAsia"/>
                <w:color w:val="auto"/>
                <w:sz w:val="24"/>
                <w:szCs w:val="22"/>
              </w:rPr>
              <w:t>植物</w:t>
            </w:r>
            <w:r>
              <w:rPr>
                <w:color w:val="auto"/>
                <w:sz w:val="24"/>
                <w:szCs w:val="22"/>
                <w:lang w:val="zh-CN"/>
              </w:rPr>
              <w:t>遭到破坏</w:t>
            </w:r>
            <w:r>
              <w:rPr>
                <w:rFonts w:hint="eastAsia"/>
                <w:color w:val="auto"/>
                <w:sz w:val="24"/>
                <w:szCs w:val="22"/>
                <w:lang w:val="zh-CN"/>
              </w:rPr>
              <w:t>。</w:t>
            </w:r>
            <w:r>
              <w:rPr>
                <w:color w:val="auto"/>
                <w:sz w:val="24"/>
                <w:szCs w:val="22"/>
                <w:lang w:val="zh-CN"/>
              </w:rPr>
              <w:t>从区域生态现状来看，项目的施工对所在地生态系统中</w:t>
            </w:r>
            <w:r>
              <w:rPr>
                <w:rFonts w:hint="eastAsia"/>
                <w:color w:val="auto"/>
                <w:sz w:val="24"/>
                <w:szCs w:val="22"/>
              </w:rPr>
              <w:t>植物</w:t>
            </w:r>
            <w:r>
              <w:rPr>
                <w:color w:val="auto"/>
                <w:sz w:val="24"/>
                <w:szCs w:val="22"/>
                <w:lang w:val="zh-CN"/>
              </w:rPr>
              <w:t>损失总体较小，只是由于某一物种的数量减少导致各种间的相对密度变化而轻微地改变群落的异质性。待施工结束后，由建设单位对</w:t>
            </w:r>
            <w:r>
              <w:rPr>
                <w:rFonts w:hint="eastAsia"/>
                <w:color w:val="auto"/>
                <w:sz w:val="24"/>
                <w:szCs w:val="22"/>
              </w:rPr>
              <w:t>区域</w:t>
            </w:r>
            <w:r>
              <w:rPr>
                <w:color w:val="auto"/>
                <w:sz w:val="24"/>
                <w:szCs w:val="22"/>
                <w:lang w:val="zh-CN"/>
              </w:rPr>
              <w:t>进行</w:t>
            </w:r>
            <w:r>
              <w:rPr>
                <w:rFonts w:hint="eastAsia"/>
                <w:color w:val="auto"/>
                <w:sz w:val="24"/>
                <w:szCs w:val="22"/>
              </w:rPr>
              <w:t>绿化</w:t>
            </w:r>
            <w:r>
              <w:rPr>
                <w:color w:val="auto"/>
                <w:sz w:val="24"/>
                <w:szCs w:val="22"/>
                <w:lang w:val="zh-CN"/>
              </w:rPr>
              <w:t>。整体来说，工程对</w:t>
            </w:r>
            <w:r>
              <w:rPr>
                <w:rFonts w:hint="eastAsia"/>
                <w:color w:val="auto"/>
                <w:sz w:val="24"/>
                <w:szCs w:val="22"/>
              </w:rPr>
              <w:t>区域植物</w:t>
            </w:r>
            <w:r>
              <w:rPr>
                <w:color w:val="auto"/>
                <w:sz w:val="24"/>
                <w:szCs w:val="22"/>
                <w:lang w:val="zh-CN"/>
              </w:rPr>
              <w:t>影响不大。</w:t>
            </w:r>
          </w:p>
          <w:p>
            <w:pPr>
              <w:widowControl/>
              <w:snapToGrid w:val="0"/>
              <w:spacing w:line="360" w:lineRule="auto"/>
              <w:ind w:firstLine="480" w:firstLineChars="200"/>
              <w:rPr>
                <w:color w:val="auto"/>
                <w:sz w:val="24"/>
                <w:szCs w:val="22"/>
                <w:lang w:val="zh-CN"/>
              </w:rPr>
            </w:pPr>
            <w:r>
              <w:rPr>
                <w:rFonts w:hint="eastAsia"/>
                <w:color w:val="auto"/>
                <w:sz w:val="24"/>
                <w:szCs w:val="22"/>
              </w:rPr>
              <w:t>（3</w:t>
            </w:r>
            <w:r>
              <w:rPr>
                <w:color w:val="auto"/>
                <w:sz w:val="24"/>
                <w:szCs w:val="22"/>
                <w:lang w:val="zh-CN"/>
              </w:rPr>
              <w:t>）对动物的影响及保护措施</w:t>
            </w:r>
          </w:p>
          <w:p>
            <w:pPr>
              <w:widowControl/>
              <w:snapToGrid w:val="0"/>
              <w:spacing w:line="360" w:lineRule="auto"/>
              <w:ind w:firstLine="480" w:firstLineChars="200"/>
              <w:rPr>
                <w:color w:val="auto"/>
                <w:sz w:val="24"/>
                <w:szCs w:val="22"/>
                <w:lang w:val="zh-CN"/>
              </w:rPr>
            </w:pPr>
            <w:r>
              <w:rPr>
                <w:color w:val="auto"/>
                <w:sz w:val="24"/>
                <w:szCs w:val="22"/>
                <w:lang w:val="zh-CN"/>
              </w:rPr>
              <w:t>项目所在区域人类活动频繁，因此</w:t>
            </w:r>
            <w:r>
              <w:rPr>
                <w:rFonts w:hint="eastAsia"/>
                <w:color w:val="auto"/>
                <w:sz w:val="24"/>
                <w:szCs w:val="22"/>
              </w:rPr>
              <w:t>区域</w:t>
            </w:r>
            <w:r>
              <w:rPr>
                <w:color w:val="auto"/>
                <w:sz w:val="24"/>
                <w:szCs w:val="22"/>
                <w:lang w:val="zh-CN"/>
              </w:rPr>
              <w:t>内野生动物的种类及数量都不多，主要是低山陡坡地区的一些小型哺乳动物、爬行类、昆虫和常见鸟类。</w:t>
            </w:r>
          </w:p>
          <w:p>
            <w:pPr>
              <w:widowControl/>
              <w:snapToGrid w:val="0"/>
              <w:spacing w:line="360" w:lineRule="auto"/>
              <w:ind w:firstLine="480" w:firstLineChars="200"/>
              <w:rPr>
                <w:color w:val="auto"/>
                <w:sz w:val="24"/>
                <w:szCs w:val="22"/>
                <w:lang w:val="zh-CN"/>
              </w:rPr>
            </w:pPr>
            <w:r>
              <w:rPr>
                <w:color w:val="auto"/>
                <w:sz w:val="24"/>
                <w:szCs w:val="22"/>
                <w:lang w:val="zh-CN"/>
              </w:rPr>
              <w:t>项目</w:t>
            </w:r>
            <w:r>
              <w:rPr>
                <w:rFonts w:hint="eastAsia"/>
                <w:color w:val="auto"/>
                <w:sz w:val="24"/>
                <w:szCs w:val="22"/>
              </w:rPr>
              <w:t>施工</w:t>
            </w:r>
            <w:r>
              <w:rPr>
                <w:color w:val="auto"/>
                <w:sz w:val="24"/>
                <w:szCs w:val="22"/>
                <w:lang w:val="zh-CN"/>
              </w:rPr>
              <w:t>将使原栖息地上的动物丧失栖息地和觅食地，为觅食和寻找适宜的栖息地而向四周迁移。但</w:t>
            </w:r>
            <w:r>
              <w:rPr>
                <w:rFonts w:hint="eastAsia"/>
                <w:color w:val="auto"/>
                <w:sz w:val="24"/>
                <w:szCs w:val="22"/>
              </w:rPr>
              <w:t>区域</w:t>
            </w:r>
            <w:r>
              <w:rPr>
                <w:color w:val="auto"/>
                <w:sz w:val="24"/>
                <w:szCs w:val="22"/>
                <w:lang w:val="zh-CN"/>
              </w:rPr>
              <w:t>内动物都是些普通的常见种类，区域内地形、地貌、生境等因素对野生动物逃遁较为有利，</w:t>
            </w:r>
            <w:r>
              <w:rPr>
                <w:rFonts w:hint="eastAsia"/>
                <w:color w:val="auto"/>
                <w:sz w:val="24"/>
                <w:szCs w:val="22"/>
              </w:rPr>
              <w:t>周边</w:t>
            </w:r>
            <w:r>
              <w:rPr>
                <w:color w:val="auto"/>
                <w:sz w:val="24"/>
                <w:szCs w:val="22"/>
                <w:lang w:val="zh-CN"/>
              </w:rPr>
              <w:t>有大面积生境与项目开采所破坏的生境相似，只要它们不被人类捕杀，最终它们中的大多数将辗转至矿区周边其他地带。因此，项目开采所造成的原有动物迁移，不会影响区域野生动物群系组成，对整个区域的野生动物影响不大。</w:t>
            </w:r>
          </w:p>
          <w:p>
            <w:pPr>
              <w:widowControl/>
              <w:snapToGrid w:val="0"/>
              <w:spacing w:line="360" w:lineRule="auto"/>
              <w:ind w:firstLine="480" w:firstLineChars="200"/>
              <w:rPr>
                <w:color w:val="auto"/>
                <w:sz w:val="24"/>
                <w:szCs w:val="22"/>
                <w:lang w:val="zh-CN"/>
              </w:rPr>
            </w:pPr>
            <w:r>
              <w:rPr>
                <w:rFonts w:hint="eastAsia"/>
                <w:color w:val="auto"/>
                <w:sz w:val="24"/>
                <w:szCs w:val="22"/>
              </w:rPr>
              <w:t>（4</w:t>
            </w:r>
            <w:r>
              <w:rPr>
                <w:color w:val="auto"/>
                <w:sz w:val="24"/>
                <w:szCs w:val="22"/>
              </w:rPr>
              <w:t>）</w:t>
            </w:r>
            <w:r>
              <w:rPr>
                <w:color w:val="auto"/>
                <w:sz w:val="24"/>
                <w:szCs w:val="22"/>
                <w:lang w:val="zh-CN"/>
              </w:rPr>
              <w:t>水土流失影响及保护措施</w:t>
            </w:r>
          </w:p>
          <w:p>
            <w:pPr>
              <w:widowControl/>
              <w:snapToGrid w:val="0"/>
              <w:spacing w:line="360" w:lineRule="auto"/>
              <w:ind w:firstLine="480" w:firstLineChars="200"/>
              <w:rPr>
                <w:color w:val="auto"/>
                <w:sz w:val="24"/>
                <w:szCs w:val="22"/>
                <w:lang w:val="zh-CN"/>
              </w:rPr>
            </w:pPr>
            <w:r>
              <w:rPr>
                <w:color w:val="auto"/>
                <w:sz w:val="24"/>
                <w:szCs w:val="22"/>
                <w:lang w:val="zh-CN"/>
              </w:rPr>
              <w:t>项目</w:t>
            </w:r>
            <w:r>
              <w:rPr>
                <w:rFonts w:hint="eastAsia"/>
                <w:color w:val="auto"/>
                <w:sz w:val="24"/>
                <w:szCs w:val="22"/>
              </w:rPr>
              <w:t>施工过程中会进行土石挖方</w:t>
            </w:r>
            <w:r>
              <w:rPr>
                <w:color w:val="auto"/>
                <w:sz w:val="24"/>
                <w:szCs w:val="22"/>
                <w:lang w:val="zh-CN"/>
              </w:rPr>
              <w:t>，</w:t>
            </w:r>
            <w:r>
              <w:rPr>
                <w:rFonts w:hint="eastAsia"/>
                <w:color w:val="auto"/>
                <w:sz w:val="24"/>
                <w:szCs w:val="22"/>
              </w:rPr>
              <w:t>土石方</w:t>
            </w:r>
            <w:r>
              <w:rPr>
                <w:color w:val="auto"/>
                <w:sz w:val="24"/>
                <w:szCs w:val="22"/>
                <w:lang w:val="zh-CN"/>
              </w:rPr>
              <w:t>在降雨冲刷等外力作用下，</w:t>
            </w:r>
            <w:r>
              <w:rPr>
                <w:rFonts w:hint="eastAsia"/>
                <w:color w:val="auto"/>
                <w:sz w:val="24"/>
                <w:szCs w:val="22"/>
              </w:rPr>
              <w:t>易</w:t>
            </w:r>
            <w:r>
              <w:rPr>
                <w:color w:val="auto"/>
                <w:sz w:val="24"/>
                <w:szCs w:val="22"/>
                <w:lang w:val="zh-CN"/>
              </w:rPr>
              <w:t>发生水土流失。</w:t>
            </w:r>
          </w:p>
          <w:p>
            <w:pPr>
              <w:widowControl/>
              <w:snapToGrid w:val="0"/>
              <w:spacing w:line="360" w:lineRule="auto"/>
              <w:ind w:firstLine="480" w:firstLineChars="200"/>
              <w:rPr>
                <w:rFonts w:hint="eastAsia"/>
                <w:color w:val="auto"/>
                <w:sz w:val="24"/>
                <w:szCs w:val="22"/>
              </w:rPr>
            </w:pPr>
            <w:r>
              <w:rPr>
                <w:color w:val="auto"/>
                <w:sz w:val="24"/>
                <w:szCs w:val="22"/>
                <w:lang w:val="zh-CN"/>
              </w:rPr>
              <w:t>该地区暴雨后易形成径流</w:t>
            </w:r>
            <w:r>
              <w:rPr>
                <w:rFonts w:hint="eastAsia"/>
                <w:color w:val="auto"/>
                <w:sz w:val="24"/>
                <w:szCs w:val="22"/>
                <w:lang w:val="zh-CN"/>
              </w:rPr>
              <w:t>，</w:t>
            </w:r>
            <w:r>
              <w:rPr>
                <w:color w:val="auto"/>
                <w:sz w:val="24"/>
                <w:szCs w:val="22"/>
                <w:lang w:val="zh-CN"/>
              </w:rPr>
              <w:t>如果土建工程施工期运行期形成的裸露地及闲置地不及时采取防治措施，只要暴雨一冲刷，径流挟带泥沙冲向附近农田</w:t>
            </w:r>
            <w:r>
              <w:rPr>
                <w:rFonts w:hint="eastAsia"/>
                <w:color w:val="auto"/>
                <w:sz w:val="24"/>
                <w:szCs w:val="22"/>
              </w:rPr>
              <w:t>、居民区及道路等</w:t>
            </w:r>
            <w:r>
              <w:rPr>
                <w:color w:val="auto"/>
                <w:sz w:val="24"/>
                <w:szCs w:val="22"/>
                <w:lang w:val="zh-CN"/>
              </w:rPr>
              <w:t>，造成</w:t>
            </w:r>
            <w:r>
              <w:rPr>
                <w:rFonts w:hint="eastAsia"/>
                <w:color w:val="auto"/>
                <w:sz w:val="24"/>
                <w:szCs w:val="22"/>
              </w:rPr>
              <w:t>农田和道路污染，影响农业生产及居民生活。</w:t>
            </w:r>
          </w:p>
          <w:p>
            <w:pPr>
              <w:widowControl/>
              <w:snapToGrid w:val="0"/>
              <w:spacing w:line="360" w:lineRule="auto"/>
              <w:ind w:firstLine="480" w:firstLineChars="200"/>
              <w:rPr>
                <w:rFonts w:hint="eastAsia"/>
                <w:color w:val="auto"/>
                <w:sz w:val="24"/>
                <w:szCs w:val="22"/>
              </w:rPr>
            </w:pPr>
            <w:r>
              <w:rPr>
                <w:rFonts w:hint="eastAsia"/>
                <w:color w:val="auto"/>
                <w:sz w:val="24"/>
                <w:szCs w:val="22"/>
              </w:rPr>
              <w:t>因此施工单位在施工时一定要要注意防范，应采取必要的措施加以控制。环评建议采取以下防治：</w:t>
            </w:r>
          </w:p>
          <w:p>
            <w:pPr>
              <w:widowControl/>
              <w:snapToGrid w:val="0"/>
              <w:spacing w:line="360" w:lineRule="auto"/>
              <w:ind w:firstLine="480" w:firstLineChars="200"/>
              <w:rPr>
                <w:rFonts w:hint="eastAsia"/>
                <w:color w:val="auto"/>
                <w:sz w:val="24"/>
                <w:szCs w:val="22"/>
              </w:rPr>
            </w:pPr>
            <w:r>
              <w:rPr>
                <w:rFonts w:hint="eastAsia"/>
                <w:color w:val="auto"/>
                <w:sz w:val="24"/>
                <w:szCs w:val="22"/>
              </w:rPr>
              <w:t>①针对可能造成的水土流失状况，在施工场地四周应设置截排水沟，将区外汇集的雨水有序的沿产地周边外排，场地设置淋溶水沉淀池，可有效防治水土流失。</w:t>
            </w:r>
          </w:p>
          <w:p>
            <w:pPr>
              <w:widowControl/>
              <w:snapToGrid w:val="0"/>
              <w:spacing w:line="360" w:lineRule="auto"/>
              <w:ind w:firstLine="480" w:firstLineChars="200"/>
              <w:rPr>
                <w:rFonts w:hint="eastAsia"/>
                <w:color w:val="auto"/>
                <w:sz w:val="24"/>
                <w:szCs w:val="22"/>
              </w:rPr>
            </w:pPr>
            <w:r>
              <w:rPr>
                <w:rFonts w:hint="eastAsia"/>
                <w:color w:val="auto"/>
                <w:sz w:val="24"/>
                <w:szCs w:val="22"/>
              </w:rPr>
              <w:t>②施工时尽量土方开挖平衡，减少开挖量，作好各项排水、截水、防止水土流失的设计。</w:t>
            </w:r>
          </w:p>
          <w:p>
            <w:pPr>
              <w:adjustRightInd w:val="0"/>
              <w:snapToGrid w:val="0"/>
              <w:spacing w:line="360" w:lineRule="auto"/>
              <w:ind w:firstLine="480" w:firstLineChars="200"/>
              <w:rPr>
                <w:rFonts w:hint="eastAsia"/>
                <w:color w:val="auto"/>
                <w:sz w:val="24"/>
                <w:szCs w:val="22"/>
              </w:rPr>
            </w:pPr>
            <w:r>
              <w:rPr>
                <w:rFonts w:hint="eastAsia"/>
                <w:color w:val="auto"/>
                <w:sz w:val="24"/>
                <w:szCs w:val="22"/>
              </w:rPr>
              <w:t>③在施工中应合理安排施工计划、施工程序，协调好各个施工步骤，尽量减少开挖，并争取土料随挖随运，减少堆土、裸土的暴露时间，以免受降水的直接冲刷，在暴雨期，还应采取应急措施，尽量用覆盖新挖的陡坡，防止冲刷和塌崩。</w:t>
            </w:r>
          </w:p>
          <w:p>
            <w:pPr>
              <w:adjustRightInd w:val="0"/>
              <w:snapToGrid w:val="0"/>
              <w:spacing w:line="360" w:lineRule="auto"/>
              <w:ind w:firstLine="480" w:firstLineChars="200"/>
              <w:rPr>
                <w:rFonts w:hint="eastAsia"/>
                <w:color w:val="auto"/>
                <w:sz w:val="24"/>
                <w:szCs w:val="22"/>
              </w:rPr>
            </w:pPr>
          </w:p>
          <w:p>
            <w:pPr>
              <w:adjustRightInd w:val="0"/>
              <w:snapToGrid w:val="0"/>
              <w:spacing w:line="360" w:lineRule="auto"/>
              <w:ind w:firstLine="480" w:firstLineChars="200"/>
              <w:rPr>
                <w:rFonts w:hint="eastAsia"/>
                <w:color w:val="auto"/>
                <w:sz w:val="24"/>
                <w:szCs w:val="22"/>
              </w:rPr>
            </w:pPr>
          </w:p>
          <w:p>
            <w:pPr>
              <w:adjustRightInd w:val="0"/>
              <w:snapToGrid w:val="0"/>
              <w:spacing w:line="360" w:lineRule="auto"/>
              <w:ind w:firstLine="480" w:firstLineChars="200"/>
              <w:rPr>
                <w:rFonts w:hint="eastAsia"/>
                <w:color w:val="auto"/>
                <w:sz w:val="24"/>
                <w:szCs w:val="22"/>
              </w:rPr>
            </w:pPr>
          </w:p>
          <w:p>
            <w:pPr>
              <w:adjustRightInd w:val="0"/>
              <w:snapToGrid w:val="0"/>
              <w:spacing w:line="360" w:lineRule="auto"/>
              <w:ind w:firstLine="480" w:firstLineChars="200"/>
              <w:rPr>
                <w:rFonts w:hint="eastAsia"/>
                <w:color w:val="auto"/>
                <w:sz w:val="24"/>
                <w:szCs w:val="22"/>
              </w:rPr>
            </w:pPr>
          </w:p>
          <w:p>
            <w:pPr>
              <w:adjustRightInd w:val="0"/>
              <w:snapToGrid w:val="0"/>
              <w:spacing w:line="360" w:lineRule="auto"/>
              <w:ind w:firstLine="480" w:firstLineChars="200"/>
              <w:rPr>
                <w:rFonts w:hint="eastAsia"/>
                <w:color w:val="auto"/>
                <w:sz w:val="24"/>
                <w:szCs w:val="22"/>
              </w:rPr>
            </w:pPr>
          </w:p>
          <w:p>
            <w:pPr>
              <w:adjustRightInd w:val="0"/>
              <w:snapToGrid w:val="0"/>
              <w:spacing w:line="360" w:lineRule="auto"/>
              <w:ind w:firstLine="480" w:firstLineChars="200"/>
              <w:rPr>
                <w:rFonts w:hint="eastAsia"/>
                <w:color w:val="auto"/>
                <w:sz w:val="24"/>
                <w:szCs w:val="22"/>
              </w:rPr>
            </w:pPr>
          </w:p>
          <w:p>
            <w:pPr>
              <w:adjustRightInd w:val="0"/>
              <w:snapToGrid w:val="0"/>
              <w:spacing w:line="360" w:lineRule="auto"/>
              <w:ind w:firstLine="480" w:firstLineChars="200"/>
              <w:rPr>
                <w:rFonts w:hint="eastAsia"/>
                <w:color w:val="auto"/>
                <w:sz w:val="24"/>
                <w:szCs w:val="22"/>
              </w:rPr>
            </w:pPr>
          </w:p>
          <w:p>
            <w:pPr>
              <w:adjustRightInd w:val="0"/>
              <w:snapToGrid w:val="0"/>
              <w:spacing w:line="360" w:lineRule="auto"/>
              <w:ind w:firstLine="480" w:firstLineChars="200"/>
              <w:rPr>
                <w:rFonts w:hint="eastAsia"/>
                <w:color w:val="auto"/>
                <w:sz w:val="24"/>
                <w:szCs w:val="22"/>
              </w:rPr>
            </w:pPr>
          </w:p>
          <w:p>
            <w:pPr>
              <w:adjustRightInd w:val="0"/>
              <w:snapToGrid w:val="0"/>
              <w:spacing w:line="360" w:lineRule="auto"/>
              <w:ind w:firstLine="480" w:firstLineChars="200"/>
              <w:rPr>
                <w:rFonts w:hint="eastAsia"/>
                <w:color w:val="auto"/>
                <w:sz w:val="24"/>
                <w:szCs w:val="22"/>
              </w:rPr>
            </w:pPr>
          </w:p>
          <w:p>
            <w:pPr>
              <w:adjustRightInd w:val="0"/>
              <w:snapToGrid w:val="0"/>
              <w:spacing w:line="360" w:lineRule="auto"/>
              <w:ind w:firstLine="480" w:firstLineChars="200"/>
              <w:rPr>
                <w:rFonts w:hint="eastAsia"/>
                <w:color w:val="auto"/>
                <w:sz w:val="24"/>
                <w:szCs w:val="22"/>
              </w:rPr>
            </w:pPr>
          </w:p>
          <w:p>
            <w:pPr>
              <w:adjustRightInd w:val="0"/>
              <w:snapToGrid w:val="0"/>
              <w:spacing w:line="360" w:lineRule="auto"/>
              <w:ind w:firstLine="480" w:firstLineChars="200"/>
              <w:rPr>
                <w:color w:val="auto"/>
                <w:sz w:val="24"/>
                <w:szCs w:val="22"/>
              </w:rPr>
            </w:pPr>
          </w:p>
        </w:tc>
      </w:tr>
    </w:tbl>
    <w:p>
      <w:pPr>
        <w:jc w:val="center"/>
        <w:outlineLvl w:val="0"/>
        <w:rPr>
          <w:rFonts w:eastAsia="黑体"/>
          <w:b/>
          <w:bCs/>
          <w:snapToGrid w:val="0"/>
          <w:color w:val="auto"/>
          <w:sz w:val="30"/>
          <w:szCs w:val="30"/>
        </w:rPr>
        <w:sectPr>
          <w:pgSz w:w="11907" w:h="16840"/>
          <w:pgMar w:top="1440" w:right="1083" w:bottom="1440" w:left="1083" w:header="851" w:footer="851" w:gutter="0"/>
          <w:cols w:space="720" w:num="1"/>
          <w:docGrid w:linePitch="312" w:charSpace="0"/>
        </w:sectPr>
      </w:pPr>
    </w:p>
    <w:tbl>
      <w:tblPr>
        <w:tblStyle w:val="8"/>
        <w:tblW w:w="506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36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6" w:type="pct"/>
            <w:noWrap w:val="0"/>
            <w:tcMar>
              <w:left w:w="28" w:type="dxa"/>
              <w:right w:w="28" w:type="dxa"/>
            </w:tcMar>
            <w:vAlign w:val="center"/>
          </w:tcPr>
          <w:p>
            <w:pPr>
              <w:adjustRightInd w:val="0"/>
              <w:snapToGrid w:val="0"/>
              <w:jc w:val="center"/>
              <w:rPr>
                <w:b/>
                <w:color w:val="auto"/>
                <w:sz w:val="24"/>
              </w:rPr>
            </w:pPr>
            <w:r>
              <w:rPr>
                <w:b/>
                <w:color w:val="auto"/>
                <w:sz w:val="24"/>
              </w:rPr>
              <w:t>运营期环境影响和保护措施</w:t>
            </w:r>
          </w:p>
        </w:tc>
        <w:tc>
          <w:tcPr>
            <w:tcW w:w="4793" w:type="pct"/>
            <w:noWrap w:val="0"/>
            <w:vAlign w:val="center"/>
          </w:tcPr>
          <w:p>
            <w:pPr>
              <w:adjustRightInd w:val="0"/>
              <w:snapToGrid w:val="0"/>
              <w:spacing w:line="360" w:lineRule="auto"/>
              <w:ind w:firstLine="442" w:firstLineChars="200"/>
              <w:rPr>
                <w:b/>
                <w:color w:val="auto"/>
                <w:spacing w:val="-10"/>
                <w:sz w:val="24"/>
              </w:rPr>
            </w:pPr>
            <w:r>
              <w:rPr>
                <w:b/>
                <w:color w:val="auto"/>
                <w:spacing w:val="-10"/>
                <w:sz w:val="24"/>
              </w:rPr>
              <w:t>（一）废气</w:t>
            </w:r>
          </w:p>
          <w:p>
            <w:pPr>
              <w:adjustRightInd w:val="0"/>
              <w:snapToGrid w:val="0"/>
              <w:spacing w:line="360" w:lineRule="auto"/>
              <w:ind w:firstLine="442" w:firstLineChars="200"/>
              <w:rPr>
                <w:b/>
                <w:color w:val="auto"/>
                <w:spacing w:val="-10"/>
                <w:sz w:val="24"/>
              </w:rPr>
            </w:pPr>
            <w:r>
              <w:rPr>
                <w:b/>
                <w:color w:val="auto"/>
                <w:spacing w:val="-10"/>
                <w:sz w:val="24"/>
              </w:rPr>
              <w:t>1.废气污染物排放源</w:t>
            </w:r>
          </w:p>
          <w:p>
            <w:pPr>
              <w:adjustRightInd w:val="0"/>
              <w:snapToGrid w:val="0"/>
              <w:ind w:firstLine="482" w:firstLineChars="200"/>
              <w:jc w:val="center"/>
              <w:rPr>
                <w:b/>
                <w:color w:val="auto"/>
                <w:kern w:val="0"/>
                <w:sz w:val="24"/>
              </w:rPr>
            </w:pPr>
            <w:r>
              <w:rPr>
                <w:b/>
                <w:color w:val="auto"/>
                <w:kern w:val="0"/>
                <w:sz w:val="24"/>
              </w:rPr>
              <w:t>表4-1  本项目废气污染物排放源情况表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996"/>
              <w:gridCol w:w="846"/>
              <w:gridCol w:w="803"/>
              <w:gridCol w:w="908"/>
              <w:gridCol w:w="880"/>
              <w:gridCol w:w="2088"/>
              <w:gridCol w:w="799"/>
              <w:gridCol w:w="724"/>
              <w:gridCol w:w="923"/>
              <w:gridCol w:w="917"/>
              <w:gridCol w:w="812"/>
              <w:gridCol w:w="812"/>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vMerge w:val="restart"/>
                  <w:noWrap w:val="0"/>
                  <w:vAlign w:val="center"/>
                </w:tcPr>
                <w:p>
                  <w:pPr>
                    <w:topLinePunct/>
                    <w:snapToGrid w:val="0"/>
                    <w:jc w:val="center"/>
                    <w:rPr>
                      <w:b/>
                      <w:bCs/>
                      <w:color w:val="auto"/>
                      <w:szCs w:val="21"/>
                    </w:rPr>
                  </w:pPr>
                  <w:r>
                    <w:rPr>
                      <w:b/>
                      <w:bCs/>
                      <w:color w:val="auto"/>
                      <w:szCs w:val="21"/>
                    </w:rPr>
                    <w:t>产排污</w:t>
                  </w:r>
                </w:p>
                <w:p>
                  <w:pPr>
                    <w:topLinePunct/>
                    <w:snapToGrid w:val="0"/>
                    <w:jc w:val="center"/>
                    <w:rPr>
                      <w:b/>
                      <w:color w:val="auto"/>
                      <w:spacing w:val="-10"/>
                      <w:szCs w:val="21"/>
                    </w:rPr>
                  </w:pPr>
                  <w:r>
                    <w:rPr>
                      <w:b/>
                      <w:bCs/>
                      <w:color w:val="auto"/>
                      <w:szCs w:val="21"/>
                    </w:rPr>
                    <w:t>环节</w:t>
                  </w:r>
                </w:p>
              </w:tc>
              <w:tc>
                <w:tcPr>
                  <w:tcW w:w="370" w:type="pct"/>
                  <w:vMerge w:val="restart"/>
                  <w:noWrap w:val="0"/>
                  <w:vAlign w:val="center"/>
                </w:tcPr>
                <w:p>
                  <w:pPr>
                    <w:adjustRightInd w:val="0"/>
                    <w:snapToGrid w:val="0"/>
                    <w:jc w:val="center"/>
                    <w:rPr>
                      <w:b/>
                      <w:color w:val="auto"/>
                      <w:spacing w:val="-10"/>
                      <w:szCs w:val="21"/>
                    </w:rPr>
                  </w:pPr>
                  <w:r>
                    <w:rPr>
                      <w:b/>
                      <w:color w:val="auto"/>
                      <w:spacing w:val="-10"/>
                      <w:szCs w:val="21"/>
                    </w:rPr>
                    <w:t>污染</w:t>
                  </w:r>
                </w:p>
                <w:p>
                  <w:pPr>
                    <w:adjustRightInd w:val="0"/>
                    <w:snapToGrid w:val="0"/>
                    <w:jc w:val="center"/>
                    <w:rPr>
                      <w:b/>
                      <w:color w:val="auto"/>
                      <w:spacing w:val="-10"/>
                      <w:szCs w:val="21"/>
                    </w:rPr>
                  </w:pPr>
                  <w:r>
                    <w:rPr>
                      <w:b/>
                      <w:color w:val="auto"/>
                      <w:spacing w:val="-10"/>
                      <w:szCs w:val="21"/>
                    </w:rPr>
                    <w:t>物</w:t>
                  </w:r>
                </w:p>
              </w:tc>
              <w:tc>
                <w:tcPr>
                  <w:tcW w:w="314" w:type="pct"/>
                  <w:vMerge w:val="restart"/>
                  <w:noWrap w:val="0"/>
                  <w:vAlign w:val="center"/>
                </w:tcPr>
                <w:p>
                  <w:pPr>
                    <w:adjustRightInd w:val="0"/>
                    <w:snapToGrid w:val="0"/>
                    <w:jc w:val="center"/>
                    <w:rPr>
                      <w:b/>
                      <w:color w:val="auto"/>
                      <w:spacing w:val="-10"/>
                      <w:szCs w:val="21"/>
                    </w:rPr>
                  </w:pPr>
                  <w:r>
                    <w:rPr>
                      <w:b/>
                      <w:color w:val="auto"/>
                      <w:spacing w:val="-10"/>
                      <w:szCs w:val="21"/>
                    </w:rPr>
                    <w:t>排放</w:t>
                  </w:r>
                </w:p>
                <w:p>
                  <w:pPr>
                    <w:adjustRightInd w:val="0"/>
                    <w:snapToGrid w:val="0"/>
                    <w:jc w:val="center"/>
                    <w:rPr>
                      <w:b/>
                      <w:color w:val="auto"/>
                      <w:spacing w:val="-10"/>
                      <w:szCs w:val="21"/>
                    </w:rPr>
                  </w:pPr>
                  <w:r>
                    <w:rPr>
                      <w:b/>
                      <w:color w:val="auto"/>
                      <w:spacing w:val="-10"/>
                      <w:szCs w:val="21"/>
                    </w:rPr>
                    <w:t>方式</w:t>
                  </w:r>
                </w:p>
              </w:tc>
              <w:tc>
                <w:tcPr>
                  <w:tcW w:w="962" w:type="pct"/>
                  <w:gridSpan w:val="3"/>
                  <w:noWrap w:val="0"/>
                  <w:vAlign w:val="center"/>
                </w:tcPr>
                <w:p>
                  <w:pPr>
                    <w:adjustRightInd w:val="0"/>
                    <w:snapToGrid w:val="0"/>
                    <w:jc w:val="center"/>
                    <w:rPr>
                      <w:b/>
                      <w:color w:val="auto"/>
                      <w:spacing w:val="-10"/>
                      <w:szCs w:val="21"/>
                    </w:rPr>
                  </w:pPr>
                  <w:r>
                    <w:rPr>
                      <w:b/>
                      <w:color w:val="auto"/>
                      <w:spacing w:val="-10"/>
                      <w:szCs w:val="21"/>
                    </w:rPr>
                    <w:t>产生情况</w:t>
                  </w:r>
                </w:p>
              </w:tc>
              <w:tc>
                <w:tcPr>
                  <w:tcW w:w="2026" w:type="pct"/>
                  <w:gridSpan w:val="5"/>
                  <w:noWrap w:val="0"/>
                  <w:vAlign w:val="center"/>
                </w:tcPr>
                <w:p>
                  <w:pPr>
                    <w:topLinePunct/>
                    <w:snapToGrid w:val="0"/>
                    <w:jc w:val="center"/>
                    <w:rPr>
                      <w:b/>
                      <w:color w:val="auto"/>
                      <w:spacing w:val="-10"/>
                      <w:szCs w:val="21"/>
                    </w:rPr>
                  </w:pPr>
                  <w:r>
                    <w:rPr>
                      <w:b/>
                      <w:bCs/>
                      <w:color w:val="auto"/>
                      <w:szCs w:val="21"/>
                    </w:rPr>
                    <w:t>治理设施</w:t>
                  </w:r>
                </w:p>
              </w:tc>
              <w:tc>
                <w:tcPr>
                  <w:tcW w:w="914" w:type="pct"/>
                  <w:gridSpan w:val="3"/>
                  <w:noWrap w:val="0"/>
                  <w:vAlign w:val="center"/>
                </w:tcPr>
                <w:p>
                  <w:pPr>
                    <w:adjustRightInd w:val="0"/>
                    <w:snapToGrid w:val="0"/>
                    <w:jc w:val="center"/>
                    <w:rPr>
                      <w:b/>
                      <w:color w:val="auto"/>
                      <w:spacing w:val="-10"/>
                      <w:szCs w:val="21"/>
                    </w:rPr>
                  </w:pPr>
                  <w:r>
                    <w:rPr>
                      <w:b/>
                      <w:color w:val="auto"/>
                      <w:spacing w:val="-10"/>
                      <w:szCs w:val="21"/>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vMerge w:val="continue"/>
                  <w:noWrap w:val="0"/>
                  <w:vAlign w:val="center"/>
                </w:tcPr>
                <w:p>
                  <w:pPr>
                    <w:adjustRightInd w:val="0"/>
                    <w:snapToGrid w:val="0"/>
                    <w:jc w:val="center"/>
                    <w:rPr>
                      <w:color w:val="auto"/>
                      <w:szCs w:val="21"/>
                    </w:rPr>
                  </w:pPr>
                </w:p>
              </w:tc>
              <w:tc>
                <w:tcPr>
                  <w:tcW w:w="370" w:type="pct"/>
                  <w:vMerge w:val="continue"/>
                  <w:noWrap w:val="0"/>
                  <w:vAlign w:val="center"/>
                </w:tcPr>
                <w:p>
                  <w:pPr>
                    <w:adjustRightInd w:val="0"/>
                    <w:snapToGrid w:val="0"/>
                    <w:jc w:val="center"/>
                    <w:rPr>
                      <w:color w:val="auto"/>
                      <w:szCs w:val="21"/>
                    </w:rPr>
                  </w:pPr>
                </w:p>
              </w:tc>
              <w:tc>
                <w:tcPr>
                  <w:tcW w:w="314" w:type="pct"/>
                  <w:vMerge w:val="continue"/>
                  <w:noWrap w:val="0"/>
                  <w:vAlign w:val="center"/>
                </w:tcPr>
                <w:p>
                  <w:pPr>
                    <w:adjustRightInd w:val="0"/>
                    <w:snapToGrid w:val="0"/>
                    <w:jc w:val="center"/>
                    <w:rPr>
                      <w:color w:val="auto"/>
                      <w:szCs w:val="21"/>
                    </w:rPr>
                  </w:pPr>
                </w:p>
              </w:tc>
              <w:tc>
                <w:tcPr>
                  <w:tcW w:w="298" w:type="pct"/>
                  <w:noWrap w:val="0"/>
                  <w:vAlign w:val="center"/>
                </w:tcPr>
                <w:p>
                  <w:pPr>
                    <w:topLinePunct/>
                    <w:snapToGrid w:val="0"/>
                    <w:jc w:val="center"/>
                    <w:rPr>
                      <w:b/>
                      <w:bCs/>
                      <w:color w:val="auto"/>
                      <w:szCs w:val="21"/>
                    </w:rPr>
                  </w:pPr>
                  <w:r>
                    <w:rPr>
                      <w:b/>
                      <w:bCs/>
                      <w:color w:val="auto"/>
                      <w:szCs w:val="21"/>
                    </w:rPr>
                    <w:t>产生</w:t>
                  </w:r>
                </w:p>
                <w:p>
                  <w:pPr>
                    <w:topLinePunct/>
                    <w:snapToGrid w:val="0"/>
                    <w:jc w:val="center"/>
                    <w:rPr>
                      <w:b/>
                      <w:bCs/>
                      <w:color w:val="auto"/>
                      <w:szCs w:val="21"/>
                    </w:rPr>
                  </w:pPr>
                  <w:r>
                    <w:rPr>
                      <w:b/>
                      <w:bCs/>
                      <w:color w:val="auto"/>
                      <w:szCs w:val="21"/>
                    </w:rPr>
                    <w:t>量</w:t>
                  </w:r>
                </w:p>
                <w:p>
                  <w:pPr>
                    <w:topLinePunct/>
                    <w:snapToGrid w:val="0"/>
                    <w:jc w:val="center"/>
                    <w:rPr>
                      <w:b/>
                      <w:color w:val="auto"/>
                      <w:spacing w:val="-10"/>
                      <w:szCs w:val="21"/>
                    </w:rPr>
                  </w:pPr>
                  <w:r>
                    <w:rPr>
                      <w:b/>
                      <w:bCs/>
                      <w:color w:val="auto"/>
                      <w:szCs w:val="21"/>
                    </w:rPr>
                    <w:t>t/a</w:t>
                  </w:r>
                </w:p>
              </w:tc>
              <w:tc>
                <w:tcPr>
                  <w:tcW w:w="337" w:type="pct"/>
                  <w:noWrap w:val="0"/>
                  <w:vAlign w:val="center"/>
                </w:tcPr>
                <w:p>
                  <w:pPr>
                    <w:topLinePunct/>
                    <w:snapToGrid w:val="0"/>
                    <w:jc w:val="center"/>
                    <w:rPr>
                      <w:b/>
                      <w:bCs/>
                      <w:color w:val="auto"/>
                      <w:szCs w:val="21"/>
                    </w:rPr>
                  </w:pPr>
                  <w:r>
                    <w:rPr>
                      <w:b/>
                      <w:bCs/>
                      <w:color w:val="auto"/>
                      <w:szCs w:val="21"/>
                    </w:rPr>
                    <w:t>产生</w:t>
                  </w:r>
                </w:p>
                <w:p>
                  <w:pPr>
                    <w:topLinePunct/>
                    <w:snapToGrid w:val="0"/>
                    <w:jc w:val="center"/>
                    <w:rPr>
                      <w:b/>
                      <w:bCs/>
                      <w:color w:val="auto"/>
                      <w:szCs w:val="21"/>
                    </w:rPr>
                  </w:pPr>
                  <w:r>
                    <w:rPr>
                      <w:b/>
                      <w:bCs/>
                      <w:color w:val="auto"/>
                      <w:szCs w:val="21"/>
                    </w:rPr>
                    <w:t>速率</w:t>
                  </w:r>
                </w:p>
                <w:p>
                  <w:pPr>
                    <w:topLinePunct/>
                    <w:snapToGrid w:val="0"/>
                    <w:jc w:val="center"/>
                    <w:rPr>
                      <w:b/>
                      <w:color w:val="auto"/>
                      <w:spacing w:val="-10"/>
                      <w:szCs w:val="21"/>
                    </w:rPr>
                  </w:pPr>
                  <w:r>
                    <w:rPr>
                      <w:b/>
                      <w:color w:val="auto"/>
                      <w:spacing w:val="-10"/>
                      <w:szCs w:val="21"/>
                    </w:rPr>
                    <w:t>kg/h</w:t>
                  </w:r>
                </w:p>
              </w:tc>
              <w:tc>
                <w:tcPr>
                  <w:tcW w:w="326" w:type="pct"/>
                  <w:noWrap w:val="0"/>
                  <w:vAlign w:val="center"/>
                </w:tcPr>
                <w:p>
                  <w:pPr>
                    <w:topLinePunct/>
                    <w:snapToGrid w:val="0"/>
                    <w:jc w:val="center"/>
                    <w:rPr>
                      <w:b/>
                      <w:bCs/>
                      <w:color w:val="auto"/>
                      <w:szCs w:val="21"/>
                    </w:rPr>
                  </w:pPr>
                  <w:r>
                    <w:rPr>
                      <w:b/>
                      <w:bCs/>
                      <w:color w:val="auto"/>
                      <w:szCs w:val="21"/>
                    </w:rPr>
                    <w:t>产生</w:t>
                  </w:r>
                </w:p>
                <w:p>
                  <w:pPr>
                    <w:topLinePunct/>
                    <w:snapToGrid w:val="0"/>
                    <w:jc w:val="center"/>
                    <w:rPr>
                      <w:b/>
                      <w:bCs/>
                      <w:color w:val="auto"/>
                      <w:szCs w:val="21"/>
                    </w:rPr>
                  </w:pPr>
                  <w:r>
                    <w:rPr>
                      <w:b/>
                      <w:bCs/>
                      <w:color w:val="auto"/>
                      <w:szCs w:val="21"/>
                    </w:rPr>
                    <w:t>浓度</w:t>
                  </w:r>
                </w:p>
                <w:p>
                  <w:pPr>
                    <w:topLinePunct/>
                    <w:snapToGrid w:val="0"/>
                    <w:jc w:val="center"/>
                    <w:rPr>
                      <w:b/>
                      <w:bCs/>
                      <w:color w:val="auto"/>
                      <w:szCs w:val="21"/>
                    </w:rPr>
                  </w:pPr>
                  <w:r>
                    <w:rPr>
                      <w:b/>
                      <w:bCs/>
                      <w:color w:val="auto"/>
                      <w:szCs w:val="21"/>
                    </w:rPr>
                    <w:t>mg/m</w:t>
                  </w:r>
                  <w:r>
                    <w:rPr>
                      <w:b/>
                      <w:bCs/>
                      <w:color w:val="auto"/>
                      <w:szCs w:val="21"/>
                      <w:vertAlign w:val="superscript"/>
                    </w:rPr>
                    <w:t>3</w:t>
                  </w:r>
                </w:p>
              </w:tc>
              <w:tc>
                <w:tcPr>
                  <w:tcW w:w="776" w:type="pct"/>
                  <w:noWrap w:val="0"/>
                  <w:vAlign w:val="center"/>
                </w:tcPr>
                <w:p>
                  <w:pPr>
                    <w:topLinePunct/>
                    <w:snapToGrid w:val="0"/>
                    <w:jc w:val="center"/>
                    <w:rPr>
                      <w:b/>
                      <w:color w:val="auto"/>
                      <w:spacing w:val="-10"/>
                      <w:szCs w:val="21"/>
                    </w:rPr>
                  </w:pPr>
                  <w:r>
                    <w:rPr>
                      <w:b/>
                      <w:bCs/>
                      <w:color w:val="auto"/>
                      <w:szCs w:val="21"/>
                    </w:rPr>
                    <w:t>处理工艺</w:t>
                  </w:r>
                </w:p>
              </w:tc>
              <w:tc>
                <w:tcPr>
                  <w:tcW w:w="297" w:type="pct"/>
                  <w:noWrap w:val="0"/>
                  <w:vAlign w:val="center"/>
                </w:tcPr>
                <w:p>
                  <w:pPr>
                    <w:topLinePunct/>
                    <w:snapToGrid w:val="0"/>
                    <w:jc w:val="center"/>
                    <w:rPr>
                      <w:b/>
                      <w:bCs/>
                      <w:color w:val="auto"/>
                      <w:szCs w:val="21"/>
                    </w:rPr>
                  </w:pPr>
                  <w:r>
                    <w:rPr>
                      <w:b/>
                      <w:bCs/>
                      <w:color w:val="auto"/>
                      <w:szCs w:val="21"/>
                    </w:rPr>
                    <w:t>处理</w:t>
                  </w:r>
                </w:p>
                <w:p>
                  <w:pPr>
                    <w:topLinePunct/>
                    <w:snapToGrid w:val="0"/>
                    <w:jc w:val="center"/>
                    <w:rPr>
                      <w:b/>
                      <w:bCs/>
                      <w:color w:val="auto"/>
                      <w:szCs w:val="21"/>
                    </w:rPr>
                  </w:pPr>
                  <w:r>
                    <w:rPr>
                      <w:b/>
                      <w:bCs/>
                      <w:color w:val="auto"/>
                      <w:szCs w:val="21"/>
                    </w:rPr>
                    <w:t>能力</w:t>
                  </w:r>
                </w:p>
                <w:p>
                  <w:pPr>
                    <w:topLinePunct/>
                    <w:snapToGrid w:val="0"/>
                    <w:jc w:val="center"/>
                    <w:rPr>
                      <w:b/>
                      <w:bCs/>
                      <w:color w:val="auto"/>
                      <w:szCs w:val="21"/>
                    </w:rPr>
                  </w:pPr>
                  <w:r>
                    <w:rPr>
                      <w:b/>
                      <w:bCs/>
                      <w:color w:val="auto"/>
                      <w:szCs w:val="21"/>
                    </w:rPr>
                    <w:t>m</w:t>
                  </w:r>
                  <w:r>
                    <w:rPr>
                      <w:b/>
                      <w:bCs/>
                      <w:color w:val="auto"/>
                      <w:szCs w:val="21"/>
                      <w:vertAlign w:val="superscript"/>
                    </w:rPr>
                    <w:t>3</w:t>
                  </w:r>
                  <w:r>
                    <w:rPr>
                      <w:b/>
                      <w:bCs/>
                      <w:color w:val="auto"/>
                      <w:szCs w:val="21"/>
                    </w:rPr>
                    <w:t>/h</w:t>
                  </w:r>
                </w:p>
              </w:tc>
              <w:tc>
                <w:tcPr>
                  <w:tcW w:w="269" w:type="pct"/>
                  <w:noWrap w:val="0"/>
                  <w:vAlign w:val="center"/>
                </w:tcPr>
                <w:p>
                  <w:pPr>
                    <w:topLinePunct/>
                    <w:snapToGrid w:val="0"/>
                    <w:jc w:val="center"/>
                    <w:rPr>
                      <w:b/>
                      <w:bCs/>
                      <w:color w:val="auto"/>
                      <w:szCs w:val="21"/>
                    </w:rPr>
                  </w:pPr>
                  <w:r>
                    <w:rPr>
                      <w:b/>
                      <w:bCs/>
                      <w:color w:val="auto"/>
                      <w:szCs w:val="21"/>
                    </w:rPr>
                    <w:t>收集效率</w:t>
                  </w:r>
                </w:p>
                <w:p>
                  <w:pPr>
                    <w:topLinePunct/>
                    <w:snapToGrid w:val="0"/>
                    <w:jc w:val="center"/>
                    <w:rPr>
                      <w:b/>
                      <w:color w:val="auto"/>
                      <w:spacing w:val="-10"/>
                      <w:szCs w:val="21"/>
                    </w:rPr>
                  </w:pPr>
                  <w:r>
                    <w:rPr>
                      <w:b/>
                      <w:bCs/>
                      <w:color w:val="auto"/>
                      <w:szCs w:val="21"/>
                    </w:rPr>
                    <w:t>%</w:t>
                  </w:r>
                </w:p>
              </w:tc>
              <w:tc>
                <w:tcPr>
                  <w:tcW w:w="343" w:type="pct"/>
                  <w:noWrap w:val="0"/>
                  <w:vAlign w:val="center"/>
                </w:tcPr>
                <w:p>
                  <w:pPr>
                    <w:topLinePunct/>
                    <w:snapToGrid w:val="0"/>
                    <w:jc w:val="center"/>
                    <w:rPr>
                      <w:b/>
                      <w:bCs/>
                      <w:color w:val="auto"/>
                      <w:szCs w:val="21"/>
                    </w:rPr>
                  </w:pPr>
                  <w:r>
                    <w:rPr>
                      <w:b/>
                      <w:bCs/>
                      <w:color w:val="auto"/>
                      <w:szCs w:val="21"/>
                    </w:rPr>
                    <w:t>去除</w:t>
                  </w:r>
                </w:p>
                <w:p>
                  <w:pPr>
                    <w:topLinePunct/>
                    <w:snapToGrid w:val="0"/>
                    <w:jc w:val="center"/>
                    <w:rPr>
                      <w:b/>
                      <w:bCs/>
                      <w:color w:val="auto"/>
                      <w:szCs w:val="21"/>
                    </w:rPr>
                  </w:pPr>
                  <w:r>
                    <w:rPr>
                      <w:b/>
                      <w:bCs/>
                      <w:color w:val="auto"/>
                      <w:szCs w:val="21"/>
                    </w:rPr>
                    <w:t>效率</w:t>
                  </w:r>
                </w:p>
                <w:p>
                  <w:pPr>
                    <w:topLinePunct/>
                    <w:snapToGrid w:val="0"/>
                    <w:jc w:val="center"/>
                    <w:rPr>
                      <w:b/>
                      <w:color w:val="auto"/>
                      <w:spacing w:val="-10"/>
                      <w:szCs w:val="21"/>
                    </w:rPr>
                  </w:pPr>
                  <w:r>
                    <w:rPr>
                      <w:b/>
                      <w:bCs/>
                      <w:color w:val="auto"/>
                      <w:szCs w:val="21"/>
                    </w:rPr>
                    <w:t>%</w:t>
                  </w:r>
                </w:p>
              </w:tc>
              <w:tc>
                <w:tcPr>
                  <w:tcW w:w="339" w:type="pct"/>
                  <w:noWrap w:val="0"/>
                  <w:vAlign w:val="center"/>
                </w:tcPr>
                <w:p>
                  <w:pPr>
                    <w:topLinePunct/>
                    <w:snapToGrid w:val="0"/>
                    <w:jc w:val="center"/>
                    <w:rPr>
                      <w:color w:val="auto"/>
                      <w:szCs w:val="21"/>
                    </w:rPr>
                  </w:pPr>
                  <w:r>
                    <w:rPr>
                      <w:b/>
                      <w:bCs/>
                      <w:color w:val="auto"/>
                      <w:szCs w:val="21"/>
                    </w:rPr>
                    <w:t>是否为可行技术</w:t>
                  </w:r>
                </w:p>
              </w:tc>
              <w:tc>
                <w:tcPr>
                  <w:tcW w:w="302" w:type="pct"/>
                  <w:noWrap w:val="0"/>
                  <w:vAlign w:val="center"/>
                </w:tcPr>
                <w:p>
                  <w:pPr>
                    <w:topLinePunct/>
                    <w:snapToGrid w:val="0"/>
                    <w:jc w:val="center"/>
                    <w:rPr>
                      <w:b/>
                      <w:bCs/>
                      <w:color w:val="auto"/>
                      <w:szCs w:val="21"/>
                    </w:rPr>
                  </w:pPr>
                  <w:r>
                    <w:rPr>
                      <w:b/>
                      <w:bCs/>
                      <w:color w:val="auto"/>
                      <w:szCs w:val="21"/>
                    </w:rPr>
                    <w:t>排放量</w:t>
                  </w:r>
                </w:p>
                <w:p>
                  <w:pPr>
                    <w:topLinePunct/>
                    <w:snapToGrid w:val="0"/>
                    <w:jc w:val="center"/>
                    <w:rPr>
                      <w:b/>
                      <w:color w:val="auto"/>
                      <w:spacing w:val="-10"/>
                      <w:szCs w:val="21"/>
                    </w:rPr>
                  </w:pPr>
                  <w:r>
                    <w:rPr>
                      <w:b/>
                      <w:bCs/>
                      <w:color w:val="auto"/>
                      <w:szCs w:val="21"/>
                    </w:rPr>
                    <w:t>t/a</w:t>
                  </w:r>
                </w:p>
              </w:tc>
              <w:tc>
                <w:tcPr>
                  <w:tcW w:w="302" w:type="pct"/>
                  <w:noWrap w:val="0"/>
                  <w:vAlign w:val="center"/>
                </w:tcPr>
                <w:p>
                  <w:pPr>
                    <w:topLinePunct/>
                    <w:snapToGrid w:val="0"/>
                    <w:jc w:val="center"/>
                    <w:rPr>
                      <w:b/>
                      <w:bCs/>
                      <w:color w:val="auto"/>
                      <w:szCs w:val="21"/>
                    </w:rPr>
                  </w:pPr>
                  <w:r>
                    <w:rPr>
                      <w:b/>
                      <w:bCs/>
                      <w:color w:val="auto"/>
                      <w:szCs w:val="21"/>
                    </w:rPr>
                    <w:t>排放</w:t>
                  </w:r>
                </w:p>
                <w:p>
                  <w:pPr>
                    <w:topLinePunct/>
                    <w:snapToGrid w:val="0"/>
                    <w:jc w:val="center"/>
                    <w:rPr>
                      <w:b/>
                      <w:bCs/>
                      <w:color w:val="auto"/>
                      <w:szCs w:val="21"/>
                    </w:rPr>
                  </w:pPr>
                  <w:r>
                    <w:rPr>
                      <w:b/>
                      <w:bCs/>
                      <w:color w:val="auto"/>
                      <w:szCs w:val="21"/>
                    </w:rPr>
                    <w:t>速率</w:t>
                  </w:r>
                </w:p>
                <w:p>
                  <w:pPr>
                    <w:topLinePunct/>
                    <w:snapToGrid w:val="0"/>
                    <w:jc w:val="center"/>
                    <w:rPr>
                      <w:b/>
                      <w:color w:val="auto"/>
                      <w:spacing w:val="-10"/>
                      <w:szCs w:val="21"/>
                    </w:rPr>
                  </w:pPr>
                  <w:r>
                    <w:rPr>
                      <w:b/>
                      <w:bCs/>
                      <w:color w:val="auto"/>
                      <w:szCs w:val="21"/>
                    </w:rPr>
                    <w:t>kg/h</w:t>
                  </w:r>
                </w:p>
              </w:tc>
              <w:tc>
                <w:tcPr>
                  <w:tcW w:w="310" w:type="pct"/>
                  <w:noWrap w:val="0"/>
                  <w:vAlign w:val="center"/>
                </w:tcPr>
                <w:p>
                  <w:pPr>
                    <w:topLinePunct/>
                    <w:snapToGrid w:val="0"/>
                    <w:jc w:val="center"/>
                    <w:rPr>
                      <w:b/>
                      <w:bCs/>
                      <w:color w:val="auto"/>
                      <w:szCs w:val="21"/>
                    </w:rPr>
                  </w:pPr>
                  <w:r>
                    <w:rPr>
                      <w:b/>
                      <w:bCs/>
                      <w:color w:val="auto"/>
                      <w:szCs w:val="21"/>
                    </w:rPr>
                    <w:t>排放</w:t>
                  </w:r>
                </w:p>
                <w:p>
                  <w:pPr>
                    <w:topLinePunct/>
                    <w:snapToGrid w:val="0"/>
                    <w:jc w:val="center"/>
                    <w:rPr>
                      <w:b/>
                      <w:bCs/>
                      <w:color w:val="auto"/>
                      <w:szCs w:val="21"/>
                    </w:rPr>
                  </w:pPr>
                  <w:r>
                    <w:rPr>
                      <w:b/>
                      <w:bCs/>
                      <w:color w:val="auto"/>
                      <w:szCs w:val="21"/>
                    </w:rPr>
                    <w:t>浓度</w:t>
                  </w:r>
                </w:p>
                <w:p>
                  <w:pPr>
                    <w:topLinePunct/>
                    <w:snapToGrid w:val="0"/>
                    <w:jc w:val="center"/>
                    <w:rPr>
                      <w:b/>
                      <w:color w:val="auto"/>
                      <w:spacing w:val="-10"/>
                      <w:szCs w:val="21"/>
                    </w:rPr>
                  </w:pPr>
                  <w:r>
                    <w:rPr>
                      <w:b/>
                      <w:bCs/>
                      <w:color w:val="auto"/>
                      <w:szCs w:val="21"/>
                    </w:rPr>
                    <w:t>mg/m</w:t>
                  </w:r>
                  <w:r>
                    <w:rPr>
                      <w:b/>
                      <w:bCs/>
                      <w:color w:val="auto"/>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noWrap w:val="0"/>
                  <w:vAlign w:val="center"/>
                </w:tcPr>
                <w:p>
                  <w:pPr>
                    <w:adjustRightInd w:val="0"/>
                    <w:snapToGrid w:val="0"/>
                    <w:jc w:val="center"/>
                    <w:rPr>
                      <w:bCs/>
                      <w:color w:val="auto"/>
                      <w:spacing w:val="-10"/>
                      <w:szCs w:val="21"/>
                    </w:rPr>
                  </w:pPr>
                  <w:r>
                    <w:rPr>
                      <w:bCs/>
                      <w:color w:val="auto"/>
                      <w:spacing w:val="-10"/>
                      <w:szCs w:val="21"/>
                    </w:rPr>
                    <w:t>运输车辆动力扬尘</w:t>
                  </w:r>
                </w:p>
              </w:tc>
              <w:tc>
                <w:tcPr>
                  <w:tcW w:w="370" w:type="pct"/>
                  <w:noWrap w:val="0"/>
                  <w:vAlign w:val="center"/>
                </w:tcPr>
                <w:p>
                  <w:pPr>
                    <w:adjustRightInd w:val="0"/>
                    <w:snapToGrid w:val="0"/>
                    <w:jc w:val="center"/>
                    <w:rPr>
                      <w:bCs/>
                      <w:color w:val="auto"/>
                      <w:spacing w:val="-10"/>
                      <w:szCs w:val="21"/>
                    </w:rPr>
                  </w:pPr>
                  <w:r>
                    <w:rPr>
                      <w:bCs/>
                      <w:color w:val="auto"/>
                      <w:spacing w:val="-10"/>
                      <w:szCs w:val="21"/>
                    </w:rPr>
                    <w:t>颗粒物</w:t>
                  </w:r>
                </w:p>
              </w:tc>
              <w:tc>
                <w:tcPr>
                  <w:tcW w:w="314" w:type="pct"/>
                  <w:noWrap w:val="0"/>
                  <w:vAlign w:val="center"/>
                </w:tcPr>
                <w:p>
                  <w:pPr>
                    <w:adjustRightInd w:val="0"/>
                    <w:snapToGrid w:val="0"/>
                    <w:jc w:val="center"/>
                    <w:rPr>
                      <w:bCs/>
                      <w:color w:val="auto"/>
                      <w:spacing w:val="-10"/>
                      <w:szCs w:val="21"/>
                    </w:rPr>
                  </w:pPr>
                  <w:r>
                    <w:rPr>
                      <w:bCs/>
                      <w:color w:val="auto"/>
                      <w:spacing w:val="-10"/>
                      <w:szCs w:val="21"/>
                    </w:rPr>
                    <w:t>无组织</w:t>
                  </w:r>
                </w:p>
              </w:tc>
              <w:tc>
                <w:tcPr>
                  <w:tcW w:w="298" w:type="pct"/>
                  <w:noWrap w:val="0"/>
                  <w:vAlign w:val="center"/>
                </w:tcPr>
                <w:p>
                  <w:pPr>
                    <w:topLinePunct/>
                    <w:snapToGrid w:val="0"/>
                    <w:jc w:val="center"/>
                    <w:rPr>
                      <w:color w:val="auto"/>
                      <w:szCs w:val="21"/>
                    </w:rPr>
                  </w:pPr>
                  <w:r>
                    <w:rPr>
                      <w:rFonts w:hint="eastAsia"/>
                      <w:color w:val="auto"/>
                      <w:szCs w:val="21"/>
                    </w:rPr>
                    <w:t>0.1594</w:t>
                  </w:r>
                </w:p>
              </w:tc>
              <w:tc>
                <w:tcPr>
                  <w:tcW w:w="337" w:type="pct"/>
                  <w:noWrap w:val="0"/>
                  <w:vAlign w:val="center"/>
                </w:tcPr>
                <w:p>
                  <w:pPr>
                    <w:topLinePunct/>
                    <w:snapToGrid w:val="0"/>
                    <w:jc w:val="center"/>
                    <w:rPr>
                      <w:color w:val="auto"/>
                      <w:szCs w:val="21"/>
                    </w:rPr>
                  </w:pPr>
                  <w:r>
                    <w:rPr>
                      <w:rFonts w:hint="eastAsia"/>
                      <w:color w:val="auto"/>
                      <w:szCs w:val="21"/>
                    </w:rPr>
                    <w:t>0.1328</w:t>
                  </w:r>
                </w:p>
              </w:tc>
              <w:tc>
                <w:tcPr>
                  <w:tcW w:w="326" w:type="pct"/>
                  <w:noWrap w:val="0"/>
                  <w:vAlign w:val="center"/>
                </w:tcPr>
                <w:p>
                  <w:pPr>
                    <w:topLinePunct/>
                    <w:snapToGrid w:val="0"/>
                    <w:jc w:val="center"/>
                    <w:rPr>
                      <w:color w:val="auto"/>
                      <w:szCs w:val="21"/>
                    </w:rPr>
                  </w:pPr>
                  <w:r>
                    <w:rPr>
                      <w:color w:val="auto"/>
                      <w:szCs w:val="21"/>
                    </w:rPr>
                    <w:t>/</w:t>
                  </w:r>
                </w:p>
              </w:tc>
              <w:tc>
                <w:tcPr>
                  <w:tcW w:w="776" w:type="pct"/>
                  <w:noWrap w:val="0"/>
                  <w:vAlign w:val="center"/>
                </w:tcPr>
                <w:p>
                  <w:pPr>
                    <w:topLinePunct/>
                    <w:snapToGrid w:val="0"/>
                    <w:jc w:val="center"/>
                    <w:rPr>
                      <w:bCs/>
                      <w:color w:val="auto"/>
                      <w:spacing w:val="-10"/>
                      <w:szCs w:val="21"/>
                    </w:rPr>
                  </w:pPr>
                  <w:r>
                    <w:rPr>
                      <w:bCs/>
                      <w:color w:val="auto"/>
                      <w:spacing w:val="-10"/>
                      <w:szCs w:val="21"/>
                    </w:rPr>
                    <w:t>限制车速、喷淋洒水</w:t>
                  </w:r>
                  <w:r>
                    <w:rPr>
                      <w:color w:val="auto"/>
                      <w:szCs w:val="21"/>
                    </w:rPr>
                    <w:t>、道路清扫等</w:t>
                  </w:r>
                </w:p>
              </w:tc>
              <w:tc>
                <w:tcPr>
                  <w:tcW w:w="297" w:type="pct"/>
                  <w:noWrap w:val="0"/>
                  <w:vAlign w:val="center"/>
                </w:tcPr>
                <w:p>
                  <w:pPr>
                    <w:topLinePunct/>
                    <w:snapToGrid w:val="0"/>
                    <w:jc w:val="center"/>
                    <w:rPr>
                      <w:bCs/>
                      <w:color w:val="auto"/>
                      <w:spacing w:val="-10"/>
                      <w:szCs w:val="21"/>
                    </w:rPr>
                  </w:pPr>
                  <w:r>
                    <w:rPr>
                      <w:bCs/>
                      <w:color w:val="auto"/>
                      <w:spacing w:val="-10"/>
                      <w:szCs w:val="21"/>
                    </w:rPr>
                    <w:t>/</w:t>
                  </w:r>
                </w:p>
              </w:tc>
              <w:tc>
                <w:tcPr>
                  <w:tcW w:w="269" w:type="pct"/>
                  <w:noWrap w:val="0"/>
                  <w:vAlign w:val="center"/>
                </w:tcPr>
                <w:p>
                  <w:pPr>
                    <w:topLinePunct/>
                    <w:snapToGrid w:val="0"/>
                    <w:jc w:val="center"/>
                    <w:rPr>
                      <w:color w:val="auto"/>
                      <w:szCs w:val="21"/>
                    </w:rPr>
                  </w:pPr>
                  <w:r>
                    <w:rPr>
                      <w:color w:val="auto"/>
                      <w:szCs w:val="21"/>
                    </w:rPr>
                    <w:t>/</w:t>
                  </w:r>
                </w:p>
              </w:tc>
              <w:tc>
                <w:tcPr>
                  <w:tcW w:w="343" w:type="pct"/>
                  <w:noWrap w:val="0"/>
                  <w:vAlign w:val="center"/>
                </w:tcPr>
                <w:p>
                  <w:pPr>
                    <w:topLinePunct/>
                    <w:snapToGrid w:val="0"/>
                    <w:jc w:val="center"/>
                    <w:rPr>
                      <w:color w:val="auto"/>
                      <w:szCs w:val="21"/>
                    </w:rPr>
                  </w:pPr>
                  <w:r>
                    <w:rPr>
                      <w:color w:val="auto"/>
                      <w:szCs w:val="21"/>
                    </w:rPr>
                    <w:t>66</w:t>
                  </w:r>
                </w:p>
              </w:tc>
              <w:tc>
                <w:tcPr>
                  <w:tcW w:w="339" w:type="pct"/>
                  <w:noWrap w:val="0"/>
                  <w:vAlign w:val="center"/>
                </w:tcPr>
                <w:p>
                  <w:pPr>
                    <w:topLinePunct/>
                    <w:snapToGrid w:val="0"/>
                    <w:jc w:val="center"/>
                    <w:rPr>
                      <w:bCs/>
                      <w:color w:val="auto"/>
                      <w:spacing w:val="-10"/>
                      <w:szCs w:val="21"/>
                    </w:rPr>
                  </w:pPr>
                  <w:r>
                    <w:rPr>
                      <w:bCs/>
                      <w:color w:val="auto"/>
                      <w:spacing w:val="-10"/>
                      <w:szCs w:val="21"/>
                    </w:rPr>
                    <w:t>是</w:t>
                  </w:r>
                </w:p>
              </w:tc>
              <w:tc>
                <w:tcPr>
                  <w:tcW w:w="302" w:type="pct"/>
                  <w:noWrap w:val="0"/>
                  <w:vAlign w:val="center"/>
                </w:tcPr>
                <w:p>
                  <w:pPr>
                    <w:topLinePunct/>
                    <w:snapToGrid w:val="0"/>
                    <w:jc w:val="center"/>
                    <w:rPr>
                      <w:color w:val="auto"/>
                      <w:szCs w:val="21"/>
                    </w:rPr>
                  </w:pPr>
                  <w:r>
                    <w:rPr>
                      <w:rFonts w:hint="eastAsia"/>
                      <w:color w:val="auto"/>
                      <w:szCs w:val="21"/>
                    </w:rPr>
                    <w:t>0.0542</w:t>
                  </w:r>
                </w:p>
              </w:tc>
              <w:tc>
                <w:tcPr>
                  <w:tcW w:w="302" w:type="pct"/>
                  <w:noWrap w:val="0"/>
                  <w:vAlign w:val="center"/>
                </w:tcPr>
                <w:p>
                  <w:pPr>
                    <w:topLinePunct/>
                    <w:snapToGrid w:val="0"/>
                    <w:jc w:val="center"/>
                    <w:rPr>
                      <w:color w:val="auto"/>
                      <w:szCs w:val="21"/>
                    </w:rPr>
                  </w:pPr>
                  <w:r>
                    <w:rPr>
                      <w:rFonts w:hint="eastAsia"/>
                      <w:color w:val="auto"/>
                      <w:szCs w:val="21"/>
                    </w:rPr>
                    <w:t>0.0452</w:t>
                  </w:r>
                </w:p>
              </w:tc>
              <w:tc>
                <w:tcPr>
                  <w:tcW w:w="310" w:type="pct"/>
                  <w:noWrap w:val="0"/>
                  <w:vAlign w:val="center"/>
                </w:tcPr>
                <w:p>
                  <w:pPr>
                    <w:topLinePunct/>
                    <w:snapToGrid w:val="0"/>
                    <w:jc w:val="center"/>
                    <w:rPr>
                      <w:color w:val="auto"/>
                      <w:szCs w:val="21"/>
                    </w:rPr>
                  </w:pP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noWrap w:val="0"/>
                  <w:vAlign w:val="center"/>
                </w:tcPr>
                <w:p>
                  <w:pPr>
                    <w:adjustRightInd w:val="0"/>
                    <w:snapToGrid w:val="0"/>
                    <w:jc w:val="center"/>
                    <w:rPr>
                      <w:bCs/>
                      <w:color w:val="auto"/>
                      <w:spacing w:val="-10"/>
                      <w:szCs w:val="21"/>
                    </w:rPr>
                  </w:pPr>
                  <w:r>
                    <w:rPr>
                      <w:bCs/>
                      <w:color w:val="auto"/>
                      <w:spacing w:val="-10"/>
                      <w:szCs w:val="21"/>
                    </w:rPr>
                    <w:t>骨料装卸粉尘</w:t>
                  </w:r>
                </w:p>
              </w:tc>
              <w:tc>
                <w:tcPr>
                  <w:tcW w:w="370" w:type="pct"/>
                  <w:noWrap w:val="0"/>
                  <w:vAlign w:val="center"/>
                </w:tcPr>
                <w:p>
                  <w:pPr>
                    <w:adjustRightInd w:val="0"/>
                    <w:snapToGrid w:val="0"/>
                    <w:jc w:val="center"/>
                    <w:rPr>
                      <w:bCs/>
                      <w:color w:val="auto"/>
                      <w:spacing w:val="-10"/>
                      <w:szCs w:val="21"/>
                    </w:rPr>
                  </w:pPr>
                  <w:r>
                    <w:rPr>
                      <w:bCs/>
                      <w:color w:val="auto"/>
                      <w:spacing w:val="-10"/>
                      <w:szCs w:val="21"/>
                    </w:rPr>
                    <w:t>颗粒物</w:t>
                  </w:r>
                </w:p>
              </w:tc>
              <w:tc>
                <w:tcPr>
                  <w:tcW w:w="314" w:type="pct"/>
                  <w:noWrap w:val="0"/>
                  <w:vAlign w:val="center"/>
                </w:tcPr>
                <w:p>
                  <w:pPr>
                    <w:adjustRightInd w:val="0"/>
                    <w:snapToGrid w:val="0"/>
                    <w:jc w:val="center"/>
                    <w:rPr>
                      <w:bCs/>
                      <w:color w:val="auto"/>
                      <w:spacing w:val="-10"/>
                      <w:szCs w:val="21"/>
                    </w:rPr>
                  </w:pPr>
                  <w:r>
                    <w:rPr>
                      <w:bCs/>
                      <w:color w:val="auto"/>
                      <w:spacing w:val="-10"/>
                      <w:szCs w:val="21"/>
                    </w:rPr>
                    <w:t>无组织</w:t>
                  </w:r>
                </w:p>
              </w:tc>
              <w:tc>
                <w:tcPr>
                  <w:tcW w:w="298" w:type="pct"/>
                  <w:noWrap w:val="0"/>
                  <w:vAlign w:val="center"/>
                </w:tcPr>
                <w:p>
                  <w:pPr>
                    <w:topLinePunct/>
                    <w:snapToGrid w:val="0"/>
                    <w:jc w:val="center"/>
                    <w:rPr>
                      <w:color w:val="auto"/>
                      <w:szCs w:val="21"/>
                    </w:rPr>
                  </w:pPr>
                  <w:r>
                    <w:rPr>
                      <w:rFonts w:hint="eastAsia"/>
                      <w:color w:val="auto"/>
                      <w:szCs w:val="21"/>
                    </w:rPr>
                    <w:t>0.0034</w:t>
                  </w:r>
                </w:p>
              </w:tc>
              <w:tc>
                <w:tcPr>
                  <w:tcW w:w="337" w:type="pct"/>
                  <w:noWrap w:val="0"/>
                  <w:vAlign w:val="center"/>
                </w:tcPr>
                <w:p>
                  <w:pPr>
                    <w:topLinePunct/>
                    <w:snapToGrid w:val="0"/>
                    <w:jc w:val="center"/>
                    <w:rPr>
                      <w:color w:val="auto"/>
                      <w:szCs w:val="21"/>
                    </w:rPr>
                  </w:pPr>
                  <w:r>
                    <w:rPr>
                      <w:rFonts w:hint="eastAsia"/>
                      <w:color w:val="auto"/>
                      <w:szCs w:val="21"/>
                    </w:rPr>
                    <w:t>0.0028</w:t>
                  </w:r>
                </w:p>
              </w:tc>
              <w:tc>
                <w:tcPr>
                  <w:tcW w:w="326" w:type="pct"/>
                  <w:noWrap w:val="0"/>
                  <w:vAlign w:val="center"/>
                </w:tcPr>
                <w:p>
                  <w:pPr>
                    <w:topLinePunct/>
                    <w:snapToGrid w:val="0"/>
                    <w:jc w:val="center"/>
                    <w:rPr>
                      <w:color w:val="auto"/>
                      <w:szCs w:val="21"/>
                    </w:rPr>
                  </w:pPr>
                  <w:r>
                    <w:rPr>
                      <w:color w:val="auto"/>
                      <w:szCs w:val="21"/>
                    </w:rPr>
                    <w:t>/</w:t>
                  </w:r>
                </w:p>
              </w:tc>
              <w:tc>
                <w:tcPr>
                  <w:tcW w:w="776" w:type="pct"/>
                  <w:noWrap w:val="0"/>
                  <w:vAlign w:val="center"/>
                </w:tcPr>
                <w:p>
                  <w:pPr>
                    <w:spacing w:line="20" w:lineRule="atLeast"/>
                    <w:jc w:val="center"/>
                    <w:rPr>
                      <w:color w:val="auto"/>
                      <w:szCs w:val="21"/>
                    </w:rPr>
                  </w:pPr>
                  <w:r>
                    <w:rPr>
                      <w:rFonts w:hint="eastAsia"/>
                      <w:bCs/>
                      <w:color w:val="auto"/>
                      <w:spacing w:val="-10"/>
                      <w:szCs w:val="21"/>
                    </w:rPr>
                    <w:t>场地硬化，</w:t>
                  </w:r>
                  <w:r>
                    <w:rPr>
                      <w:bCs/>
                      <w:color w:val="auto"/>
                      <w:spacing w:val="-10"/>
                      <w:szCs w:val="21"/>
                    </w:rPr>
                    <w:t>喷淋降尘</w:t>
                  </w:r>
                </w:p>
              </w:tc>
              <w:tc>
                <w:tcPr>
                  <w:tcW w:w="297" w:type="pct"/>
                  <w:noWrap w:val="0"/>
                  <w:vAlign w:val="center"/>
                </w:tcPr>
                <w:p>
                  <w:pPr>
                    <w:topLinePunct/>
                    <w:snapToGrid w:val="0"/>
                    <w:jc w:val="center"/>
                    <w:rPr>
                      <w:color w:val="auto"/>
                      <w:szCs w:val="21"/>
                    </w:rPr>
                  </w:pPr>
                  <w:r>
                    <w:rPr>
                      <w:color w:val="auto"/>
                      <w:szCs w:val="21"/>
                    </w:rPr>
                    <w:t>/</w:t>
                  </w:r>
                </w:p>
              </w:tc>
              <w:tc>
                <w:tcPr>
                  <w:tcW w:w="269" w:type="pct"/>
                  <w:noWrap w:val="0"/>
                  <w:vAlign w:val="center"/>
                </w:tcPr>
                <w:p>
                  <w:pPr>
                    <w:topLinePunct/>
                    <w:snapToGrid w:val="0"/>
                    <w:jc w:val="center"/>
                    <w:rPr>
                      <w:color w:val="auto"/>
                      <w:szCs w:val="21"/>
                    </w:rPr>
                  </w:pPr>
                  <w:r>
                    <w:rPr>
                      <w:color w:val="auto"/>
                      <w:szCs w:val="21"/>
                    </w:rPr>
                    <w:t>/</w:t>
                  </w:r>
                </w:p>
              </w:tc>
              <w:tc>
                <w:tcPr>
                  <w:tcW w:w="343" w:type="pct"/>
                  <w:noWrap w:val="0"/>
                  <w:vAlign w:val="center"/>
                </w:tcPr>
                <w:p>
                  <w:pPr>
                    <w:topLinePunct/>
                    <w:snapToGrid w:val="0"/>
                    <w:jc w:val="center"/>
                    <w:rPr>
                      <w:color w:val="auto"/>
                      <w:szCs w:val="21"/>
                    </w:rPr>
                  </w:pPr>
                  <w:r>
                    <w:rPr>
                      <w:color w:val="auto"/>
                      <w:szCs w:val="21"/>
                    </w:rPr>
                    <w:t>66</w:t>
                  </w:r>
                </w:p>
              </w:tc>
              <w:tc>
                <w:tcPr>
                  <w:tcW w:w="339" w:type="pct"/>
                  <w:noWrap w:val="0"/>
                  <w:vAlign w:val="center"/>
                </w:tcPr>
                <w:p>
                  <w:pPr>
                    <w:topLinePunct/>
                    <w:snapToGrid w:val="0"/>
                    <w:jc w:val="center"/>
                    <w:rPr>
                      <w:color w:val="auto"/>
                      <w:szCs w:val="21"/>
                    </w:rPr>
                  </w:pPr>
                  <w:r>
                    <w:rPr>
                      <w:color w:val="auto"/>
                      <w:szCs w:val="21"/>
                    </w:rPr>
                    <w:t>是</w:t>
                  </w:r>
                </w:p>
              </w:tc>
              <w:tc>
                <w:tcPr>
                  <w:tcW w:w="302" w:type="pct"/>
                  <w:noWrap w:val="0"/>
                  <w:vAlign w:val="center"/>
                </w:tcPr>
                <w:p>
                  <w:pPr>
                    <w:topLinePunct/>
                    <w:snapToGrid w:val="0"/>
                    <w:jc w:val="center"/>
                    <w:rPr>
                      <w:color w:val="auto"/>
                      <w:szCs w:val="21"/>
                    </w:rPr>
                  </w:pPr>
                  <w:r>
                    <w:rPr>
                      <w:rFonts w:hint="eastAsia"/>
                      <w:color w:val="auto"/>
                      <w:szCs w:val="21"/>
                    </w:rPr>
                    <w:t>0.0012</w:t>
                  </w:r>
                </w:p>
              </w:tc>
              <w:tc>
                <w:tcPr>
                  <w:tcW w:w="302" w:type="pct"/>
                  <w:noWrap w:val="0"/>
                  <w:vAlign w:val="center"/>
                </w:tcPr>
                <w:p>
                  <w:pPr>
                    <w:topLinePunct/>
                    <w:snapToGrid w:val="0"/>
                    <w:jc w:val="center"/>
                    <w:rPr>
                      <w:color w:val="auto"/>
                      <w:szCs w:val="21"/>
                    </w:rPr>
                  </w:pPr>
                  <w:r>
                    <w:rPr>
                      <w:rFonts w:hint="eastAsia"/>
                      <w:color w:val="auto"/>
                      <w:szCs w:val="21"/>
                    </w:rPr>
                    <w:t>0.0010</w:t>
                  </w:r>
                </w:p>
              </w:tc>
              <w:tc>
                <w:tcPr>
                  <w:tcW w:w="310" w:type="pct"/>
                  <w:noWrap w:val="0"/>
                  <w:vAlign w:val="center"/>
                </w:tcPr>
                <w:p>
                  <w:pPr>
                    <w:topLinePunct/>
                    <w:snapToGrid w:val="0"/>
                    <w:jc w:val="center"/>
                    <w:rPr>
                      <w:color w:val="auto"/>
                      <w:szCs w:val="21"/>
                    </w:rPr>
                  </w:pP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noWrap w:val="0"/>
                  <w:vAlign w:val="center"/>
                </w:tcPr>
                <w:p>
                  <w:pPr>
                    <w:adjustRightInd w:val="0"/>
                    <w:snapToGrid w:val="0"/>
                    <w:jc w:val="center"/>
                    <w:rPr>
                      <w:bCs/>
                      <w:color w:val="auto"/>
                      <w:spacing w:val="-10"/>
                      <w:szCs w:val="21"/>
                    </w:rPr>
                  </w:pPr>
                  <w:r>
                    <w:rPr>
                      <w:bCs/>
                      <w:color w:val="auto"/>
                      <w:spacing w:val="-10"/>
                      <w:szCs w:val="21"/>
                    </w:rPr>
                    <w:t>骨料输送、计量、</w:t>
                  </w:r>
                  <w:r>
                    <w:rPr>
                      <w:rFonts w:hint="eastAsia"/>
                      <w:bCs/>
                      <w:color w:val="auto"/>
                      <w:spacing w:val="-10"/>
                      <w:szCs w:val="21"/>
                    </w:rPr>
                    <w:t>筛选、</w:t>
                  </w:r>
                  <w:r>
                    <w:rPr>
                      <w:bCs/>
                      <w:color w:val="auto"/>
                      <w:spacing w:val="-10"/>
                      <w:szCs w:val="21"/>
                    </w:rPr>
                    <w:t>投料粉尘</w:t>
                  </w:r>
                </w:p>
              </w:tc>
              <w:tc>
                <w:tcPr>
                  <w:tcW w:w="370" w:type="pct"/>
                  <w:noWrap w:val="0"/>
                  <w:vAlign w:val="center"/>
                </w:tcPr>
                <w:p>
                  <w:pPr>
                    <w:adjustRightInd w:val="0"/>
                    <w:snapToGrid w:val="0"/>
                    <w:jc w:val="center"/>
                    <w:rPr>
                      <w:bCs/>
                      <w:color w:val="auto"/>
                      <w:spacing w:val="-10"/>
                      <w:szCs w:val="21"/>
                    </w:rPr>
                  </w:pPr>
                  <w:r>
                    <w:rPr>
                      <w:bCs/>
                      <w:color w:val="auto"/>
                      <w:spacing w:val="-10"/>
                      <w:szCs w:val="21"/>
                    </w:rPr>
                    <w:t>颗粒物</w:t>
                  </w:r>
                </w:p>
              </w:tc>
              <w:tc>
                <w:tcPr>
                  <w:tcW w:w="314" w:type="pct"/>
                  <w:noWrap w:val="0"/>
                  <w:vAlign w:val="center"/>
                </w:tcPr>
                <w:p>
                  <w:pPr>
                    <w:adjustRightInd w:val="0"/>
                    <w:snapToGrid w:val="0"/>
                    <w:jc w:val="center"/>
                    <w:rPr>
                      <w:bCs/>
                      <w:color w:val="auto"/>
                      <w:spacing w:val="-10"/>
                      <w:szCs w:val="21"/>
                    </w:rPr>
                  </w:pPr>
                  <w:r>
                    <w:rPr>
                      <w:bCs/>
                      <w:color w:val="auto"/>
                      <w:spacing w:val="-10"/>
                      <w:szCs w:val="21"/>
                    </w:rPr>
                    <w:t>无组织</w:t>
                  </w:r>
                </w:p>
              </w:tc>
              <w:tc>
                <w:tcPr>
                  <w:tcW w:w="298" w:type="pct"/>
                  <w:noWrap w:val="0"/>
                  <w:vAlign w:val="center"/>
                </w:tcPr>
                <w:p>
                  <w:pPr>
                    <w:spacing w:line="20" w:lineRule="atLeast"/>
                    <w:jc w:val="center"/>
                    <w:rPr>
                      <w:color w:val="auto"/>
                      <w:szCs w:val="21"/>
                    </w:rPr>
                  </w:pPr>
                  <w:r>
                    <w:rPr>
                      <w:rFonts w:hint="eastAsia"/>
                      <w:bCs/>
                      <w:color w:val="auto"/>
                      <w:spacing w:val="-10"/>
                      <w:szCs w:val="21"/>
                    </w:rPr>
                    <w:t>1.42</w:t>
                  </w:r>
                </w:p>
              </w:tc>
              <w:tc>
                <w:tcPr>
                  <w:tcW w:w="337" w:type="pct"/>
                  <w:noWrap w:val="0"/>
                  <w:vAlign w:val="center"/>
                </w:tcPr>
                <w:p>
                  <w:pPr>
                    <w:spacing w:line="20" w:lineRule="atLeast"/>
                    <w:jc w:val="center"/>
                    <w:rPr>
                      <w:color w:val="auto"/>
                      <w:szCs w:val="21"/>
                    </w:rPr>
                  </w:pPr>
                  <w:r>
                    <w:rPr>
                      <w:rFonts w:hint="eastAsia"/>
                      <w:bCs/>
                      <w:color w:val="auto"/>
                      <w:spacing w:val="-10"/>
                      <w:szCs w:val="21"/>
                    </w:rPr>
                    <w:t>1.1833</w:t>
                  </w:r>
                </w:p>
              </w:tc>
              <w:tc>
                <w:tcPr>
                  <w:tcW w:w="326" w:type="pct"/>
                  <w:noWrap w:val="0"/>
                  <w:vAlign w:val="center"/>
                </w:tcPr>
                <w:p>
                  <w:pPr>
                    <w:spacing w:line="20" w:lineRule="atLeast"/>
                    <w:jc w:val="center"/>
                    <w:rPr>
                      <w:color w:val="auto"/>
                      <w:szCs w:val="21"/>
                    </w:rPr>
                  </w:pPr>
                  <w:r>
                    <w:rPr>
                      <w:bCs/>
                      <w:color w:val="auto"/>
                      <w:spacing w:val="-10"/>
                      <w:szCs w:val="21"/>
                    </w:rPr>
                    <w:t>/</w:t>
                  </w:r>
                </w:p>
              </w:tc>
              <w:tc>
                <w:tcPr>
                  <w:tcW w:w="776" w:type="pct"/>
                  <w:noWrap w:val="0"/>
                  <w:vAlign w:val="center"/>
                </w:tcPr>
                <w:p>
                  <w:pPr>
                    <w:spacing w:line="20" w:lineRule="atLeast"/>
                    <w:jc w:val="center"/>
                    <w:rPr>
                      <w:color w:val="auto"/>
                      <w:szCs w:val="21"/>
                    </w:rPr>
                  </w:pPr>
                  <w:r>
                    <w:rPr>
                      <w:rFonts w:hint="eastAsia"/>
                      <w:bCs/>
                      <w:color w:val="auto"/>
                      <w:spacing w:val="-10"/>
                      <w:szCs w:val="21"/>
                    </w:rPr>
                    <w:t>场地硬化，</w:t>
                  </w:r>
                  <w:r>
                    <w:rPr>
                      <w:bCs/>
                      <w:color w:val="auto"/>
                      <w:spacing w:val="-10"/>
                      <w:szCs w:val="21"/>
                    </w:rPr>
                    <w:t>喷淋降尘</w:t>
                  </w:r>
                </w:p>
              </w:tc>
              <w:tc>
                <w:tcPr>
                  <w:tcW w:w="297" w:type="pct"/>
                  <w:noWrap w:val="0"/>
                  <w:vAlign w:val="center"/>
                </w:tcPr>
                <w:p>
                  <w:pPr>
                    <w:spacing w:line="20" w:lineRule="atLeast"/>
                    <w:jc w:val="center"/>
                    <w:rPr>
                      <w:color w:val="auto"/>
                      <w:szCs w:val="21"/>
                    </w:rPr>
                  </w:pPr>
                  <w:r>
                    <w:rPr>
                      <w:bCs/>
                      <w:color w:val="auto"/>
                      <w:spacing w:val="-10"/>
                      <w:szCs w:val="21"/>
                    </w:rPr>
                    <w:t>/</w:t>
                  </w:r>
                </w:p>
              </w:tc>
              <w:tc>
                <w:tcPr>
                  <w:tcW w:w="269" w:type="pct"/>
                  <w:noWrap w:val="0"/>
                  <w:vAlign w:val="center"/>
                </w:tcPr>
                <w:p>
                  <w:pPr>
                    <w:spacing w:line="20" w:lineRule="atLeast"/>
                    <w:jc w:val="center"/>
                    <w:rPr>
                      <w:color w:val="auto"/>
                      <w:szCs w:val="21"/>
                    </w:rPr>
                  </w:pPr>
                  <w:r>
                    <w:rPr>
                      <w:bCs/>
                      <w:color w:val="auto"/>
                      <w:spacing w:val="-10"/>
                      <w:szCs w:val="21"/>
                    </w:rPr>
                    <w:t>/</w:t>
                  </w:r>
                </w:p>
              </w:tc>
              <w:tc>
                <w:tcPr>
                  <w:tcW w:w="343" w:type="pct"/>
                  <w:noWrap w:val="0"/>
                  <w:vAlign w:val="center"/>
                </w:tcPr>
                <w:p>
                  <w:pPr>
                    <w:spacing w:line="20" w:lineRule="atLeast"/>
                    <w:jc w:val="center"/>
                    <w:rPr>
                      <w:color w:val="auto"/>
                      <w:szCs w:val="21"/>
                    </w:rPr>
                  </w:pPr>
                  <w:r>
                    <w:rPr>
                      <w:rFonts w:hint="eastAsia"/>
                      <w:bCs/>
                      <w:color w:val="auto"/>
                      <w:spacing w:val="-10"/>
                      <w:szCs w:val="21"/>
                    </w:rPr>
                    <w:t>66</w:t>
                  </w:r>
                </w:p>
              </w:tc>
              <w:tc>
                <w:tcPr>
                  <w:tcW w:w="339" w:type="pct"/>
                  <w:noWrap w:val="0"/>
                  <w:vAlign w:val="center"/>
                </w:tcPr>
                <w:p>
                  <w:pPr>
                    <w:topLinePunct/>
                    <w:snapToGrid w:val="0"/>
                    <w:jc w:val="center"/>
                    <w:rPr>
                      <w:color w:val="auto"/>
                      <w:szCs w:val="21"/>
                    </w:rPr>
                  </w:pPr>
                  <w:r>
                    <w:rPr>
                      <w:color w:val="auto"/>
                      <w:szCs w:val="21"/>
                    </w:rPr>
                    <w:t>是</w:t>
                  </w:r>
                </w:p>
              </w:tc>
              <w:tc>
                <w:tcPr>
                  <w:tcW w:w="302" w:type="pct"/>
                  <w:noWrap w:val="0"/>
                  <w:vAlign w:val="center"/>
                </w:tcPr>
                <w:p>
                  <w:pPr>
                    <w:spacing w:line="20" w:lineRule="atLeast"/>
                    <w:jc w:val="center"/>
                    <w:rPr>
                      <w:color w:val="auto"/>
                      <w:szCs w:val="21"/>
                    </w:rPr>
                  </w:pPr>
                  <w:r>
                    <w:rPr>
                      <w:rFonts w:hint="eastAsia"/>
                      <w:bCs/>
                      <w:color w:val="auto"/>
                      <w:spacing w:val="-10"/>
                      <w:szCs w:val="21"/>
                    </w:rPr>
                    <w:t>0.4828</w:t>
                  </w:r>
                </w:p>
              </w:tc>
              <w:tc>
                <w:tcPr>
                  <w:tcW w:w="302" w:type="pct"/>
                  <w:noWrap w:val="0"/>
                  <w:vAlign w:val="center"/>
                </w:tcPr>
                <w:p>
                  <w:pPr>
                    <w:spacing w:line="20" w:lineRule="atLeast"/>
                    <w:jc w:val="center"/>
                    <w:rPr>
                      <w:color w:val="auto"/>
                      <w:szCs w:val="21"/>
                    </w:rPr>
                  </w:pPr>
                  <w:r>
                    <w:rPr>
                      <w:rFonts w:hint="eastAsia"/>
                      <w:bCs/>
                      <w:color w:val="auto"/>
                      <w:spacing w:val="-10"/>
                      <w:szCs w:val="21"/>
                    </w:rPr>
                    <w:t>0.4023</w:t>
                  </w:r>
                </w:p>
              </w:tc>
              <w:tc>
                <w:tcPr>
                  <w:tcW w:w="310" w:type="pct"/>
                  <w:noWrap w:val="0"/>
                  <w:vAlign w:val="center"/>
                </w:tcPr>
                <w:p>
                  <w:pPr>
                    <w:spacing w:line="20" w:lineRule="atLeast"/>
                    <w:jc w:val="center"/>
                    <w:rPr>
                      <w:color w:val="auto"/>
                      <w:szCs w:val="21"/>
                    </w:rPr>
                  </w:pPr>
                  <w:r>
                    <w:rPr>
                      <w:bCs/>
                      <w:color w:val="auto"/>
                      <w:spacing w:val="-1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noWrap w:val="0"/>
                  <w:vAlign w:val="center"/>
                </w:tcPr>
                <w:p>
                  <w:pPr>
                    <w:adjustRightInd w:val="0"/>
                    <w:snapToGrid w:val="0"/>
                    <w:jc w:val="center"/>
                    <w:rPr>
                      <w:bCs/>
                      <w:color w:val="auto"/>
                      <w:spacing w:val="-10"/>
                      <w:szCs w:val="21"/>
                    </w:rPr>
                  </w:pPr>
                  <w:r>
                    <w:rPr>
                      <w:color w:val="auto"/>
                      <w:szCs w:val="21"/>
                    </w:rPr>
                    <w:t>筒仓粉料输送储存粉尘</w:t>
                  </w:r>
                </w:p>
              </w:tc>
              <w:tc>
                <w:tcPr>
                  <w:tcW w:w="370" w:type="pct"/>
                  <w:noWrap w:val="0"/>
                  <w:vAlign w:val="center"/>
                </w:tcPr>
                <w:p>
                  <w:pPr>
                    <w:adjustRightInd w:val="0"/>
                    <w:snapToGrid w:val="0"/>
                    <w:jc w:val="center"/>
                    <w:rPr>
                      <w:bCs/>
                      <w:color w:val="auto"/>
                      <w:spacing w:val="-10"/>
                      <w:szCs w:val="21"/>
                    </w:rPr>
                  </w:pPr>
                  <w:r>
                    <w:rPr>
                      <w:bCs/>
                      <w:color w:val="auto"/>
                      <w:spacing w:val="-10"/>
                      <w:szCs w:val="21"/>
                    </w:rPr>
                    <w:t>颗粒物</w:t>
                  </w:r>
                </w:p>
              </w:tc>
              <w:tc>
                <w:tcPr>
                  <w:tcW w:w="314" w:type="pct"/>
                  <w:noWrap w:val="0"/>
                  <w:vAlign w:val="center"/>
                </w:tcPr>
                <w:p>
                  <w:pPr>
                    <w:adjustRightInd w:val="0"/>
                    <w:snapToGrid w:val="0"/>
                    <w:jc w:val="center"/>
                    <w:rPr>
                      <w:bCs/>
                      <w:color w:val="auto"/>
                      <w:spacing w:val="-10"/>
                      <w:szCs w:val="21"/>
                    </w:rPr>
                  </w:pPr>
                  <w:r>
                    <w:rPr>
                      <w:bCs/>
                      <w:color w:val="auto"/>
                      <w:spacing w:val="-10"/>
                      <w:szCs w:val="21"/>
                    </w:rPr>
                    <w:t>无组织</w:t>
                  </w:r>
                </w:p>
              </w:tc>
              <w:tc>
                <w:tcPr>
                  <w:tcW w:w="298" w:type="pct"/>
                  <w:noWrap w:val="0"/>
                  <w:vAlign w:val="center"/>
                </w:tcPr>
                <w:p>
                  <w:pPr>
                    <w:spacing w:line="20" w:lineRule="atLeast"/>
                    <w:jc w:val="center"/>
                    <w:rPr>
                      <w:color w:val="auto"/>
                      <w:szCs w:val="21"/>
                    </w:rPr>
                  </w:pPr>
                  <w:r>
                    <w:rPr>
                      <w:rFonts w:hint="eastAsia"/>
                      <w:bCs/>
                      <w:color w:val="auto"/>
                      <w:spacing w:val="-10"/>
                      <w:szCs w:val="21"/>
                    </w:rPr>
                    <w:t>7.38</w:t>
                  </w:r>
                </w:p>
              </w:tc>
              <w:tc>
                <w:tcPr>
                  <w:tcW w:w="337" w:type="pct"/>
                  <w:noWrap w:val="0"/>
                  <w:vAlign w:val="center"/>
                </w:tcPr>
                <w:p>
                  <w:pPr>
                    <w:spacing w:line="20" w:lineRule="atLeast"/>
                    <w:jc w:val="center"/>
                    <w:rPr>
                      <w:color w:val="auto"/>
                      <w:szCs w:val="21"/>
                    </w:rPr>
                  </w:pPr>
                  <w:r>
                    <w:rPr>
                      <w:rFonts w:hint="eastAsia"/>
                      <w:bCs/>
                      <w:color w:val="auto"/>
                      <w:spacing w:val="-10"/>
                      <w:szCs w:val="21"/>
                    </w:rPr>
                    <w:t>6.15</w:t>
                  </w:r>
                </w:p>
              </w:tc>
              <w:tc>
                <w:tcPr>
                  <w:tcW w:w="326" w:type="pct"/>
                  <w:noWrap w:val="0"/>
                  <w:vAlign w:val="center"/>
                </w:tcPr>
                <w:p>
                  <w:pPr>
                    <w:spacing w:line="20" w:lineRule="atLeast"/>
                    <w:jc w:val="center"/>
                    <w:rPr>
                      <w:color w:val="auto"/>
                      <w:szCs w:val="21"/>
                    </w:rPr>
                  </w:pPr>
                  <w:r>
                    <w:rPr>
                      <w:bCs/>
                      <w:color w:val="auto"/>
                      <w:spacing w:val="-10"/>
                      <w:szCs w:val="21"/>
                    </w:rPr>
                    <w:t>/</w:t>
                  </w:r>
                </w:p>
              </w:tc>
              <w:tc>
                <w:tcPr>
                  <w:tcW w:w="776" w:type="pct"/>
                  <w:noWrap w:val="0"/>
                  <w:vAlign w:val="center"/>
                </w:tcPr>
                <w:p>
                  <w:pPr>
                    <w:spacing w:line="20" w:lineRule="atLeast"/>
                    <w:jc w:val="center"/>
                    <w:rPr>
                      <w:color w:val="auto"/>
                      <w:szCs w:val="21"/>
                    </w:rPr>
                  </w:pPr>
                  <w:r>
                    <w:rPr>
                      <w:bCs/>
                      <w:color w:val="auto"/>
                      <w:spacing w:val="-10"/>
                      <w:szCs w:val="21"/>
                    </w:rPr>
                    <w:t>袋式除尘器</w:t>
                  </w:r>
                </w:p>
              </w:tc>
              <w:tc>
                <w:tcPr>
                  <w:tcW w:w="297" w:type="pct"/>
                  <w:noWrap w:val="0"/>
                  <w:vAlign w:val="center"/>
                </w:tcPr>
                <w:p>
                  <w:pPr>
                    <w:spacing w:line="20" w:lineRule="atLeast"/>
                    <w:jc w:val="center"/>
                    <w:rPr>
                      <w:color w:val="auto"/>
                      <w:szCs w:val="21"/>
                    </w:rPr>
                  </w:pPr>
                  <w:r>
                    <w:rPr>
                      <w:bCs/>
                      <w:color w:val="auto"/>
                      <w:spacing w:val="-10"/>
                      <w:szCs w:val="21"/>
                    </w:rPr>
                    <w:t>/</w:t>
                  </w:r>
                </w:p>
              </w:tc>
              <w:tc>
                <w:tcPr>
                  <w:tcW w:w="269" w:type="pct"/>
                  <w:noWrap w:val="0"/>
                  <w:vAlign w:val="center"/>
                </w:tcPr>
                <w:p>
                  <w:pPr>
                    <w:spacing w:line="20" w:lineRule="atLeast"/>
                    <w:jc w:val="center"/>
                    <w:rPr>
                      <w:color w:val="auto"/>
                      <w:szCs w:val="21"/>
                    </w:rPr>
                  </w:pPr>
                  <w:r>
                    <w:rPr>
                      <w:bCs/>
                      <w:color w:val="auto"/>
                      <w:spacing w:val="-10"/>
                      <w:szCs w:val="21"/>
                    </w:rPr>
                    <w:t>100</w:t>
                  </w:r>
                </w:p>
              </w:tc>
              <w:tc>
                <w:tcPr>
                  <w:tcW w:w="343" w:type="pct"/>
                  <w:noWrap w:val="0"/>
                  <w:vAlign w:val="center"/>
                </w:tcPr>
                <w:p>
                  <w:pPr>
                    <w:spacing w:line="20" w:lineRule="atLeast"/>
                    <w:jc w:val="center"/>
                    <w:rPr>
                      <w:color w:val="auto"/>
                      <w:szCs w:val="21"/>
                    </w:rPr>
                  </w:pPr>
                  <w:r>
                    <w:rPr>
                      <w:bCs/>
                      <w:color w:val="auto"/>
                      <w:spacing w:val="-10"/>
                      <w:szCs w:val="21"/>
                    </w:rPr>
                    <w:t>99.7</w:t>
                  </w:r>
                </w:p>
              </w:tc>
              <w:tc>
                <w:tcPr>
                  <w:tcW w:w="339" w:type="pct"/>
                  <w:noWrap w:val="0"/>
                  <w:vAlign w:val="center"/>
                </w:tcPr>
                <w:p>
                  <w:pPr>
                    <w:topLinePunct/>
                    <w:snapToGrid w:val="0"/>
                    <w:jc w:val="center"/>
                    <w:rPr>
                      <w:color w:val="auto"/>
                      <w:szCs w:val="21"/>
                    </w:rPr>
                  </w:pPr>
                  <w:r>
                    <w:rPr>
                      <w:color w:val="auto"/>
                      <w:szCs w:val="21"/>
                    </w:rPr>
                    <w:t>是</w:t>
                  </w:r>
                </w:p>
              </w:tc>
              <w:tc>
                <w:tcPr>
                  <w:tcW w:w="302" w:type="pct"/>
                  <w:noWrap w:val="0"/>
                  <w:vAlign w:val="center"/>
                </w:tcPr>
                <w:p>
                  <w:pPr>
                    <w:spacing w:line="20" w:lineRule="atLeast"/>
                    <w:jc w:val="center"/>
                    <w:rPr>
                      <w:color w:val="auto"/>
                      <w:szCs w:val="21"/>
                    </w:rPr>
                  </w:pPr>
                  <w:r>
                    <w:rPr>
                      <w:rFonts w:hint="eastAsia"/>
                      <w:bCs/>
                      <w:color w:val="auto"/>
                      <w:spacing w:val="-10"/>
                      <w:szCs w:val="21"/>
                    </w:rPr>
                    <w:t>0.0221</w:t>
                  </w:r>
                </w:p>
              </w:tc>
              <w:tc>
                <w:tcPr>
                  <w:tcW w:w="302" w:type="pct"/>
                  <w:noWrap w:val="0"/>
                  <w:vAlign w:val="center"/>
                </w:tcPr>
                <w:p>
                  <w:pPr>
                    <w:spacing w:line="20" w:lineRule="atLeast"/>
                    <w:jc w:val="center"/>
                    <w:rPr>
                      <w:color w:val="auto"/>
                      <w:szCs w:val="21"/>
                    </w:rPr>
                  </w:pPr>
                  <w:r>
                    <w:rPr>
                      <w:rFonts w:hint="eastAsia"/>
                      <w:bCs/>
                      <w:color w:val="auto"/>
                      <w:spacing w:val="-10"/>
                      <w:szCs w:val="21"/>
                    </w:rPr>
                    <w:t>0.0176</w:t>
                  </w:r>
                </w:p>
              </w:tc>
              <w:tc>
                <w:tcPr>
                  <w:tcW w:w="310" w:type="pct"/>
                  <w:noWrap w:val="0"/>
                  <w:vAlign w:val="center"/>
                </w:tcPr>
                <w:p>
                  <w:pPr>
                    <w:spacing w:line="20" w:lineRule="atLeast"/>
                    <w:jc w:val="center"/>
                    <w:rPr>
                      <w:color w:val="auto"/>
                      <w:szCs w:val="21"/>
                    </w:rPr>
                  </w:pPr>
                  <w:r>
                    <w:rPr>
                      <w:bCs/>
                      <w:color w:val="auto"/>
                      <w:spacing w:val="-1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vMerge w:val="restart"/>
                  <w:noWrap w:val="0"/>
                  <w:vAlign w:val="center"/>
                </w:tcPr>
                <w:p>
                  <w:pPr>
                    <w:topLinePunct/>
                    <w:adjustRightInd w:val="0"/>
                    <w:snapToGrid w:val="0"/>
                    <w:jc w:val="center"/>
                    <w:textAlignment w:val="center"/>
                    <w:rPr>
                      <w:bCs/>
                      <w:color w:val="auto"/>
                      <w:spacing w:val="-10"/>
                      <w:szCs w:val="21"/>
                    </w:rPr>
                  </w:pPr>
                  <w:r>
                    <w:rPr>
                      <w:rFonts w:hint="eastAsia"/>
                      <w:color w:val="auto"/>
                      <w:szCs w:val="21"/>
                    </w:rPr>
                    <w:t>燃烧器燃烧废气、干燥滚筒烘干废气</w:t>
                  </w:r>
                </w:p>
              </w:tc>
              <w:tc>
                <w:tcPr>
                  <w:tcW w:w="370" w:type="pct"/>
                  <w:noWrap w:val="0"/>
                  <w:vAlign w:val="center"/>
                </w:tcPr>
                <w:p>
                  <w:pPr>
                    <w:spacing w:line="20" w:lineRule="atLeast"/>
                    <w:jc w:val="center"/>
                    <w:rPr>
                      <w:bCs/>
                      <w:color w:val="auto"/>
                      <w:spacing w:val="-10"/>
                      <w:szCs w:val="21"/>
                    </w:rPr>
                  </w:pPr>
                  <w:r>
                    <w:rPr>
                      <w:bCs/>
                      <w:color w:val="auto"/>
                      <w:spacing w:val="-10"/>
                      <w:szCs w:val="21"/>
                    </w:rPr>
                    <w:t>颗粒物</w:t>
                  </w:r>
                </w:p>
              </w:tc>
              <w:tc>
                <w:tcPr>
                  <w:tcW w:w="314" w:type="pct"/>
                  <w:vMerge w:val="restart"/>
                  <w:noWrap w:val="0"/>
                  <w:vAlign w:val="center"/>
                </w:tcPr>
                <w:p>
                  <w:pPr>
                    <w:adjustRightInd w:val="0"/>
                    <w:snapToGrid w:val="0"/>
                    <w:jc w:val="center"/>
                    <w:rPr>
                      <w:rFonts w:hint="eastAsia"/>
                      <w:bCs/>
                      <w:color w:val="auto"/>
                      <w:spacing w:val="-10"/>
                      <w:szCs w:val="21"/>
                    </w:rPr>
                  </w:pPr>
                  <w:r>
                    <w:rPr>
                      <w:rFonts w:hint="eastAsia"/>
                      <w:bCs/>
                      <w:color w:val="auto"/>
                      <w:spacing w:val="-10"/>
                      <w:szCs w:val="21"/>
                    </w:rPr>
                    <w:t>有组织</w:t>
                  </w:r>
                </w:p>
              </w:tc>
              <w:tc>
                <w:tcPr>
                  <w:tcW w:w="298" w:type="pct"/>
                  <w:noWrap w:val="0"/>
                  <w:vAlign w:val="center"/>
                </w:tcPr>
                <w:p>
                  <w:pPr>
                    <w:spacing w:line="20" w:lineRule="atLeast"/>
                    <w:jc w:val="center"/>
                    <w:rPr>
                      <w:color w:val="auto"/>
                      <w:szCs w:val="21"/>
                    </w:rPr>
                  </w:pPr>
                  <w:r>
                    <w:rPr>
                      <w:rFonts w:hint="eastAsia"/>
                      <w:bCs/>
                      <w:color w:val="auto"/>
                      <w:spacing w:val="-10"/>
                      <w:szCs w:val="21"/>
                    </w:rPr>
                    <w:t>1.968</w:t>
                  </w:r>
                </w:p>
              </w:tc>
              <w:tc>
                <w:tcPr>
                  <w:tcW w:w="337" w:type="pct"/>
                  <w:noWrap w:val="0"/>
                  <w:vAlign w:val="center"/>
                </w:tcPr>
                <w:p>
                  <w:pPr>
                    <w:spacing w:line="20" w:lineRule="atLeast"/>
                    <w:jc w:val="center"/>
                    <w:rPr>
                      <w:color w:val="auto"/>
                      <w:szCs w:val="21"/>
                    </w:rPr>
                  </w:pPr>
                  <w:r>
                    <w:rPr>
                      <w:rFonts w:hint="eastAsia"/>
                      <w:bCs/>
                      <w:color w:val="auto"/>
                      <w:spacing w:val="-10"/>
                      <w:szCs w:val="21"/>
                    </w:rPr>
                    <w:t>1.64</w:t>
                  </w:r>
                </w:p>
              </w:tc>
              <w:tc>
                <w:tcPr>
                  <w:tcW w:w="326" w:type="pct"/>
                  <w:noWrap w:val="0"/>
                  <w:vAlign w:val="center"/>
                </w:tcPr>
                <w:p>
                  <w:pPr>
                    <w:spacing w:line="20" w:lineRule="atLeast"/>
                    <w:jc w:val="center"/>
                    <w:rPr>
                      <w:color w:val="auto"/>
                      <w:szCs w:val="21"/>
                    </w:rPr>
                  </w:pPr>
                  <w:r>
                    <w:rPr>
                      <w:rFonts w:hint="eastAsia"/>
                      <w:bCs/>
                      <w:color w:val="auto"/>
                      <w:spacing w:val="-10"/>
                      <w:szCs w:val="21"/>
                    </w:rPr>
                    <w:t>82</w:t>
                  </w:r>
                </w:p>
              </w:tc>
              <w:tc>
                <w:tcPr>
                  <w:tcW w:w="776" w:type="pct"/>
                  <w:noWrap w:val="0"/>
                  <w:vAlign w:val="center"/>
                </w:tcPr>
                <w:p>
                  <w:pPr>
                    <w:spacing w:line="20" w:lineRule="atLeast"/>
                    <w:jc w:val="center"/>
                    <w:rPr>
                      <w:bCs/>
                      <w:color w:val="auto"/>
                      <w:spacing w:val="-10"/>
                      <w:szCs w:val="21"/>
                    </w:rPr>
                  </w:pPr>
                  <w:r>
                    <w:rPr>
                      <w:bCs/>
                      <w:color w:val="auto"/>
                      <w:spacing w:val="-10"/>
                      <w:szCs w:val="21"/>
                    </w:rPr>
                    <w:t>袋式除尘器</w:t>
                  </w:r>
                </w:p>
              </w:tc>
              <w:tc>
                <w:tcPr>
                  <w:tcW w:w="297" w:type="pct"/>
                  <w:noWrap w:val="0"/>
                  <w:vAlign w:val="center"/>
                </w:tcPr>
                <w:p>
                  <w:pPr>
                    <w:spacing w:line="20" w:lineRule="atLeast"/>
                    <w:jc w:val="center"/>
                    <w:rPr>
                      <w:color w:val="auto"/>
                      <w:szCs w:val="21"/>
                    </w:rPr>
                  </w:pPr>
                  <w:r>
                    <w:rPr>
                      <w:rFonts w:hint="eastAsia"/>
                      <w:bCs/>
                      <w:color w:val="auto"/>
                      <w:spacing w:val="-10"/>
                      <w:szCs w:val="21"/>
                    </w:rPr>
                    <w:t>20000</w:t>
                  </w:r>
                </w:p>
              </w:tc>
              <w:tc>
                <w:tcPr>
                  <w:tcW w:w="269" w:type="pct"/>
                  <w:noWrap w:val="0"/>
                  <w:vAlign w:val="center"/>
                </w:tcPr>
                <w:p>
                  <w:pPr>
                    <w:spacing w:line="20" w:lineRule="atLeast"/>
                    <w:jc w:val="center"/>
                    <w:rPr>
                      <w:bCs/>
                      <w:color w:val="auto"/>
                      <w:spacing w:val="-10"/>
                      <w:szCs w:val="21"/>
                    </w:rPr>
                  </w:pPr>
                  <w:r>
                    <w:rPr>
                      <w:bCs/>
                      <w:color w:val="auto"/>
                      <w:spacing w:val="-10"/>
                      <w:szCs w:val="21"/>
                    </w:rPr>
                    <w:t>/</w:t>
                  </w:r>
                </w:p>
              </w:tc>
              <w:tc>
                <w:tcPr>
                  <w:tcW w:w="343" w:type="pct"/>
                  <w:noWrap w:val="0"/>
                  <w:vAlign w:val="center"/>
                </w:tcPr>
                <w:p>
                  <w:pPr>
                    <w:spacing w:line="20" w:lineRule="atLeast"/>
                    <w:jc w:val="center"/>
                    <w:rPr>
                      <w:bCs/>
                      <w:color w:val="auto"/>
                      <w:spacing w:val="-10"/>
                      <w:szCs w:val="21"/>
                    </w:rPr>
                  </w:pPr>
                  <w:r>
                    <w:rPr>
                      <w:rFonts w:hint="eastAsia"/>
                      <w:bCs/>
                      <w:color w:val="auto"/>
                      <w:spacing w:val="-10"/>
                      <w:szCs w:val="21"/>
                    </w:rPr>
                    <w:t>99</w:t>
                  </w:r>
                </w:p>
              </w:tc>
              <w:tc>
                <w:tcPr>
                  <w:tcW w:w="339" w:type="pct"/>
                  <w:noWrap w:val="0"/>
                  <w:vAlign w:val="center"/>
                </w:tcPr>
                <w:p>
                  <w:pPr>
                    <w:topLinePunct/>
                    <w:snapToGrid w:val="0"/>
                    <w:jc w:val="center"/>
                    <w:rPr>
                      <w:color w:val="auto"/>
                      <w:szCs w:val="21"/>
                    </w:rPr>
                  </w:pPr>
                  <w:r>
                    <w:rPr>
                      <w:color w:val="auto"/>
                      <w:szCs w:val="21"/>
                    </w:rPr>
                    <w:t>是</w:t>
                  </w:r>
                </w:p>
              </w:tc>
              <w:tc>
                <w:tcPr>
                  <w:tcW w:w="302" w:type="pct"/>
                  <w:noWrap w:val="0"/>
                  <w:vAlign w:val="center"/>
                </w:tcPr>
                <w:p>
                  <w:pPr>
                    <w:spacing w:line="20" w:lineRule="atLeast"/>
                    <w:jc w:val="center"/>
                    <w:rPr>
                      <w:bCs/>
                      <w:color w:val="auto"/>
                      <w:spacing w:val="-10"/>
                      <w:szCs w:val="21"/>
                    </w:rPr>
                  </w:pPr>
                  <w:r>
                    <w:rPr>
                      <w:rFonts w:hint="eastAsia"/>
                      <w:bCs/>
                      <w:color w:val="auto"/>
                      <w:spacing w:val="-10"/>
                      <w:szCs w:val="21"/>
                    </w:rPr>
                    <w:t>0.02</w:t>
                  </w:r>
                </w:p>
              </w:tc>
              <w:tc>
                <w:tcPr>
                  <w:tcW w:w="302" w:type="pct"/>
                  <w:noWrap w:val="0"/>
                  <w:vAlign w:val="center"/>
                </w:tcPr>
                <w:p>
                  <w:pPr>
                    <w:spacing w:line="20" w:lineRule="atLeast"/>
                    <w:jc w:val="center"/>
                    <w:rPr>
                      <w:bCs/>
                      <w:color w:val="auto"/>
                      <w:spacing w:val="-10"/>
                      <w:szCs w:val="21"/>
                    </w:rPr>
                  </w:pPr>
                  <w:r>
                    <w:rPr>
                      <w:rFonts w:hint="eastAsia"/>
                      <w:bCs/>
                      <w:color w:val="auto"/>
                      <w:spacing w:val="-10"/>
                      <w:szCs w:val="21"/>
                    </w:rPr>
                    <w:t>0.0164</w:t>
                  </w:r>
                </w:p>
              </w:tc>
              <w:tc>
                <w:tcPr>
                  <w:tcW w:w="310" w:type="pct"/>
                  <w:noWrap w:val="0"/>
                  <w:vAlign w:val="center"/>
                </w:tcPr>
                <w:p>
                  <w:pPr>
                    <w:spacing w:line="20" w:lineRule="atLeast"/>
                    <w:jc w:val="center"/>
                    <w:rPr>
                      <w:color w:val="auto"/>
                      <w:szCs w:val="21"/>
                    </w:rPr>
                  </w:pPr>
                  <w:r>
                    <w:rPr>
                      <w:rFonts w:hint="eastAsia"/>
                      <w:bCs/>
                      <w:color w:val="auto"/>
                      <w:spacing w:val="-10"/>
                      <w:szCs w:val="21"/>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vMerge w:val="continue"/>
                  <w:noWrap w:val="0"/>
                  <w:vAlign w:val="center"/>
                </w:tcPr>
                <w:p>
                  <w:pPr>
                    <w:topLinePunct/>
                    <w:adjustRightInd w:val="0"/>
                    <w:snapToGrid w:val="0"/>
                    <w:jc w:val="center"/>
                    <w:textAlignment w:val="center"/>
                    <w:rPr>
                      <w:bCs/>
                      <w:color w:val="auto"/>
                      <w:spacing w:val="-10"/>
                      <w:szCs w:val="21"/>
                    </w:rPr>
                  </w:pPr>
                </w:p>
              </w:tc>
              <w:tc>
                <w:tcPr>
                  <w:tcW w:w="370" w:type="pct"/>
                  <w:noWrap w:val="0"/>
                  <w:vAlign w:val="center"/>
                </w:tcPr>
                <w:p>
                  <w:pPr>
                    <w:spacing w:line="20" w:lineRule="atLeast"/>
                    <w:jc w:val="center"/>
                    <w:rPr>
                      <w:bCs/>
                      <w:color w:val="auto"/>
                      <w:spacing w:val="-10"/>
                      <w:szCs w:val="21"/>
                    </w:rPr>
                  </w:pPr>
                  <w:r>
                    <w:rPr>
                      <w:rFonts w:hint="eastAsia"/>
                      <w:bCs/>
                      <w:color w:val="auto"/>
                      <w:spacing w:val="-10"/>
                      <w:szCs w:val="21"/>
                    </w:rPr>
                    <w:t>SO</w:t>
                  </w:r>
                  <w:r>
                    <w:rPr>
                      <w:rFonts w:hint="eastAsia"/>
                      <w:bCs/>
                      <w:color w:val="auto"/>
                      <w:spacing w:val="-10"/>
                      <w:szCs w:val="21"/>
                      <w:vertAlign w:val="subscript"/>
                    </w:rPr>
                    <w:t>2</w:t>
                  </w:r>
                </w:p>
              </w:tc>
              <w:tc>
                <w:tcPr>
                  <w:tcW w:w="314" w:type="pct"/>
                  <w:vMerge w:val="continue"/>
                  <w:noWrap w:val="0"/>
                  <w:vAlign w:val="center"/>
                </w:tcPr>
                <w:p>
                  <w:pPr>
                    <w:adjustRightInd w:val="0"/>
                    <w:snapToGrid w:val="0"/>
                    <w:jc w:val="center"/>
                    <w:rPr>
                      <w:bCs/>
                      <w:color w:val="auto"/>
                      <w:spacing w:val="-10"/>
                      <w:szCs w:val="21"/>
                    </w:rPr>
                  </w:pPr>
                </w:p>
              </w:tc>
              <w:tc>
                <w:tcPr>
                  <w:tcW w:w="298" w:type="pct"/>
                  <w:noWrap w:val="0"/>
                  <w:vAlign w:val="center"/>
                </w:tcPr>
                <w:p>
                  <w:pPr>
                    <w:spacing w:line="20" w:lineRule="atLeast"/>
                    <w:jc w:val="center"/>
                    <w:rPr>
                      <w:color w:val="auto"/>
                      <w:szCs w:val="21"/>
                    </w:rPr>
                  </w:pPr>
                  <w:r>
                    <w:rPr>
                      <w:rFonts w:hint="eastAsia"/>
                      <w:bCs/>
                      <w:color w:val="auto"/>
                      <w:spacing w:val="-10"/>
                      <w:szCs w:val="21"/>
                    </w:rPr>
                    <w:t>1.71</w:t>
                  </w:r>
                </w:p>
              </w:tc>
              <w:tc>
                <w:tcPr>
                  <w:tcW w:w="337" w:type="pct"/>
                  <w:noWrap w:val="0"/>
                  <w:vAlign w:val="center"/>
                </w:tcPr>
                <w:p>
                  <w:pPr>
                    <w:spacing w:line="20" w:lineRule="atLeast"/>
                    <w:jc w:val="center"/>
                    <w:rPr>
                      <w:color w:val="auto"/>
                      <w:szCs w:val="21"/>
                    </w:rPr>
                  </w:pPr>
                  <w:r>
                    <w:rPr>
                      <w:rFonts w:hint="eastAsia"/>
                      <w:bCs/>
                      <w:color w:val="auto"/>
                      <w:spacing w:val="-10"/>
                      <w:szCs w:val="21"/>
                    </w:rPr>
                    <w:t>1.425</w:t>
                  </w:r>
                </w:p>
              </w:tc>
              <w:tc>
                <w:tcPr>
                  <w:tcW w:w="326" w:type="pct"/>
                  <w:noWrap w:val="0"/>
                  <w:vAlign w:val="center"/>
                </w:tcPr>
                <w:p>
                  <w:pPr>
                    <w:spacing w:line="20" w:lineRule="atLeast"/>
                    <w:jc w:val="center"/>
                    <w:rPr>
                      <w:color w:val="auto"/>
                      <w:szCs w:val="21"/>
                    </w:rPr>
                  </w:pPr>
                  <w:r>
                    <w:rPr>
                      <w:rFonts w:hint="eastAsia"/>
                      <w:bCs/>
                      <w:color w:val="auto"/>
                      <w:spacing w:val="-10"/>
                      <w:szCs w:val="21"/>
                    </w:rPr>
                    <w:t>71.25</w:t>
                  </w:r>
                </w:p>
              </w:tc>
              <w:tc>
                <w:tcPr>
                  <w:tcW w:w="776" w:type="pct"/>
                  <w:noWrap w:val="0"/>
                  <w:vAlign w:val="center"/>
                </w:tcPr>
                <w:p>
                  <w:pPr>
                    <w:spacing w:line="20" w:lineRule="atLeast"/>
                    <w:jc w:val="center"/>
                    <w:rPr>
                      <w:bCs/>
                      <w:color w:val="auto"/>
                      <w:spacing w:val="-10"/>
                      <w:szCs w:val="21"/>
                    </w:rPr>
                  </w:pPr>
                  <w:r>
                    <w:rPr>
                      <w:rFonts w:hint="eastAsia"/>
                      <w:bCs/>
                      <w:color w:val="auto"/>
                      <w:spacing w:val="-10"/>
                      <w:szCs w:val="21"/>
                    </w:rPr>
                    <w:t>/</w:t>
                  </w:r>
                </w:p>
              </w:tc>
              <w:tc>
                <w:tcPr>
                  <w:tcW w:w="297" w:type="pct"/>
                  <w:noWrap w:val="0"/>
                  <w:vAlign w:val="center"/>
                </w:tcPr>
                <w:p>
                  <w:pPr>
                    <w:spacing w:line="20" w:lineRule="atLeast"/>
                    <w:jc w:val="center"/>
                    <w:rPr>
                      <w:color w:val="auto"/>
                      <w:szCs w:val="21"/>
                    </w:rPr>
                  </w:pPr>
                  <w:r>
                    <w:rPr>
                      <w:bCs/>
                      <w:color w:val="auto"/>
                      <w:spacing w:val="-10"/>
                      <w:szCs w:val="21"/>
                    </w:rPr>
                    <w:t>/</w:t>
                  </w:r>
                </w:p>
              </w:tc>
              <w:tc>
                <w:tcPr>
                  <w:tcW w:w="269" w:type="pct"/>
                  <w:noWrap w:val="0"/>
                  <w:vAlign w:val="center"/>
                </w:tcPr>
                <w:p>
                  <w:pPr>
                    <w:spacing w:line="20" w:lineRule="atLeast"/>
                    <w:jc w:val="center"/>
                    <w:rPr>
                      <w:bCs/>
                      <w:color w:val="auto"/>
                      <w:spacing w:val="-10"/>
                      <w:szCs w:val="21"/>
                    </w:rPr>
                  </w:pPr>
                  <w:r>
                    <w:rPr>
                      <w:rFonts w:hint="eastAsia"/>
                      <w:bCs/>
                      <w:color w:val="auto"/>
                      <w:spacing w:val="-10"/>
                      <w:szCs w:val="21"/>
                    </w:rPr>
                    <w:t>100</w:t>
                  </w:r>
                </w:p>
              </w:tc>
              <w:tc>
                <w:tcPr>
                  <w:tcW w:w="343" w:type="pct"/>
                  <w:noWrap w:val="0"/>
                  <w:vAlign w:val="center"/>
                </w:tcPr>
                <w:p>
                  <w:pPr>
                    <w:spacing w:line="20" w:lineRule="atLeast"/>
                    <w:jc w:val="center"/>
                    <w:rPr>
                      <w:bCs/>
                      <w:color w:val="auto"/>
                      <w:spacing w:val="-10"/>
                      <w:szCs w:val="21"/>
                    </w:rPr>
                  </w:pPr>
                  <w:r>
                    <w:rPr>
                      <w:rFonts w:hint="eastAsia"/>
                      <w:bCs/>
                      <w:color w:val="auto"/>
                      <w:spacing w:val="-10"/>
                      <w:szCs w:val="21"/>
                    </w:rPr>
                    <w:t>/</w:t>
                  </w:r>
                </w:p>
              </w:tc>
              <w:tc>
                <w:tcPr>
                  <w:tcW w:w="339" w:type="pct"/>
                  <w:noWrap w:val="0"/>
                  <w:vAlign w:val="center"/>
                </w:tcPr>
                <w:p>
                  <w:pPr>
                    <w:topLinePunct/>
                    <w:snapToGrid w:val="0"/>
                    <w:jc w:val="center"/>
                    <w:rPr>
                      <w:rFonts w:hint="eastAsia"/>
                      <w:color w:val="auto"/>
                      <w:szCs w:val="21"/>
                    </w:rPr>
                  </w:pPr>
                  <w:r>
                    <w:rPr>
                      <w:rFonts w:hint="eastAsia"/>
                      <w:color w:val="auto"/>
                      <w:szCs w:val="21"/>
                    </w:rPr>
                    <w:t>/</w:t>
                  </w:r>
                </w:p>
              </w:tc>
              <w:tc>
                <w:tcPr>
                  <w:tcW w:w="302" w:type="pct"/>
                  <w:noWrap w:val="0"/>
                  <w:vAlign w:val="center"/>
                </w:tcPr>
                <w:p>
                  <w:pPr>
                    <w:spacing w:line="20" w:lineRule="atLeast"/>
                    <w:jc w:val="center"/>
                    <w:rPr>
                      <w:bCs/>
                      <w:color w:val="auto"/>
                      <w:spacing w:val="-10"/>
                      <w:szCs w:val="21"/>
                    </w:rPr>
                  </w:pPr>
                  <w:r>
                    <w:rPr>
                      <w:rFonts w:hint="eastAsia"/>
                      <w:bCs/>
                      <w:color w:val="auto"/>
                      <w:spacing w:val="-10"/>
                      <w:szCs w:val="21"/>
                    </w:rPr>
                    <w:t>1.71</w:t>
                  </w:r>
                </w:p>
              </w:tc>
              <w:tc>
                <w:tcPr>
                  <w:tcW w:w="302" w:type="pct"/>
                  <w:noWrap w:val="0"/>
                  <w:vAlign w:val="center"/>
                </w:tcPr>
                <w:p>
                  <w:pPr>
                    <w:spacing w:line="20" w:lineRule="atLeast"/>
                    <w:jc w:val="center"/>
                    <w:rPr>
                      <w:bCs/>
                      <w:color w:val="auto"/>
                      <w:spacing w:val="-10"/>
                      <w:szCs w:val="21"/>
                    </w:rPr>
                  </w:pPr>
                  <w:r>
                    <w:rPr>
                      <w:rFonts w:hint="eastAsia"/>
                      <w:bCs/>
                      <w:color w:val="auto"/>
                      <w:spacing w:val="-10"/>
                      <w:szCs w:val="21"/>
                    </w:rPr>
                    <w:t>1.425</w:t>
                  </w:r>
                </w:p>
              </w:tc>
              <w:tc>
                <w:tcPr>
                  <w:tcW w:w="310" w:type="pct"/>
                  <w:noWrap w:val="0"/>
                  <w:vAlign w:val="center"/>
                </w:tcPr>
                <w:p>
                  <w:pPr>
                    <w:spacing w:line="20" w:lineRule="atLeast"/>
                    <w:jc w:val="center"/>
                    <w:rPr>
                      <w:color w:val="auto"/>
                      <w:szCs w:val="21"/>
                    </w:rPr>
                  </w:pPr>
                  <w:r>
                    <w:rPr>
                      <w:rFonts w:hint="eastAsia"/>
                      <w:bCs/>
                      <w:color w:val="auto"/>
                      <w:spacing w:val="-10"/>
                      <w:szCs w:val="21"/>
                    </w:rPr>
                    <w:t>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vMerge w:val="continue"/>
                  <w:noWrap w:val="0"/>
                  <w:vAlign w:val="center"/>
                </w:tcPr>
                <w:p>
                  <w:pPr>
                    <w:topLinePunct/>
                    <w:adjustRightInd w:val="0"/>
                    <w:snapToGrid w:val="0"/>
                    <w:jc w:val="center"/>
                    <w:textAlignment w:val="center"/>
                    <w:rPr>
                      <w:bCs/>
                      <w:color w:val="auto"/>
                      <w:spacing w:val="-10"/>
                      <w:szCs w:val="21"/>
                    </w:rPr>
                  </w:pPr>
                </w:p>
              </w:tc>
              <w:tc>
                <w:tcPr>
                  <w:tcW w:w="370" w:type="pct"/>
                  <w:noWrap w:val="0"/>
                  <w:vAlign w:val="center"/>
                </w:tcPr>
                <w:p>
                  <w:pPr>
                    <w:spacing w:line="20" w:lineRule="atLeast"/>
                    <w:jc w:val="center"/>
                    <w:rPr>
                      <w:bCs/>
                      <w:color w:val="auto"/>
                      <w:spacing w:val="-10"/>
                      <w:szCs w:val="21"/>
                    </w:rPr>
                  </w:pPr>
                  <w:r>
                    <w:rPr>
                      <w:rFonts w:hint="eastAsia"/>
                      <w:bCs/>
                      <w:color w:val="auto"/>
                      <w:spacing w:val="-10"/>
                      <w:szCs w:val="21"/>
                    </w:rPr>
                    <w:t>NOx</w:t>
                  </w:r>
                </w:p>
              </w:tc>
              <w:tc>
                <w:tcPr>
                  <w:tcW w:w="314" w:type="pct"/>
                  <w:vMerge w:val="continue"/>
                  <w:noWrap w:val="0"/>
                  <w:vAlign w:val="center"/>
                </w:tcPr>
                <w:p>
                  <w:pPr>
                    <w:adjustRightInd w:val="0"/>
                    <w:snapToGrid w:val="0"/>
                    <w:jc w:val="center"/>
                    <w:rPr>
                      <w:bCs/>
                      <w:color w:val="auto"/>
                      <w:spacing w:val="-10"/>
                      <w:szCs w:val="21"/>
                    </w:rPr>
                  </w:pPr>
                </w:p>
              </w:tc>
              <w:tc>
                <w:tcPr>
                  <w:tcW w:w="298" w:type="pct"/>
                  <w:noWrap w:val="0"/>
                  <w:vAlign w:val="center"/>
                </w:tcPr>
                <w:p>
                  <w:pPr>
                    <w:spacing w:line="20" w:lineRule="atLeast"/>
                    <w:jc w:val="center"/>
                    <w:rPr>
                      <w:color w:val="auto"/>
                      <w:szCs w:val="21"/>
                    </w:rPr>
                  </w:pPr>
                  <w:r>
                    <w:rPr>
                      <w:rFonts w:hint="eastAsia"/>
                      <w:bCs/>
                      <w:color w:val="auto"/>
                      <w:spacing w:val="-10"/>
                      <w:szCs w:val="21"/>
                    </w:rPr>
                    <w:t>2.16</w:t>
                  </w:r>
                </w:p>
              </w:tc>
              <w:tc>
                <w:tcPr>
                  <w:tcW w:w="337" w:type="pct"/>
                  <w:noWrap w:val="0"/>
                  <w:vAlign w:val="center"/>
                </w:tcPr>
                <w:p>
                  <w:pPr>
                    <w:spacing w:line="20" w:lineRule="atLeast"/>
                    <w:jc w:val="center"/>
                    <w:rPr>
                      <w:color w:val="auto"/>
                      <w:szCs w:val="21"/>
                    </w:rPr>
                  </w:pPr>
                  <w:r>
                    <w:rPr>
                      <w:rFonts w:hint="eastAsia"/>
                      <w:bCs/>
                      <w:color w:val="auto"/>
                      <w:spacing w:val="-10"/>
                      <w:szCs w:val="21"/>
                    </w:rPr>
                    <w:t>1.8</w:t>
                  </w:r>
                </w:p>
              </w:tc>
              <w:tc>
                <w:tcPr>
                  <w:tcW w:w="326" w:type="pct"/>
                  <w:noWrap w:val="0"/>
                  <w:vAlign w:val="center"/>
                </w:tcPr>
                <w:p>
                  <w:pPr>
                    <w:spacing w:line="20" w:lineRule="atLeast"/>
                    <w:jc w:val="center"/>
                    <w:rPr>
                      <w:color w:val="auto"/>
                      <w:szCs w:val="21"/>
                    </w:rPr>
                  </w:pPr>
                  <w:r>
                    <w:rPr>
                      <w:rFonts w:hint="eastAsia"/>
                      <w:bCs/>
                      <w:color w:val="auto"/>
                      <w:spacing w:val="-10"/>
                      <w:szCs w:val="21"/>
                    </w:rPr>
                    <w:t>90</w:t>
                  </w:r>
                </w:p>
              </w:tc>
              <w:tc>
                <w:tcPr>
                  <w:tcW w:w="776" w:type="pct"/>
                  <w:noWrap w:val="0"/>
                  <w:vAlign w:val="center"/>
                </w:tcPr>
                <w:p>
                  <w:pPr>
                    <w:spacing w:line="20" w:lineRule="atLeast"/>
                    <w:jc w:val="center"/>
                    <w:rPr>
                      <w:bCs/>
                      <w:color w:val="auto"/>
                      <w:spacing w:val="-10"/>
                      <w:szCs w:val="21"/>
                    </w:rPr>
                  </w:pPr>
                  <w:r>
                    <w:rPr>
                      <w:rFonts w:hint="eastAsia"/>
                      <w:bCs/>
                      <w:color w:val="auto"/>
                      <w:spacing w:val="-10"/>
                      <w:szCs w:val="21"/>
                    </w:rPr>
                    <w:t>/</w:t>
                  </w:r>
                </w:p>
              </w:tc>
              <w:tc>
                <w:tcPr>
                  <w:tcW w:w="297" w:type="pct"/>
                  <w:noWrap w:val="0"/>
                  <w:vAlign w:val="center"/>
                </w:tcPr>
                <w:p>
                  <w:pPr>
                    <w:spacing w:line="20" w:lineRule="atLeast"/>
                    <w:jc w:val="center"/>
                    <w:rPr>
                      <w:color w:val="auto"/>
                      <w:szCs w:val="21"/>
                    </w:rPr>
                  </w:pPr>
                  <w:r>
                    <w:rPr>
                      <w:bCs/>
                      <w:color w:val="auto"/>
                      <w:spacing w:val="-10"/>
                      <w:szCs w:val="21"/>
                    </w:rPr>
                    <w:t>/</w:t>
                  </w:r>
                </w:p>
              </w:tc>
              <w:tc>
                <w:tcPr>
                  <w:tcW w:w="269" w:type="pct"/>
                  <w:noWrap w:val="0"/>
                  <w:vAlign w:val="center"/>
                </w:tcPr>
                <w:p>
                  <w:pPr>
                    <w:spacing w:line="20" w:lineRule="atLeast"/>
                    <w:jc w:val="center"/>
                    <w:rPr>
                      <w:bCs/>
                      <w:color w:val="auto"/>
                      <w:spacing w:val="-10"/>
                      <w:szCs w:val="21"/>
                    </w:rPr>
                  </w:pPr>
                  <w:r>
                    <w:rPr>
                      <w:rFonts w:hint="eastAsia"/>
                      <w:bCs/>
                      <w:color w:val="auto"/>
                      <w:spacing w:val="-10"/>
                      <w:szCs w:val="21"/>
                    </w:rPr>
                    <w:t>100</w:t>
                  </w:r>
                </w:p>
              </w:tc>
              <w:tc>
                <w:tcPr>
                  <w:tcW w:w="343" w:type="pct"/>
                  <w:noWrap w:val="0"/>
                  <w:vAlign w:val="center"/>
                </w:tcPr>
                <w:p>
                  <w:pPr>
                    <w:spacing w:line="20" w:lineRule="atLeast"/>
                    <w:jc w:val="center"/>
                    <w:rPr>
                      <w:bCs/>
                      <w:color w:val="auto"/>
                      <w:spacing w:val="-10"/>
                      <w:szCs w:val="21"/>
                    </w:rPr>
                  </w:pPr>
                  <w:r>
                    <w:rPr>
                      <w:rFonts w:hint="eastAsia"/>
                      <w:bCs/>
                      <w:color w:val="auto"/>
                      <w:spacing w:val="-10"/>
                      <w:szCs w:val="21"/>
                    </w:rPr>
                    <w:t>/</w:t>
                  </w:r>
                </w:p>
              </w:tc>
              <w:tc>
                <w:tcPr>
                  <w:tcW w:w="339" w:type="pct"/>
                  <w:noWrap w:val="0"/>
                  <w:vAlign w:val="center"/>
                </w:tcPr>
                <w:p>
                  <w:pPr>
                    <w:topLinePunct/>
                    <w:snapToGrid w:val="0"/>
                    <w:jc w:val="center"/>
                    <w:rPr>
                      <w:rFonts w:hint="eastAsia"/>
                      <w:color w:val="auto"/>
                      <w:szCs w:val="21"/>
                    </w:rPr>
                  </w:pPr>
                  <w:r>
                    <w:rPr>
                      <w:rFonts w:hint="eastAsia"/>
                      <w:color w:val="auto"/>
                      <w:szCs w:val="21"/>
                    </w:rPr>
                    <w:t>/</w:t>
                  </w:r>
                </w:p>
              </w:tc>
              <w:tc>
                <w:tcPr>
                  <w:tcW w:w="302" w:type="pct"/>
                  <w:noWrap w:val="0"/>
                  <w:vAlign w:val="center"/>
                </w:tcPr>
                <w:p>
                  <w:pPr>
                    <w:spacing w:line="20" w:lineRule="atLeast"/>
                    <w:jc w:val="center"/>
                    <w:rPr>
                      <w:bCs/>
                      <w:color w:val="auto"/>
                      <w:spacing w:val="-10"/>
                      <w:szCs w:val="21"/>
                    </w:rPr>
                  </w:pPr>
                  <w:r>
                    <w:rPr>
                      <w:rFonts w:hint="eastAsia"/>
                      <w:bCs/>
                      <w:color w:val="auto"/>
                      <w:spacing w:val="-10"/>
                      <w:szCs w:val="21"/>
                    </w:rPr>
                    <w:t>2.16</w:t>
                  </w:r>
                </w:p>
              </w:tc>
              <w:tc>
                <w:tcPr>
                  <w:tcW w:w="302" w:type="pct"/>
                  <w:noWrap w:val="0"/>
                  <w:vAlign w:val="center"/>
                </w:tcPr>
                <w:p>
                  <w:pPr>
                    <w:spacing w:line="20" w:lineRule="atLeast"/>
                    <w:jc w:val="center"/>
                    <w:rPr>
                      <w:bCs/>
                      <w:color w:val="auto"/>
                      <w:spacing w:val="-10"/>
                      <w:szCs w:val="21"/>
                    </w:rPr>
                  </w:pPr>
                  <w:r>
                    <w:rPr>
                      <w:rFonts w:hint="eastAsia"/>
                      <w:bCs/>
                      <w:color w:val="auto"/>
                      <w:spacing w:val="-10"/>
                      <w:szCs w:val="21"/>
                    </w:rPr>
                    <w:t>1.8</w:t>
                  </w:r>
                </w:p>
              </w:tc>
              <w:tc>
                <w:tcPr>
                  <w:tcW w:w="310" w:type="pct"/>
                  <w:noWrap w:val="0"/>
                  <w:vAlign w:val="center"/>
                </w:tcPr>
                <w:p>
                  <w:pPr>
                    <w:spacing w:line="20" w:lineRule="atLeast"/>
                    <w:jc w:val="center"/>
                    <w:rPr>
                      <w:color w:val="auto"/>
                      <w:szCs w:val="21"/>
                    </w:rPr>
                  </w:pPr>
                  <w:r>
                    <w:rPr>
                      <w:rFonts w:hint="eastAsia"/>
                      <w:bCs/>
                      <w:color w:val="auto"/>
                      <w:spacing w:val="-1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vMerge w:val="restart"/>
                  <w:noWrap w:val="0"/>
                  <w:vAlign w:val="center"/>
                </w:tcPr>
                <w:p>
                  <w:pPr>
                    <w:topLinePunct/>
                    <w:adjustRightInd w:val="0"/>
                    <w:snapToGrid w:val="0"/>
                    <w:jc w:val="center"/>
                    <w:textAlignment w:val="center"/>
                    <w:rPr>
                      <w:bCs/>
                      <w:color w:val="auto"/>
                      <w:spacing w:val="-10"/>
                      <w:szCs w:val="21"/>
                    </w:rPr>
                  </w:pPr>
                  <w:r>
                    <w:rPr>
                      <w:rFonts w:hint="eastAsia"/>
                      <w:color w:val="auto"/>
                      <w:szCs w:val="21"/>
                    </w:rPr>
                    <w:t>搅拌器加热、搅拌、出料废气</w:t>
                  </w:r>
                </w:p>
              </w:tc>
              <w:tc>
                <w:tcPr>
                  <w:tcW w:w="370" w:type="pct"/>
                  <w:vMerge w:val="restart"/>
                  <w:noWrap w:val="0"/>
                  <w:vAlign w:val="center"/>
                </w:tcPr>
                <w:p>
                  <w:pPr>
                    <w:spacing w:line="20" w:lineRule="atLeast"/>
                    <w:jc w:val="center"/>
                    <w:rPr>
                      <w:bCs/>
                      <w:color w:val="auto"/>
                      <w:spacing w:val="-10"/>
                      <w:szCs w:val="21"/>
                    </w:rPr>
                  </w:pPr>
                  <w:r>
                    <w:rPr>
                      <w:rFonts w:hint="eastAsia"/>
                      <w:bCs/>
                      <w:color w:val="auto"/>
                      <w:spacing w:val="-10"/>
                      <w:szCs w:val="21"/>
                    </w:rPr>
                    <w:t>沥青烟</w:t>
                  </w:r>
                </w:p>
              </w:tc>
              <w:tc>
                <w:tcPr>
                  <w:tcW w:w="314" w:type="pct"/>
                  <w:noWrap w:val="0"/>
                  <w:vAlign w:val="center"/>
                </w:tcPr>
                <w:p>
                  <w:pPr>
                    <w:spacing w:line="20" w:lineRule="atLeast"/>
                    <w:jc w:val="center"/>
                    <w:rPr>
                      <w:bCs/>
                      <w:color w:val="auto"/>
                      <w:spacing w:val="-10"/>
                      <w:szCs w:val="21"/>
                    </w:rPr>
                  </w:pPr>
                  <w:r>
                    <w:rPr>
                      <w:rFonts w:hint="eastAsia"/>
                      <w:bCs/>
                      <w:color w:val="auto"/>
                      <w:spacing w:val="-10"/>
                      <w:szCs w:val="21"/>
                    </w:rPr>
                    <w:t>有组织</w:t>
                  </w:r>
                </w:p>
              </w:tc>
              <w:tc>
                <w:tcPr>
                  <w:tcW w:w="298" w:type="pct"/>
                  <w:noWrap w:val="0"/>
                  <w:vAlign w:val="center"/>
                </w:tcPr>
                <w:p>
                  <w:pPr>
                    <w:spacing w:line="20" w:lineRule="atLeast"/>
                    <w:jc w:val="center"/>
                    <w:rPr>
                      <w:color w:val="auto"/>
                      <w:szCs w:val="21"/>
                    </w:rPr>
                  </w:pPr>
                  <w:r>
                    <w:rPr>
                      <w:rFonts w:hint="eastAsia"/>
                      <w:bCs/>
                      <w:color w:val="auto"/>
                      <w:spacing w:val="-10"/>
                      <w:szCs w:val="21"/>
                    </w:rPr>
                    <w:t>0.2569</w:t>
                  </w:r>
                </w:p>
              </w:tc>
              <w:tc>
                <w:tcPr>
                  <w:tcW w:w="337" w:type="pct"/>
                  <w:noWrap w:val="0"/>
                  <w:vAlign w:val="center"/>
                </w:tcPr>
                <w:p>
                  <w:pPr>
                    <w:spacing w:line="20" w:lineRule="atLeast"/>
                    <w:jc w:val="center"/>
                    <w:rPr>
                      <w:color w:val="auto"/>
                      <w:szCs w:val="21"/>
                    </w:rPr>
                  </w:pPr>
                  <w:r>
                    <w:rPr>
                      <w:rFonts w:hint="eastAsia"/>
                      <w:bCs/>
                      <w:color w:val="auto"/>
                      <w:spacing w:val="-10"/>
                      <w:szCs w:val="21"/>
                    </w:rPr>
                    <w:t>0.2141</w:t>
                  </w:r>
                </w:p>
              </w:tc>
              <w:tc>
                <w:tcPr>
                  <w:tcW w:w="326" w:type="pct"/>
                  <w:noWrap w:val="0"/>
                  <w:vAlign w:val="center"/>
                </w:tcPr>
                <w:p>
                  <w:pPr>
                    <w:spacing w:line="20" w:lineRule="atLeast"/>
                    <w:jc w:val="center"/>
                    <w:rPr>
                      <w:color w:val="auto"/>
                      <w:szCs w:val="21"/>
                    </w:rPr>
                  </w:pPr>
                  <w:r>
                    <w:rPr>
                      <w:rFonts w:hint="eastAsia"/>
                      <w:bCs/>
                      <w:color w:val="auto"/>
                      <w:spacing w:val="-10"/>
                      <w:szCs w:val="21"/>
                    </w:rPr>
                    <w:t>21.41</w:t>
                  </w:r>
                </w:p>
              </w:tc>
              <w:tc>
                <w:tcPr>
                  <w:tcW w:w="776" w:type="pct"/>
                  <w:noWrap w:val="0"/>
                  <w:vAlign w:val="center"/>
                </w:tcPr>
                <w:p>
                  <w:pPr>
                    <w:spacing w:line="20" w:lineRule="atLeast"/>
                    <w:jc w:val="center"/>
                    <w:rPr>
                      <w:color w:val="auto"/>
                      <w:szCs w:val="21"/>
                    </w:rPr>
                  </w:pPr>
                  <w:r>
                    <w:rPr>
                      <w:rFonts w:hint="eastAsia"/>
                      <w:bCs/>
                      <w:color w:val="auto"/>
                      <w:spacing w:val="-10"/>
                      <w:szCs w:val="21"/>
                    </w:rPr>
                    <w:t>袋式除尘器+活性炭吸附</w:t>
                  </w:r>
                </w:p>
              </w:tc>
              <w:tc>
                <w:tcPr>
                  <w:tcW w:w="297" w:type="pct"/>
                  <w:noWrap w:val="0"/>
                  <w:vAlign w:val="center"/>
                </w:tcPr>
                <w:p>
                  <w:pPr>
                    <w:spacing w:line="20" w:lineRule="atLeast"/>
                    <w:jc w:val="center"/>
                    <w:rPr>
                      <w:color w:val="auto"/>
                      <w:szCs w:val="21"/>
                    </w:rPr>
                  </w:pPr>
                  <w:r>
                    <w:rPr>
                      <w:rFonts w:hint="eastAsia"/>
                      <w:bCs/>
                      <w:color w:val="auto"/>
                      <w:spacing w:val="-10"/>
                      <w:szCs w:val="21"/>
                    </w:rPr>
                    <w:t>10000</w:t>
                  </w:r>
                </w:p>
              </w:tc>
              <w:tc>
                <w:tcPr>
                  <w:tcW w:w="269" w:type="pct"/>
                  <w:noWrap w:val="0"/>
                  <w:vAlign w:val="center"/>
                </w:tcPr>
                <w:p>
                  <w:pPr>
                    <w:spacing w:line="20" w:lineRule="atLeast"/>
                    <w:jc w:val="center"/>
                    <w:rPr>
                      <w:color w:val="auto"/>
                      <w:szCs w:val="21"/>
                    </w:rPr>
                  </w:pPr>
                  <w:r>
                    <w:rPr>
                      <w:rFonts w:hint="eastAsia"/>
                      <w:bCs/>
                      <w:color w:val="auto"/>
                      <w:spacing w:val="-10"/>
                      <w:szCs w:val="21"/>
                    </w:rPr>
                    <w:t>90</w:t>
                  </w:r>
                </w:p>
              </w:tc>
              <w:tc>
                <w:tcPr>
                  <w:tcW w:w="343" w:type="pct"/>
                  <w:noWrap w:val="0"/>
                  <w:vAlign w:val="center"/>
                </w:tcPr>
                <w:p>
                  <w:pPr>
                    <w:spacing w:line="20" w:lineRule="atLeast"/>
                    <w:jc w:val="center"/>
                    <w:rPr>
                      <w:color w:val="auto"/>
                      <w:szCs w:val="21"/>
                    </w:rPr>
                  </w:pPr>
                  <w:r>
                    <w:rPr>
                      <w:rFonts w:hint="eastAsia"/>
                      <w:bCs/>
                      <w:color w:val="auto"/>
                      <w:spacing w:val="-10"/>
                      <w:szCs w:val="21"/>
                    </w:rPr>
                    <w:t>99</w:t>
                  </w:r>
                </w:p>
              </w:tc>
              <w:tc>
                <w:tcPr>
                  <w:tcW w:w="339" w:type="pct"/>
                  <w:noWrap w:val="0"/>
                  <w:vAlign w:val="center"/>
                </w:tcPr>
                <w:p>
                  <w:pPr>
                    <w:topLinePunct/>
                    <w:snapToGrid w:val="0"/>
                    <w:jc w:val="center"/>
                    <w:rPr>
                      <w:color w:val="auto"/>
                      <w:szCs w:val="21"/>
                    </w:rPr>
                  </w:pPr>
                  <w:r>
                    <w:rPr>
                      <w:color w:val="auto"/>
                      <w:szCs w:val="21"/>
                    </w:rPr>
                    <w:t>是</w:t>
                  </w:r>
                </w:p>
              </w:tc>
              <w:tc>
                <w:tcPr>
                  <w:tcW w:w="302" w:type="pct"/>
                  <w:noWrap w:val="0"/>
                  <w:vAlign w:val="center"/>
                </w:tcPr>
                <w:p>
                  <w:pPr>
                    <w:spacing w:line="20" w:lineRule="atLeast"/>
                    <w:jc w:val="center"/>
                    <w:rPr>
                      <w:color w:val="auto"/>
                      <w:szCs w:val="21"/>
                    </w:rPr>
                  </w:pPr>
                  <w:r>
                    <w:rPr>
                      <w:rFonts w:hint="eastAsia"/>
                      <w:bCs/>
                      <w:color w:val="auto"/>
                      <w:spacing w:val="-10"/>
                      <w:szCs w:val="21"/>
                    </w:rPr>
                    <w:t>0.0026</w:t>
                  </w:r>
                </w:p>
              </w:tc>
              <w:tc>
                <w:tcPr>
                  <w:tcW w:w="302" w:type="pct"/>
                  <w:noWrap w:val="0"/>
                  <w:vAlign w:val="center"/>
                </w:tcPr>
                <w:p>
                  <w:pPr>
                    <w:spacing w:line="20" w:lineRule="atLeast"/>
                    <w:jc w:val="center"/>
                    <w:rPr>
                      <w:color w:val="auto"/>
                      <w:szCs w:val="21"/>
                    </w:rPr>
                  </w:pPr>
                  <w:r>
                    <w:rPr>
                      <w:rFonts w:hint="eastAsia"/>
                      <w:bCs/>
                      <w:color w:val="auto"/>
                      <w:spacing w:val="-10"/>
                      <w:szCs w:val="21"/>
                    </w:rPr>
                    <w:t>0.0021</w:t>
                  </w:r>
                </w:p>
              </w:tc>
              <w:tc>
                <w:tcPr>
                  <w:tcW w:w="310" w:type="pct"/>
                  <w:noWrap w:val="0"/>
                  <w:vAlign w:val="center"/>
                </w:tcPr>
                <w:p>
                  <w:pPr>
                    <w:spacing w:line="20" w:lineRule="atLeast"/>
                    <w:jc w:val="center"/>
                    <w:rPr>
                      <w:color w:val="auto"/>
                      <w:szCs w:val="21"/>
                    </w:rPr>
                  </w:pPr>
                  <w:r>
                    <w:rPr>
                      <w:rFonts w:hint="eastAsia"/>
                      <w:bCs/>
                      <w:color w:val="auto"/>
                      <w:spacing w:val="-10"/>
                      <w:szCs w:val="21"/>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vMerge w:val="continue"/>
                  <w:noWrap w:val="0"/>
                  <w:vAlign w:val="center"/>
                </w:tcPr>
                <w:p>
                  <w:pPr>
                    <w:topLinePunct/>
                    <w:adjustRightInd w:val="0"/>
                    <w:snapToGrid w:val="0"/>
                    <w:jc w:val="center"/>
                    <w:textAlignment w:val="center"/>
                    <w:rPr>
                      <w:bCs/>
                      <w:color w:val="auto"/>
                      <w:spacing w:val="-10"/>
                      <w:szCs w:val="21"/>
                    </w:rPr>
                  </w:pPr>
                </w:p>
              </w:tc>
              <w:tc>
                <w:tcPr>
                  <w:tcW w:w="370" w:type="pct"/>
                  <w:vMerge w:val="continue"/>
                  <w:noWrap w:val="0"/>
                  <w:vAlign w:val="center"/>
                </w:tcPr>
                <w:p>
                  <w:pPr>
                    <w:spacing w:line="20" w:lineRule="atLeast"/>
                    <w:jc w:val="center"/>
                    <w:rPr>
                      <w:bCs/>
                      <w:color w:val="auto"/>
                      <w:spacing w:val="-10"/>
                      <w:szCs w:val="21"/>
                    </w:rPr>
                  </w:pPr>
                </w:p>
              </w:tc>
              <w:tc>
                <w:tcPr>
                  <w:tcW w:w="314" w:type="pct"/>
                  <w:noWrap w:val="0"/>
                  <w:vAlign w:val="center"/>
                </w:tcPr>
                <w:p>
                  <w:pPr>
                    <w:spacing w:line="20" w:lineRule="atLeast"/>
                    <w:jc w:val="center"/>
                    <w:rPr>
                      <w:bCs/>
                      <w:color w:val="auto"/>
                      <w:spacing w:val="-10"/>
                      <w:szCs w:val="21"/>
                    </w:rPr>
                  </w:pPr>
                  <w:r>
                    <w:rPr>
                      <w:rFonts w:hint="eastAsia"/>
                      <w:bCs/>
                      <w:color w:val="auto"/>
                      <w:spacing w:val="-10"/>
                      <w:szCs w:val="21"/>
                    </w:rPr>
                    <w:t>无组织</w:t>
                  </w:r>
                </w:p>
              </w:tc>
              <w:tc>
                <w:tcPr>
                  <w:tcW w:w="298" w:type="pct"/>
                  <w:noWrap w:val="0"/>
                  <w:vAlign w:val="center"/>
                </w:tcPr>
                <w:p>
                  <w:pPr>
                    <w:spacing w:line="20" w:lineRule="atLeast"/>
                    <w:jc w:val="center"/>
                    <w:rPr>
                      <w:bCs/>
                      <w:color w:val="auto"/>
                      <w:spacing w:val="-10"/>
                      <w:szCs w:val="21"/>
                    </w:rPr>
                  </w:pPr>
                  <w:r>
                    <w:rPr>
                      <w:rFonts w:hint="eastAsia"/>
                      <w:bCs/>
                      <w:color w:val="auto"/>
                      <w:spacing w:val="-10"/>
                      <w:szCs w:val="21"/>
                    </w:rPr>
                    <w:t>0.0286</w:t>
                  </w:r>
                </w:p>
              </w:tc>
              <w:tc>
                <w:tcPr>
                  <w:tcW w:w="337" w:type="pct"/>
                  <w:noWrap w:val="0"/>
                  <w:vAlign w:val="center"/>
                </w:tcPr>
                <w:p>
                  <w:pPr>
                    <w:spacing w:line="20" w:lineRule="atLeast"/>
                    <w:jc w:val="center"/>
                    <w:rPr>
                      <w:bCs/>
                      <w:color w:val="auto"/>
                      <w:spacing w:val="-10"/>
                      <w:szCs w:val="21"/>
                    </w:rPr>
                  </w:pPr>
                  <w:r>
                    <w:rPr>
                      <w:rFonts w:hint="eastAsia"/>
                      <w:bCs/>
                      <w:color w:val="auto"/>
                      <w:spacing w:val="-10"/>
                      <w:szCs w:val="21"/>
                    </w:rPr>
                    <w:t>0.0238</w:t>
                  </w:r>
                </w:p>
              </w:tc>
              <w:tc>
                <w:tcPr>
                  <w:tcW w:w="326" w:type="pct"/>
                  <w:noWrap w:val="0"/>
                  <w:vAlign w:val="center"/>
                </w:tcPr>
                <w:p>
                  <w:pPr>
                    <w:spacing w:line="20" w:lineRule="atLeast"/>
                    <w:jc w:val="center"/>
                    <w:rPr>
                      <w:bCs/>
                      <w:color w:val="auto"/>
                      <w:spacing w:val="-10"/>
                      <w:szCs w:val="21"/>
                    </w:rPr>
                  </w:pPr>
                  <w:r>
                    <w:rPr>
                      <w:rFonts w:hint="eastAsia"/>
                      <w:bCs/>
                      <w:color w:val="auto"/>
                      <w:spacing w:val="-10"/>
                      <w:szCs w:val="21"/>
                    </w:rPr>
                    <w:t>/</w:t>
                  </w:r>
                </w:p>
              </w:tc>
              <w:tc>
                <w:tcPr>
                  <w:tcW w:w="776" w:type="pct"/>
                  <w:noWrap w:val="0"/>
                  <w:vAlign w:val="center"/>
                </w:tcPr>
                <w:p>
                  <w:pPr>
                    <w:spacing w:line="20" w:lineRule="atLeast"/>
                    <w:jc w:val="center"/>
                    <w:rPr>
                      <w:bCs/>
                      <w:color w:val="auto"/>
                      <w:spacing w:val="-10"/>
                      <w:szCs w:val="21"/>
                    </w:rPr>
                  </w:pPr>
                  <w:r>
                    <w:rPr>
                      <w:rFonts w:hint="eastAsia"/>
                      <w:bCs/>
                      <w:color w:val="auto"/>
                      <w:spacing w:val="-10"/>
                      <w:szCs w:val="21"/>
                    </w:rPr>
                    <w:t>/</w:t>
                  </w:r>
                </w:p>
              </w:tc>
              <w:tc>
                <w:tcPr>
                  <w:tcW w:w="297" w:type="pct"/>
                  <w:noWrap w:val="0"/>
                  <w:vAlign w:val="center"/>
                </w:tcPr>
                <w:p>
                  <w:pPr>
                    <w:spacing w:line="20" w:lineRule="atLeast"/>
                    <w:jc w:val="center"/>
                    <w:rPr>
                      <w:bCs/>
                      <w:color w:val="auto"/>
                      <w:spacing w:val="-10"/>
                      <w:szCs w:val="21"/>
                    </w:rPr>
                  </w:pPr>
                  <w:r>
                    <w:rPr>
                      <w:bCs/>
                      <w:color w:val="auto"/>
                      <w:spacing w:val="-10"/>
                      <w:szCs w:val="21"/>
                    </w:rPr>
                    <w:t>/</w:t>
                  </w:r>
                </w:p>
              </w:tc>
              <w:tc>
                <w:tcPr>
                  <w:tcW w:w="269" w:type="pct"/>
                  <w:noWrap w:val="0"/>
                  <w:vAlign w:val="center"/>
                </w:tcPr>
                <w:p>
                  <w:pPr>
                    <w:spacing w:line="20" w:lineRule="atLeast"/>
                    <w:jc w:val="center"/>
                    <w:rPr>
                      <w:bCs/>
                      <w:color w:val="auto"/>
                      <w:spacing w:val="-10"/>
                      <w:szCs w:val="21"/>
                    </w:rPr>
                  </w:pPr>
                  <w:r>
                    <w:rPr>
                      <w:rFonts w:hint="eastAsia"/>
                      <w:bCs/>
                      <w:color w:val="auto"/>
                      <w:spacing w:val="-10"/>
                      <w:szCs w:val="21"/>
                    </w:rPr>
                    <w:t>/</w:t>
                  </w:r>
                </w:p>
              </w:tc>
              <w:tc>
                <w:tcPr>
                  <w:tcW w:w="343" w:type="pct"/>
                  <w:noWrap w:val="0"/>
                  <w:vAlign w:val="center"/>
                </w:tcPr>
                <w:p>
                  <w:pPr>
                    <w:spacing w:line="20" w:lineRule="atLeast"/>
                    <w:jc w:val="center"/>
                    <w:rPr>
                      <w:bCs/>
                      <w:color w:val="auto"/>
                      <w:spacing w:val="-10"/>
                      <w:szCs w:val="21"/>
                    </w:rPr>
                  </w:pPr>
                  <w:r>
                    <w:rPr>
                      <w:rFonts w:hint="eastAsia"/>
                      <w:bCs/>
                      <w:color w:val="auto"/>
                      <w:spacing w:val="-10"/>
                      <w:szCs w:val="21"/>
                    </w:rPr>
                    <w:t>/</w:t>
                  </w:r>
                </w:p>
              </w:tc>
              <w:tc>
                <w:tcPr>
                  <w:tcW w:w="339" w:type="pct"/>
                  <w:noWrap w:val="0"/>
                  <w:vAlign w:val="center"/>
                </w:tcPr>
                <w:p>
                  <w:pPr>
                    <w:topLinePunct/>
                    <w:snapToGrid w:val="0"/>
                    <w:jc w:val="center"/>
                    <w:rPr>
                      <w:bCs/>
                      <w:color w:val="auto"/>
                      <w:spacing w:val="-10"/>
                      <w:szCs w:val="21"/>
                    </w:rPr>
                  </w:pPr>
                  <w:r>
                    <w:rPr>
                      <w:rFonts w:hint="eastAsia"/>
                      <w:color w:val="auto"/>
                      <w:szCs w:val="21"/>
                    </w:rPr>
                    <w:t>/</w:t>
                  </w:r>
                </w:p>
              </w:tc>
              <w:tc>
                <w:tcPr>
                  <w:tcW w:w="302" w:type="pct"/>
                  <w:noWrap w:val="0"/>
                  <w:vAlign w:val="center"/>
                </w:tcPr>
                <w:p>
                  <w:pPr>
                    <w:spacing w:line="20" w:lineRule="atLeast"/>
                    <w:jc w:val="center"/>
                    <w:rPr>
                      <w:bCs/>
                      <w:color w:val="auto"/>
                      <w:spacing w:val="-10"/>
                      <w:szCs w:val="21"/>
                    </w:rPr>
                  </w:pPr>
                  <w:r>
                    <w:rPr>
                      <w:rFonts w:hint="eastAsia"/>
                      <w:bCs/>
                      <w:color w:val="auto"/>
                      <w:spacing w:val="-10"/>
                      <w:szCs w:val="21"/>
                    </w:rPr>
                    <w:t>0.0286</w:t>
                  </w:r>
                </w:p>
              </w:tc>
              <w:tc>
                <w:tcPr>
                  <w:tcW w:w="302" w:type="pct"/>
                  <w:noWrap w:val="0"/>
                  <w:vAlign w:val="center"/>
                </w:tcPr>
                <w:p>
                  <w:pPr>
                    <w:spacing w:line="20" w:lineRule="atLeast"/>
                    <w:jc w:val="center"/>
                    <w:rPr>
                      <w:bCs/>
                      <w:color w:val="auto"/>
                      <w:spacing w:val="-10"/>
                      <w:szCs w:val="21"/>
                    </w:rPr>
                  </w:pPr>
                  <w:r>
                    <w:rPr>
                      <w:rFonts w:hint="eastAsia"/>
                      <w:bCs/>
                      <w:color w:val="auto"/>
                      <w:spacing w:val="-10"/>
                      <w:szCs w:val="21"/>
                    </w:rPr>
                    <w:t>0.0238</w:t>
                  </w:r>
                </w:p>
              </w:tc>
              <w:tc>
                <w:tcPr>
                  <w:tcW w:w="310" w:type="pct"/>
                  <w:noWrap w:val="0"/>
                  <w:vAlign w:val="center"/>
                </w:tcPr>
                <w:p>
                  <w:pPr>
                    <w:spacing w:line="20" w:lineRule="atLeast"/>
                    <w:jc w:val="center"/>
                    <w:rPr>
                      <w:bCs/>
                      <w:color w:val="auto"/>
                      <w:spacing w:val="-10"/>
                      <w:szCs w:val="21"/>
                    </w:rPr>
                  </w:pPr>
                  <w:r>
                    <w:rPr>
                      <w:rFonts w:hint="eastAsia"/>
                      <w:bCs/>
                      <w:color w:val="auto"/>
                      <w:spacing w:val="-1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vMerge w:val="continue"/>
                  <w:noWrap w:val="0"/>
                  <w:vAlign w:val="center"/>
                </w:tcPr>
                <w:p>
                  <w:pPr>
                    <w:topLinePunct/>
                    <w:adjustRightInd w:val="0"/>
                    <w:snapToGrid w:val="0"/>
                    <w:jc w:val="center"/>
                    <w:textAlignment w:val="center"/>
                    <w:rPr>
                      <w:bCs/>
                      <w:color w:val="auto"/>
                      <w:spacing w:val="-10"/>
                      <w:szCs w:val="21"/>
                    </w:rPr>
                  </w:pPr>
                </w:p>
              </w:tc>
              <w:tc>
                <w:tcPr>
                  <w:tcW w:w="370" w:type="pct"/>
                  <w:vMerge w:val="restart"/>
                  <w:noWrap w:val="0"/>
                  <w:vAlign w:val="center"/>
                </w:tcPr>
                <w:p>
                  <w:pPr>
                    <w:spacing w:line="20" w:lineRule="atLeast"/>
                    <w:jc w:val="center"/>
                    <w:rPr>
                      <w:bCs/>
                      <w:color w:val="auto"/>
                      <w:spacing w:val="-10"/>
                      <w:szCs w:val="21"/>
                    </w:rPr>
                  </w:pPr>
                  <w:r>
                    <w:rPr>
                      <w:rFonts w:hint="eastAsia"/>
                      <w:bCs/>
                      <w:color w:val="auto"/>
                      <w:spacing w:val="-10"/>
                      <w:szCs w:val="21"/>
                    </w:rPr>
                    <w:t>苯并[a]芘</w:t>
                  </w:r>
                </w:p>
              </w:tc>
              <w:tc>
                <w:tcPr>
                  <w:tcW w:w="314" w:type="pct"/>
                  <w:noWrap w:val="0"/>
                  <w:vAlign w:val="center"/>
                </w:tcPr>
                <w:p>
                  <w:pPr>
                    <w:spacing w:line="20" w:lineRule="atLeast"/>
                    <w:jc w:val="center"/>
                    <w:rPr>
                      <w:bCs/>
                      <w:color w:val="auto"/>
                      <w:spacing w:val="-10"/>
                      <w:szCs w:val="21"/>
                    </w:rPr>
                  </w:pPr>
                  <w:r>
                    <w:rPr>
                      <w:rFonts w:hint="eastAsia"/>
                      <w:bCs/>
                      <w:color w:val="auto"/>
                      <w:spacing w:val="-10"/>
                      <w:szCs w:val="21"/>
                    </w:rPr>
                    <w:t>有组织</w:t>
                  </w:r>
                </w:p>
              </w:tc>
              <w:tc>
                <w:tcPr>
                  <w:tcW w:w="298" w:type="pct"/>
                  <w:noWrap w:val="0"/>
                  <w:vAlign w:val="center"/>
                </w:tcPr>
                <w:p>
                  <w:pPr>
                    <w:spacing w:line="20" w:lineRule="atLeast"/>
                    <w:jc w:val="center"/>
                    <w:rPr>
                      <w:bCs/>
                      <w:color w:val="auto"/>
                      <w:spacing w:val="-10"/>
                      <w:szCs w:val="21"/>
                    </w:rPr>
                  </w:pPr>
                  <w:r>
                    <w:rPr>
                      <w:rFonts w:hint="eastAsia"/>
                      <w:bCs/>
                      <w:color w:val="auto"/>
                      <w:spacing w:val="-10"/>
                      <w:szCs w:val="21"/>
                    </w:rPr>
                    <w:t>5.71×10</w:t>
                  </w:r>
                  <w:r>
                    <w:rPr>
                      <w:rFonts w:hint="eastAsia"/>
                      <w:bCs/>
                      <w:color w:val="auto"/>
                      <w:spacing w:val="-10"/>
                      <w:szCs w:val="21"/>
                      <w:vertAlign w:val="superscript"/>
                    </w:rPr>
                    <w:t>-7</w:t>
                  </w:r>
                </w:p>
              </w:tc>
              <w:tc>
                <w:tcPr>
                  <w:tcW w:w="337" w:type="pct"/>
                  <w:noWrap w:val="0"/>
                  <w:vAlign w:val="center"/>
                </w:tcPr>
                <w:p>
                  <w:pPr>
                    <w:spacing w:line="20" w:lineRule="atLeast"/>
                    <w:jc w:val="center"/>
                    <w:rPr>
                      <w:bCs/>
                      <w:color w:val="auto"/>
                      <w:spacing w:val="-10"/>
                      <w:szCs w:val="21"/>
                    </w:rPr>
                  </w:pPr>
                  <w:r>
                    <w:rPr>
                      <w:rFonts w:hint="eastAsia"/>
                      <w:bCs/>
                      <w:color w:val="auto"/>
                      <w:spacing w:val="-10"/>
                      <w:szCs w:val="21"/>
                    </w:rPr>
                    <w:t>4.76×10</w:t>
                  </w:r>
                  <w:r>
                    <w:rPr>
                      <w:rFonts w:hint="eastAsia"/>
                      <w:bCs/>
                      <w:color w:val="auto"/>
                      <w:spacing w:val="-10"/>
                      <w:szCs w:val="21"/>
                      <w:vertAlign w:val="superscript"/>
                    </w:rPr>
                    <w:t>-7</w:t>
                  </w:r>
                </w:p>
              </w:tc>
              <w:tc>
                <w:tcPr>
                  <w:tcW w:w="326" w:type="pct"/>
                  <w:noWrap w:val="0"/>
                  <w:vAlign w:val="center"/>
                </w:tcPr>
                <w:p>
                  <w:pPr>
                    <w:spacing w:line="20" w:lineRule="atLeast"/>
                    <w:jc w:val="center"/>
                    <w:rPr>
                      <w:bCs/>
                      <w:color w:val="auto"/>
                      <w:spacing w:val="-10"/>
                      <w:szCs w:val="21"/>
                    </w:rPr>
                  </w:pPr>
                  <w:r>
                    <w:rPr>
                      <w:rFonts w:hint="eastAsia"/>
                      <w:bCs/>
                      <w:color w:val="auto"/>
                      <w:spacing w:val="-10"/>
                      <w:szCs w:val="21"/>
                    </w:rPr>
                    <w:t>4.76×10</w:t>
                  </w:r>
                  <w:r>
                    <w:rPr>
                      <w:rFonts w:hint="eastAsia"/>
                      <w:bCs/>
                      <w:color w:val="auto"/>
                      <w:spacing w:val="-10"/>
                      <w:szCs w:val="21"/>
                      <w:vertAlign w:val="superscript"/>
                    </w:rPr>
                    <w:t>-5</w:t>
                  </w:r>
                </w:p>
              </w:tc>
              <w:tc>
                <w:tcPr>
                  <w:tcW w:w="776" w:type="pct"/>
                  <w:noWrap w:val="0"/>
                  <w:vAlign w:val="center"/>
                </w:tcPr>
                <w:p>
                  <w:pPr>
                    <w:spacing w:line="20" w:lineRule="atLeast"/>
                    <w:jc w:val="center"/>
                    <w:rPr>
                      <w:bCs/>
                      <w:color w:val="auto"/>
                      <w:spacing w:val="-10"/>
                      <w:szCs w:val="21"/>
                    </w:rPr>
                  </w:pPr>
                  <w:r>
                    <w:rPr>
                      <w:rFonts w:hint="eastAsia"/>
                      <w:bCs/>
                      <w:color w:val="auto"/>
                      <w:spacing w:val="-10"/>
                      <w:szCs w:val="21"/>
                    </w:rPr>
                    <w:t>袋式除尘器+活性炭吸附</w:t>
                  </w:r>
                </w:p>
              </w:tc>
              <w:tc>
                <w:tcPr>
                  <w:tcW w:w="297" w:type="pct"/>
                  <w:noWrap w:val="0"/>
                  <w:vAlign w:val="center"/>
                </w:tcPr>
                <w:p>
                  <w:pPr>
                    <w:spacing w:line="20" w:lineRule="atLeast"/>
                    <w:jc w:val="center"/>
                    <w:rPr>
                      <w:bCs/>
                      <w:color w:val="auto"/>
                      <w:spacing w:val="-10"/>
                      <w:szCs w:val="21"/>
                    </w:rPr>
                  </w:pPr>
                  <w:r>
                    <w:rPr>
                      <w:rFonts w:hint="eastAsia"/>
                      <w:bCs/>
                      <w:color w:val="auto"/>
                      <w:spacing w:val="-10"/>
                      <w:szCs w:val="21"/>
                    </w:rPr>
                    <w:t>10000</w:t>
                  </w:r>
                </w:p>
              </w:tc>
              <w:tc>
                <w:tcPr>
                  <w:tcW w:w="269" w:type="pct"/>
                  <w:noWrap w:val="0"/>
                  <w:vAlign w:val="center"/>
                </w:tcPr>
                <w:p>
                  <w:pPr>
                    <w:spacing w:line="20" w:lineRule="atLeast"/>
                    <w:jc w:val="center"/>
                    <w:rPr>
                      <w:bCs/>
                      <w:color w:val="auto"/>
                      <w:spacing w:val="-10"/>
                      <w:szCs w:val="21"/>
                    </w:rPr>
                  </w:pPr>
                  <w:r>
                    <w:rPr>
                      <w:rFonts w:hint="eastAsia"/>
                      <w:bCs/>
                      <w:color w:val="auto"/>
                      <w:spacing w:val="-10"/>
                      <w:szCs w:val="21"/>
                    </w:rPr>
                    <w:t>90</w:t>
                  </w:r>
                </w:p>
              </w:tc>
              <w:tc>
                <w:tcPr>
                  <w:tcW w:w="343" w:type="pct"/>
                  <w:noWrap w:val="0"/>
                  <w:vAlign w:val="center"/>
                </w:tcPr>
                <w:p>
                  <w:pPr>
                    <w:spacing w:line="20" w:lineRule="atLeast"/>
                    <w:jc w:val="center"/>
                    <w:rPr>
                      <w:bCs/>
                      <w:color w:val="auto"/>
                      <w:spacing w:val="-10"/>
                      <w:szCs w:val="21"/>
                    </w:rPr>
                  </w:pPr>
                  <w:r>
                    <w:rPr>
                      <w:rFonts w:hint="eastAsia"/>
                      <w:bCs/>
                      <w:color w:val="auto"/>
                      <w:spacing w:val="-10"/>
                      <w:szCs w:val="21"/>
                    </w:rPr>
                    <w:t>50</w:t>
                  </w:r>
                </w:p>
              </w:tc>
              <w:tc>
                <w:tcPr>
                  <w:tcW w:w="339" w:type="pct"/>
                  <w:noWrap w:val="0"/>
                  <w:vAlign w:val="center"/>
                </w:tcPr>
                <w:p>
                  <w:pPr>
                    <w:topLinePunct/>
                    <w:snapToGrid w:val="0"/>
                    <w:jc w:val="center"/>
                    <w:rPr>
                      <w:bCs/>
                      <w:color w:val="auto"/>
                      <w:spacing w:val="-10"/>
                      <w:szCs w:val="21"/>
                    </w:rPr>
                  </w:pPr>
                  <w:r>
                    <w:rPr>
                      <w:color w:val="auto"/>
                      <w:szCs w:val="21"/>
                    </w:rPr>
                    <w:t>是</w:t>
                  </w:r>
                </w:p>
              </w:tc>
              <w:tc>
                <w:tcPr>
                  <w:tcW w:w="302" w:type="pct"/>
                  <w:noWrap w:val="0"/>
                  <w:vAlign w:val="center"/>
                </w:tcPr>
                <w:p>
                  <w:pPr>
                    <w:spacing w:line="20" w:lineRule="atLeast"/>
                    <w:jc w:val="center"/>
                    <w:rPr>
                      <w:bCs/>
                      <w:color w:val="auto"/>
                      <w:spacing w:val="-10"/>
                      <w:szCs w:val="21"/>
                    </w:rPr>
                  </w:pPr>
                  <w:r>
                    <w:rPr>
                      <w:rFonts w:hint="eastAsia"/>
                      <w:bCs/>
                      <w:color w:val="auto"/>
                      <w:spacing w:val="-10"/>
                      <w:szCs w:val="21"/>
                    </w:rPr>
                    <w:t>2.86×10</w:t>
                  </w:r>
                  <w:r>
                    <w:rPr>
                      <w:rFonts w:hint="eastAsia"/>
                      <w:bCs/>
                      <w:color w:val="auto"/>
                      <w:spacing w:val="-10"/>
                      <w:szCs w:val="21"/>
                      <w:vertAlign w:val="superscript"/>
                    </w:rPr>
                    <w:t>-7</w:t>
                  </w:r>
                </w:p>
              </w:tc>
              <w:tc>
                <w:tcPr>
                  <w:tcW w:w="302" w:type="pct"/>
                  <w:noWrap w:val="0"/>
                  <w:vAlign w:val="center"/>
                </w:tcPr>
                <w:p>
                  <w:pPr>
                    <w:spacing w:line="20" w:lineRule="atLeast"/>
                    <w:jc w:val="center"/>
                    <w:rPr>
                      <w:bCs/>
                      <w:color w:val="auto"/>
                      <w:spacing w:val="-10"/>
                      <w:szCs w:val="21"/>
                    </w:rPr>
                  </w:pPr>
                  <w:r>
                    <w:rPr>
                      <w:rFonts w:hint="eastAsia"/>
                      <w:bCs/>
                      <w:color w:val="auto"/>
                      <w:spacing w:val="-10"/>
                      <w:szCs w:val="21"/>
                    </w:rPr>
                    <w:t>2.38×10</w:t>
                  </w:r>
                  <w:r>
                    <w:rPr>
                      <w:rFonts w:hint="eastAsia"/>
                      <w:bCs/>
                      <w:color w:val="auto"/>
                      <w:spacing w:val="-10"/>
                      <w:szCs w:val="21"/>
                      <w:vertAlign w:val="superscript"/>
                    </w:rPr>
                    <w:t>-7</w:t>
                  </w:r>
                </w:p>
              </w:tc>
              <w:tc>
                <w:tcPr>
                  <w:tcW w:w="310" w:type="pct"/>
                  <w:noWrap w:val="0"/>
                  <w:vAlign w:val="center"/>
                </w:tcPr>
                <w:p>
                  <w:pPr>
                    <w:spacing w:line="20" w:lineRule="atLeast"/>
                    <w:jc w:val="center"/>
                    <w:rPr>
                      <w:bCs/>
                      <w:color w:val="auto"/>
                      <w:spacing w:val="-10"/>
                      <w:szCs w:val="21"/>
                    </w:rPr>
                  </w:pPr>
                  <w:r>
                    <w:rPr>
                      <w:rFonts w:hint="eastAsia"/>
                      <w:bCs/>
                      <w:color w:val="auto"/>
                      <w:spacing w:val="-10"/>
                      <w:szCs w:val="21"/>
                    </w:rPr>
                    <w:t>2.38×10</w:t>
                  </w:r>
                  <w:r>
                    <w:rPr>
                      <w:rFonts w:hint="eastAsia"/>
                      <w:bCs/>
                      <w:color w:val="auto"/>
                      <w:spacing w:val="-10"/>
                      <w:szCs w:val="21"/>
                      <w:vertAlign w:val="super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vMerge w:val="continue"/>
                  <w:noWrap w:val="0"/>
                  <w:vAlign w:val="center"/>
                </w:tcPr>
                <w:p>
                  <w:pPr>
                    <w:topLinePunct/>
                    <w:adjustRightInd w:val="0"/>
                    <w:snapToGrid w:val="0"/>
                    <w:jc w:val="center"/>
                    <w:textAlignment w:val="center"/>
                    <w:rPr>
                      <w:bCs/>
                      <w:color w:val="auto"/>
                      <w:spacing w:val="-10"/>
                      <w:szCs w:val="21"/>
                    </w:rPr>
                  </w:pPr>
                </w:p>
              </w:tc>
              <w:tc>
                <w:tcPr>
                  <w:tcW w:w="370" w:type="pct"/>
                  <w:vMerge w:val="continue"/>
                  <w:noWrap w:val="0"/>
                  <w:vAlign w:val="center"/>
                </w:tcPr>
                <w:p>
                  <w:pPr>
                    <w:spacing w:line="20" w:lineRule="atLeast"/>
                    <w:jc w:val="center"/>
                    <w:rPr>
                      <w:bCs/>
                      <w:color w:val="auto"/>
                      <w:spacing w:val="-10"/>
                      <w:szCs w:val="21"/>
                    </w:rPr>
                  </w:pPr>
                </w:p>
              </w:tc>
              <w:tc>
                <w:tcPr>
                  <w:tcW w:w="314" w:type="pct"/>
                  <w:noWrap w:val="0"/>
                  <w:vAlign w:val="center"/>
                </w:tcPr>
                <w:p>
                  <w:pPr>
                    <w:spacing w:line="20" w:lineRule="atLeast"/>
                    <w:jc w:val="center"/>
                    <w:rPr>
                      <w:bCs/>
                      <w:color w:val="auto"/>
                      <w:spacing w:val="-10"/>
                      <w:szCs w:val="21"/>
                    </w:rPr>
                  </w:pPr>
                  <w:r>
                    <w:rPr>
                      <w:rFonts w:hint="eastAsia"/>
                      <w:bCs/>
                      <w:color w:val="auto"/>
                      <w:spacing w:val="-10"/>
                      <w:szCs w:val="21"/>
                    </w:rPr>
                    <w:t>无组织</w:t>
                  </w:r>
                </w:p>
              </w:tc>
              <w:tc>
                <w:tcPr>
                  <w:tcW w:w="298" w:type="pct"/>
                  <w:noWrap w:val="0"/>
                  <w:vAlign w:val="center"/>
                </w:tcPr>
                <w:p>
                  <w:pPr>
                    <w:spacing w:line="20" w:lineRule="atLeast"/>
                    <w:jc w:val="center"/>
                    <w:rPr>
                      <w:bCs/>
                      <w:color w:val="auto"/>
                      <w:spacing w:val="-10"/>
                      <w:szCs w:val="21"/>
                    </w:rPr>
                  </w:pPr>
                  <w:r>
                    <w:rPr>
                      <w:rFonts w:hint="eastAsia"/>
                      <w:bCs/>
                      <w:color w:val="auto"/>
                      <w:spacing w:val="-10"/>
                      <w:szCs w:val="21"/>
                    </w:rPr>
                    <w:t>0.63×10</w:t>
                  </w:r>
                  <w:r>
                    <w:rPr>
                      <w:rFonts w:hint="eastAsia"/>
                      <w:bCs/>
                      <w:color w:val="auto"/>
                      <w:spacing w:val="-10"/>
                      <w:szCs w:val="21"/>
                      <w:vertAlign w:val="superscript"/>
                    </w:rPr>
                    <w:t>-7</w:t>
                  </w:r>
                </w:p>
              </w:tc>
              <w:tc>
                <w:tcPr>
                  <w:tcW w:w="337" w:type="pct"/>
                  <w:noWrap w:val="0"/>
                  <w:vAlign w:val="center"/>
                </w:tcPr>
                <w:p>
                  <w:pPr>
                    <w:spacing w:line="20" w:lineRule="atLeast"/>
                    <w:jc w:val="center"/>
                    <w:rPr>
                      <w:bCs/>
                      <w:color w:val="auto"/>
                      <w:spacing w:val="-10"/>
                      <w:szCs w:val="21"/>
                    </w:rPr>
                  </w:pPr>
                  <w:r>
                    <w:rPr>
                      <w:rFonts w:hint="eastAsia"/>
                      <w:bCs/>
                      <w:color w:val="auto"/>
                      <w:spacing w:val="-10"/>
                      <w:szCs w:val="21"/>
                    </w:rPr>
                    <w:t>0.53×10</w:t>
                  </w:r>
                  <w:r>
                    <w:rPr>
                      <w:rFonts w:hint="eastAsia"/>
                      <w:bCs/>
                      <w:color w:val="auto"/>
                      <w:spacing w:val="-10"/>
                      <w:szCs w:val="21"/>
                      <w:vertAlign w:val="superscript"/>
                    </w:rPr>
                    <w:t>-7</w:t>
                  </w:r>
                </w:p>
              </w:tc>
              <w:tc>
                <w:tcPr>
                  <w:tcW w:w="326" w:type="pct"/>
                  <w:noWrap w:val="0"/>
                  <w:vAlign w:val="center"/>
                </w:tcPr>
                <w:p>
                  <w:pPr>
                    <w:spacing w:line="20" w:lineRule="atLeast"/>
                    <w:jc w:val="center"/>
                    <w:rPr>
                      <w:bCs/>
                      <w:color w:val="auto"/>
                      <w:spacing w:val="-10"/>
                      <w:szCs w:val="21"/>
                    </w:rPr>
                  </w:pPr>
                  <w:r>
                    <w:rPr>
                      <w:rFonts w:hint="eastAsia"/>
                      <w:bCs/>
                      <w:color w:val="auto"/>
                      <w:spacing w:val="-10"/>
                      <w:szCs w:val="21"/>
                    </w:rPr>
                    <w:t>/</w:t>
                  </w:r>
                </w:p>
              </w:tc>
              <w:tc>
                <w:tcPr>
                  <w:tcW w:w="776" w:type="pct"/>
                  <w:noWrap w:val="0"/>
                  <w:vAlign w:val="center"/>
                </w:tcPr>
                <w:p>
                  <w:pPr>
                    <w:spacing w:line="20" w:lineRule="atLeast"/>
                    <w:jc w:val="center"/>
                    <w:rPr>
                      <w:bCs/>
                      <w:color w:val="auto"/>
                      <w:spacing w:val="-10"/>
                      <w:szCs w:val="21"/>
                    </w:rPr>
                  </w:pPr>
                  <w:r>
                    <w:rPr>
                      <w:rFonts w:hint="eastAsia"/>
                      <w:bCs/>
                      <w:color w:val="auto"/>
                      <w:spacing w:val="-10"/>
                      <w:szCs w:val="21"/>
                    </w:rPr>
                    <w:t>/</w:t>
                  </w:r>
                </w:p>
              </w:tc>
              <w:tc>
                <w:tcPr>
                  <w:tcW w:w="297" w:type="pct"/>
                  <w:noWrap w:val="0"/>
                  <w:vAlign w:val="center"/>
                </w:tcPr>
                <w:p>
                  <w:pPr>
                    <w:spacing w:line="20" w:lineRule="atLeast"/>
                    <w:jc w:val="center"/>
                    <w:rPr>
                      <w:bCs/>
                      <w:color w:val="auto"/>
                      <w:spacing w:val="-10"/>
                      <w:szCs w:val="21"/>
                    </w:rPr>
                  </w:pPr>
                  <w:r>
                    <w:rPr>
                      <w:bCs/>
                      <w:color w:val="auto"/>
                      <w:spacing w:val="-10"/>
                      <w:szCs w:val="21"/>
                    </w:rPr>
                    <w:t>/</w:t>
                  </w:r>
                </w:p>
              </w:tc>
              <w:tc>
                <w:tcPr>
                  <w:tcW w:w="269" w:type="pct"/>
                  <w:noWrap w:val="0"/>
                  <w:vAlign w:val="center"/>
                </w:tcPr>
                <w:p>
                  <w:pPr>
                    <w:spacing w:line="20" w:lineRule="atLeast"/>
                    <w:jc w:val="center"/>
                    <w:rPr>
                      <w:bCs/>
                      <w:color w:val="auto"/>
                      <w:spacing w:val="-10"/>
                      <w:szCs w:val="21"/>
                    </w:rPr>
                  </w:pPr>
                  <w:r>
                    <w:rPr>
                      <w:rFonts w:hint="eastAsia"/>
                      <w:bCs/>
                      <w:color w:val="auto"/>
                      <w:spacing w:val="-10"/>
                      <w:szCs w:val="21"/>
                    </w:rPr>
                    <w:t>/</w:t>
                  </w:r>
                </w:p>
              </w:tc>
              <w:tc>
                <w:tcPr>
                  <w:tcW w:w="343" w:type="pct"/>
                  <w:noWrap w:val="0"/>
                  <w:vAlign w:val="center"/>
                </w:tcPr>
                <w:p>
                  <w:pPr>
                    <w:spacing w:line="20" w:lineRule="atLeast"/>
                    <w:jc w:val="center"/>
                    <w:rPr>
                      <w:bCs/>
                      <w:color w:val="auto"/>
                      <w:spacing w:val="-10"/>
                      <w:szCs w:val="21"/>
                    </w:rPr>
                  </w:pPr>
                  <w:r>
                    <w:rPr>
                      <w:rFonts w:hint="eastAsia"/>
                      <w:bCs/>
                      <w:color w:val="auto"/>
                      <w:spacing w:val="-10"/>
                      <w:szCs w:val="21"/>
                    </w:rPr>
                    <w:t>/</w:t>
                  </w:r>
                </w:p>
              </w:tc>
              <w:tc>
                <w:tcPr>
                  <w:tcW w:w="339" w:type="pct"/>
                  <w:noWrap w:val="0"/>
                  <w:vAlign w:val="center"/>
                </w:tcPr>
                <w:p>
                  <w:pPr>
                    <w:topLinePunct/>
                    <w:snapToGrid w:val="0"/>
                    <w:jc w:val="center"/>
                    <w:rPr>
                      <w:bCs/>
                      <w:color w:val="auto"/>
                      <w:spacing w:val="-10"/>
                      <w:szCs w:val="21"/>
                    </w:rPr>
                  </w:pPr>
                  <w:r>
                    <w:rPr>
                      <w:rFonts w:hint="eastAsia"/>
                      <w:color w:val="auto"/>
                      <w:szCs w:val="21"/>
                    </w:rPr>
                    <w:t>/</w:t>
                  </w:r>
                </w:p>
              </w:tc>
              <w:tc>
                <w:tcPr>
                  <w:tcW w:w="302" w:type="pct"/>
                  <w:noWrap w:val="0"/>
                  <w:vAlign w:val="center"/>
                </w:tcPr>
                <w:p>
                  <w:pPr>
                    <w:spacing w:line="20" w:lineRule="atLeast"/>
                    <w:jc w:val="center"/>
                    <w:rPr>
                      <w:bCs/>
                      <w:color w:val="auto"/>
                      <w:spacing w:val="-10"/>
                      <w:szCs w:val="21"/>
                    </w:rPr>
                  </w:pPr>
                  <w:r>
                    <w:rPr>
                      <w:rFonts w:hint="eastAsia"/>
                      <w:bCs/>
                      <w:color w:val="auto"/>
                      <w:spacing w:val="-10"/>
                      <w:szCs w:val="21"/>
                    </w:rPr>
                    <w:t>0.63×10</w:t>
                  </w:r>
                  <w:r>
                    <w:rPr>
                      <w:rFonts w:hint="eastAsia"/>
                      <w:bCs/>
                      <w:color w:val="auto"/>
                      <w:spacing w:val="-10"/>
                      <w:szCs w:val="21"/>
                      <w:vertAlign w:val="superscript"/>
                    </w:rPr>
                    <w:t>-7</w:t>
                  </w:r>
                </w:p>
              </w:tc>
              <w:tc>
                <w:tcPr>
                  <w:tcW w:w="302" w:type="pct"/>
                  <w:noWrap w:val="0"/>
                  <w:vAlign w:val="center"/>
                </w:tcPr>
                <w:p>
                  <w:pPr>
                    <w:spacing w:line="20" w:lineRule="atLeast"/>
                    <w:jc w:val="center"/>
                    <w:rPr>
                      <w:bCs/>
                      <w:color w:val="auto"/>
                      <w:spacing w:val="-10"/>
                      <w:szCs w:val="21"/>
                    </w:rPr>
                  </w:pPr>
                  <w:r>
                    <w:rPr>
                      <w:rFonts w:hint="eastAsia"/>
                      <w:bCs/>
                      <w:color w:val="auto"/>
                      <w:spacing w:val="-10"/>
                      <w:szCs w:val="21"/>
                    </w:rPr>
                    <w:t>0.53×10</w:t>
                  </w:r>
                  <w:r>
                    <w:rPr>
                      <w:rFonts w:hint="eastAsia"/>
                      <w:bCs/>
                      <w:color w:val="auto"/>
                      <w:spacing w:val="-10"/>
                      <w:szCs w:val="21"/>
                      <w:vertAlign w:val="superscript"/>
                    </w:rPr>
                    <w:t>-7</w:t>
                  </w:r>
                </w:p>
              </w:tc>
              <w:tc>
                <w:tcPr>
                  <w:tcW w:w="310" w:type="pct"/>
                  <w:noWrap w:val="0"/>
                  <w:vAlign w:val="center"/>
                </w:tcPr>
                <w:p>
                  <w:pPr>
                    <w:spacing w:line="20" w:lineRule="atLeast"/>
                    <w:jc w:val="center"/>
                    <w:rPr>
                      <w:bCs/>
                      <w:color w:val="auto"/>
                      <w:spacing w:val="-10"/>
                      <w:szCs w:val="21"/>
                    </w:rPr>
                  </w:pPr>
                  <w:r>
                    <w:rPr>
                      <w:rFonts w:hint="eastAsia"/>
                      <w:bCs/>
                      <w:color w:val="auto"/>
                      <w:spacing w:val="-1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vMerge w:val="continue"/>
                  <w:noWrap w:val="0"/>
                  <w:vAlign w:val="center"/>
                </w:tcPr>
                <w:p>
                  <w:pPr>
                    <w:topLinePunct/>
                    <w:adjustRightInd w:val="0"/>
                    <w:snapToGrid w:val="0"/>
                    <w:jc w:val="center"/>
                    <w:textAlignment w:val="center"/>
                    <w:rPr>
                      <w:bCs/>
                      <w:color w:val="auto"/>
                      <w:spacing w:val="-10"/>
                      <w:szCs w:val="21"/>
                    </w:rPr>
                  </w:pPr>
                </w:p>
              </w:tc>
              <w:tc>
                <w:tcPr>
                  <w:tcW w:w="370" w:type="pct"/>
                  <w:vMerge w:val="restart"/>
                  <w:noWrap w:val="0"/>
                  <w:vAlign w:val="center"/>
                </w:tcPr>
                <w:p>
                  <w:pPr>
                    <w:spacing w:line="20" w:lineRule="atLeast"/>
                    <w:jc w:val="center"/>
                    <w:rPr>
                      <w:bCs/>
                      <w:color w:val="auto"/>
                      <w:spacing w:val="-10"/>
                      <w:szCs w:val="21"/>
                    </w:rPr>
                  </w:pPr>
                  <w:r>
                    <w:rPr>
                      <w:rFonts w:hint="eastAsia"/>
                      <w:bCs/>
                      <w:color w:val="auto"/>
                      <w:spacing w:val="-10"/>
                      <w:szCs w:val="21"/>
                    </w:rPr>
                    <w:t>非甲烷总烃</w:t>
                  </w:r>
                </w:p>
              </w:tc>
              <w:tc>
                <w:tcPr>
                  <w:tcW w:w="314" w:type="pct"/>
                  <w:noWrap w:val="0"/>
                  <w:vAlign w:val="center"/>
                </w:tcPr>
                <w:p>
                  <w:pPr>
                    <w:spacing w:line="20" w:lineRule="atLeast"/>
                    <w:jc w:val="center"/>
                    <w:rPr>
                      <w:bCs/>
                      <w:color w:val="auto"/>
                      <w:spacing w:val="-10"/>
                      <w:szCs w:val="21"/>
                    </w:rPr>
                  </w:pPr>
                  <w:r>
                    <w:rPr>
                      <w:rFonts w:hint="eastAsia"/>
                      <w:bCs/>
                      <w:color w:val="auto"/>
                      <w:spacing w:val="-10"/>
                      <w:szCs w:val="21"/>
                    </w:rPr>
                    <w:t>有组织</w:t>
                  </w:r>
                </w:p>
              </w:tc>
              <w:tc>
                <w:tcPr>
                  <w:tcW w:w="298" w:type="pct"/>
                  <w:noWrap w:val="0"/>
                  <w:vAlign w:val="center"/>
                </w:tcPr>
                <w:p>
                  <w:pPr>
                    <w:spacing w:line="20" w:lineRule="atLeast"/>
                    <w:jc w:val="center"/>
                    <w:rPr>
                      <w:bCs/>
                      <w:color w:val="auto"/>
                      <w:spacing w:val="-10"/>
                      <w:szCs w:val="21"/>
                    </w:rPr>
                  </w:pPr>
                  <w:r>
                    <w:rPr>
                      <w:rFonts w:hint="eastAsia"/>
                      <w:bCs/>
                      <w:color w:val="auto"/>
                      <w:spacing w:val="-10"/>
                      <w:szCs w:val="21"/>
                    </w:rPr>
                    <w:t>0.18</w:t>
                  </w:r>
                </w:p>
              </w:tc>
              <w:tc>
                <w:tcPr>
                  <w:tcW w:w="337" w:type="pct"/>
                  <w:noWrap w:val="0"/>
                  <w:vAlign w:val="center"/>
                </w:tcPr>
                <w:p>
                  <w:pPr>
                    <w:spacing w:line="20" w:lineRule="atLeast"/>
                    <w:jc w:val="center"/>
                    <w:rPr>
                      <w:bCs/>
                      <w:color w:val="auto"/>
                      <w:spacing w:val="-10"/>
                      <w:szCs w:val="21"/>
                    </w:rPr>
                  </w:pPr>
                  <w:r>
                    <w:rPr>
                      <w:rFonts w:hint="eastAsia"/>
                      <w:bCs/>
                      <w:color w:val="auto"/>
                      <w:spacing w:val="-10"/>
                      <w:szCs w:val="21"/>
                    </w:rPr>
                    <w:t>0.15</w:t>
                  </w:r>
                </w:p>
              </w:tc>
              <w:tc>
                <w:tcPr>
                  <w:tcW w:w="326" w:type="pct"/>
                  <w:noWrap w:val="0"/>
                  <w:vAlign w:val="center"/>
                </w:tcPr>
                <w:p>
                  <w:pPr>
                    <w:spacing w:line="20" w:lineRule="atLeast"/>
                    <w:jc w:val="center"/>
                    <w:rPr>
                      <w:bCs/>
                      <w:color w:val="auto"/>
                      <w:spacing w:val="-10"/>
                      <w:szCs w:val="21"/>
                    </w:rPr>
                  </w:pPr>
                  <w:r>
                    <w:rPr>
                      <w:rFonts w:hint="eastAsia"/>
                      <w:bCs/>
                      <w:color w:val="auto"/>
                      <w:spacing w:val="-10"/>
                      <w:szCs w:val="21"/>
                    </w:rPr>
                    <w:t>15</w:t>
                  </w:r>
                </w:p>
              </w:tc>
              <w:tc>
                <w:tcPr>
                  <w:tcW w:w="776" w:type="pct"/>
                  <w:noWrap w:val="0"/>
                  <w:vAlign w:val="center"/>
                </w:tcPr>
                <w:p>
                  <w:pPr>
                    <w:spacing w:line="20" w:lineRule="atLeast"/>
                    <w:jc w:val="center"/>
                    <w:rPr>
                      <w:bCs/>
                      <w:color w:val="auto"/>
                      <w:spacing w:val="-10"/>
                      <w:szCs w:val="21"/>
                    </w:rPr>
                  </w:pPr>
                  <w:r>
                    <w:rPr>
                      <w:rFonts w:hint="eastAsia"/>
                      <w:bCs/>
                      <w:color w:val="auto"/>
                      <w:spacing w:val="-10"/>
                      <w:szCs w:val="21"/>
                    </w:rPr>
                    <w:t>袋式除尘器+活性炭吸附</w:t>
                  </w:r>
                </w:p>
              </w:tc>
              <w:tc>
                <w:tcPr>
                  <w:tcW w:w="297" w:type="pct"/>
                  <w:noWrap w:val="0"/>
                  <w:vAlign w:val="center"/>
                </w:tcPr>
                <w:p>
                  <w:pPr>
                    <w:spacing w:line="20" w:lineRule="atLeast"/>
                    <w:jc w:val="center"/>
                    <w:rPr>
                      <w:bCs/>
                      <w:color w:val="auto"/>
                      <w:spacing w:val="-10"/>
                      <w:szCs w:val="21"/>
                    </w:rPr>
                  </w:pPr>
                  <w:r>
                    <w:rPr>
                      <w:rFonts w:hint="eastAsia"/>
                      <w:bCs/>
                      <w:color w:val="auto"/>
                      <w:spacing w:val="-10"/>
                      <w:szCs w:val="21"/>
                    </w:rPr>
                    <w:t>10000</w:t>
                  </w:r>
                </w:p>
              </w:tc>
              <w:tc>
                <w:tcPr>
                  <w:tcW w:w="269" w:type="pct"/>
                  <w:noWrap w:val="0"/>
                  <w:vAlign w:val="center"/>
                </w:tcPr>
                <w:p>
                  <w:pPr>
                    <w:spacing w:line="20" w:lineRule="atLeast"/>
                    <w:jc w:val="center"/>
                    <w:rPr>
                      <w:bCs/>
                      <w:color w:val="auto"/>
                      <w:spacing w:val="-10"/>
                      <w:szCs w:val="21"/>
                    </w:rPr>
                  </w:pPr>
                  <w:r>
                    <w:rPr>
                      <w:rFonts w:hint="eastAsia"/>
                      <w:bCs/>
                      <w:color w:val="auto"/>
                      <w:spacing w:val="-10"/>
                      <w:szCs w:val="21"/>
                    </w:rPr>
                    <w:t>90</w:t>
                  </w:r>
                </w:p>
              </w:tc>
              <w:tc>
                <w:tcPr>
                  <w:tcW w:w="343" w:type="pct"/>
                  <w:noWrap w:val="0"/>
                  <w:vAlign w:val="center"/>
                </w:tcPr>
                <w:p>
                  <w:pPr>
                    <w:spacing w:line="20" w:lineRule="atLeast"/>
                    <w:jc w:val="center"/>
                    <w:rPr>
                      <w:bCs/>
                      <w:color w:val="auto"/>
                      <w:spacing w:val="-10"/>
                      <w:szCs w:val="21"/>
                    </w:rPr>
                  </w:pPr>
                  <w:r>
                    <w:rPr>
                      <w:rFonts w:hint="eastAsia"/>
                      <w:bCs/>
                      <w:color w:val="auto"/>
                      <w:spacing w:val="-10"/>
                      <w:szCs w:val="21"/>
                    </w:rPr>
                    <w:t>50</w:t>
                  </w:r>
                </w:p>
              </w:tc>
              <w:tc>
                <w:tcPr>
                  <w:tcW w:w="339" w:type="pct"/>
                  <w:noWrap w:val="0"/>
                  <w:vAlign w:val="center"/>
                </w:tcPr>
                <w:p>
                  <w:pPr>
                    <w:topLinePunct/>
                    <w:snapToGrid w:val="0"/>
                    <w:jc w:val="center"/>
                    <w:rPr>
                      <w:bCs/>
                      <w:color w:val="auto"/>
                      <w:spacing w:val="-10"/>
                      <w:szCs w:val="21"/>
                    </w:rPr>
                  </w:pPr>
                  <w:r>
                    <w:rPr>
                      <w:color w:val="auto"/>
                      <w:szCs w:val="21"/>
                    </w:rPr>
                    <w:t>是</w:t>
                  </w:r>
                </w:p>
              </w:tc>
              <w:tc>
                <w:tcPr>
                  <w:tcW w:w="302" w:type="pct"/>
                  <w:noWrap w:val="0"/>
                  <w:vAlign w:val="center"/>
                </w:tcPr>
                <w:p>
                  <w:pPr>
                    <w:spacing w:line="20" w:lineRule="atLeast"/>
                    <w:jc w:val="center"/>
                    <w:rPr>
                      <w:bCs/>
                      <w:color w:val="auto"/>
                      <w:spacing w:val="-10"/>
                      <w:szCs w:val="21"/>
                    </w:rPr>
                  </w:pPr>
                  <w:r>
                    <w:rPr>
                      <w:rFonts w:hint="eastAsia"/>
                      <w:bCs/>
                      <w:color w:val="auto"/>
                      <w:spacing w:val="-10"/>
                      <w:szCs w:val="21"/>
                    </w:rPr>
                    <w:t>0.09</w:t>
                  </w:r>
                </w:p>
              </w:tc>
              <w:tc>
                <w:tcPr>
                  <w:tcW w:w="302" w:type="pct"/>
                  <w:noWrap w:val="0"/>
                  <w:vAlign w:val="center"/>
                </w:tcPr>
                <w:p>
                  <w:pPr>
                    <w:spacing w:line="20" w:lineRule="atLeast"/>
                    <w:jc w:val="center"/>
                    <w:rPr>
                      <w:bCs/>
                      <w:color w:val="auto"/>
                      <w:spacing w:val="-10"/>
                      <w:szCs w:val="21"/>
                    </w:rPr>
                  </w:pPr>
                  <w:r>
                    <w:rPr>
                      <w:rFonts w:hint="eastAsia"/>
                      <w:bCs/>
                      <w:color w:val="auto"/>
                      <w:spacing w:val="-10"/>
                      <w:szCs w:val="21"/>
                    </w:rPr>
                    <w:t>0.075</w:t>
                  </w:r>
                </w:p>
              </w:tc>
              <w:tc>
                <w:tcPr>
                  <w:tcW w:w="310" w:type="pct"/>
                  <w:noWrap w:val="0"/>
                  <w:vAlign w:val="center"/>
                </w:tcPr>
                <w:p>
                  <w:pPr>
                    <w:spacing w:line="20" w:lineRule="atLeast"/>
                    <w:jc w:val="center"/>
                    <w:rPr>
                      <w:bCs/>
                      <w:color w:val="auto"/>
                      <w:spacing w:val="-10"/>
                      <w:szCs w:val="21"/>
                    </w:rPr>
                  </w:pPr>
                  <w:r>
                    <w:rPr>
                      <w:rFonts w:hint="eastAsia"/>
                      <w:bCs/>
                      <w:color w:val="auto"/>
                      <w:spacing w:val="-10"/>
                      <w:szCs w:val="21"/>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vMerge w:val="continue"/>
                  <w:noWrap w:val="0"/>
                  <w:vAlign w:val="center"/>
                </w:tcPr>
                <w:p>
                  <w:pPr>
                    <w:topLinePunct/>
                    <w:adjustRightInd w:val="0"/>
                    <w:snapToGrid w:val="0"/>
                    <w:jc w:val="center"/>
                    <w:textAlignment w:val="center"/>
                    <w:rPr>
                      <w:bCs/>
                      <w:color w:val="auto"/>
                      <w:spacing w:val="-10"/>
                      <w:szCs w:val="21"/>
                    </w:rPr>
                  </w:pPr>
                </w:p>
              </w:tc>
              <w:tc>
                <w:tcPr>
                  <w:tcW w:w="370" w:type="pct"/>
                  <w:vMerge w:val="continue"/>
                  <w:noWrap w:val="0"/>
                  <w:vAlign w:val="center"/>
                </w:tcPr>
                <w:p>
                  <w:pPr>
                    <w:spacing w:line="20" w:lineRule="atLeast"/>
                    <w:jc w:val="center"/>
                    <w:rPr>
                      <w:bCs/>
                      <w:color w:val="auto"/>
                      <w:spacing w:val="-10"/>
                      <w:szCs w:val="21"/>
                    </w:rPr>
                  </w:pPr>
                </w:p>
              </w:tc>
              <w:tc>
                <w:tcPr>
                  <w:tcW w:w="314" w:type="pct"/>
                  <w:noWrap w:val="0"/>
                  <w:vAlign w:val="center"/>
                </w:tcPr>
                <w:p>
                  <w:pPr>
                    <w:spacing w:line="20" w:lineRule="atLeast"/>
                    <w:jc w:val="center"/>
                    <w:rPr>
                      <w:bCs/>
                      <w:color w:val="auto"/>
                      <w:spacing w:val="-10"/>
                      <w:szCs w:val="21"/>
                    </w:rPr>
                  </w:pPr>
                  <w:r>
                    <w:rPr>
                      <w:rFonts w:hint="eastAsia"/>
                      <w:bCs/>
                      <w:color w:val="auto"/>
                      <w:spacing w:val="-10"/>
                      <w:szCs w:val="21"/>
                    </w:rPr>
                    <w:t>无组织</w:t>
                  </w:r>
                </w:p>
              </w:tc>
              <w:tc>
                <w:tcPr>
                  <w:tcW w:w="298" w:type="pct"/>
                  <w:noWrap w:val="0"/>
                  <w:vAlign w:val="center"/>
                </w:tcPr>
                <w:p>
                  <w:pPr>
                    <w:spacing w:line="20" w:lineRule="atLeast"/>
                    <w:jc w:val="center"/>
                    <w:rPr>
                      <w:bCs/>
                      <w:color w:val="auto"/>
                      <w:spacing w:val="-10"/>
                      <w:szCs w:val="21"/>
                    </w:rPr>
                  </w:pPr>
                  <w:r>
                    <w:rPr>
                      <w:rFonts w:hint="eastAsia"/>
                      <w:bCs/>
                      <w:color w:val="auto"/>
                      <w:spacing w:val="-10"/>
                      <w:szCs w:val="21"/>
                    </w:rPr>
                    <w:t>0.02</w:t>
                  </w:r>
                </w:p>
              </w:tc>
              <w:tc>
                <w:tcPr>
                  <w:tcW w:w="337" w:type="pct"/>
                  <w:noWrap w:val="0"/>
                  <w:vAlign w:val="center"/>
                </w:tcPr>
                <w:p>
                  <w:pPr>
                    <w:spacing w:line="20" w:lineRule="atLeast"/>
                    <w:jc w:val="center"/>
                    <w:rPr>
                      <w:bCs/>
                      <w:color w:val="auto"/>
                      <w:spacing w:val="-10"/>
                      <w:szCs w:val="21"/>
                    </w:rPr>
                  </w:pPr>
                  <w:r>
                    <w:rPr>
                      <w:rFonts w:hint="eastAsia"/>
                      <w:bCs/>
                      <w:color w:val="auto"/>
                      <w:spacing w:val="-10"/>
                      <w:szCs w:val="21"/>
                    </w:rPr>
                    <w:t>0.0167</w:t>
                  </w:r>
                </w:p>
              </w:tc>
              <w:tc>
                <w:tcPr>
                  <w:tcW w:w="326" w:type="pct"/>
                  <w:noWrap w:val="0"/>
                  <w:vAlign w:val="center"/>
                </w:tcPr>
                <w:p>
                  <w:pPr>
                    <w:spacing w:line="20" w:lineRule="atLeast"/>
                    <w:jc w:val="center"/>
                    <w:rPr>
                      <w:bCs/>
                      <w:color w:val="auto"/>
                      <w:spacing w:val="-10"/>
                      <w:szCs w:val="21"/>
                    </w:rPr>
                  </w:pPr>
                  <w:r>
                    <w:rPr>
                      <w:rFonts w:hint="eastAsia"/>
                      <w:bCs/>
                      <w:color w:val="auto"/>
                      <w:spacing w:val="-10"/>
                      <w:szCs w:val="21"/>
                    </w:rPr>
                    <w:t>/</w:t>
                  </w:r>
                </w:p>
              </w:tc>
              <w:tc>
                <w:tcPr>
                  <w:tcW w:w="776" w:type="pct"/>
                  <w:noWrap w:val="0"/>
                  <w:vAlign w:val="center"/>
                </w:tcPr>
                <w:p>
                  <w:pPr>
                    <w:spacing w:line="20" w:lineRule="atLeast"/>
                    <w:jc w:val="center"/>
                    <w:rPr>
                      <w:bCs/>
                      <w:color w:val="auto"/>
                      <w:spacing w:val="-10"/>
                      <w:szCs w:val="21"/>
                    </w:rPr>
                  </w:pPr>
                  <w:r>
                    <w:rPr>
                      <w:rFonts w:hint="eastAsia"/>
                      <w:bCs/>
                      <w:color w:val="auto"/>
                      <w:spacing w:val="-10"/>
                      <w:szCs w:val="21"/>
                    </w:rPr>
                    <w:t>/</w:t>
                  </w:r>
                </w:p>
              </w:tc>
              <w:tc>
                <w:tcPr>
                  <w:tcW w:w="297" w:type="pct"/>
                  <w:noWrap w:val="0"/>
                  <w:vAlign w:val="center"/>
                </w:tcPr>
                <w:p>
                  <w:pPr>
                    <w:spacing w:line="20" w:lineRule="atLeast"/>
                    <w:jc w:val="center"/>
                    <w:rPr>
                      <w:bCs/>
                      <w:color w:val="auto"/>
                      <w:spacing w:val="-10"/>
                      <w:szCs w:val="21"/>
                    </w:rPr>
                  </w:pPr>
                  <w:r>
                    <w:rPr>
                      <w:bCs/>
                      <w:color w:val="auto"/>
                      <w:spacing w:val="-10"/>
                      <w:szCs w:val="21"/>
                    </w:rPr>
                    <w:t>/</w:t>
                  </w:r>
                </w:p>
              </w:tc>
              <w:tc>
                <w:tcPr>
                  <w:tcW w:w="269" w:type="pct"/>
                  <w:noWrap w:val="0"/>
                  <w:vAlign w:val="center"/>
                </w:tcPr>
                <w:p>
                  <w:pPr>
                    <w:spacing w:line="20" w:lineRule="atLeast"/>
                    <w:jc w:val="center"/>
                    <w:rPr>
                      <w:bCs/>
                      <w:color w:val="auto"/>
                      <w:spacing w:val="-10"/>
                      <w:szCs w:val="21"/>
                    </w:rPr>
                  </w:pPr>
                  <w:r>
                    <w:rPr>
                      <w:rFonts w:hint="eastAsia"/>
                      <w:bCs/>
                      <w:color w:val="auto"/>
                      <w:spacing w:val="-10"/>
                      <w:szCs w:val="21"/>
                    </w:rPr>
                    <w:t>/</w:t>
                  </w:r>
                </w:p>
              </w:tc>
              <w:tc>
                <w:tcPr>
                  <w:tcW w:w="343" w:type="pct"/>
                  <w:noWrap w:val="0"/>
                  <w:vAlign w:val="center"/>
                </w:tcPr>
                <w:p>
                  <w:pPr>
                    <w:spacing w:line="20" w:lineRule="atLeast"/>
                    <w:jc w:val="center"/>
                    <w:rPr>
                      <w:bCs/>
                      <w:color w:val="auto"/>
                      <w:spacing w:val="-10"/>
                      <w:szCs w:val="21"/>
                    </w:rPr>
                  </w:pPr>
                  <w:r>
                    <w:rPr>
                      <w:rFonts w:hint="eastAsia"/>
                      <w:bCs/>
                      <w:color w:val="auto"/>
                      <w:spacing w:val="-10"/>
                      <w:szCs w:val="21"/>
                    </w:rPr>
                    <w:t>/</w:t>
                  </w:r>
                </w:p>
              </w:tc>
              <w:tc>
                <w:tcPr>
                  <w:tcW w:w="339" w:type="pct"/>
                  <w:noWrap w:val="0"/>
                  <w:vAlign w:val="center"/>
                </w:tcPr>
                <w:p>
                  <w:pPr>
                    <w:topLinePunct/>
                    <w:snapToGrid w:val="0"/>
                    <w:jc w:val="center"/>
                    <w:rPr>
                      <w:bCs/>
                      <w:color w:val="auto"/>
                      <w:spacing w:val="-10"/>
                      <w:szCs w:val="21"/>
                    </w:rPr>
                  </w:pPr>
                  <w:r>
                    <w:rPr>
                      <w:rFonts w:hint="eastAsia"/>
                      <w:color w:val="auto"/>
                      <w:szCs w:val="21"/>
                    </w:rPr>
                    <w:t>/</w:t>
                  </w:r>
                </w:p>
              </w:tc>
              <w:tc>
                <w:tcPr>
                  <w:tcW w:w="302" w:type="pct"/>
                  <w:noWrap w:val="0"/>
                  <w:vAlign w:val="center"/>
                </w:tcPr>
                <w:p>
                  <w:pPr>
                    <w:spacing w:line="20" w:lineRule="atLeast"/>
                    <w:jc w:val="center"/>
                    <w:rPr>
                      <w:bCs/>
                      <w:color w:val="auto"/>
                      <w:spacing w:val="-10"/>
                      <w:szCs w:val="21"/>
                    </w:rPr>
                  </w:pPr>
                  <w:r>
                    <w:rPr>
                      <w:rFonts w:hint="eastAsia"/>
                      <w:bCs/>
                      <w:color w:val="auto"/>
                      <w:spacing w:val="-10"/>
                      <w:szCs w:val="21"/>
                    </w:rPr>
                    <w:t>0.02</w:t>
                  </w:r>
                </w:p>
              </w:tc>
              <w:tc>
                <w:tcPr>
                  <w:tcW w:w="302" w:type="pct"/>
                  <w:noWrap w:val="0"/>
                  <w:vAlign w:val="center"/>
                </w:tcPr>
                <w:p>
                  <w:pPr>
                    <w:spacing w:line="20" w:lineRule="atLeast"/>
                    <w:jc w:val="center"/>
                    <w:rPr>
                      <w:bCs/>
                      <w:color w:val="auto"/>
                      <w:spacing w:val="-10"/>
                      <w:szCs w:val="21"/>
                    </w:rPr>
                  </w:pPr>
                  <w:r>
                    <w:rPr>
                      <w:rFonts w:hint="eastAsia"/>
                      <w:bCs/>
                      <w:color w:val="auto"/>
                      <w:spacing w:val="-10"/>
                      <w:szCs w:val="21"/>
                    </w:rPr>
                    <w:t>0.0167</w:t>
                  </w:r>
                </w:p>
              </w:tc>
              <w:tc>
                <w:tcPr>
                  <w:tcW w:w="310" w:type="pct"/>
                  <w:noWrap w:val="0"/>
                  <w:vAlign w:val="center"/>
                </w:tcPr>
                <w:p>
                  <w:pPr>
                    <w:spacing w:line="20" w:lineRule="atLeast"/>
                    <w:jc w:val="center"/>
                    <w:rPr>
                      <w:bCs/>
                      <w:color w:val="auto"/>
                      <w:spacing w:val="-10"/>
                      <w:szCs w:val="21"/>
                    </w:rPr>
                  </w:pPr>
                  <w:r>
                    <w:rPr>
                      <w:rFonts w:hint="eastAsia"/>
                      <w:bCs/>
                      <w:color w:val="auto"/>
                      <w:spacing w:val="-1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vMerge w:val="restart"/>
                  <w:noWrap w:val="0"/>
                  <w:vAlign w:val="center"/>
                </w:tcPr>
                <w:p>
                  <w:pPr>
                    <w:topLinePunct/>
                    <w:adjustRightInd w:val="0"/>
                    <w:snapToGrid w:val="0"/>
                    <w:jc w:val="center"/>
                    <w:textAlignment w:val="center"/>
                    <w:rPr>
                      <w:bCs/>
                      <w:color w:val="auto"/>
                      <w:spacing w:val="-10"/>
                      <w:szCs w:val="21"/>
                    </w:rPr>
                  </w:pPr>
                  <w:r>
                    <w:rPr>
                      <w:rFonts w:hint="eastAsia"/>
                      <w:color w:val="auto"/>
                      <w:szCs w:val="21"/>
                    </w:rPr>
                    <w:t>导热油炉燃烧废气</w:t>
                  </w:r>
                </w:p>
              </w:tc>
              <w:tc>
                <w:tcPr>
                  <w:tcW w:w="370" w:type="pct"/>
                  <w:noWrap w:val="0"/>
                  <w:vAlign w:val="center"/>
                </w:tcPr>
                <w:p>
                  <w:pPr>
                    <w:spacing w:line="20" w:lineRule="atLeast"/>
                    <w:jc w:val="center"/>
                    <w:rPr>
                      <w:bCs/>
                      <w:color w:val="auto"/>
                      <w:spacing w:val="-10"/>
                      <w:szCs w:val="21"/>
                    </w:rPr>
                  </w:pPr>
                  <w:r>
                    <w:rPr>
                      <w:bCs/>
                      <w:color w:val="auto"/>
                      <w:spacing w:val="-10"/>
                      <w:szCs w:val="21"/>
                    </w:rPr>
                    <w:t>颗粒物</w:t>
                  </w:r>
                </w:p>
              </w:tc>
              <w:tc>
                <w:tcPr>
                  <w:tcW w:w="314" w:type="pct"/>
                  <w:vMerge w:val="restart"/>
                  <w:noWrap w:val="0"/>
                  <w:vAlign w:val="center"/>
                </w:tcPr>
                <w:p>
                  <w:pPr>
                    <w:spacing w:line="20" w:lineRule="atLeast"/>
                    <w:jc w:val="center"/>
                    <w:rPr>
                      <w:bCs/>
                      <w:color w:val="auto"/>
                      <w:spacing w:val="-10"/>
                      <w:szCs w:val="21"/>
                    </w:rPr>
                  </w:pPr>
                  <w:r>
                    <w:rPr>
                      <w:rFonts w:hint="eastAsia"/>
                      <w:bCs/>
                      <w:color w:val="auto"/>
                      <w:spacing w:val="-10"/>
                      <w:szCs w:val="21"/>
                    </w:rPr>
                    <w:t>有组织</w:t>
                  </w:r>
                </w:p>
              </w:tc>
              <w:tc>
                <w:tcPr>
                  <w:tcW w:w="803"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0.026</w:t>
                  </w:r>
                </w:p>
              </w:tc>
              <w:tc>
                <w:tcPr>
                  <w:tcW w:w="907"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0.022</w:t>
                  </w:r>
                </w:p>
              </w:tc>
              <w:tc>
                <w:tcPr>
                  <w:tcW w:w="878"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1.083</w:t>
                  </w:r>
                </w:p>
              </w:tc>
              <w:tc>
                <w:tcPr>
                  <w:tcW w:w="2088"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w:t>
                  </w:r>
                </w:p>
              </w:tc>
              <w:tc>
                <w:tcPr>
                  <w:tcW w:w="800" w:type="dxa"/>
                  <w:noWrap w:val="0"/>
                  <w:vAlign w:val="center"/>
                </w:tcPr>
                <w:p>
                  <w:pPr>
                    <w:spacing w:line="20" w:lineRule="atLeast"/>
                    <w:jc w:val="center"/>
                    <w:rPr>
                      <w:bCs/>
                      <w:color w:val="auto"/>
                      <w:spacing w:val="-10"/>
                      <w:szCs w:val="21"/>
                    </w:rPr>
                  </w:pPr>
                  <w:r>
                    <w:rPr>
                      <w:rFonts w:hint="eastAsia"/>
                      <w:bCs/>
                      <w:color w:val="auto"/>
                      <w:spacing w:val="-10"/>
                      <w:szCs w:val="21"/>
                    </w:rPr>
                    <w:t>/</w:t>
                  </w:r>
                </w:p>
              </w:tc>
              <w:tc>
                <w:tcPr>
                  <w:tcW w:w="724"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100</w:t>
                  </w:r>
                </w:p>
              </w:tc>
              <w:tc>
                <w:tcPr>
                  <w:tcW w:w="925"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w:t>
                  </w:r>
                </w:p>
              </w:tc>
              <w:tc>
                <w:tcPr>
                  <w:tcW w:w="914" w:type="dxa"/>
                  <w:noWrap w:val="0"/>
                  <w:vAlign w:val="center"/>
                </w:tcPr>
                <w:p>
                  <w:pPr>
                    <w:topLinePunct/>
                    <w:snapToGrid w:val="0"/>
                    <w:jc w:val="center"/>
                    <w:rPr>
                      <w:rFonts w:hint="eastAsia"/>
                      <w:color w:val="auto"/>
                      <w:szCs w:val="21"/>
                    </w:rPr>
                  </w:pPr>
                  <w:r>
                    <w:rPr>
                      <w:rFonts w:hint="eastAsia"/>
                      <w:color w:val="auto"/>
                      <w:szCs w:val="21"/>
                    </w:rPr>
                    <w:t>/</w:t>
                  </w:r>
                </w:p>
              </w:tc>
              <w:tc>
                <w:tcPr>
                  <w:tcW w:w="813"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0.026</w:t>
                  </w:r>
                </w:p>
              </w:tc>
              <w:tc>
                <w:tcPr>
                  <w:tcW w:w="813"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0.022</w:t>
                  </w:r>
                </w:p>
              </w:tc>
              <w:tc>
                <w:tcPr>
                  <w:tcW w:w="834"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1.083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vMerge w:val="continue"/>
                  <w:noWrap w:val="0"/>
                  <w:vAlign w:val="center"/>
                </w:tcPr>
                <w:p>
                  <w:pPr>
                    <w:topLinePunct/>
                    <w:adjustRightInd w:val="0"/>
                    <w:snapToGrid w:val="0"/>
                    <w:jc w:val="center"/>
                    <w:textAlignment w:val="center"/>
                    <w:rPr>
                      <w:bCs/>
                      <w:color w:val="auto"/>
                      <w:spacing w:val="-10"/>
                      <w:szCs w:val="21"/>
                    </w:rPr>
                  </w:pPr>
                </w:p>
              </w:tc>
              <w:tc>
                <w:tcPr>
                  <w:tcW w:w="370" w:type="pct"/>
                  <w:noWrap w:val="0"/>
                  <w:vAlign w:val="center"/>
                </w:tcPr>
                <w:p>
                  <w:pPr>
                    <w:spacing w:line="20" w:lineRule="atLeast"/>
                    <w:jc w:val="center"/>
                    <w:rPr>
                      <w:bCs/>
                      <w:color w:val="auto"/>
                      <w:spacing w:val="-10"/>
                      <w:szCs w:val="21"/>
                    </w:rPr>
                  </w:pPr>
                  <w:r>
                    <w:rPr>
                      <w:rFonts w:hint="eastAsia"/>
                      <w:bCs/>
                      <w:color w:val="auto"/>
                      <w:spacing w:val="-10"/>
                      <w:szCs w:val="21"/>
                    </w:rPr>
                    <w:t>SO</w:t>
                  </w:r>
                  <w:r>
                    <w:rPr>
                      <w:rFonts w:hint="eastAsia"/>
                      <w:bCs/>
                      <w:color w:val="auto"/>
                      <w:spacing w:val="-10"/>
                      <w:szCs w:val="21"/>
                      <w:vertAlign w:val="subscript"/>
                    </w:rPr>
                    <w:t>2</w:t>
                  </w:r>
                </w:p>
              </w:tc>
              <w:tc>
                <w:tcPr>
                  <w:tcW w:w="314" w:type="pct"/>
                  <w:vMerge w:val="continue"/>
                  <w:noWrap w:val="0"/>
                  <w:vAlign w:val="center"/>
                </w:tcPr>
                <w:p>
                  <w:pPr>
                    <w:spacing w:line="20" w:lineRule="atLeast"/>
                    <w:jc w:val="center"/>
                    <w:rPr>
                      <w:rFonts w:hint="eastAsia"/>
                      <w:bCs/>
                      <w:color w:val="auto"/>
                      <w:spacing w:val="-10"/>
                      <w:szCs w:val="21"/>
                    </w:rPr>
                  </w:pPr>
                </w:p>
              </w:tc>
              <w:tc>
                <w:tcPr>
                  <w:tcW w:w="803"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0.19</w:t>
                  </w:r>
                </w:p>
              </w:tc>
              <w:tc>
                <w:tcPr>
                  <w:tcW w:w="907"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0.158</w:t>
                  </w:r>
                </w:p>
              </w:tc>
              <w:tc>
                <w:tcPr>
                  <w:tcW w:w="878"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7.917</w:t>
                  </w:r>
                </w:p>
              </w:tc>
              <w:tc>
                <w:tcPr>
                  <w:tcW w:w="2088"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w:t>
                  </w:r>
                </w:p>
              </w:tc>
              <w:tc>
                <w:tcPr>
                  <w:tcW w:w="800" w:type="dxa"/>
                  <w:noWrap w:val="0"/>
                  <w:vAlign w:val="center"/>
                </w:tcPr>
                <w:p>
                  <w:pPr>
                    <w:spacing w:line="20" w:lineRule="atLeast"/>
                    <w:jc w:val="center"/>
                    <w:rPr>
                      <w:bCs/>
                      <w:color w:val="auto"/>
                      <w:spacing w:val="-10"/>
                      <w:szCs w:val="21"/>
                    </w:rPr>
                  </w:pPr>
                  <w:r>
                    <w:rPr>
                      <w:bCs/>
                      <w:color w:val="auto"/>
                      <w:spacing w:val="-10"/>
                      <w:szCs w:val="21"/>
                    </w:rPr>
                    <w:t>/</w:t>
                  </w:r>
                </w:p>
              </w:tc>
              <w:tc>
                <w:tcPr>
                  <w:tcW w:w="724"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100</w:t>
                  </w:r>
                </w:p>
              </w:tc>
              <w:tc>
                <w:tcPr>
                  <w:tcW w:w="925"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w:t>
                  </w:r>
                </w:p>
              </w:tc>
              <w:tc>
                <w:tcPr>
                  <w:tcW w:w="914" w:type="dxa"/>
                  <w:noWrap w:val="0"/>
                  <w:vAlign w:val="center"/>
                </w:tcPr>
                <w:p>
                  <w:pPr>
                    <w:topLinePunct/>
                    <w:snapToGrid w:val="0"/>
                    <w:jc w:val="center"/>
                    <w:rPr>
                      <w:rFonts w:hint="eastAsia"/>
                      <w:color w:val="auto"/>
                      <w:szCs w:val="21"/>
                    </w:rPr>
                  </w:pPr>
                  <w:r>
                    <w:rPr>
                      <w:rFonts w:hint="eastAsia"/>
                      <w:color w:val="auto"/>
                      <w:szCs w:val="21"/>
                    </w:rPr>
                    <w:t>/</w:t>
                  </w:r>
                </w:p>
              </w:tc>
              <w:tc>
                <w:tcPr>
                  <w:tcW w:w="813"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0.19</w:t>
                  </w:r>
                </w:p>
              </w:tc>
              <w:tc>
                <w:tcPr>
                  <w:tcW w:w="813"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0.158</w:t>
                  </w:r>
                </w:p>
              </w:tc>
              <w:tc>
                <w:tcPr>
                  <w:tcW w:w="834"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7.917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vMerge w:val="continue"/>
                  <w:noWrap w:val="0"/>
                  <w:vAlign w:val="center"/>
                </w:tcPr>
                <w:p>
                  <w:pPr>
                    <w:topLinePunct/>
                    <w:adjustRightInd w:val="0"/>
                    <w:snapToGrid w:val="0"/>
                    <w:jc w:val="center"/>
                    <w:textAlignment w:val="center"/>
                    <w:rPr>
                      <w:bCs/>
                      <w:color w:val="auto"/>
                      <w:spacing w:val="-10"/>
                      <w:szCs w:val="21"/>
                    </w:rPr>
                  </w:pPr>
                </w:p>
              </w:tc>
              <w:tc>
                <w:tcPr>
                  <w:tcW w:w="370" w:type="pct"/>
                  <w:noWrap w:val="0"/>
                  <w:vAlign w:val="center"/>
                </w:tcPr>
                <w:p>
                  <w:pPr>
                    <w:spacing w:line="20" w:lineRule="atLeast"/>
                    <w:jc w:val="center"/>
                    <w:rPr>
                      <w:bCs/>
                      <w:color w:val="auto"/>
                      <w:spacing w:val="-10"/>
                      <w:szCs w:val="21"/>
                    </w:rPr>
                  </w:pPr>
                  <w:r>
                    <w:rPr>
                      <w:rFonts w:hint="eastAsia"/>
                      <w:bCs/>
                      <w:color w:val="auto"/>
                      <w:spacing w:val="-10"/>
                      <w:szCs w:val="21"/>
                    </w:rPr>
                    <w:t>NOx</w:t>
                  </w:r>
                </w:p>
              </w:tc>
              <w:tc>
                <w:tcPr>
                  <w:tcW w:w="314" w:type="pct"/>
                  <w:vMerge w:val="continue"/>
                  <w:noWrap w:val="0"/>
                  <w:vAlign w:val="center"/>
                </w:tcPr>
                <w:p>
                  <w:pPr>
                    <w:spacing w:line="20" w:lineRule="atLeast"/>
                    <w:jc w:val="center"/>
                    <w:rPr>
                      <w:rFonts w:hint="eastAsia"/>
                      <w:bCs/>
                      <w:color w:val="auto"/>
                      <w:spacing w:val="-10"/>
                      <w:szCs w:val="21"/>
                    </w:rPr>
                  </w:pPr>
                </w:p>
              </w:tc>
              <w:tc>
                <w:tcPr>
                  <w:tcW w:w="803"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0.303</w:t>
                  </w:r>
                </w:p>
              </w:tc>
              <w:tc>
                <w:tcPr>
                  <w:tcW w:w="907"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0.253</w:t>
                  </w:r>
                </w:p>
              </w:tc>
              <w:tc>
                <w:tcPr>
                  <w:tcW w:w="878"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12.625</w:t>
                  </w:r>
                </w:p>
              </w:tc>
              <w:tc>
                <w:tcPr>
                  <w:tcW w:w="2088"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w:t>
                  </w:r>
                </w:p>
              </w:tc>
              <w:tc>
                <w:tcPr>
                  <w:tcW w:w="800" w:type="dxa"/>
                  <w:noWrap w:val="0"/>
                  <w:vAlign w:val="center"/>
                </w:tcPr>
                <w:p>
                  <w:pPr>
                    <w:spacing w:line="20" w:lineRule="atLeast"/>
                    <w:jc w:val="center"/>
                    <w:rPr>
                      <w:bCs/>
                      <w:color w:val="auto"/>
                      <w:spacing w:val="-10"/>
                      <w:szCs w:val="21"/>
                    </w:rPr>
                  </w:pPr>
                  <w:r>
                    <w:rPr>
                      <w:bCs/>
                      <w:color w:val="auto"/>
                      <w:spacing w:val="-10"/>
                      <w:szCs w:val="21"/>
                    </w:rPr>
                    <w:t>/</w:t>
                  </w:r>
                </w:p>
              </w:tc>
              <w:tc>
                <w:tcPr>
                  <w:tcW w:w="724"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100</w:t>
                  </w:r>
                </w:p>
              </w:tc>
              <w:tc>
                <w:tcPr>
                  <w:tcW w:w="925"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w:t>
                  </w:r>
                </w:p>
              </w:tc>
              <w:tc>
                <w:tcPr>
                  <w:tcW w:w="914" w:type="dxa"/>
                  <w:noWrap w:val="0"/>
                  <w:vAlign w:val="center"/>
                </w:tcPr>
                <w:p>
                  <w:pPr>
                    <w:topLinePunct/>
                    <w:snapToGrid w:val="0"/>
                    <w:jc w:val="center"/>
                    <w:rPr>
                      <w:rFonts w:hint="eastAsia"/>
                      <w:color w:val="auto"/>
                      <w:szCs w:val="21"/>
                    </w:rPr>
                  </w:pPr>
                  <w:r>
                    <w:rPr>
                      <w:rFonts w:hint="eastAsia"/>
                      <w:color w:val="auto"/>
                      <w:szCs w:val="21"/>
                    </w:rPr>
                    <w:t>/</w:t>
                  </w:r>
                </w:p>
              </w:tc>
              <w:tc>
                <w:tcPr>
                  <w:tcW w:w="813"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0.303</w:t>
                  </w:r>
                </w:p>
              </w:tc>
              <w:tc>
                <w:tcPr>
                  <w:tcW w:w="813"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0.253</w:t>
                  </w:r>
                </w:p>
              </w:tc>
              <w:tc>
                <w:tcPr>
                  <w:tcW w:w="834"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12.625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noWrap w:val="0"/>
                  <w:vAlign w:val="center"/>
                </w:tcPr>
                <w:p>
                  <w:pPr>
                    <w:topLinePunct/>
                    <w:adjustRightInd w:val="0"/>
                    <w:snapToGrid w:val="0"/>
                    <w:jc w:val="center"/>
                    <w:textAlignment w:val="center"/>
                    <w:rPr>
                      <w:bCs/>
                      <w:color w:val="auto"/>
                      <w:spacing w:val="-10"/>
                      <w:szCs w:val="21"/>
                    </w:rPr>
                  </w:pPr>
                  <w:r>
                    <w:rPr>
                      <w:rFonts w:hint="eastAsia"/>
                      <w:bCs/>
                      <w:color w:val="auto"/>
                      <w:spacing w:val="-10"/>
                      <w:szCs w:val="21"/>
                    </w:rPr>
                    <w:t>储罐呼吸废气</w:t>
                  </w:r>
                </w:p>
              </w:tc>
              <w:tc>
                <w:tcPr>
                  <w:tcW w:w="370" w:type="pct"/>
                  <w:noWrap w:val="0"/>
                  <w:vAlign w:val="center"/>
                </w:tcPr>
                <w:p>
                  <w:pPr>
                    <w:spacing w:line="20" w:lineRule="atLeast"/>
                    <w:jc w:val="center"/>
                    <w:rPr>
                      <w:bCs/>
                      <w:color w:val="auto"/>
                      <w:spacing w:val="-10"/>
                      <w:szCs w:val="21"/>
                    </w:rPr>
                  </w:pPr>
                  <w:r>
                    <w:rPr>
                      <w:rFonts w:hint="eastAsia"/>
                      <w:bCs/>
                      <w:color w:val="auto"/>
                      <w:spacing w:val="-10"/>
                      <w:szCs w:val="21"/>
                    </w:rPr>
                    <w:t>非甲烷总烃</w:t>
                  </w:r>
                </w:p>
              </w:tc>
              <w:tc>
                <w:tcPr>
                  <w:tcW w:w="314" w:type="pct"/>
                  <w:noWrap w:val="0"/>
                  <w:vAlign w:val="center"/>
                </w:tcPr>
                <w:p>
                  <w:pPr>
                    <w:spacing w:line="20" w:lineRule="atLeast"/>
                    <w:jc w:val="center"/>
                    <w:rPr>
                      <w:bCs/>
                      <w:color w:val="auto"/>
                      <w:spacing w:val="-10"/>
                      <w:szCs w:val="21"/>
                    </w:rPr>
                  </w:pPr>
                  <w:r>
                    <w:rPr>
                      <w:rFonts w:hint="eastAsia"/>
                      <w:bCs/>
                      <w:color w:val="auto"/>
                      <w:spacing w:val="-10"/>
                      <w:szCs w:val="21"/>
                    </w:rPr>
                    <w:t>无组织</w:t>
                  </w:r>
                </w:p>
              </w:tc>
              <w:tc>
                <w:tcPr>
                  <w:tcW w:w="803" w:type="dxa"/>
                  <w:noWrap w:val="0"/>
                  <w:vAlign w:val="center"/>
                </w:tcPr>
                <w:p>
                  <w:pPr>
                    <w:spacing w:line="20" w:lineRule="atLeast"/>
                    <w:jc w:val="center"/>
                    <w:rPr>
                      <w:bCs/>
                      <w:color w:val="auto"/>
                      <w:spacing w:val="-10"/>
                      <w:szCs w:val="21"/>
                    </w:rPr>
                  </w:pPr>
                  <w:r>
                    <w:rPr>
                      <w:rFonts w:hint="eastAsia"/>
                      <w:bCs/>
                      <w:color w:val="auto"/>
                      <w:spacing w:val="-10"/>
                      <w:szCs w:val="21"/>
                    </w:rPr>
                    <w:t>0.07</w:t>
                  </w:r>
                </w:p>
              </w:tc>
              <w:tc>
                <w:tcPr>
                  <w:tcW w:w="907" w:type="dxa"/>
                  <w:noWrap w:val="0"/>
                  <w:vAlign w:val="center"/>
                </w:tcPr>
                <w:p>
                  <w:pPr>
                    <w:spacing w:line="20" w:lineRule="atLeast"/>
                    <w:jc w:val="center"/>
                    <w:rPr>
                      <w:bCs/>
                      <w:color w:val="auto"/>
                      <w:spacing w:val="-10"/>
                      <w:szCs w:val="21"/>
                    </w:rPr>
                  </w:pPr>
                  <w:r>
                    <w:rPr>
                      <w:rFonts w:hint="eastAsia"/>
                      <w:bCs/>
                      <w:color w:val="auto"/>
                      <w:spacing w:val="-10"/>
                      <w:szCs w:val="21"/>
                    </w:rPr>
                    <w:t>0.0583</w:t>
                  </w:r>
                </w:p>
              </w:tc>
              <w:tc>
                <w:tcPr>
                  <w:tcW w:w="878"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w:t>
                  </w:r>
                </w:p>
              </w:tc>
              <w:tc>
                <w:tcPr>
                  <w:tcW w:w="2088"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w:t>
                  </w:r>
                </w:p>
              </w:tc>
              <w:tc>
                <w:tcPr>
                  <w:tcW w:w="800" w:type="dxa"/>
                  <w:noWrap w:val="0"/>
                  <w:vAlign w:val="center"/>
                </w:tcPr>
                <w:p>
                  <w:pPr>
                    <w:spacing w:line="20" w:lineRule="atLeast"/>
                    <w:jc w:val="center"/>
                    <w:rPr>
                      <w:bCs/>
                      <w:color w:val="auto"/>
                      <w:spacing w:val="-10"/>
                      <w:szCs w:val="21"/>
                    </w:rPr>
                  </w:pPr>
                  <w:r>
                    <w:rPr>
                      <w:rFonts w:hint="eastAsia"/>
                      <w:bCs/>
                      <w:color w:val="auto"/>
                      <w:spacing w:val="-10"/>
                      <w:szCs w:val="21"/>
                    </w:rPr>
                    <w:t>/</w:t>
                  </w:r>
                </w:p>
              </w:tc>
              <w:tc>
                <w:tcPr>
                  <w:tcW w:w="724"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w:t>
                  </w:r>
                </w:p>
              </w:tc>
              <w:tc>
                <w:tcPr>
                  <w:tcW w:w="925"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w:t>
                  </w:r>
                </w:p>
              </w:tc>
              <w:tc>
                <w:tcPr>
                  <w:tcW w:w="914" w:type="dxa"/>
                  <w:noWrap w:val="0"/>
                  <w:vAlign w:val="center"/>
                </w:tcPr>
                <w:p>
                  <w:pPr>
                    <w:topLinePunct/>
                    <w:snapToGrid w:val="0"/>
                    <w:jc w:val="center"/>
                    <w:rPr>
                      <w:rFonts w:hint="eastAsia"/>
                      <w:color w:val="auto"/>
                      <w:szCs w:val="21"/>
                    </w:rPr>
                  </w:pPr>
                  <w:r>
                    <w:rPr>
                      <w:rFonts w:hint="eastAsia"/>
                      <w:color w:val="auto"/>
                      <w:szCs w:val="21"/>
                    </w:rPr>
                    <w:t>/</w:t>
                  </w:r>
                </w:p>
              </w:tc>
              <w:tc>
                <w:tcPr>
                  <w:tcW w:w="813" w:type="dxa"/>
                  <w:noWrap w:val="0"/>
                  <w:vAlign w:val="center"/>
                </w:tcPr>
                <w:p>
                  <w:pPr>
                    <w:spacing w:line="20" w:lineRule="atLeast"/>
                    <w:jc w:val="center"/>
                    <w:rPr>
                      <w:bCs/>
                      <w:color w:val="auto"/>
                      <w:spacing w:val="-10"/>
                      <w:szCs w:val="21"/>
                    </w:rPr>
                  </w:pPr>
                  <w:r>
                    <w:rPr>
                      <w:rFonts w:hint="eastAsia"/>
                      <w:bCs/>
                      <w:color w:val="auto"/>
                      <w:spacing w:val="-10"/>
                      <w:szCs w:val="21"/>
                    </w:rPr>
                    <w:t>0.07</w:t>
                  </w:r>
                </w:p>
              </w:tc>
              <w:tc>
                <w:tcPr>
                  <w:tcW w:w="813" w:type="dxa"/>
                  <w:noWrap w:val="0"/>
                  <w:vAlign w:val="center"/>
                </w:tcPr>
                <w:p>
                  <w:pPr>
                    <w:spacing w:line="20" w:lineRule="atLeast"/>
                    <w:jc w:val="center"/>
                    <w:rPr>
                      <w:bCs/>
                      <w:color w:val="auto"/>
                      <w:spacing w:val="-10"/>
                      <w:szCs w:val="21"/>
                    </w:rPr>
                  </w:pPr>
                  <w:r>
                    <w:rPr>
                      <w:rFonts w:hint="eastAsia"/>
                      <w:bCs/>
                      <w:color w:val="auto"/>
                      <w:spacing w:val="-10"/>
                      <w:szCs w:val="21"/>
                    </w:rPr>
                    <w:t>0.0583</w:t>
                  </w:r>
                </w:p>
              </w:tc>
              <w:tc>
                <w:tcPr>
                  <w:tcW w:w="834" w:type="dxa"/>
                  <w:noWrap w:val="0"/>
                  <w:vAlign w:val="center"/>
                </w:tcPr>
                <w:p>
                  <w:pPr>
                    <w:spacing w:line="20" w:lineRule="atLeast"/>
                    <w:jc w:val="center"/>
                    <w:rPr>
                      <w:rFonts w:hint="eastAsia"/>
                      <w:bCs/>
                      <w:color w:val="auto"/>
                      <w:spacing w:val="-10"/>
                      <w:szCs w:val="21"/>
                    </w:rPr>
                  </w:pPr>
                  <w:r>
                    <w:rPr>
                      <w:rFonts w:hint="eastAsia"/>
                      <w:bCs/>
                      <w:color w:val="auto"/>
                      <w:spacing w:val="-1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2" w:type="pct"/>
                  <w:noWrap w:val="0"/>
                  <w:vAlign w:val="center"/>
                </w:tcPr>
                <w:p>
                  <w:pPr>
                    <w:adjustRightInd w:val="0"/>
                    <w:snapToGrid w:val="0"/>
                    <w:jc w:val="center"/>
                    <w:rPr>
                      <w:bCs/>
                      <w:color w:val="auto"/>
                      <w:spacing w:val="-10"/>
                      <w:szCs w:val="21"/>
                    </w:rPr>
                  </w:pPr>
                  <w:r>
                    <w:rPr>
                      <w:bCs/>
                      <w:color w:val="auto"/>
                      <w:spacing w:val="-10"/>
                      <w:szCs w:val="21"/>
                    </w:rPr>
                    <w:t>汽车尾气</w:t>
                  </w:r>
                </w:p>
              </w:tc>
              <w:tc>
                <w:tcPr>
                  <w:tcW w:w="370" w:type="pct"/>
                  <w:noWrap w:val="0"/>
                  <w:vAlign w:val="center"/>
                </w:tcPr>
                <w:p>
                  <w:pPr>
                    <w:adjustRightInd w:val="0"/>
                    <w:snapToGrid w:val="0"/>
                    <w:jc w:val="center"/>
                    <w:rPr>
                      <w:bCs/>
                      <w:color w:val="auto"/>
                      <w:spacing w:val="-10"/>
                      <w:szCs w:val="21"/>
                    </w:rPr>
                  </w:pPr>
                  <w:r>
                    <w:rPr>
                      <w:bCs/>
                      <w:color w:val="auto"/>
                      <w:spacing w:val="-10"/>
                      <w:szCs w:val="21"/>
                    </w:rPr>
                    <w:t>CO、HC、NOx</w:t>
                  </w:r>
                </w:p>
              </w:tc>
              <w:tc>
                <w:tcPr>
                  <w:tcW w:w="314" w:type="pct"/>
                  <w:noWrap w:val="0"/>
                  <w:vAlign w:val="center"/>
                </w:tcPr>
                <w:p>
                  <w:pPr>
                    <w:adjustRightInd w:val="0"/>
                    <w:snapToGrid w:val="0"/>
                    <w:jc w:val="center"/>
                    <w:rPr>
                      <w:bCs/>
                      <w:color w:val="auto"/>
                      <w:spacing w:val="-10"/>
                      <w:szCs w:val="21"/>
                    </w:rPr>
                  </w:pPr>
                  <w:r>
                    <w:rPr>
                      <w:bCs/>
                      <w:color w:val="auto"/>
                      <w:spacing w:val="-10"/>
                      <w:szCs w:val="21"/>
                    </w:rPr>
                    <w:t>无组织</w:t>
                  </w:r>
                </w:p>
              </w:tc>
              <w:tc>
                <w:tcPr>
                  <w:tcW w:w="298" w:type="pct"/>
                  <w:noWrap w:val="0"/>
                  <w:vAlign w:val="center"/>
                </w:tcPr>
                <w:p>
                  <w:pPr>
                    <w:topLinePunct/>
                    <w:snapToGrid w:val="0"/>
                    <w:jc w:val="center"/>
                    <w:rPr>
                      <w:color w:val="auto"/>
                      <w:szCs w:val="21"/>
                    </w:rPr>
                  </w:pPr>
                  <w:r>
                    <w:rPr>
                      <w:color w:val="auto"/>
                      <w:szCs w:val="21"/>
                    </w:rPr>
                    <w:t>少量</w:t>
                  </w:r>
                </w:p>
              </w:tc>
              <w:tc>
                <w:tcPr>
                  <w:tcW w:w="337" w:type="pct"/>
                  <w:noWrap w:val="0"/>
                  <w:vAlign w:val="center"/>
                </w:tcPr>
                <w:p>
                  <w:pPr>
                    <w:topLinePunct/>
                    <w:snapToGrid w:val="0"/>
                    <w:jc w:val="center"/>
                    <w:rPr>
                      <w:color w:val="auto"/>
                      <w:szCs w:val="21"/>
                    </w:rPr>
                  </w:pPr>
                  <w:r>
                    <w:rPr>
                      <w:color w:val="auto"/>
                      <w:szCs w:val="21"/>
                    </w:rPr>
                    <w:t>少量</w:t>
                  </w:r>
                </w:p>
              </w:tc>
              <w:tc>
                <w:tcPr>
                  <w:tcW w:w="326" w:type="pct"/>
                  <w:noWrap w:val="0"/>
                  <w:vAlign w:val="center"/>
                </w:tcPr>
                <w:p>
                  <w:pPr>
                    <w:topLinePunct/>
                    <w:snapToGrid w:val="0"/>
                    <w:jc w:val="center"/>
                    <w:rPr>
                      <w:color w:val="auto"/>
                      <w:szCs w:val="21"/>
                    </w:rPr>
                  </w:pPr>
                  <w:r>
                    <w:rPr>
                      <w:color w:val="auto"/>
                      <w:szCs w:val="21"/>
                    </w:rPr>
                    <w:t>/</w:t>
                  </w:r>
                </w:p>
              </w:tc>
              <w:tc>
                <w:tcPr>
                  <w:tcW w:w="776" w:type="pct"/>
                  <w:noWrap w:val="0"/>
                  <w:vAlign w:val="center"/>
                </w:tcPr>
                <w:p>
                  <w:pPr>
                    <w:spacing w:line="20" w:lineRule="atLeast"/>
                    <w:jc w:val="center"/>
                    <w:rPr>
                      <w:bCs/>
                      <w:color w:val="auto"/>
                      <w:spacing w:val="-10"/>
                      <w:szCs w:val="21"/>
                    </w:rPr>
                  </w:pPr>
                  <w:r>
                    <w:rPr>
                      <w:bCs/>
                      <w:color w:val="auto"/>
                      <w:spacing w:val="-10"/>
                      <w:szCs w:val="21"/>
                    </w:rPr>
                    <w:t>加强车辆管理，定期维护保养，加强绿化</w:t>
                  </w:r>
                </w:p>
              </w:tc>
              <w:tc>
                <w:tcPr>
                  <w:tcW w:w="297" w:type="pct"/>
                  <w:noWrap w:val="0"/>
                  <w:vAlign w:val="center"/>
                </w:tcPr>
                <w:p>
                  <w:pPr>
                    <w:topLinePunct/>
                    <w:snapToGrid w:val="0"/>
                    <w:jc w:val="center"/>
                    <w:rPr>
                      <w:color w:val="auto"/>
                      <w:szCs w:val="21"/>
                    </w:rPr>
                  </w:pPr>
                  <w:r>
                    <w:rPr>
                      <w:color w:val="auto"/>
                      <w:szCs w:val="21"/>
                    </w:rPr>
                    <w:t>/</w:t>
                  </w:r>
                </w:p>
              </w:tc>
              <w:tc>
                <w:tcPr>
                  <w:tcW w:w="269" w:type="pct"/>
                  <w:noWrap w:val="0"/>
                  <w:vAlign w:val="center"/>
                </w:tcPr>
                <w:p>
                  <w:pPr>
                    <w:topLinePunct/>
                    <w:snapToGrid w:val="0"/>
                    <w:jc w:val="center"/>
                    <w:rPr>
                      <w:color w:val="auto"/>
                      <w:szCs w:val="21"/>
                    </w:rPr>
                  </w:pPr>
                  <w:r>
                    <w:rPr>
                      <w:color w:val="auto"/>
                      <w:szCs w:val="21"/>
                    </w:rPr>
                    <w:t>/</w:t>
                  </w:r>
                </w:p>
              </w:tc>
              <w:tc>
                <w:tcPr>
                  <w:tcW w:w="343" w:type="pct"/>
                  <w:noWrap w:val="0"/>
                  <w:vAlign w:val="center"/>
                </w:tcPr>
                <w:p>
                  <w:pPr>
                    <w:topLinePunct/>
                    <w:snapToGrid w:val="0"/>
                    <w:jc w:val="center"/>
                    <w:rPr>
                      <w:color w:val="auto"/>
                      <w:szCs w:val="21"/>
                    </w:rPr>
                  </w:pPr>
                  <w:r>
                    <w:rPr>
                      <w:color w:val="auto"/>
                      <w:szCs w:val="21"/>
                    </w:rPr>
                    <w:t>/</w:t>
                  </w:r>
                </w:p>
              </w:tc>
              <w:tc>
                <w:tcPr>
                  <w:tcW w:w="339" w:type="pct"/>
                  <w:noWrap w:val="0"/>
                  <w:vAlign w:val="center"/>
                </w:tcPr>
                <w:p>
                  <w:pPr>
                    <w:topLinePunct/>
                    <w:snapToGrid w:val="0"/>
                    <w:jc w:val="center"/>
                    <w:rPr>
                      <w:color w:val="auto"/>
                      <w:szCs w:val="21"/>
                    </w:rPr>
                  </w:pPr>
                  <w:r>
                    <w:rPr>
                      <w:color w:val="auto"/>
                      <w:szCs w:val="21"/>
                    </w:rPr>
                    <w:t>是</w:t>
                  </w:r>
                </w:p>
              </w:tc>
              <w:tc>
                <w:tcPr>
                  <w:tcW w:w="302" w:type="pct"/>
                  <w:noWrap w:val="0"/>
                  <w:vAlign w:val="center"/>
                </w:tcPr>
                <w:p>
                  <w:pPr>
                    <w:topLinePunct/>
                    <w:snapToGrid w:val="0"/>
                    <w:jc w:val="center"/>
                    <w:rPr>
                      <w:color w:val="auto"/>
                      <w:szCs w:val="21"/>
                    </w:rPr>
                  </w:pPr>
                  <w:r>
                    <w:rPr>
                      <w:color w:val="auto"/>
                      <w:szCs w:val="21"/>
                    </w:rPr>
                    <w:t>少量</w:t>
                  </w:r>
                </w:p>
              </w:tc>
              <w:tc>
                <w:tcPr>
                  <w:tcW w:w="302" w:type="pct"/>
                  <w:noWrap w:val="0"/>
                  <w:vAlign w:val="center"/>
                </w:tcPr>
                <w:p>
                  <w:pPr>
                    <w:topLinePunct/>
                    <w:snapToGrid w:val="0"/>
                    <w:jc w:val="center"/>
                    <w:rPr>
                      <w:color w:val="auto"/>
                      <w:szCs w:val="21"/>
                    </w:rPr>
                  </w:pPr>
                  <w:r>
                    <w:rPr>
                      <w:color w:val="auto"/>
                      <w:szCs w:val="21"/>
                    </w:rPr>
                    <w:t>少量</w:t>
                  </w:r>
                </w:p>
              </w:tc>
              <w:tc>
                <w:tcPr>
                  <w:tcW w:w="310" w:type="pct"/>
                  <w:noWrap w:val="0"/>
                  <w:vAlign w:val="center"/>
                </w:tcPr>
                <w:p>
                  <w:pPr>
                    <w:topLinePunct/>
                    <w:snapToGrid w:val="0"/>
                    <w:jc w:val="center"/>
                    <w:rPr>
                      <w:color w:val="auto"/>
                      <w:szCs w:val="21"/>
                    </w:rPr>
                  </w:pPr>
                  <w:r>
                    <w:rPr>
                      <w:color w:val="auto"/>
                      <w:szCs w:val="21"/>
                    </w:rPr>
                    <w:t>/</w:t>
                  </w:r>
                </w:p>
              </w:tc>
            </w:tr>
          </w:tbl>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p>
            <w:pPr>
              <w:adjustRightInd w:val="0"/>
              <w:snapToGrid w:val="0"/>
              <w:ind w:firstLine="420" w:firstLineChars="200"/>
              <w:rPr>
                <w:color w:val="auto"/>
                <w:szCs w:val="21"/>
              </w:rPr>
            </w:pPr>
          </w:p>
        </w:tc>
      </w:tr>
    </w:tbl>
    <w:p>
      <w:pPr>
        <w:jc w:val="center"/>
        <w:outlineLvl w:val="0"/>
        <w:rPr>
          <w:rFonts w:eastAsia="黑体"/>
          <w:b/>
          <w:bCs/>
          <w:snapToGrid w:val="0"/>
          <w:color w:val="auto"/>
          <w:sz w:val="30"/>
          <w:szCs w:val="30"/>
        </w:rPr>
        <w:sectPr>
          <w:pgSz w:w="16840" w:h="11907" w:orient="landscape"/>
          <w:pgMar w:top="1083" w:right="1440" w:bottom="1083" w:left="1440" w:header="851" w:footer="851" w:gutter="0"/>
          <w:cols w:space="720" w:num="1"/>
          <w:docGrid w:linePitch="312" w:charSpace="0"/>
        </w:sectPr>
      </w:pPr>
    </w:p>
    <w:tbl>
      <w:tblPr>
        <w:tblStyle w:val="8"/>
        <w:tblW w:w="49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9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 w:type="pct"/>
            <w:noWrap w:val="0"/>
            <w:vAlign w:val="center"/>
          </w:tcPr>
          <w:p>
            <w:pPr>
              <w:adjustRightInd w:val="0"/>
              <w:snapToGrid w:val="0"/>
              <w:jc w:val="center"/>
              <w:rPr>
                <w:b/>
                <w:color w:val="auto"/>
                <w:kern w:val="0"/>
                <w:sz w:val="24"/>
              </w:rPr>
            </w:pPr>
            <w:r>
              <w:rPr>
                <w:b/>
                <w:color w:val="auto"/>
                <w:kern w:val="0"/>
                <w:sz w:val="24"/>
              </w:rPr>
              <w:t>运营期环境保护措施</w:t>
            </w:r>
          </w:p>
        </w:tc>
        <w:tc>
          <w:tcPr>
            <w:tcW w:w="4781" w:type="pct"/>
            <w:noWrap w:val="0"/>
            <w:vAlign w:val="center"/>
          </w:tcPr>
          <w:p>
            <w:pPr>
              <w:adjustRightInd w:val="0"/>
              <w:snapToGrid w:val="0"/>
              <w:spacing w:line="360" w:lineRule="auto"/>
              <w:ind w:firstLine="442" w:firstLineChars="200"/>
              <w:rPr>
                <w:b/>
                <w:color w:val="auto"/>
                <w:spacing w:val="-10"/>
                <w:sz w:val="24"/>
              </w:rPr>
            </w:pPr>
            <w:r>
              <w:rPr>
                <w:b/>
                <w:color w:val="auto"/>
                <w:spacing w:val="-10"/>
                <w:sz w:val="24"/>
              </w:rPr>
              <w:t>2.源强核算</w:t>
            </w:r>
          </w:p>
          <w:p>
            <w:pPr>
              <w:adjustRightInd w:val="0"/>
              <w:snapToGrid w:val="0"/>
              <w:spacing w:line="360" w:lineRule="auto"/>
              <w:ind w:firstLine="440" w:firstLineChars="200"/>
              <w:rPr>
                <w:bCs/>
                <w:color w:val="auto"/>
                <w:spacing w:val="-10"/>
                <w:sz w:val="24"/>
                <w:lang w:val="zh-CN"/>
              </w:rPr>
            </w:pPr>
            <w:r>
              <w:rPr>
                <w:bCs/>
                <w:color w:val="auto"/>
                <w:spacing w:val="-10"/>
                <w:sz w:val="24"/>
                <w:lang w:val="zh-CN"/>
              </w:rPr>
              <w:t>本项目营运期大气污染物主要</w:t>
            </w:r>
            <w:r>
              <w:rPr>
                <w:bCs/>
                <w:color w:val="auto"/>
                <w:spacing w:val="-10"/>
                <w:sz w:val="24"/>
              </w:rPr>
              <w:t>包括</w:t>
            </w:r>
            <w:r>
              <w:rPr>
                <w:bCs/>
                <w:color w:val="auto"/>
                <w:spacing w:val="-10"/>
                <w:sz w:val="24"/>
                <w:lang w:val="zh-CN"/>
              </w:rPr>
              <w:t>：运输车辆动力</w:t>
            </w:r>
            <w:r>
              <w:rPr>
                <w:bCs/>
                <w:color w:val="auto"/>
                <w:spacing w:val="-10"/>
                <w:sz w:val="24"/>
              </w:rPr>
              <w:t>扬</w:t>
            </w:r>
            <w:r>
              <w:rPr>
                <w:bCs/>
                <w:color w:val="auto"/>
                <w:spacing w:val="-10"/>
                <w:sz w:val="24"/>
                <w:lang w:val="zh-CN"/>
              </w:rPr>
              <w:t>尘、</w:t>
            </w:r>
            <w:r>
              <w:rPr>
                <w:bCs/>
                <w:color w:val="auto"/>
                <w:spacing w:val="-10"/>
                <w:sz w:val="24"/>
              </w:rPr>
              <w:t>骨料</w:t>
            </w:r>
            <w:r>
              <w:rPr>
                <w:bCs/>
                <w:color w:val="auto"/>
                <w:spacing w:val="-10"/>
                <w:sz w:val="24"/>
                <w:lang w:val="zh-CN"/>
              </w:rPr>
              <w:t>装卸粉尘、</w:t>
            </w:r>
            <w:r>
              <w:rPr>
                <w:bCs/>
                <w:color w:val="auto"/>
                <w:spacing w:val="-10"/>
                <w:sz w:val="24"/>
              </w:rPr>
              <w:t>骨料仓库石料堆存扬尘、骨料输送、计量、筛选、投料粉尘和筒仓粉料输送储存粉尘、燃烧器燃烧废气、干燥滚筒烘干废气</w:t>
            </w:r>
            <w:r>
              <w:rPr>
                <w:color w:val="auto"/>
              </w:rPr>
              <w:t>、</w:t>
            </w:r>
            <w:r>
              <w:rPr>
                <w:rFonts w:hint="eastAsia"/>
                <w:bCs/>
                <w:color w:val="auto"/>
                <w:spacing w:val="-10"/>
                <w:sz w:val="24"/>
              </w:rPr>
              <w:t>储罐呼吸废气、搅拌器加热、搅拌、出料废气、导热油炉燃烧废气、</w:t>
            </w:r>
            <w:r>
              <w:rPr>
                <w:bCs/>
                <w:color w:val="auto"/>
                <w:spacing w:val="-10"/>
                <w:sz w:val="24"/>
                <w:lang w:val="zh-CN"/>
              </w:rPr>
              <w:t>汽车尾气。</w:t>
            </w:r>
          </w:p>
          <w:p>
            <w:pPr>
              <w:tabs>
                <w:tab w:val="left" w:pos="1680"/>
              </w:tabs>
              <w:adjustRightInd w:val="0"/>
              <w:snapToGrid w:val="0"/>
              <w:spacing w:line="360" w:lineRule="auto"/>
              <w:ind w:firstLine="442" w:firstLineChars="200"/>
              <w:rPr>
                <w:b/>
                <w:color w:val="auto"/>
                <w:spacing w:val="-10"/>
                <w:sz w:val="24"/>
              </w:rPr>
            </w:pPr>
            <w:r>
              <w:rPr>
                <w:b/>
                <w:color w:val="auto"/>
                <w:spacing w:val="-10"/>
                <w:sz w:val="24"/>
              </w:rPr>
              <w:t>（1）</w:t>
            </w:r>
            <w:r>
              <w:rPr>
                <w:b/>
                <w:color w:val="auto"/>
                <w:spacing w:val="-10"/>
                <w:sz w:val="24"/>
                <w:lang w:val="zh-CN"/>
              </w:rPr>
              <w:t>运输车辆动力</w:t>
            </w:r>
            <w:r>
              <w:rPr>
                <w:b/>
                <w:color w:val="auto"/>
                <w:spacing w:val="-10"/>
                <w:sz w:val="24"/>
              </w:rPr>
              <w:t>扬尘</w:t>
            </w:r>
          </w:p>
          <w:p>
            <w:pPr>
              <w:adjustRightInd w:val="0"/>
              <w:snapToGrid w:val="0"/>
              <w:spacing w:line="360" w:lineRule="auto"/>
              <w:ind w:firstLine="440" w:firstLineChars="200"/>
              <w:rPr>
                <w:bCs/>
                <w:color w:val="auto"/>
                <w:spacing w:val="-10"/>
                <w:sz w:val="24"/>
              </w:rPr>
            </w:pPr>
            <w:r>
              <w:rPr>
                <w:bCs/>
                <w:color w:val="auto"/>
                <w:spacing w:val="-10"/>
                <w:sz w:val="24"/>
              </w:rPr>
              <w:t>①产生情况</w:t>
            </w:r>
          </w:p>
          <w:p>
            <w:pPr>
              <w:adjustRightInd w:val="0"/>
              <w:snapToGrid w:val="0"/>
              <w:spacing w:line="360" w:lineRule="auto"/>
              <w:ind w:firstLine="440" w:firstLineChars="200"/>
              <w:rPr>
                <w:bCs/>
                <w:color w:val="auto"/>
                <w:spacing w:val="-10"/>
                <w:sz w:val="24"/>
                <w:lang w:val="zh-CN"/>
              </w:rPr>
            </w:pPr>
            <w:r>
              <w:rPr>
                <w:bCs/>
                <w:color w:val="auto"/>
                <w:spacing w:val="-10"/>
                <w:sz w:val="24"/>
              </w:rPr>
              <w:t>本项目运输</w:t>
            </w:r>
            <w:r>
              <w:rPr>
                <w:bCs/>
                <w:color w:val="auto"/>
                <w:spacing w:val="-10"/>
                <w:sz w:val="24"/>
                <w:lang w:val="zh-CN"/>
              </w:rPr>
              <w:t>车辆</w:t>
            </w:r>
            <w:r>
              <w:rPr>
                <w:bCs/>
                <w:color w:val="auto"/>
                <w:spacing w:val="-10"/>
                <w:sz w:val="24"/>
              </w:rPr>
              <w:t>在厂区内</w:t>
            </w:r>
            <w:r>
              <w:rPr>
                <w:bCs/>
                <w:color w:val="auto"/>
                <w:spacing w:val="-10"/>
                <w:sz w:val="24"/>
                <w:lang w:val="zh-CN"/>
              </w:rPr>
              <w:t>行驶</w:t>
            </w:r>
            <w:r>
              <w:rPr>
                <w:bCs/>
                <w:color w:val="auto"/>
                <w:spacing w:val="-10"/>
                <w:sz w:val="24"/>
              </w:rPr>
              <w:t>过程中会</w:t>
            </w:r>
            <w:r>
              <w:rPr>
                <w:bCs/>
                <w:color w:val="auto"/>
                <w:spacing w:val="-10"/>
                <w:sz w:val="24"/>
                <w:lang w:val="zh-CN"/>
              </w:rPr>
              <w:t>产生扬尘，道路干燥的情况下，按下列经验公式计算：</w:t>
            </w:r>
          </w:p>
          <w:p>
            <w:pPr>
              <w:adjustRightInd w:val="0"/>
              <w:snapToGrid w:val="0"/>
              <w:spacing w:line="360" w:lineRule="auto"/>
              <w:jc w:val="center"/>
              <w:rPr>
                <w:b/>
                <w:color w:val="auto"/>
                <w:spacing w:val="-10"/>
                <w:sz w:val="24"/>
              </w:rPr>
            </w:pPr>
            <w:r>
              <w:rPr>
                <w:b/>
                <w:color w:val="auto"/>
                <w:spacing w:val="-10"/>
                <w:position w:val="-28"/>
                <w:sz w:val="24"/>
              </w:rPr>
              <w:object>
                <v:shape id="_x0000_i1025" o:spt="75" type="#_x0000_t75" style="height:61.65pt;width:305.5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p>
          <w:p>
            <w:pPr>
              <w:adjustRightInd w:val="0"/>
              <w:snapToGrid w:val="0"/>
              <w:spacing w:line="360" w:lineRule="auto"/>
              <w:ind w:firstLine="440" w:firstLineChars="200"/>
              <w:rPr>
                <w:bCs/>
                <w:color w:val="auto"/>
                <w:spacing w:val="-10"/>
                <w:sz w:val="24"/>
              </w:rPr>
            </w:pPr>
            <w:r>
              <w:rPr>
                <w:bCs/>
                <w:color w:val="auto"/>
                <w:spacing w:val="-10"/>
                <w:sz w:val="24"/>
              </w:rPr>
              <w:t>式中：Q--车辆行驶时的扬尘，kg/km·辆；</w:t>
            </w:r>
          </w:p>
          <w:p>
            <w:pPr>
              <w:adjustRightInd w:val="0"/>
              <w:snapToGrid w:val="0"/>
              <w:spacing w:line="360" w:lineRule="auto"/>
              <w:ind w:firstLine="1100" w:firstLineChars="500"/>
              <w:rPr>
                <w:bCs/>
                <w:color w:val="auto"/>
                <w:spacing w:val="-10"/>
                <w:sz w:val="24"/>
              </w:rPr>
            </w:pPr>
            <w:r>
              <w:rPr>
                <w:bCs/>
                <w:color w:val="auto"/>
                <w:spacing w:val="-10"/>
                <w:sz w:val="24"/>
              </w:rPr>
              <w:t>V--车辆行驶速度，km/h；</w:t>
            </w:r>
          </w:p>
          <w:p>
            <w:pPr>
              <w:adjustRightInd w:val="0"/>
              <w:snapToGrid w:val="0"/>
              <w:spacing w:line="360" w:lineRule="auto"/>
              <w:ind w:firstLine="1100" w:firstLineChars="500"/>
              <w:rPr>
                <w:bCs/>
                <w:color w:val="auto"/>
                <w:spacing w:val="-10"/>
                <w:sz w:val="24"/>
              </w:rPr>
            </w:pPr>
            <w:r>
              <w:rPr>
                <w:bCs/>
                <w:color w:val="auto"/>
                <w:spacing w:val="-10"/>
                <w:sz w:val="24"/>
              </w:rPr>
              <w:t>W--车辆载重量，t；</w:t>
            </w:r>
          </w:p>
          <w:p>
            <w:pPr>
              <w:adjustRightInd w:val="0"/>
              <w:snapToGrid w:val="0"/>
              <w:spacing w:line="360" w:lineRule="auto"/>
              <w:ind w:firstLine="1100" w:firstLineChars="500"/>
              <w:rPr>
                <w:bCs/>
                <w:color w:val="auto"/>
                <w:spacing w:val="-10"/>
                <w:sz w:val="24"/>
              </w:rPr>
            </w:pPr>
            <w:r>
              <w:rPr>
                <w:bCs/>
                <w:color w:val="auto"/>
                <w:spacing w:val="-10"/>
                <w:sz w:val="24"/>
              </w:rPr>
              <w:t>P--道路表面粉尘量，kg/m</w:t>
            </w:r>
            <w:r>
              <w:rPr>
                <w:bCs/>
                <w:color w:val="auto"/>
                <w:spacing w:val="-10"/>
                <w:sz w:val="24"/>
                <w:vertAlign w:val="superscript"/>
              </w:rPr>
              <w:t>2</w:t>
            </w:r>
            <w:r>
              <w:rPr>
                <w:bCs/>
                <w:color w:val="auto"/>
                <w:spacing w:val="-10"/>
                <w:sz w:val="24"/>
              </w:rPr>
              <w:t>。</w:t>
            </w:r>
          </w:p>
          <w:p>
            <w:pPr>
              <w:adjustRightInd w:val="0"/>
              <w:snapToGrid w:val="0"/>
              <w:spacing w:line="360" w:lineRule="auto"/>
              <w:ind w:firstLine="440" w:firstLineChars="200"/>
              <w:rPr>
                <w:bCs/>
                <w:color w:val="auto"/>
                <w:spacing w:val="-10"/>
                <w:sz w:val="24"/>
              </w:rPr>
            </w:pPr>
            <w:r>
              <w:rPr>
                <w:bCs/>
                <w:color w:val="auto"/>
                <w:spacing w:val="-10"/>
                <w:sz w:val="24"/>
              </w:rPr>
              <w:t>本项目运输车辆（包括原料运输车辆和产品运输车辆）空车重约1</w:t>
            </w:r>
            <w:r>
              <w:rPr>
                <w:rFonts w:hint="eastAsia"/>
                <w:bCs/>
                <w:color w:val="auto"/>
                <w:spacing w:val="-10"/>
                <w:sz w:val="24"/>
              </w:rPr>
              <w:t>2</w:t>
            </w:r>
            <w:r>
              <w:rPr>
                <w:bCs/>
                <w:color w:val="auto"/>
                <w:spacing w:val="-10"/>
                <w:sz w:val="24"/>
              </w:rPr>
              <w:t>.0t，重车重约</w:t>
            </w:r>
            <w:r>
              <w:rPr>
                <w:rFonts w:hint="eastAsia"/>
                <w:bCs/>
                <w:color w:val="auto"/>
                <w:spacing w:val="-10"/>
                <w:sz w:val="24"/>
              </w:rPr>
              <w:t>32</w:t>
            </w:r>
            <w:r>
              <w:rPr>
                <w:bCs/>
                <w:color w:val="auto"/>
                <w:spacing w:val="-10"/>
                <w:sz w:val="24"/>
              </w:rPr>
              <w:t>.0t，在厂区内速度按5km/h计，道路表面粉尘量本次评价以0.1kg/m</w:t>
            </w:r>
            <w:r>
              <w:rPr>
                <w:bCs/>
                <w:color w:val="auto"/>
                <w:spacing w:val="-10"/>
                <w:sz w:val="24"/>
                <w:vertAlign w:val="superscript"/>
              </w:rPr>
              <w:t>2</w:t>
            </w:r>
            <w:r>
              <w:rPr>
                <w:bCs/>
                <w:color w:val="auto"/>
                <w:spacing w:val="-10"/>
                <w:sz w:val="24"/>
              </w:rPr>
              <w:t>计，则本项目空车单次行驶时的扬尘Q</w:t>
            </w:r>
            <w:r>
              <w:rPr>
                <w:bCs/>
                <w:color w:val="auto"/>
                <w:spacing w:val="-10"/>
                <w:sz w:val="24"/>
                <w:vertAlign w:val="subscript"/>
              </w:rPr>
              <w:t>1</w:t>
            </w:r>
            <w:r>
              <w:rPr>
                <w:bCs/>
                <w:color w:val="auto"/>
                <w:spacing w:val="-10"/>
                <w:sz w:val="24"/>
              </w:rPr>
              <w:t>为0.05</w:t>
            </w:r>
            <w:r>
              <w:rPr>
                <w:rFonts w:hint="eastAsia"/>
                <w:bCs/>
                <w:color w:val="auto"/>
                <w:spacing w:val="-10"/>
                <w:sz w:val="24"/>
              </w:rPr>
              <w:t>96</w:t>
            </w:r>
            <w:r>
              <w:rPr>
                <w:bCs/>
                <w:color w:val="auto"/>
                <w:spacing w:val="-10"/>
                <w:sz w:val="24"/>
              </w:rPr>
              <w:t>kg/km·辆，重车单次行驶时的扬尘Q</w:t>
            </w:r>
            <w:r>
              <w:rPr>
                <w:bCs/>
                <w:color w:val="auto"/>
                <w:spacing w:val="-10"/>
                <w:sz w:val="24"/>
                <w:vertAlign w:val="subscript"/>
              </w:rPr>
              <w:t>2</w:t>
            </w:r>
            <w:r>
              <w:rPr>
                <w:bCs/>
                <w:color w:val="auto"/>
                <w:spacing w:val="-10"/>
                <w:sz w:val="24"/>
              </w:rPr>
              <w:t>为0.1</w:t>
            </w:r>
            <w:r>
              <w:rPr>
                <w:rFonts w:hint="eastAsia"/>
                <w:bCs/>
                <w:color w:val="auto"/>
                <w:spacing w:val="-10"/>
                <w:sz w:val="24"/>
              </w:rPr>
              <w:t>372</w:t>
            </w:r>
            <w:r>
              <w:rPr>
                <w:bCs/>
                <w:color w:val="auto"/>
                <w:spacing w:val="-10"/>
                <w:sz w:val="24"/>
              </w:rPr>
              <w:t>kg/km·辆。</w:t>
            </w:r>
          </w:p>
          <w:p>
            <w:pPr>
              <w:adjustRightInd w:val="0"/>
              <w:snapToGrid w:val="0"/>
              <w:spacing w:line="360" w:lineRule="auto"/>
              <w:jc w:val="center"/>
              <w:rPr>
                <w:bCs/>
                <w:color w:val="auto"/>
                <w:spacing w:val="-10"/>
                <w:sz w:val="24"/>
              </w:rPr>
            </w:pPr>
            <w:r>
              <w:rPr>
                <w:b/>
                <w:color w:val="auto"/>
                <w:spacing w:val="-10"/>
                <w:position w:val="-12"/>
                <w:sz w:val="24"/>
              </w:rPr>
              <w:object>
                <v:shape id="_x0000_i1026" o:spt="75" type="#_x0000_t75" style="height:32.9pt;width:141pt;" o:ole="t" filled="f" o:preferrelative="t" stroked="f" coordsize="21600,21600">
                  <v:path/>
                  <v:fill on="f" focussize="0,0"/>
                  <v:stroke on="f"/>
                  <v:imagedata r:id="rId11" cropbottom="5314f" o:title=""/>
                  <o:lock v:ext="edit" aspectratio="t"/>
                  <w10:wrap type="none"/>
                  <w10:anchorlock/>
                </v:shape>
                <o:OLEObject Type="Embed" ProgID="Equation.KSEE3" ShapeID="_x0000_i1026" DrawAspect="Content" ObjectID="_1468075726" r:id="rId10">
                  <o:LockedField>false</o:LockedField>
                </o:OLEObject>
              </w:object>
            </w:r>
          </w:p>
          <w:p>
            <w:pPr>
              <w:adjustRightInd w:val="0"/>
              <w:snapToGrid w:val="0"/>
              <w:spacing w:line="360" w:lineRule="auto"/>
              <w:ind w:firstLine="440" w:firstLineChars="200"/>
              <w:rPr>
                <w:bCs/>
                <w:color w:val="auto"/>
                <w:spacing w:val="-10"/>
                <w:sz w:val="24"/>
              </w:rPr>
            </w:pPr>
            <w:r>
              <w:rPr>
                <w:bCs/>
                <w:color w:val="auto"/>
                <w:spacing w:val="-10"/>
                <w:sz w:val="24"/>
              </w:rPr>
              <w:t>式中：Q</w:t>
            </w:r>
            <w:r>
              <w:rPr>
                <w:bCs/>
                <w:color w:val="auto"/>
                <w:spacing w:val="-10"/>
                <w:sz w:val="24"/>
                <w:vertAlign w:val="subscript"/>
              </w:rPr>
              <w:t>i</w:t>
            </w:r>
            <w:r>
              <w:rPr>
                <w:bCs/>
                <w:color w:val="auto"/>
                <w:spacing w:val="-10"/>
                <w:sz w:val="24"/>
              </w:rPr>
              <w:t>--总扬尘量，kg；</w:t>
            </w:r>
          </w:p>
          <w:p>
            <w:pPr>
              <w:adjustRightInd w:val="0"/>
              <w:snapToGrid w:val="0"/>
              <w:spacing w:line="360" w:lineRule="auto"/>
              <w:ind w:firstLine="1100" w:firstLineChars="500"/>
              <w:rPr>
                <w:bCs/>
                <w:color w:val="auto"/>
                <w:spacing w:val="-10"/>
                <w:sz w:val="24"/>
              </w:rPr>
            </w:pPr>
            <w:r>
              <w:rPr>
                <w:bCs/>
                <w:color w:val="auto"/>
                <w:spacing w:val="-10"/>
                <w:sz w:val="24"/>
              </w:rPr>
              <w:t>Q--车辆行驶时的扬尘，kg/km·辆；</w:t>
            </w:r>
          </w:p>
          <w:p>
            <w:pPr>
              <w:adjustRightInd w:val="0"/>
              <w:snapToGrid w:val="0"/>
              <w:spacing w:line="360" w:lineRule="auto"/>
              <w:ind w:firstLine="1100" w:firstLineChars="500"/>
              <w:rPr>
                <w:bCs/>
                <w:color w:val="auto"/>
                <w:spacing w:val="-10"/>
                <w:sz w:val="24"/>
              </w:rPr>
            </w:pPr>
            <w:r>
              <w:rPr>
                <w:bCs/>
                <w:color w:val="auto"/>
                <w:spacing w:val="-10"/>
                <w:sz w:val="24"/>
              </w:rPr>
              <w:t>L--车辆厂区的运输距离，km；</w:t>
            </w:r>
          </w:p>
          <w:p>
            <w:pPr>
              <w:adjustRightInd w:val="0"/>
              <w:snapToGrid w:val="0"/>
              <w:spacing w:line="360" w:lineRule="auto"/>
              <w:ind w:firstLine="1100" w:firstLineChars="500"/>
              <w:rPr>
                <w:bCs/>
                <w:color w:val="auto"/>
                <w:spacing w:val="-10"/>
                <w:sz w:val="24"/>
              </w:rPr>
            </w:pPr>
            <w:r>
              <w:rPr>
                <w:bCs/>
                <w:color w:val="auto"/>
                <w:spacing w:val="-10"/>
                <w:sz w:val="24"/>
              </w:rPr>
              <w:t>Y--运输货物共需车辆，辆。</w:t>
            </w:r>
          </w:p>
          <w:p>
            <w:pPr>
              <w:adjustRightInd w:val="0"/>
              <w:snapToGrid w:val="0"/>
              <w:spacing w:line="360" w:lineRule="auto"/>
              <w:ind w:firstLine="440" w:firstLineChars="200"/>
              <w:rPr>
                <w:bCs/>
                <w:color w:val="auto"/>
                <w:spacing w:val="-10"/>
                <w:sz w:val="24"/>
              </w:rPr>
            </w:pPr>
            <w:r>
              <w:rPr>
                <w:bCs/>
                <w:color w:val="auto"/>
                <w:spacing w:val="-10"/>
                <w:sz w:val="24"/>
              </w:rPr>
              <w:t>根据建设单位提供的资料，本项目年工作</w:t>
            </w:r>
            <w:r>
              <w:rPr>
                <w:rFonts w:hint="eastAsia"/>
                <w:bCs/>
                <w:color w:val="auto"/>
                <w:spacing w:val="-10"/>
                <w:sz w:val="24"/>
              </w:rPr>
              <w:t>15</w:t>
            </w:r>
            <w:r>
              <w:rPr>
                <w:bCs/>
                <w:color w:val="auto"/>
                <w:spacing w:val="-10"/>
                <w:sz w:val="24"/>
              </w:rPr>
              <w:t>0d，平均每天车辆（包括原料运输车辆和产品运输车辆）发车</w:t>
            </w:r>
            <w:r>
              <w:rPr>
                <w:rFonts w:hint="eastAsia"/>
                <w:bCs/>
                <w:color w:val="auto"/>
                <w:spacing w:val="-10"/>
                <w:sz w:val="24"/>
              </w:rPr>
              <w:t>90</w:t>
            </w:r>
            <w:r>
              <w:rPr>
                <w:bCs/>
                <w:color w:val="auto"/>
                <w:spacing w:val="-10"/>
                <w:sz w:val="24"/>
              </w:rPr>
              <w:t>辆次</w:t>
            </w:r>
            <w:r>
              <w:rPr>
                <w:rFonts w:hint="eastAsia"/>
                <w:bCs/>
                <w:color w:val="auto"/>
                <w:spacing w:val="-10"/>
                <w:sz w:val="24"/>
              </w:rPr>
              <w:t>（其中空车发车45辆次，重车发车45辆次）</w:t>
            </w:r>
            <w:r>
              <w:rPr>
                <w:bCs/>
                <w:color w:val="auto"/>
                <w:spacing w:val="-10"/>
                <w:sz w:val="24"/>
              </w:rPr>
              <w:t>，在厂区内的行驶距离按</w:t>
            </w:r>
            <w:r>
              <w:rPr>
                <w:rFonts w:hint="eastAsia"/>
                <w:bCs/>
                <w:color w:val="auto"/>
                <w:spacing w:val="-10"/>
                <w:sz w:val="24"/>
              </w:rPr>
              <w:t>0.12k</w:t>
            </w:r>
            <w:r>
              <w:rPr>
                <w:bCs/>
                <w:color w:val="auto"/>
                <w:spacing w:val="-10"/>
                <w:sz w:val="24"/>
              </w:rPr>
              <w:t>m计，则本项目空车起尘量Q</w:t>
            </w:r>
            <w:r>
              <w:rPr>
                <w:bCs/>
                <w:color w:val="auto"/>
                <w:spacing w:val="-10"/>
                <w:sz w:val="24"/>
                <w:vertAlign w:val="subscript"/>
              </w:rPr>
              <w:t>1</w:t>
            </w:r>
            <w:r>
              <w:rPr>
                <w:bCs/>
                <w:color w:val="auto"/>
                <w:spacing w:val="-10"/>
                <w:sz w:val="24"/>
              </w:rPr>
              <w:t>为</w:t>
            </w:r>
            <w:r>
              <w:rPr>
                <w:rFonts w:hint="eastAsia"/>
                <w:bCs/>
                <w:color w:val="auto"/>
                <w:spacing w:val="-10"/>
                <w:sz w:val="24"/>
              </w:rPr>
              <w:t>0.0483</w:t>
            </w:r>
            <w:r>
              <w:rPr>
                <w:bCs/>
                <w:color w:val="auto"/>
                <w:spacing w:val="-10"/>
                <w:sz w:val="24"/>
              </w:rPr>
              <w:t>t/a，重车起尘量Q</w:t>
            </w:r>
            <w:r>
              <w:rPr>
                <w:bCs/>
                <w:color w:val="auto"/>
                <w:spacing w:val="-10"/>
                <w:sz w:val="24"/>
                <w:vertAlign w:val="subscript"/>
              </w:rPr>
              <w:t>2</w:t>
            </w:r>
            <w:r>
              <w:rPr>
                <w:bCs/>
                <w:color w:val="auto"/>
                <w:spacing w:val="-10"/>
                <w:sz w:val="24"/>
              </w:rPr>
              <w:t>为</w:t>
            </w:r>
            <w:r>
              <w:rPr>
                <w:rFonts w:hint="eastAsia"/>
                <w:bCs/>
                <w:color w:val="auto"/>
                <w:spacing w:val="-10"/>
                <w:sz w:val="24"/>
              </w:rPr>
              <w:t>0.1111</w:t>
            </w:r>
            <w:r>
              <w:rPr>
                <w:bCs/>
                <w:color w:val="auto"/>
                <w:spacing w:val="-10"/>
                <w:sz w:val="24"/>
              </w:rPr>
              <w:t>t/a，</w:t>
            </w:r>
            <w:r>
              <w:rPr>
                <w:rFonts w:hint="eastAsia"/>
                <w:bCs/>
                <w:color w:val="auto"/>
                <w:spacing w:val="-10"/>
                <w:sz w:val="24"/>
              </w:rPr>
              <w:t>总起尘量</w:t>
            </w:r>
            <w:r>
              <w:rPr>
                <w:bCs/>
                <w:color w:val="auto"/>
                <w:spacing w:val="-10"/>
                <w:sz w:val="24"/>
              </w:rPr>
              <w:t>Q为</w:t>
            </w:r>
            <w:r>
              <w:rPr>
                <w:rFonts w:hint="eastAsia"/>
                <w:bCs/>
                <w:color w:val="auto"/>
                <w:spacing w:val="-10"/>
                <w:sz w:val="24"/>
              </w:rPr>
              <w:t>0.1594</w:t>
            </w:r>
            <w:r>
              <w:rPr>
                <w:bCs/>
                <w:color w:val="auto"/>
                <w:spacing w:val="-10"/>
                <w:sz w:val="24"/>
              </w:rPr>
              <w:t>t/a</w:t>
            </w:r>
            <w:r>
              <w:rPr>
                <w:rFonts w:hint="eastAsia"/>
                <w:bCs/>
                <w:color w:val="auto"/>
                <w:spacing w:val="-10"/>
                <w:sz w:val="24"/>
              </w:rPr>
              <w:t>、0.1328kg/h</w:t>
            </w:r>
            <w:r>
              <w:rPr>
                <w:bCs/>
                <w:color w:val="auto"/>
                <w:spacing w:val="-10"/>
                <w:sz w:val="24"/>
              </w:rPr>
              <w:t>。</w:t>
            </w:r>
          </w:p>
          <w:p>
            <w:pPr>
              <w:adjustRightInd w:val="0"/>
              <w:snapToGrid w:val="0"/>
              <w:spacing w:line="360" w:lineRule="auto"/>
              <w:ind w:firstLine="440" w:firstLineChars="200"/>
              <w:rPr>
                <w:bCs/>
                <w:color w:val="auto"/>
                <w:spacing w:val="-10"/>
                <w:sz w:val="24"/>
              </w:rPr>
            </w:pPr>
            <w:r>
              <w:rPr>
                <w:bCs/>
                <w:color w:val="auto"/>
                <w:spacing w:val="-10"/>
                <w:sz w:val="24"/>
              </w:rPr>
              <w:t>②治理措施</w:t>
            </w:r>
          </w:p>
          <w:p>
            <w:pPr>
              <w:adjustRightInd w:val="0"/>
              <w:snapToGrid w:val="0"/>
              <w:spacing w:line="360" w:lineRule="auto"/>
              <w:ind w:firstLine="440" w:firstLineChars="200"/>
              <w:rPr>
                <w:bCs/>
                <w:color w:val="auto"/>
                <w:spacing w:val="-10"/>
                <w:sz w:val="24"/>
              </w:rPr>
            </w:pPr>
            <w:r>
              <w:rPr>
                <w:bCs/>
                <w:color w:val="auto"/>
                <w:spacing w:val="-10"/>
                <w:sz w:val="24"/>
              </w:rPr>
              <w:t>环评要求企业加强对运输车辆运输过程中产生的动力扬尘的控制，应限制运输车辆在厂区内的行驶车速，对运输道路进行硬化，在运输道路沿线设置喷淋装置降尘，并在厂区内设置清洗装置，对进出厂区的车辆进行清洗；同时应安排职工定期对地面进行清扫，保持地面清洁；此外，运输车辆应加盖篷布，防止物料洒落。</w:t>
            </w:r>
          </w:p>
          <w:p>
            <w:pPr>
              <w:adjustRightInd w:val="0"/>
              <w:snapToGrid w:val="0"/>
              <w:spacing w:line="360" w:lineRule="auto"/>
              <w:ind w:firstLine="440" w:firstLineChars="200"/>
              <w:rPr>
                <w:bCs/>
                <w:color w:val="auto"/>
                <w:spacing w:val="-10"/>
                <w:sz w:val="24"/>
              </w:rPr>
            </w:pPr>
            <w:r>
              <w:rPr>
                <w:bCs/>
                <w:color w:val="auto"/>
                <w:spacing w:val="-10"/>
                <w:sz w:val="24"/>
              </w:rPr>
              <w:t>③排放情况</w:t>
            </w:r>
          </w:p>
          <w:p>
            <w:pPr>
              <w:adjustRightInd w:val="0"/>
              <w:snapToGrid w:val="0"/>
              <w:spacing w:line="360" w:lineRule="auto"/>
              <w:ind w:firstLine="440" w:firstLineChars="200"/>
              <w:rPr>
                <w:bCs/>
                <w:color w:val="auto"/>
                <w:spacing w:val="-10"/>
                <w:sz w:val="24"/>
              </w:rPr>
            </w:pPr>
            <w:r>
              <w:rPr>
                <w:bCs/>
                <w:color w:val="auto"/>
                <w:spacing w:val="-10"/>
                <w:sz w:val="24"/>
              </w:rPr>
              <w:t>根据《扬尘源颗粒物排放清单编制技术指南（试行）》（环境保护部，公告2014年第92号），多种措施同时开展的，污染控制技术对扬尘的去除效率取控制效率最大值。故本次评价运输车辆动力扬尘控制措施的去除效率参照《扬尘源颗粒物排放清单编制技术指南（试行）》（环境保护部，公告2014年第92号）中的“表6 铺装道路扬尘源控制措施的控制效率”，采取“洒水 2次/天”措施后，TSP控制效率为66%，因此，本项目运输车辆动力扬尘排放量为0</w:t>
            </w:r>
            <w:r>
              <w:rPr>
                <w:rFonts w:hint="eastAsia"/>
                <w:bCs/>
                <w:color w:val="auto"/>
                <w:spacing w:val="-10"/>
                <w:sz w:val="24"/>
              </w:rPr>
              <w:t>.0542</w:t>
            </w:r>
            <w:r>
              <w:rPr>
                <w:bCs/>
                <w:color w:val="auto"/>
                <w:spacing w:val="-10"/>
                <w:sz w:val="24"/>
              </w:rPr>
              <w:t>t/a、0.</w:t>
            </w:r>
            <w:r>
              <w:rPr>
                <w:rFonts w:hint="eastAsia"/>
                <w:bCs/>
                <w:color w:val="auto"/>
                <w:spacing w:val="-10"/>
                <w:sz w:val="24"/>
              </w:rPr>
              <w:t>0452</w:t>
            </w:r>
            <w:r>
              <w:rPr>
                <w:bCs/>
                <w:color w:val="auto"/>
                <w:spacing w:val="-10"/>
                <w:sz w:val="24"/>
              </w:rPr>
              <w:t>kg/h。</w:t>
            </w:r>
          </w:p>
          <w:p>
            <w:pPr>
              <w:adjustRightInd w:val="0"/>
              <w:snapToGrid w:val="0"/>
              <w:spacing w:line="360" w:lineRule="auto"/>
              <w:ind w:firstLine="442" w:firstLineChars="200"/>
              <w:rPr>
                <w:b/>
                <w:color w:val="auto"/>
                <w:spacing w:val="-10"/>
                <w:sz w:val="24"/>
              </w:rPr>
            </w:pPr>
            <w:r>
              <w:rPr>
                <w:b/>
                <w:color w:val="auto"/>
                <w:spacing w:val="-10"/>
                <w:sz w:val="24"/>
              </w:rPr>
              <w:t>（2）骨料装卸粉尘</w:t>
            </w:r>
          </w:p>
          <w:p>
            <w:pPr>
              <w:adjustRightInd w:val="0"/>
              <w:snapToGrid w:val="0"/>
              <w:spacing w:line="360" w:lineRule="auto"/>
              <w:ind w:firstLine="440" w:firstLineChars="200"/>
              <w:rPr>
                <w:bCs/>
                <w:color w:val="auto"/>
                <w:spacing w:val="-10"/>
                <w:sz w:val="24"/>
              </w:rPr>
            </w:pPr>
            <w:r>
              <w:rPr>
                <w:bCs/>
                <w:color w:val="auto"/>
                <w:spacing w:val="-10"/>
                <w:sz w:val="24"/>
              </w:rPr>
              <w:t>①产生情况</w:t>
            </w:r>
          </w:p>
          <w:p>
            <w:pPr>
              <w:adjustRightInd w:val="0"/>
              <w:snapToGrid w:val="0"/>
              <w:spacing w:line="360" w:lineRule="auto"/>
              <w:ind w:firstLine="440" w:firstLineChars="200"/>
              <w:rPr>
                <w:bCs/>
                <w:color w:val="auto"/>
                <w:spacing w:val="-10"/>
                <w:sz w:val="24"/>
              </w:rPr>
            </w:pPr>
            <w:r>
              <w:rPr>
                <w:bCs/>
                <w:color w:val="auto"/>
                <w:spacing w:val="-10"/>
                <w:sz w:val="24"/>
              </w:rPr>
              <w:t>本项目骨料（碎石）在装卸过程中会产生一定量的粉尘，骨料装卸粉尘产生量本次评价类比秦皇岛煤码头环境影响评价时的实验结果，公式如下：</w:t>
            </w:r>
          </w:p>
          <w:p>
            <w:pPr>
              <w:adjustRightInd w:val="0"/>
              <w:snapToGrid w:val="0"/>
              <w:spacing w:line="360" w:lineRule="auto"/>
              <w:jc w:val="center"/>
              <w:rPr>
                <w:bCs/>
                <w:color w:val="auto"/>
                <w:spacing w:val="-10"/>
                <w:sz w:val="24"/>
              </w:rPr>
            </w:pPr>
            <w:r>
              <w:rPr>
                <w:bCs/>
                <w:color w:val="auto"/>
                <w:spacing w:val="-10"/>
                <w:position w:val="-10"/>
                <w:sz w:val="24"/>
              </w:rPr>
              <w:object>
                <v:shape id="_x0000_i1027" o:spt="75" type="#_x0000_t75" style="height:29.95pt;width:257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p>
          <w:p>
            <w:pPr>
              <w:adjustRightInd w:val="0"/>
              <w:snapToGrid w:val="0"/>
              <w:spacing w:line="360" w:lineRule="auto"/>
              <w:ind w:firstLine="440" w:firstLineChars="200"/>
              <w:rPr>
                <w:bCs/>
                <w:color w:val="auto"/>
                <w:spacing w:val="-10"/>
                <w:sz w:val="24"/>
              </w:rPr>
            </w:pPr>
            <w:r>
              <w:rPr>
                <w:bCs/>
                <w:color w:val="auto"/>
                <w:spacing w:val="-10"/>
                <w:sz w:val="24"/>
              </w:rPr>
              <w:t>式中：Q--物料起尘量，mg/s；</w:t>
            </w:r>
          </w:p>
          <w:p>
            <w:pPr>
              <w:adjustRightInd w:val="0"/>
              <w:snapToGrid w:val="0"/>
              <w:spacing w:line="360" w:lineRule="auto"/>
              <w:ind w:firstLine="1100" w:firstLineChars="500"/>
              <w:rPr>
                <w:bCs/>
                <w:color w:val="auto"/>
                <w:spacing w:val="-10"/>
                <w:sz w:val="24"/>
              </w:rPr>
            </w:pPr>
            <w:r>
              <w:rPr>
                <w:bCs/>
                <w:color w:val="auto"/>
                <w:spacing w:val="-10"/>
                <w:sz w:val="24"/>
              </w:rPr>
              <w:t>U--气象风速，m/s，本项目位于</w:t>
            </w:r>
            <w:r>
              <w:rPr>
                <w:rFonts w:hint="eastAsia"/>
                <w:bCs/>
                <w:color w:val="auto"/>
                <w:spacing w:val="-10"/>
                <w:sz w:val="24"/>
              </w:rPr>
              <w:t>宁都县</w:t>
            </w:r>
            <w:r>
              <w:rPr>
                <w:bCs/>
                <w:color w:val="auto"/>
                <w:spacing w:val="-10"/>
                <w:sz w:val="24"/>
              </w:rPr>
              <w:t>，则U取</w:t>
            </w:r>
            <w:r>
              <w:rPr>
                <w:rFonts w:hint="eastAsia"/>
                <w:bCs/>
                <w:color w:val="auto"/>
                <w:spacing w:val="-10"/>
                <w:sz w:val="24"/>
              </w:rPr>
              <w:t>宁都县</w:t>
            </w:r>
            <w:r>
              <w:rPr>
                <w:bCs/>
                <w:color w:val="auto"/>
                <w:spacing w:val="-10"/>
                <w:sz w:val="24"/>
              </w:rPr>
              <w:t>多年平均风速</w:t>
            </w:r>
            <w:r>
              <w:rPr>
                <w:rFonts w:hint="eastAsia"/>
                <w:bCs/>
                <w:color w:val="auto"/>
                <w:spacing w:val="-10"/>
                <w:sz w:val="24"/>
              </w:rPr>
              <w:t>1.8</w:t>
            </w:r>
            <w:r>
              <w:rPr>
                <w:bCs/>
                <w:color w:val="auto"/>
                <w:spacing w:val="-10"/>
                <w:sz w:val="24"/>
              </w:rPr>
              <w:t>m/s；</w:t>
            </w:r>
          </w:p>
          <w:p>
            <w:pPr>
              <w:adjustRightInd w:val="0"/>
              <w:snapToGrid w:val="0"/>
              <w:spacing w:line="360" w:lineRule="auto"/>
              <w:ind w:firstLine="1100" w:firstLineChars="500"/>
              <w:rPr>
                <w:bCs/>
                <w:color w:val="auto"/>
                <w:spacing w:val="-10"/>
                <w:sz w:val="24"/>
              </w:rPr>
            </w:pPr>
            <w:r>
              <w:rPr>
                <w:bCs/>
                <w:color w:val="auto"/>
                <w:spacing w:val="-10"/>
                <w:sz w:val="24"/>
              </w:rPr>
              <w:t>H--物料落差，m，根据原料运输车辆的车身高度，H取</w:t>
            </w:r>
            <w:r>
              <w:rPr>
                <w:rFonts w:hint="eastAsia"/>
                <w:bCs/>
                <w:color w:val="auto"/>
                <w:spacing w:val="-10"/>
                <w:sz w:val="24"/>
              </w:rPr>
              <w:t>1.5</w:t>
            </w:r>
            <w:r>
              <w:rPr>
                <w:bCs/>
                <w:color w:val="auto"/>
                <w:spacing w:val="-10"/>
                <w:sz w:val="24"/>
              </w:rPr>
              <w:t>m；</w:t>
            </w:r>
          </w:p>
          <w:p>
            <w:pPr>
              <w:adjustRightInd w:val="0"/>
              <w:snapToGrid w:val="0"/>
              <w:spacing w:line="360" w:lineRule="auto"/>
              <w:ind w:firstLine="1100" w:firstLineChars="500"/>
              <w:rPr>
                <w:bCs/>
                <w:color w:val="auto"/>
                <w:spacing w:val="-10"/>
                <w:sz w:val="24"/>
              </w:rPr>
            </w:pPr>
            <w:r>
              <w:rPr>
                <w:bCs/>
                <w:color w:val="auto"/>
                <w:spacing w:val="-10"/>
                <w:sz w:val="24"/>
              </w:rPr>
              <w:t>W--含水率，%，碎石在运输过程中会洒水抑尘，W取</w:t>
            </w:r>
            <w:r>
              <w:rPr>
                <w:rFonts w:hint="eastAsia"/>
                <w:bCs/>
                <w:color w:val="auto"/>
                <w:spacing w:val="-10"/>
                <w:sz w:val="24"/>
              </w:rPr>
              <w:t>3</w:t>
            </w:r>
            <w:r>
              <w:rPr>
                <w:bCs/>
                <w:color w:val="auto"/>
                <w:spacing w:val="-10"/>
                <w:sz w:val="24"/>
              </w:rPr>
              <w:t>%。</w:t>
            </w:r>
          </w:p>
          <w:p>
            <w:pPr>
              <w:adjustRightInd w:val="0"/>
              <w:snapToGrid w:val="0"/>
              <w:spacing w:line="360" w:lineRule="auto"/>
              <w:ind w:firstLine="440" w:firstLineChars="200"/>
              <w:rPr>
                <w:bCs/>
                <w:color w:val="auto"/>
                <w:spacing w:val="-10"/>
                <w:sz w:val="24"/>
              </w:rPr>
            </w:pPr>
            <w:r>
              <w:rPr>
                <w:bCs/>
                <w:color w:val="auto"/>
                <w:spacing w:val="-10"/>
                <w:sz w:val="24"/>
              </w:rPr>
              <w:t>根据上式，可计算得到Q值为</w:t>
            </w:r>
            <w:r>
              <w:rPr>
                <w:rFonts w:hint="eastAsia"/>
                <w:bCs/>
                <w:color w:val="auto"/>
                <w:spacing w:val="-10"/>
                <w:sz w:val="24"/>
              </w:rPr>
              <w:t>473.9419</w:t>
            </w:r>
            <w:r>
              <w:rPr>
                <w:bCs/>
                <w:color w:val="auto"/>
                <w:spacing w:val="-10"/>
                <w:sz w:val="24"/>
              </w:rPr>
              <w:t>mg/s。</w:t>
            </w:r>
          </w:p>
          <w:p>
            <w:pPr>
              <w:adjustRightInd w:val="0"/>
              <w:snapToGrid w:val="0"/>
              <w:spacing w:line="360" w:lineRule="auto"/>
              <w:ind w:firstLine="440" w:firstLineChars="200"/>
              <w:rPr>
                <w:bCs/>
                <w:color w:val="auto"/>
                <w:spacing w:val="-10"/>
                <w:sz w:val="24"/>
              </w:rPr>
            </w:pPr>
            <w:r>
              <w:rPr>
                <w:bCs/>
                <w:color w:val="auto"/>
                <w:spacing w:val="-10"/>
                <w:sz w:val="24"/>
              </w:rPr>
              <w:t>原料装卸时间按10s/t计，本项目碎石年用量为</w:t>
            </w:r>
            <w:r>
              <w:rPr>
                <w:rFonts w:hint="eastAsia"/>
                <w:bCs/>
                <w:color w:val="auto"/>
                <w:spacing w:val="-10"/>
                <w:sz w:val="24"/>
              </w:rPr>
              <w:t>7.1</w:t>
            </w:r>
            <w:r>
              <w:rPr>
                <w:bCs/>
                <w:color w:val="auto"/>
                <w:spacing w:val="-10"/>
                <w:sz w:val="24"/>
              </w:rPr>
              <w:t>万吨，即总装卸时间为</w:t>
            </w:r>
            <w:r>
              <w:rPr>
                <w:rFonts w:hint="eastAsia"/>
                <w:bCs/>
                <w:color w:val="auto"/>
                <w:spacing w:val="-10"/>
                <w:sz w:val="24"/>
              </w:rPr>
              <w:t>7100</w:t>
            </w:r>
            <w:r>
              <w:rPr>
                <w:bCs/>
                <w:color w:val="auto"/>
                <w:spacing w:val="-10"/>
                <w:sz w:val="24"/>
              </w:rPr>
              <w:t>s/a。因此，本项目原料装卸粉尘产生量为</w:t>
            </w:r>
            <w:r>
              <w:rPr>
                <w:rFonts w:hint="eastAsia"/>
                <w:bCs/>
                <w:color w:val="auto"/>
                <w:spacing w:val="-10"/>
                <w:sz w:val="24"/>
              </w:rPr>
              <w:t>0.0034</w:t>
            </w:r>
            <w:r>
              <w:rPr>
                <w:bCs/>
                <w:color w:val="auto"/>
                <w:spacing w:val="-10"/>
                <w:sz w:val="24"/>
              </w:rPr>
              <w:t>t/a</w:t>
            </w:r>
            <w:r>
              <w:rPr>
                <w:rFonts w:hint="eastAsia"/>
                <w:bCs/>
                <w:color w:val="auto"/>
                <w:spacing w:val="-10"/>
                <w:sz w:val="24"/>
              </w:rPr>
              <w:t>、0.0028kg/h</w:t>
            </w:r>
            <w:r>
              <w:rPr>
                <w:bCs/>
                <w:color w:val="auto"/>
                <w:spacing w:val="-10"/>
                <w:sz w:val="24"/>
              </w:rPr>
              <w:t>。</w:t>
            </w:r>
          </w:p>
          <w:p>
            <w:pPr>
              <w:adjustRightInd w:val="0"/>
              <w:snapToGrid w:val="0"/>
              <w:spacing w:line="360" w:lineRule="auto"/>
              <w:ind w:firstLine="440" w:firstLineChars="200"/>
              <w:rPr>
                <w:bCs/>
                <w:color w:val="auto"/>
                <w:spacing w:val="-10"/>
                <w:sz w:val="24"/>
              </w:rPr>
            </w:pPr>
            <w:r>
              <w:rPr>
                <w:bCs/>
                <w:color w:val="auto"/>
                <w:spacing w:val="-10"/>
                <w:sz w:val="24"/>
              </w:rPr>
              <w:t>②治理措施</w:t>
            </w:r>
          </w:p>
          <w:p>
            <w:pPr>
              <w:adjustRightInd w:val="0"/>
              <w:snapToGrid w:val="0"/>
              <w:spacing w:line="360" w:lineRule="auto"/>
              <w:ind w:firstLine="440" w:firstLineChars="200"/>
              <w:rPr>
                <w:bCs/>
                <w:color w:val="auto"/>
                <w:spacing w:val="-10"/>
                <w:sz w:val="24"/>
              </w:rPr>
            </w:pPr>
            <w:r>
              <w:rPr>
                <w:bCs/>
                <w:color w:val="auto"/>
                <w:spacing w:val="-10"/>
                <w:sz w:val="24"/>
              </w:rPr>
              <w:t>本项目生产区</w:t>
            </w:r>
            <w:r>
              <w:rPr>
                <w:color w:val="auto"/>
                <w:sz w:val="24"/>
              </w:rPr>
              <w:t>（包括骨料堆场、搅拌楼）</w:t>
            </w:r>
            <w:r>
              <w:rPr>
                <w:bCs/>
                <w:color w:val="auto"/>
                <w:spacing w:val="-10"/>
                <w:sz w:val="24"/>
              </w:rPr>
              <w:t>地面均硬化，环评要求建设单位在堆场安装水喷淋装置降尘，在原料装卸时必须开启水喷淋装置。</w:t>
            </w:r>
          </w:p>
          <w:p>
            <w:pPr>
              <w:adjustRightInd w:val="0"/>
              <w:snapToGrid w:val="0"/>
              <w:spacing w:line="360" w:lineRule="auto"/>
              <w:ind w:firstLine="440" w:firstLineChars="200"/>
              <w:rPr>
                <w:bCs/>
                <w:color w:val="auto"/>
                <w:spacing w:val="-10"/>
                <w:sz w:val="24"/>
              </w:rPr>
            </w:pPr>
            <w:r>
              <w:rPr>
                <w:bCs/>
                <w:color w:val="auto"/>
                <w:spacing w:val="-10"/>
                <w:sz w:val="24"/>
              </w:rPr>
              <w:t>③排放情况</w:t>
            </w:r>
          </w:p>
          <w:p>
            <w:pPr>
              <w:adjustRightInd w:val="0"/>
              <w:snapToGrid w:val="0"/>
              <w:spacing w:line="360" w:lineRule="auto"/>
              <w:ind w:firstLine="440" w:firstLineChars="200"/>
              <w:rPr>
                <w:bCs/>
                <w:color w:val="auto"/>
                <w:spacing w:val="-10"/>
                <w:sz w:val="24"/>
              </w:rPr>
            </w:pPr>
            <w:r>
              <w:rPr>
                <w:bCs/>
                <w:color w:val="auto"/>
                <w:spacing w:val="-10"/>
                <w:sz w:val="24"/>
              </w:rPr>
              <w:t>参照《扬尘源颗粒物排放清单编制技术指南（试行）》（环境保护部，公告2014年第92号）中的“表6 铺装道路扬尘源控制措施的控制效率”，采取“洒水 2次/天”措施后，TSP控制效率为66%，因此，本项目原料装卸粉尘排放量为0.</w:t>
            </w:r>
            <w:r>
              <w:rPr>
                <w:rFonts w:hint="eastAsia"/>
                <w:bCs/>
                <w:color w:val="auto"/>
                <w:spacing w:val="-10"/>
                <w:sz w:val="24"/>
              </w:rPr>
              <w:t>0012</w:t>
            </w:r>
            <w:r>
              <w:rPr>
                <w:bCs/>
                <w:color w:val="auto"/>
                <w:spacing w:val="-10"/>
                <w:sz w:val="24"/>
              </w:rPr>
              <w:t>t/a、0.0</w:t>
            </w:r>
            <w:r>
              <w:rPr>
                <w:rFonts w:hint="eastAsia"/>
                <w:bCs/>
                <w:color w:val="auto"/>
                <w:spacing w:val="-10"/>
                <w:sz w:val="24"/>
              </w:rPr>
              <w:t>010</w:t>
            </w:r>
            <w:r>
              <w:rPr>
                <w:bCs/>
                <w:color w:val="auto"/>
                <w:spacing w:val="-10"/>
                <w:sz w:val="24"/>
              </w:rPr>
              <w:t>kg/h。</w:t>
            </w:r>
          </w:p>
          <w:p>
            <w:pPr>
              <w:adjustRightInd w:val="0"/>
              <w:snapToGrid w:val="0"/>
              <w:spacing w:line="360" w:lineRule="auto"/>
              <w:ind w:firstLine="440" w:firstLineChars="200"/>
              <w:rPr>
                <w:bCs/>
                <w:color w:val="auto"/>
                <w:spacing w:val="-10"/>
                <w:sz w:val="24"/>
              </w:rPr>
            </w:pPr>
          </w:p>
          <w:p>
            <w:pPr>
              <w:adjustRightInd w:val="0"/>
              <w:snapToGrid w:val="0"/>
              <w:spacing w:line="360" w:lineRule="auto"/>
              <w:ind w:firstLine="440" w:firstLineChars="200"/>
              <w:rPr>
                <w:bCs/>
                <w:color w:val="auto"/>
                <w:spacing w:val="-10"/>
                <w:sz w:val="24"/>
              </w:rPr>
            </w:pPr>
          </w:p>
          <w:p>
            <w:pPr>
              <w:adjustRightInd w:val="0"/>
              <w:snapToGrid w:val="0"/>
              <w:spacing w:line="360" w:lineRule="auto"/>
              <w:ind w:firstLine="442" w:firstLineChars="200"/>
              <w:rPr>
                <w:b/>
                <w:color w:val="auto"/>
                <w:spacing w:val="-10"/>
                <w:sz w:val="24"/>
              </w:rPr>
            </w:pPr>
            <w:r>
              <w:rPr>
                <w:b/>
                <w:color w:val="auto"/>
                <w:spacing w:val="-10"/>
                <w:sz w:val="24"/>
              </w:rPr>
              <w:t>（3）</w:t>
            </w:r>
            <w:r>
              <w:rPr>
                <w:rFonts w:hint="eastAsia"/>
                <w:b/>
                <w:color w:val="auto"/>
                <w:spacing w:val="-10"/>
                <w:sz w:val="24"/>
              </w:rPr>
              <w:t>骨料仓库石料堆存</w:t>
            </w:r>
            <w:r>
              <w:rPr>
                <w:b/>
                <w:color w:val="auto"/>
                <w:spacing w:val="-10"/>
                <w:sz w:val="24"/>
              </w:rPr>
              <w:t>扬尘</w:t>
            </w:r>
          </w:p>
          <w:p>
            <w:pPr>
              <w:adjustRightInd w:val="0"/>
              <w:snapToGrid w:val="0"/>
              <w:spacing w:line="360" w:lineRule="auto"/>
              <w:ind w:firstLine="440" w:firstLineChars="200"/>
              <w:rPr>
                <w:bCs/>
                <w:color w:val="auto"/>
                <w:spacing w:val="-10"/>
                <w:sz w:val="24"/>
              </w:rPr>
            </w:pPr>
            <w:r>
              <w:rPr>
                <w:bCs/>
                <w:color w:val="auto"/>
                <w:spacing w:val="-10"/>
                <w:sz w:val="24"/>
              </w:rPr>
              <w:t>本项目骨料（碎石）存放于生产区的骨料仓库内，本项目生产区地面均硬化处理，同时骨料仓库</w:t>
            </w:r>
            <w:r>
              <w:rPr>
                <w:rFonts w:hint="eastAsia"/>
                <w:bCs/>
                <w:color w:val="auto"/>
                <w:spacing w:val="-10"/>
                <w:sz w:val="24"/>
              </w:rPr>
              <w:t>拟</w:t>
            </w:r>
            <w:r>
              <w:rPr>
                <w:bCs/>
                <w:color w:val="auto"/>
                <w:spacing w:val="-10"/>
                <w:sz w:val="24"/>
              </w:rPr>
              <w:t>安装水喷淋装置进行降尘，可做到基本无扬尘产生。</w:t>
            </w:r>
          </w:p>
          <w:p>
            <w:pPr>
              <w:adjustRightInd w:val="0"/>
              <w:snapToGrid w:val="0"/>
              <w:spacing w:line="360" w:lineRule="auto"/>
              <w:ind w:firstLine="442" w:firstLineChars="200"/>
              <w:rPr>
                <w:b/>
                <w:color w:val="auto"/>
                <w:spacing w:val="-10"/>
                <w:sz w:val="24"/>
              </w:rPr>
            </w:pPr>
            <w:r>
              <w:rPr>
                <w:b/>
                <w:color w:val="auto"/>
                <w:spacing w:val="-10"/>
                <w:sz w:val="24"/>
              </w:rPr>
              <w:t>（4）骨料输送、计量、</w:t>
            </w:r>
            <w:r>
              <w:rPr>
                <w:rFonts w:hint="eastAsia"/>
                <w:b/>
                <w:color w:val="auto"/>
                <w:spacing w:val="-10"/>
                <w:sz w:val="24"/>
              </w:rPr>
              <w:t>筛选、</w:t>
            </w:r>
            <w:r>
              <w:rPr>
                <w:b/>
                <w:color w:val="auto"/>
                <w:spacing w:val="-10"/>
                <w:sz w:val="24"/>
              </w:rPr>
              <w:t>投料粉尘和筒仓粉料输送储存粉尘</w:t>
            </w:r>
          </w:p>
          <w:p>
            <w:pPr>
              <w:adjustRightInd w:val="0"/>
              <w:snapToGrid w:val="0"/>
              <w:spacing w:line="360" w:lineRule="auto"/>
              <w:ind w:firstLine="440" w:firstLineChars="200"/>
              <w:rPr>
                <w:bCs/>
                <w:color w:val="auto"/>
                <w:spacing w:val="-10"/>
                <w:sz w:val="24"/>
              </w:rPr>
            </w:pPr>
            <w:r>
              <w:rPr>
                <w:bCs/>
                <w:color w:val="auto"/>
                <w:spacing w:val="-10"/>
                <w:sz w:val="24"/>
              </w:rPr>
              <w:t>①产生情况</w:t>
            </w:r>
          </w:p>
          <w:p>
            <w:pPr>
              <w:adjustRightInd w:val="0"/>
              <w:snapToGrid w:val="0"/>
              <w:spacing w:line="360" w:lineRule="auto"/>
              <w:ind w:firstLine="440" w:firstLineChars="200"/>
              <w:rPr>
                <w:bCs/>
                <w:color w:val="auto"/>
                <w:spacing w:val="-10"/>
                <w:sz w:val="24"/>
              </w:rPr>
            </w:pPr>
            <w:r>
              <w:rPr>
                <w:bCs/>
                <w:color w:val="auto"/>
                <w:spacing w:val="-10"/>
                <w:sz w:val="24"/>
              </w:rPr>
              <w:t>本项目骨料输送、计量、筛选、投料及筒仓粉料输送储存过程中会产生粉尘，根据《排放源统计调查产排污核算方法和系数手册》中“3021 水泥制品制造（含3022砼结构构件制造、3029其他水泥类似制品）行业系数手册”，物料输送-各种混凝土制品-水泥、砂子、石子等-物料输送储存的污染物产污系数如下：</w:t>
            </w:r>
          </w:p>
          <w:p>
            <w:pPr>
              <w:adjustRightInd w:val="0"/>
              <w:snapToGrid w:val="0"/>
              <w:jc w:val="center"/>
              <w:rPr>
                <w:b/>
                <w:color w:val="auto"/>
                <w:spacing w:val="-10"/>
                <w:sz w:val="24"/>
              </w:rPr>
            </w:pPr>
            <w:r>
              <w:rPr>
                <w:b/>
                <w:color w:val="auto"/>
                <w:spacing w:val="-10"/>
                <w:sz w:val="24"/>
              </w:rPr>
              <w:t>表4-2 水泥制品制造行业系数表（续1）</w:t>
            </w:r>
          </w:p>
          <w:tbl>
            <w:tblPr>
              <w:tblStyle w:val="8"/>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722"/>
              <w:gridCol w:w="874"/>
              <w:gridCol w:w="689"/>
              <w:gridCol w:w="855"/>
              <w:gridCol w:w="1380"/>
              <w:gridCol w:w="1127"/>
              <w:gridCol w:w="134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28" w:type="pct"/>
                  <w:noWrap w:val="0"/>
                  <w:vAlign w:val="center"/>
                </w:tcPr>
                <w:p>
                  <w:pPr>
                    <w:topLinePunct/>
                    <w:adjustRightInd w:val="0"/>
                    <w:snapToGrid w:val="0"/>
                    <w:jc w:val="center"/>
                    <w:textAlignment w:val="center"/>
                    <w:rPr>
                      <w:b/>
                      <w:bCs/>
                      <w:color w:val="auto"/>
                      <w:kern w:val="0"/>
                      <w:szCs w:val="21"/>
                    </w:rPr>
                  </w:pPr>
                  <w:r>
                    <w:rPr>
                      <w:b/>
                      <w:bCs/>
                      <w:color w:val="auto"/>
                      <w:kern w:val="0"/>
                      <w:szCs w:val="21"/>
                    </w:rPr>
                    <w:t>核算环节</w:t>
                  </w:r>
                </w:p>
              </w:tc>
              <w:tc>
                <w:tcPr>
                  <w:tcW w:w="391" w:type="pct"/>
                  <w:noWrap w:val="0"/>
                  <w:vAlign w:val="center"/>
                </w:tcPr>
                <w:p>
                  <w:pPr>
                    <w:topLinePunct/>
                    <w:adjustRightInd w:val="0"/>
                    <w:snapToGrid w:val="0"/>
                    <w:jc w:val="center"/>
                    <w:textAlignment w:val="center"/>
                    <w:rPr>
                      <w:b/>
                      <w:bCs/>
                      <w:color w:val="auto"/>
                      <w:kern w:val="0"/>
                      <w:szCs w:val="21"/>
                    </w:rPr>
                  </w:pPr>
                  <w:r>
                    <w:rPr>
                      <w:b/>
                      <w:bCs/>
                      <w:color w:val="auto"/>
                      <w:kern w:val="0"/>
                      <w:szCs w:val="21"/>
                    </w:rPr>
                    <w:t>产品名称</w:t>
                  </w:r>
                </w:p>
              </w:tc>
              <w:tc>
                <w:tcPr>
                  <w:tcW w:w="473" w:type="pct"/>
                  <w:noWrap w:val="0"/>
                  <w:vAlign w:val="center"/>
                </w:tcPr>
                <w:p>
                  <w:pPr>
                    <w:topLinePunct/>
                    <w:adjustRightInd w:val="0"/>
                    <w:snapToGrid w:val="0"/>
                    <w:jc w:val="center"/>
                    <w:textAlignment w:val="center"/>
                    <w:rPr>
                      <w:b/>
                      <w:bCs/>
                      <w:color w:val="auto"/>
                      <w:kern w:val="0"/>
                      <w:szCs w:val="21"/>
                    </w:rPr>
                  </w:pPr>
                  <w:r>
                    <w:rPr>
                      <w:b/>
                      <w:bCs/>
                      <w:color w:val="auto"/>
                      <w:kern w:val="0"/>
                      <w:szCs w:val="21"/>
                    </w:rPr>
                    <w:t>原料</w:t>
                  </w:r>
                </w:p>
                <w:p>
                  <w:pPr>
                    <w:topLinePunct/>
                    <w:adjustRightInd w:val="0"/>
                    <w:snapToGrid w:val="0"/>
                    <w:jc w:val="center"/>
                    <w:textAlignment w:val="center"/>
                    <w:rPr>
                      <w:b/>
                      <w:bCs/>
                      <w:color w:val="auto"/>
                      <w:kern w:val="0"/>
                      <w:szCs w:val="21"/>
                    </w:rPr>
                  </w:pPr>
                  <w:r>
                    <w:rPr>
                      <w:b/>
                      <w:bCs/>
                      <w:color w:val="auto"/>
                      <w:kern w:val="0"/>
                      <w:szCs w:val="21"/>
                    </w:rPr>
                    <w:t>名称</w:t>
                  </w:r>
                </w:p>
              </w:tc>
              <w:tc>
                <w:tcPr>
                  <w:tcW w:w="373" w:type="pct"/>
                  <w:noWrap w:val="0"/>
                  <w:vAlign w:val="center"/>
                </w:tcPr>
                <w:p>
                  <w:pPr>
                    <w:topLinePunct/>
                    <w:adjustRightInd w:val="0"/>
                    <w:snapToGrid w:val="0"/>
                    <w:jc w:val="center"/>
                    <w:textAlignment w:val="center"/>
                    <w:rPr>
                      <w:b/>
                      <w:bCs/>
                      <w:color w:val="auto"/>
                      <w:kern w:val="0"/>
                      <w:szCs w:val="21"/>
                    </w:rPr>
                  </w:pPr>
                  <w:r>
                    <w:rPr>
                      <w:b/>
                      <w:bCs/>
                      <w:color w:val="auto"/>
                      <w:kern w:val="0"/>
                      <w:szCs w:val="21"/>
                    </w:rPr>
                    <w:t>工艺名称</w:t>
                  </w:r>
                </w:p>
              </w:tc>
              <w:tc>
                <w:tcPr>
                  <w:tcW w:w="463" w:type="pct"/>
                  <w:noWrap w:val="0"/>
                  <w:vAlign w:val="center"/>
                </w:tcPr>
                <w:p>
                  <w:pPr>
                    <w:topLinePunct/>
                    <w:adjustRightInd w:val="0"/>
                    <w:snapToGrid w:val="0"/>
                    <w:jc w:val="center"/>
                    <w:textAlignment w:val="center"/>
                    <w:rPr>
                      <w:b/>
                      <w:bCs/>
                      <w:color w:val="auto"/>
                      <w:kern w:val="0"/>
                      <w:szCs w:val="21"/>
                    </w:rPr>
                  </w:pPr>
                  <w:r>
                    <w:rPr>
                      <w:b/>
                      <w:bCs/>
                      <w:color w:val="auto"/>
                      <w:kern w:val="0"/>
                      <w:szCs w:val="21"/>
                    </w:rPr>
                    <w:t>污染物指标</w:t>
                  </w:r>
                </w:p>
              </w:tc>
              <w:tc>
                <w:tcPr>
                  <w:tcW w:w="746" w:type="pct"/>
                  <w:noWrap w:val="0"/>
                  <w:vAlign w:val="center"/>
                </w:tcPr>
                <w:p>
                  <w:pPr>
                    <w:topLinePunct/>
                    <w:adjustRightInd w:val="0"/>
                    <w:snapToGrid w:val="0"/>
                    <w:jc w:val="center"/>
                    <w:textAlignment w:val="center"/>
                    <w:rPr>
                      <w:b/>
                      <w:bCs/>
                      <w:color w:val="auto"/>
                      <w:kern w:val="0"/>
                      <w:szCs w:val="21"/>
                    </w:rPr>
                  </w:pPr>
                  <w:r>
                    <w:rPr>
                      <w:b/>
                      <w:bCs/>
                      <w:color w:val="auto"/>
                      <w:kern w:val="0"/>
                      <w:szCs w:val="21"/>
                    </w:rPr>
                    <w:t>单位</w:t>
                  </w:r>
                </w:p>
              </w:tc>
              <w:tc>
                <w:tcPr>
                  <w:tcW w:w="609" w:type="pct"/>
                  <w:noWrap w:val="0"/>
                  <w:vAlign w:val="center"/>
                </w:tcPr>
                <w:p>
                  <w:pPr>
                    <w:topLinePunct/>
                    <w:adjustRightInd w:val="0"/>
                    <w:snapToGrid w:val="0"/>
                    <w:jc w:val="center"/>
                    <w:textAlignment w:val="center"/>
                    <w:rPr>
                      <w:b/>
                      <w:bCs/>
                      <w:color w:val="auto"/>
                      <w:kern w:val="0"/>
                      <w:szCs w:val="21"/>
                    </w:rPr>
                  </w:pPr>
                  <w:r>
                    <w:rPr>
                      <w:b/>
                      <w:bCs/>
                      <w:color w:val="auto"/>
                      <w:kern w:val="0"/>
                      <w:szCs w:val="21"/>
                    </w:rPr>
                    <w:t>产污系数</w:t>
                  </w:r>
                </w:p>
              </w:tc>
              <w:tc>
                <w:tcPr>
                  <w:tcW w:w="728" w:type="pct"/>
                  <w:noWrap w:val="0"/>
                  <w:vAlign w:val="center"/>
                </w:tcPr>
                <w:p>
                  <w:pPr>
                    <w:topLinePunct/>
                    <w:adjustRightInd w:val="0"/>
                    <w:snapToGrid w:val="0"/>
                    <w:jc w:val="center"/>
                    <w:textAlignment w:val="center"/>
                    <w:rPr>
                      <w:b/>
                      <w:bCs/>
                      <w:color w:val="auto"/>
                      <w:kern w:val="0"/>
                      <w:szCs w:val="21"/>
                    </w:rPr>
                  </w:pPr>
                  <w:r>
                    <w:rPr>
                      <w:b/>
                      <w:bCs/>
                      <w:color w:val="auto"/>
                      <w:kern w:val="0"/>
                      <w:szCs w:val="21"/>
                    </w:rPr>
                    <w:t>末端治理</w:t>
                  </w:r>
                </w:p>
                <w:p>
                  <w:pPr>
                    <w:topLinePunct/>
                    <w:adjustRightInd w:val="0"/>
                    <w:snapToGrid w:val="0"/>
                    <w:jc w:val="center"/>
                    <w:textAlignment w:val="center"/>
                    <w:rPr>
                      <w:b/>
                      <w:bCs/>
                      <w:color w:val="auto"/>
                      <w:kern w:val="0"/>
                      <w:szCs w:val="21"/>
                    </w:rPr>
                  </w:pPr>
                  <w:r>
                    <w:rPr>
                      <w:b/>
                      <w:bCs/>
                      <w:color w:val="auto"/>
                      <w:kern w:val="0"/>
                      <w:szCs w:val="21"/>
                    </w:rPr>
                    <w:t>技术名称</w:t>
                  </w:r>
                </w:p>
              </w:tc>
              <w:tc>
                <w:tcPr>
                  <w:tcW w:w="584" w:type="pct"/>
                  <w:noWrap w:val="0"/>
                  <w:vAlign w:val="center"/>
                </w:tcPr>
                <w:p>
                  <w:pPr>
                    <w:topLinePunct/>
                    <w:adjustRightInd w:val="0"/>
                    <w:snapToGrid w:val="0"/>
                    <w:jc w:val="center"/>
                    <w:textAlignment w:val="center"/>
                    <w:rPr>
                      <w:b/>
                      <w:bCs/>
                      <w:color w:val="auto"/>
                      <w:kern w:val="0"/>
                      <w:szCs w:val="21"/>
                    </w:rPr>
                  </w:pPr>
                  <w:r>
                    <w:rPr>
                      <w:b/>
                      <w:bCs/>
                      <w:color w:val="auto"/>
                      <w:kern w:val="0"/>
                      <w:szCs w:val="21"/>
                    </w:rPr>
                    <w:t>末端治理技术效率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28" w:type="pct"/>
                  <w:vMerge w:val="restart"/>
                  <w:noWrap w:val="0"/>
                  <w:vAlign w:val="center"/>
                </w:tcPr>
                <w:p>
                  <w:pPr>
                    <w:topLinePunct/>
                    <w:adjustRightInd w:val="0"/>
                    <w:snapToGrid w:val="0"/>
                    <w:jc w:val="center"/>
                    <w:textAlignment w:val="center"/>
                    <w:rPr>
                      <w:color w:val="auto"/>
                      <w:kern w:val="0"/>
                      <w:szCs w:val="21"/>
                    </w:rPr>
                  </w:pPr>
                  <w:r>
                    <w:rPr>
                      <w:color w:val="auto"/>
                      <w:kern w:val="0"/>
                      <w:szCs w:val="21"/>
                    </w:rPr>
                    <w:t>物料输送</w:t>
                  </w:r>
                </w:p>
              </w:tc>
              <w:tc>
                <w:tcPr>
                  <w:tcW w:w="391" w:type="pct"/>
                  <w:vMerge w:val="restart"/>
                  <w:noWrap w:val="0"/>
                  <w:vAlign w:val="center"/>
                </w:tcPr>
                <w:p>
                  <w:pPr>
                    <w:topLinePunct/>
                    <w:adjustRightInd w:val="0"/>
                    <w:snapToGrid w:val="0"/>
                    <w:jc w:val="center"/>
                    <w:textAlignment w:val="center"/>
                    <w:rPr>
                      <w:color w:val="auto"/>
                      <w:kern w:val="0"/>
                      <w:szCs w:val="21"/>
                    </w:rPr>
                  </w:pPr>
                  <w:r>
                    <w:rPr>
                      <w:color w:val="auto"/>
                      <w:kern w:val="0"/>
                      <w:szCs w:val="21"/>
                    </w:rPr>
                    <w:t>混凝土制品</w:t>
                  </w:r>
                </w:p>
              </w:tc>
              <w:tc>
                <w:tcPr>
                  <w:tcW w:w="473" w:type="pct"/>
                  <w:vMerge w:val="restart"/>
                  <w:noWrap w:val="0"/>
                  <w:vAlign w:val="center"/>
                </w:tcPr>
                <w:p>
                  <w:pPr>
                    <w:topLinePunct/>
                    <w:adjustRightInd w:val="0"/>
                    <w:snapToGrid w:val="0"/>
                    <w:jc w:val="center"/>
                    <w:textAlignment w:val="center"/>
                    <w:rPr>
                      <w:color w:val="auto"/>
                      <w:kern w:val="0"/>
                      <w:szCs w:val="21"/>
                    </w:rPr>
                  </w:pPr>
                  <w:r>
                    <w:rPr>
                      <w:color w:val="auto"/>
                      <w:kern w:val="0"/>
                      <w:szCs w:val="21"/>
                    </w:rPr>
                    <w:t>水泥、砂子、石子等</w:t>
                  </w:r>
                </w:p>
              </w:tc>
              <w:tc>
                <w:tcPr>
                  <w:tcW w:w="373" w:type="pct"/>
                  <w:vMerge w:val="restart"/>
                  <w:noWrap w:val="0"/>
                  <w:vAlign w:val="center"/>
                </w:tcPr>
                <w:p>
                  <w:pPr>
                    <w:topLinePunct/>
                    <w:adjustRightInd w:val="0"/>
                    <w:snapToGrid w:val="0"/>
                    <w:jc w:val="center"/>
                    <w:textAlignment w:val="center"/>
                    <w:rPr>
                      <w:color w:val="auto"/>
                      <w:kern w:val="0"/>
                      <w:szCs w:val="21"/>
                    </w:rPr>
                  </w:pPr>
                  <w:r>
                    <w:rPr>
                      <w:color w:val="auto"/>
                      <w:kern w:val="0"/>
                      <w:szCs w:val="21"/>
                    </w:rPr>
                    <w:t>物料输送储存</w:t>
                  </w:r>
                </w:p>
              </w:tc>
              <w:tc>
                <w:tcPr>
                  <w:tcW w:w="463" w:type="pct"/>
                  <w:vMerge w:val="restart"/>
                  <w:noWrap w:val="0"/>
                  <w:vAlign w:val="center"/>
                </w:tcPr>
                <w:p>
                  <w:pPr>
                    <w:topLinePunct/>
                    <w:adjustRightInd w:val="0"/>
                    <w:snapToGrid w:val="0"/>
                    <w:jc w:val="center"/>
                    <w:textAlignment w:val="center"/>
                    <w:rPr>
                      <w:color w:val="auto"/>
                      <w:kern w:val="0"/>
                      <w:szCs w:val="21"/>
                    </w:rPr>
                  </w:pPr>
                  <w:r>
                    <w:rPr>
                      <w:color w:val="auto"/>
                      <w:kern w:val="0"/>
                      <w:szCs w:val="21"/>
                    </w:rPr>
                    <w:t>颗粒物</w:t>
                  </w:r>
                </w:p>
              </w:tc>
              <w:tc>
                <w:tcPr>
                  <w:tcW w:w="746" w:type="pct"/>
                  <w:vMerge w:val="restart"/>
                  <w:noWrap w:val="0"/>
                  <w:vAlign w:val="center"/>
                </w:tcPr>
                <w:p>
                  <w:pPr>
                    <w:topLinePunct/>
                    <w:adjustRightInd w:val="0"/>
                    <w:snapToGrid w:val="0"/>
                    <w:jc w:val="center"/>
                    <w:textAlignment w:val="center"/>
                    <w:rPr>
                      <w:color w:val="auto"/>
                      <w:kern w:val="0"/>
                      <w:szCs w:val="21"/>
                    </w:rPr>
                  </w:pPr>
                  <w:r>
                    <w:rPr>
                      <w:color w:val="auto"/>
                      <w:kern w:val="0"/>
                      <w:szCs w:val="21"/>
                    </w:rPr>
                    <w:t>kg/t-产品</w:t>
                  </w:r>
                </w:p>
              </w:tc>
              <w:tc>
                <w:tcPr>
                  <w:tcW w:w="609" w:type="pct"/>
                  <w:vMerge w:val="restart"/>
                  <w:noWrap w:val="0"/>
                  <w:vAlign w:val="center"/>
                </w:tcPr>
                <w:p>
                  <w:pPr>
                    <w:topLinePunct/>
                    <w:adjustRightInd w:val="0"/>
                    <w:snapToGrid w:val="0"/>
                    <w:jc w:val="center"/>
                    <w:textAlignment w:val="center"/>
                    <w:rPr>
                      <w:color w:val="auto"/>
                      <w:kern w:val="0"/>
                      <w:szCs w:val="21"/>
                    </w:rPr>
                  </w:pPr>
                  <w:r>
                    <w:rPr>
                      <w:color w:val="auto"/>
                      <w:kern w:val="0"/>
                      <w:szCs w:val="21"/>
                    </w:rPr>
                    <w:t>0.12</w:t>
                  </w:r>
                </w:p>
              </w:tc>
              <w:tc>
                <w:tcPr>
                  <w:tcW w:w="728" w:type="pct"/>
                  <w:noWrap w:val="0"/>
                  <w:vAlign w:val="center"/>
                </w:tcPr>
                <w:p>
                  <w:pPr>
                    <w:topLinePunct/>
                    <w:adjustRightInd w:val="0"/>
                    <w:snapToGrid w:val="0"/>
                    <w:jc w:val="center"/>
                    <w:textAlignment w:val="center"/>
                    <w:rPr>
                      <w:color w:val="auto"/>
                      <w:kern w:val="0"/>
                      <w:szCs w:val="21"/>
                    </w:rPr>
                  </w:pPr>
                  <w:r>
                    <w:rPr>
                      <w:color w:val="auto"/>
                      <w:kern w:val="0"/>
                      <w:szCs w:val="21"/>
                    </w:rPr>
                    <w:t>袋式除尘器</w:t>
                  </w:r>
                </w:p>
              </w:tc>
              <w:tc>
                <w:tcPr>
                  <w:tcW w:w="584" w:type="pct"/>
                  <w:noWrap w:val="0"/>
                  <w:vAlign w:val="center"/>
                </w:tcPr>
                <w:p>
                  <w:pPr>
                    <w:topLinePunct/>
                    <w:adjustRightInd w:val="0"/>
                    <w:snapToGrid w:val="0"/>
                    <w:jc w:val="center"/>
                    <w:textAlignment w:val="center"/>
                    <w:rPr>
                      <w:color w:val="auto"/>
                      <w:kern w:val="0"/>
                      <w:szCs w:val="21"/>
                    </w:rPr>
                  </w:pPr>
                  <w:r>
                    <w:rPr>
                      <w:color w:val="auto"/>
                      <w:kern w:val="0"/>
                      <w:szCs w:val="21"/>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28" w:type="pct"/>
                  <w:vMerge w:val="continue"/>
                  <w:noWrap w:val="0"/>
                  <w:vAlign w:val="center"/>
                </w:tcPr>
                <w:p>
                  <w:pPr>
                    <w:topLinePunct/>
                    <w:adjustRightInd w:val="0"/>
                    <w:snapToGrid w:val="0"/>
                    <w:jc w:val="center"/>
                    <w:textAlignment w:val="center"/>
                    <w:rPr>
                      <w:color w:val="auto"/>
                      <w:kern w:val="0"/>
                      <w:szCs w:val="21"/>
                    </w:rPr>
                  </w:pPr>
                </w:p>
              </w:tc>
              <w:tc>
                <w:tcPr>
                  <w:tcW w:w="391" w:type="pct"/>
                  <w:vMerge w:val="continue"/>
                  <w:noWrap w:val="0"/>
                  <w:vAlign w:val="center"/>
                </w:tcPr>
                <w:p>
                  <w:pPr>
                    <w:topLinePunct/>
                    <w:adjustRightInd w:val="0"/>
                    <w:snapToGrid w:val="0"/>
                    <w:jc w:val="center"/>
                    <w:textAlignment w:val="center"/>
                    <w:rPr>
                      <w:color w:val="auto"/>
                      <w:kern w:val="0"/>
                      <w:szCs w:val="21"/>
                    </w:rPr>
                  </w:pPr>
                </w:p>
              </w:tc>
              <w:tc>
                <w:tcPr>
                  <w:tcW w:w="473" w:type="pct"/>
                  <w:vMerge w:val="continue"/>
                  <w:noWrap w:val="0"/>
                  <w:vAlign w:val="center"/>
                </w:tcPr>
                <w:p>
                  <w:pPr>
                    <w:topLinePunct/>
                    <w:adjustRightInd w:val="0"/>
                    <w:snapToGrid w:val="0"/>
                    <w:jc w:val="center"/>
                    <w:textAlignment w:val="center"/>
                    <w:rPr>
                      <w:color w:val="auto"/>
                      <w:kern w:val="0"/>
                      <w:szCs w:val="21"/>
                    </w:rPr>
                  </w:pPr>
                </w:p>
              </w:tc>
              <w:tc>
                <w:tcPr>
                  <w:tcW w:w="373" w:type="pct"/>
                  <w:vMerge w:val="continue"/>
                  <w:noWrap w:val="0"/>
                  <w:vAlign w:val="center"/>
                </w:tcPr>
                <w:p>
                  <w:pPr>
                    <w:topLinePunct/>
                    <w:adjustRightInd w:val="0"/>
                    <w:snapToGrid w:val="0"/>
                    <w:jc w:val="center"/>
                    <w:textAlignment w:val="center"/>
                    <w:rPr>
                      <w:color w:val="auto"/>
                      <w:kern w:val="0"/>
                      <w:szCs w:val="21"/>
                    </w:rPr>
                  </w:pPr>
                </w:p>
              </w:tc>
              <w:tc>
                <w:tcPr>
                  <w:tcW w:w="463" w:type="pct"/>
                  <w:vMerge w:val="continue"/>
                  <w:noWrap w:val="0"/>
                  <w:vAlign w:val="center"/>
                </w:tcPr>
                <w:p>
                  <w:pPr>
                    <w:topLinePunct/>
                    <w:adjustRightInd w:val="0"/>
                    <w:snapToGrid w:val="0"/>
                    <w:jc w:val="center"/>
                    <w:textAlignment w:val="center"/>
                    <w:rPr>
                      <w:color w:val="auto"/>
                      <w:kern w:val="0"/>
                      <w:szCs w:val="21"/>
                    </w:rPr>
                  </w:pPr>
                </w:p>
              </w:tc>
              <w:tc>
                <w:tcPr>
                  <w:tcW w:w="746" w:type="pct"/>
                  <w:vMerge w:val="continue"/>
                  <w:noWrap w:val="0"/>
                  <w:vAlign w:val="center"/>
                </w:tcPr>
                <w:p>
                  <w:pPr>
                    <w:topLinePunct/>
                    <w:adjustRightInd w:val="0"/>
                    <w:snapToGrid w:val="0"/>
                    <w:jc w:val="center"/>
                    <w:textAlignment w:val="center"/>
                    <w:rPr>
                      <w:color w:val="auto"/>
                      <w:kern w:val="0"/>
                      <w:szCs w:val="21"/>
                    </w:rPr>
                  </w:pPr>
                </w:p>
              </w:tc>
              <w:tc>
                <w:tcPr>
                  <w:tcW w:w="609" w:type="pct"/>
                  <w:vMerge w:val="continue"/>
                  <w:noWrap w:val="0"/>
                  <w:vAlign w:val="center"/>
                </w:tcPr>
                <w:p>
                  <w:pPr>
                    <w:topLinePunct/>
                    <w:adjustRightInd w:val="0"/>
                    <w:snapToGrid w:val="0"/>
                    <w:jc w:val="center"/>
                    <w:textAlignment w:val="center"/>
                    <w:rPr>
                      <w:color w:val="auto"/>
                      <w:kern w:val="0"/>
                      <w:szCs w:val="21"/>
                    </w:rPr>
                  </w:pPr>
                </w:p>
              </w:tc>
              <w:tc>
                <w:tcPr>
                  <w:tcW w:w="728" w:type="pct"/>
                  <w:noWrap w:val="0"/>
                  <w:vAlign w:val="center"/>
                </w:tcPr>
                <w:p>
                  <w:pPr>
                    <w:topLinePunct/>
                    <w:adjustRightInd w:val="0"/>
                    <w:snapToGrid w:val="0"/>
                    <w:jc w:val="center"/>
                    <w:textAlignment w:val="center"/>
                    <w:rPr>
                      <w:color w:val="auto"/>
                      <w:kern w:val="0"/>
                      <w:szCs w:val="21"/>
                    </w:rPr>
                  </w:pPr>
                  <w:r>
                    <w:rPr>
                      <w:color w:val="auto"/>
                      <w:kern w:val="0"/>
                      <w:szCs w:val="21"/>
                    </w:rPr>
                    <w:t>直排</w:t>
                  </w:r>
                </w:p>
              </w:tc>
              <w:tc>
                <w:tcPr>
                  <w:tcW w:w="584" w:type="pct"/>
                  <w:noWrap w:val="0"/>
                  <w:vAlign w:val="center"/>
                </w:tcPr>
                <w:p>
                  <w:pPr>
                    <w:topLinePunct/>
                    <w:adjustRightInd w:val="0"/>
                    <w:snapToGrid w:val="0"/>
                    <w:jc w:val="center"/>
                    <w:textAlignment w:val="center"/>
                    <w:rPr>
                      <w:color w:val="auto"/>
                      <w:kern w:val="0"/>
                      <w:szCs w:val="21"/>
                    </w:rPr>
                  </w:pPr>
                  <w:r>
                    <w:rPr>
                      <w:color w:val="auto"/>
                      <w:kern w:val="0"/>
                      <w:szCs w:val="21"/>
                    </w:rPr>
                    <w:t>/</w:t>
                  </w:r>
                </w:p>
              </w:tc>
            </w:tr>
          </w:tbl>
          <w:p>
            <w:pPr>
              <w:adjustRightInd w:val="0"/>
              <w:snapToGrid w:val="0"/>
              <w:jc w:val="center"/>
              <w:rPr>
                <w:b/>
                <w:color w:val="auto"/>
                <w:spacing w:val="-10"/>
                <w:sz w:val="24"/>
              </w:rPr>
            </w:pPr>
          </w:p>
          <w:p>
            <w:pPr>
              <w:adjustRightInd w:val="0"/>
              <w:snapToGrid w:val="0"/>
              <w:spacing w:line="360" w:lineRule="auto"/>
              <w:ind w:firstLine="440" w:firstLineChars="200"/>
              <w:rPr>
                <w:bCs/>
                <w:color w:val="auto"/>
                <w:spacing w:val="-10"/>
                <w:sz w:val="24"/>
              </w:rPr>
            </w:pPr>
            <w:r>
              <w:rPr>
                <w:bCs/>
                <w:color w:val="auto"/>
                <w:spacing w:val="-10"/>
                <w:sz w:val="24"/>
              </w:rPr>
              <w:t>本项目年生产</w:t>
            </w:r>
            <w:r>
              <w:rPr>
                <w:rFonts w:hint="eastAsia"/>
                <w:bCs/>
                <w:color w:val="auto"/>
                <w:spacing w:val="-10"/>
                <w:sz w:val="24"/>
              </w:rPr>
              <w:t>1</w:t>
            </w:r>
            <w:r>
              <w:rPr>
                <w:bCs/>
                <w:color w:val="auto"/>
                <w:spacing w:val="-10"/>
                <w:sz w:val="24"/>
              </w:rPr>
              <w:t>0万</w:t>
            </w:r>
            <w:r>
              <w:rPr>
                <w:rFonts w:hint="eastAsia"/>
                <w:bCs/>
                <w:color w:val="auto"/>
                <w:spacing w:val="-10"/>
                <w:sz w:val="24"/>
              </w:rPr>
              <w:t>吨沥青</w:t>
            </w:r>
            <w:r>
              <w:rPr>
                <w:bCs/>
                <w:color w:val="auto"/>
                <w:spacing w:val="-10"/>
                <w:sz w:val="24"/>
              </w:rPr>
              <w:t>混凝土，根据建设单位提供的资料，所需的骨料及筒仓粉料总重量为</w:t>
            </w:r>
            <w:r>
              <w:rPr>
                <w:rFonts w:hint="eastAsia"/>
                <w:bCs/>
                <w:color w:val="auto"/>
                <w:spacing w:val="-10"/>
                <w:sz w:val="24"/>
              </w:rPr>
              <w:t>7.4万</w:t>
            </w:r>
            <w:r>
              <w:rPr>
                <w:bCs/>
                <w:color w:val="auto"/>
                <w:spacing w:val="-10"/>
                <w:sz w:val="24"/>
              </w:rPr>
              <w:t>t/a，则骨料输送、计量、筛选、投料粉尘和筒仓粉料输送储存粉尘产生总量为</w:t>
            </w:r>
            <w:r>
              <w:rPr>
                <w:rFonts w:hint="eastAsia"/>
                <w:bCs/>
                <w:color w:val="auto"/>
                <w:spacing w:val="-10"/>
                <w:sz w:val="24"/>
              </w:rPr>
              <w:t>8.8</w:t>
            </w:r>
            <w:r>
              <w:rPr>
                <w:bCs/>
                <w:color w:val="auto"/>
                <w:spacing w:val="-10"/>
                <w:sz w:val="24"/>
              </w:rPr>
              <w:t>t/a。</w:t>
            </w:r>
          </w:p>
          <w:p>
            <w:pPr>
              <w:adjustRightInd w:val="0"/>
              <w:snapToGrid w:val="0"/>
              <w:spacing w:line="360" w:lineRule="auto"/>
              <w:ind w:firstLine="440" w:firstLineChars="200"/>
              <w:rPr>
                <w:bCs/>
                <w:color w:val="auto"/>
                <w:spacing w:val="-10"/>
                <w:sz w:val="24"/>
              </w:rPr>
            </w:pPr>
            <w:r>
              <w:rPr>
                <w:bCs/>
                <w:color w:val="auto"/>
                <w:spacing w:val="-10"/>
                <w:sz w:val="24"/>
              </w:rPr>
              <w:t>骨料输送、计量、筛选、投料粉尘：参照《逸散性工业粉尘控制技术》中“表22-1 混凝土分批搅拌厂的逸散尘排放因子”，即转运砂和粒料至高架贮仓的粉尘排放因子为0.02kg/t（搬运料），本项目骨料（碎石）使用总量约为</w:t>
            </w:r>
            <w:r>
              <w:rPr>
                <w:rFonts w:hint="eastAsia"/>
                <w:bCs/>
                <w:color w:val="auto"/>
                <w:spacing w:val="-10"/>
                <w:sz w:val="24"/>
              </w:rPr>
              <w:t>7.1</w:t>
            </w:r>
            <w:r>
              <w:rPr>
                <w:bCs/>
                <w:color w:val="auto"/>
                <w:spacing w:val="-10"/>
                <w:sz w:val="24"/>
              </w:rPr>
              <w:t>万t/a，则骨料输送、计量投料粉尘产生量为1</w:t>
            </w:r>
            <w:r>
              <w:rPr>
                <w:rFonts w:hint="eastAsia"/>
                <w:bCs/>
                <w:color w:val="auto"/>
                <w:spacing w:val="-10"/>
                <w:sz w:val="24"/>
              </w:rPr>
              <w:t>.42</w:t>
            </w:r>
            <w:r>
              <w:rPr>
                <w:bCs/>
                <w:color w:val="auto"/>
                <w:spacing w:val="-10"/>
                <w:sz w:val="24"/>
              </w:rPr>
              <w:t>t/a。</w:t>
            </w:r>
          </w:p>
          <w:p>
            <w:pPr>
              <w:adjustRightInd w:val="0"/>
              <w:snapToGrid w:val="0"/>
              <w:spacing w:line="360" w:lineRule="auto"/>
              <w:ind w:firstLine="440" w:firstLineChars="200"/>
              <w:rPr>
                <w:bCs/>
                <w:color w:val="auto"/>
                <w:spacing w:val="-10"/>
                <w:sz w:val="24"/>
              </w:rPr>
            </w:pPr>
            <w:r>
              <w:rPr>
                <w:bCs/>
                <w:color w:val="auto"/>
                <w:spacing w:val="-10"/>
                <w:sz w:val="24"/>
              </w:rPr>
              <w:t>筒仓粉料输送储存粉尘：物料输送储存粉尘包括骨料输送、计量、投料粉尘和筒仓粉料输送储存粉尘，根据上文核算情况可知，骨料输送、计量、投料粉尘和筒仓粉料输送储存粉尘产生总量为</w:t>
            </w:r>
            <w:r>
              <w:rPr>
                <w:rFonts w:hint="eastAsia"/>
                <w:bCs/>
                <w:color w:val="auto"/>
                <w:spacing w:val="-10"/>
                <w:sz w:val="24"/>
              </w:rPr>
              <w:t>8</w:t>
            </w:r>
            <w:r>
              <w:rPr>
                <w:bCs/>
                <w:color w:val="auto"/>
                <w:spacing w:val="-10"/>
                <w:sz w:val="24"/>
              </w:rPr>
              <w:t>.8t/a，骨料输送、计量、投料粉尘产生量为1</w:t>
            </w:r>
            <w:r>
              <w:rPr>
                <w:rFonts w:hint="eastAsia"/>
                <w:bCs/>
                <w:color w:val="auto"/>
                <w:spacing w:val="-10"/>
                <w:sz w:val="24"/>
              </w:rPr>
              <w:t>.42</w:t>
            </w:r>
            <w:r>
              <w:rPr>
                <w:bCs/>
                <w:color w:val="auto"/>
                <w:spacing w:val="-10"/>
                <w:sz w:val="24"/>
              </w:rPr>
              <w:t>t/a，则筒仓粉料输送储存粉尘产生量为</w:t>
            </w:r>
            <w:r>
              <w:rPr>
                <w:rFonts w:hint="eastAsia"/>
                <w:bCs/>
                <w:color w:val="auto"/>
                <w:spacing w:val="-10"/>
                <w:sz w:val="24"/>
              </w:rPr>
              <w:t>7.38</w:t>
            </w:r>
            <w:r>
              <w:rPr>
                <w:bCs/>
                <w:color w:val="auto"/>
                <w:spacing w:val="-10"/>
                <w:sz w:val="24"/>
              </w:rPr>
              <w:t>t/a。</w:t>
            </w:r>
          </w:p>
          <w:p>
            <w:pPr>
              <w:adjustRightInd w:val="0"/>
              <w:snapToGrid w:val="0"/>
              <w:spacing w:line="360" w:lineRule="auto"/>
              <w:ind w:firstLine="440" w:firstLineChars="200"/>
              <w:rPr>
                <w:bCs/>
                <w:color w:val="auto"/>
                <w:spacing w:val="-10"/>
                <w:sz w:val="24"/>
              </w:rPr>
            </w:pPr>
            <w:r>
              <w:rPr>
                <w:bCs/>
                <w:color w:val="auto"/>
                <w:spacing w:val="-10"/>
                <w:sz w:val="24"/>
              </w:rPr>
              <w:t>②治理措施</w:t>
            </w:r>
          </w:p>
          <w:p>
            <w:pPr>
              <w:adjustRightInd w:val="0"/>
              <w:snapToGrid w:val="0"/>
              <w:spacing w:line="360" w:lineRule="auto"/>
              <w:ind w:firstLine="440" w:firstLineChars="200"/>
              <w:rPr>
                <w:bCs/>
                <w:color w:val="auto"/>
                <w:spacing w:val="-10"/>
                <w:sz w:val="24"/>
              </w:rPr>
            </w:pPr>
            <w:r>
              <w:rPr>
                <w:bCs/>
                <w:color w:val="auto"/>
                <w:spacing w:val="-10"/>
                <w:sz w:val="24"/>
              </w:rPr>
              <w:t>骨料输送、计量、筛选、投料粉尘治理措施：本项目骨料（碎石）在投入搅拌机前先采用水喷淋装置进行预湿处理，然后通过铲车运输至料斗，经计量器计量后通过密闭皮带输送到搅拌机内，整个作业过程都位于硬底化的生产区（包括堆场、搅拌楼）内。</w:t>
            </w:r>
          </w:p>
          <w:p>
            <w:pPr>
              <w:adjustRightInd w:val="0"/>
              <w:snapToGrid w:val="0"/>
              <w:spacing w:line="360" w:lineRule="auto"/>
              <w:ind w:firstLine="440" w:firstLineChars="200"/>
              <w:rPr>
                <w:bCs/>
                <w:color w:val="auto"/>
                <w:spacing w:val="-10"/>
                <w:sz w:val="24"/>
              </w:rPr>
            </w:pPr>
            <w:r>
              <w:rPr>
                <w:bCs/>
                <w:color w:val="auto"/>
                <w:spacing w:val="-10"/>
                <w:sz w:val="24"/>
              </w:rPr>
              <w:t>筒仓粉料输送储存粉尘治理措施：本项目粉料（</w:t>
            </w:r>
            <w:r>
              <w:rPr>
                <w:rFonts w:hint="eastAsia"/>
                <w:bCs/>
                <w:color w:val="auto"/>
                <w:spacing w:val="-10"/>
                <w:sz w:val="24"/>
              </w:rPr>
              <w:t>石粉</w:t>
            </w:r>
            <w:r>
              <w:rPr>
                <w:bCs/>
                <w:color w:val="auto"/>
                <w:spacing w:val="-10"/>
                <w:sz w:val="24"/>
              </w:rPr>
              <w:t>）由运输罐车自带的空气压缩机产生的压缩空气吹入筒仓，粉料投入搅拌机内是以螺旋输送机通过密闭管道完成的，即本项目粉料的输送、计量、投料等作业均在较为封闭的环境中进行，同时本项目粉料筒仓配有袋式除尘器与呼吸孔直连，即筒仓粉料输送储存粉尘经脉冲袋式除尘器处理后排放。</w:t>
            </w:r>
          </w:p>
          <w:p>
            <w:pPr>
              <w:adjustRightInd w:val="0"/>
              <w:snapToGrid w:val="0"/>
              <w:spacing w:line="360" w:lineRule="auto"/>
              <w:ind w:firstLine="440" w:firstLineChars="200"/>
              <w:rPr>
                <w:bCs/>
                <w:color w:val="auto"/>
                <w:spacing w:val="-10"/>
                <w:sz w:val="24"/>
              </w:rPr>
            </w:pPr>
            <w:r>
              <w:rPr>
                <w:bCs/>
                <w:color w:val="auto"/>
                <w:spacing w:val="-10"/>
                <w:sz w:val="24"/>
              </w:rPr>
              <w:t>参照《污染源源强核算技术指南 水泥工业》（HJ886-2018）、《排污许可证申请与核发技术规范 水泥工业》（HJ847-2017）中的“废气污染防治可行技术”，</w:t>
            </w:r>
            <w:r>
              <w:rPr>
                <w:rFonts w:hint="eastAsia"/>
                <w:bCs/>
                <w:color w:val="auto"/>
                <w:spacing w:val="-10"/>
                <w:sz w:val="24"/>
              </w:rPr>
              <w:t>喷淋预湿处理、</w:t>
            </w:r>
            <w:r>
              <w:rPr>
                <w:bCs/>
                <w:color w:val="auto"/>
                <w:spacing w:val="-10"/>
                <w:sz w:val="24"/>
              </w:rPr>
              <w:t>场地硬化、设袋式除尘器收集处理粉尘等，均属于颗粒物治理的可行性技术。</w:t>
            </w:r>
          </w:p>
          <w:p>
            <w:pPr>
              <w:adjustRightInd w:val="0"/>
              <w:snapToGrid w:val="0"/>
              <w:spacing w:line="360" w:lineRule="auto"/>
              <w:ind w:firstLine="440" w:firstLineChars="200"/>
              <w:rPr>
                <w:bCs/>
                <w:color w:val="auto"/>
                <w:spacing w:val="-10"/>
                <w:sz w:val="24"/>
              </w:rPr>
            </w:pPr>
            <w:r>
              <w:rPr>
                <w:bCs/>
                <w:color w:val="auto"/>
                <w:spacing w:val="-10"/>
                <w:sz w:val="24"/>
              </w:rPr>
              <w:t>③排放情况</w:t>
            </w:r>
          </w:p>
          <w:p>
            <w:pPr>
              <w:adjustRightInd w:val="0"/>
              <w:snapToGrid w:val="0"/>
              <w:spacing w:line="360" w:lineRule="auto"/>
              <w:ind w:firstLine="440" w:firstLineChars="200"/>
              <w:rPr>
                <w:bCs/>
                <w:color w:val="auto"/>
                <w:spacing w:val="-10"/>
                <w:sz w:val="24"/>
              </w:rPr>
            </w:pPr>
            <w:r>
              <w:rPr>
                <w:bCs/>
                <w:color w:val="auto"/>
                <w:spacing w:val="-10"/>
                <w:sz w:val="24"/>
              </w:rPr>
              <w:t>a.废气收集</w:t>
            </w:r>
          </w:p>
          <w:p>
            <w:pPr>
              <w:adjustRightInd w:val="0"/>
              <w:snapToGrid w:val="0"/>
              <w:spacing w:line="360" w:lineRule="auto"/>
              <w:ind w:firstLine="440" w:firstLineChars="200"/>
              <w:rPr>
                <w:bCs/>
                <w:color w:val="auto"/>
                <w:spacing w:val="-10"/>
                <w:sz w:val="24"/>
              </w:rPr>
            </w:pPr>
            <w:r>
              <w:rPr>
                <w:bCs/>
                <w:color w:val="auto"/>
                <w:spacing w:val="-10"/>
                <w:sz w:val="24"/>
              </w:rPr>
              <w:t>筒仓粉料输送储存粉尘收集：本项目筒仓粉料输送储存粉尘收集类型属于全密封设备/空间，收集方式属于设备废气排口直连，故集气效率按100%计，则本项目筒仓粉料输送储存粉尘收集量为</w:t>
            </w:r>
            <w:r>
              <w:rPr>
                <w:rFonts w:hint="eastAsia"/>
                <w:bCs/>
                <w:color w:val="auto"/>
                <w:spacing w:val="-10"/>
                <w:sz w:val="24"/>
              </w:rPr>
              <w:t>7.38</w:t>
            </w:r>
            <w:r>
              <w:rPr>
                <w:bCs/>
                <w:color w:val="auto"/>
                <w:spacing w:val="-10"/>
                <w:sz w:val="24"/>
              </w:rPr>
              <w:t>t/a。</w:t>
            </w:r>
          </w:p>
          <w:p>
            <w:pPr>
              <w:adjustRightInd w:val="0"/>
              <w:snapToGrid w:val="0"/>
              <w:spacing w:line="360" w:lineRule="auto"/>
              <w:ind w:firstLine="440" w:firstLineChars="200"/>
              <w:rPr>
                <w:bCs/>
                <w:color w:val="auto"/>
                <w:spacing w:val="-10"/>
                <w:sz w:val="24"/>
              </w:rPr>
            </w:pPr>
            <w:r>
              <w:rPr>
                <w:bCs/>
                <w:color w:val="auto"/>
                <w:spacing w:val="-10"/>
                <w:sz w:val="24"/>
              </w:rPr>
              <w:t>b.废气治理</w:t>
            </w:r>
          </w:p>
          <w:p>
            <w:pPr>
              <w:adjustRightInd w:val="0"/>
              <w:snapToGrid w:val="0"/>
              <w:spacing w:line="360" w:lineRule="auto"/>
              <w:ind w:firstLine="440" w:firstLineChars="200"/>
              <w:rPr>
                <w:bCs/>
                <w:color w:val="auto"/>
                <w:spacing w:val="-10"/>
                <w:sz w:val="24"/>
              </w:rPr>
            </w:pPr>
            <w:r>
              <w:rPr>
                <w:bCs/>
                <w:color w:val="auto"/>
                <w:spacing w:val="-10"/>
                <w:sz w:val="24"/>
              </w:rPr>
              <w:t>筒仓粉料输送储存粉尘废气治理：本项目收集到的筒仓粉料输送储存粉尘由袋式除尘器处理，根据《排放源统计调查产排污核算方法和系数手册》中“3021 水泥制品制造（含3022砼结构构件制造、3029其他水泥类似制品）行业系数手册”，袋式除尘器技术效率对颗粒物的治理效率按99.7%计。本项目粉料筒仓的脉冲袋式除尘器不设排气筒，故未治理的筒仓粉料输送储存粉尘与未收集的筒仓粉料输送储存粉尘以无组织的形式在生产区内排放。</w:t>
            </w:r>
          </w:p>
          <w:p>
            <w:pPr>
              <w:adjustRightInd w:val="0"/>
              <w:snapToGrid w:val="0"/>
              <w:spacing w:line="360" w:lineRule="auto"/>
              <w:ind w:firstLine="440" w:firstLineChars="200"/>
              <w:rPr>
                <w:bCs/>
                <w:color w:val="auto"/>
                <w:spacing w:val="-10"/>
                <w:sz w:val="24"/>
              </w:rPr>
            </w:pPr>
            <w:r>
              <w:rPr>
                <w:bCs/>
                <w:color w:val="auto"/>
                <w:spacing w:val="-10"/>
                <w:sz w:val="24"/>
              </w:rPr>
              <w:t>骨料输送、计量、筛选、投料粉尘治理：本项目生产区（包括骨料堆场、搅拌楼）整体地面硬化，同时企业对物料输送、计量、投料等作业均设置水喷淋装置进行降尘，参照《扬尘源颗粒物排放清单编制技术指南（试行）》（环境保护部，公告2014年第92号）中的“表6 铺装道路扬尘源控制措施的控制效率”，采取“洒水 2次/天”措施后，TSP控制效率为66%。</w:t>
            </w:r>
          </w:p>
          <w:p>
            <w:pPr>
              <w:adjustRightInd w:val="0"/>
              <w:snapToGrid w:val="0"/>
              <w:spacing w:line="360" w:lineRule="auto"/>
              <w:ind w:firstLine="440" w:firstLineChars="200"/>
              <w:rPr>
                <w:bCs/>
                <w:color w:val="auto"/>
                <w:spacing w:val="-10"/>
                <w:sz w:val="24"/>
              </w:rPr>
            </w:pPr>
            <w:r>
              <w:rPr>
                <w:bCs/>
                <w:color w:val="auto"/>
                <w:spacing w:val="-10"/>
                <w:sz w:val="24"/>
              </w:rPr>
              <w:t>c.废气排放</w:t>
            </w:r>
          </w:p>
          <w:p>
            <w:pPr>
              <w:adjustRightInd w:val="0"/>
              <w:snapToGrid w:val="0"/>
              <w:spacing w:line="360" w:lineRule="auto"/>
              <w:ind w:firstLine="440" w:firstLineChars="200"/>
              <w:rPr>
                <w:bCs/>
                <w:color w:val="auto"/>
                <w:spacing w:val="-10"/>
                <w:sz w:val="24"/>
              </w:rPr>
            </w:pPr>
            <w:r>
              <w:rPr>
                <w:bCs/>
                <w:color w:val="auto"/>
                <w:spacing w:val="-10"/>
                <w:sz w:val="24"/>
              </w:rPr>
              <w:t>综上所述，本项目骨料输送、计量、投料粉尘和料仓筒仓进料粉尘的排放情况如下表：</w:t>
            </w:r>
          </w:p>
          <w:p>
            <w:pPr>
              <w:adjustRightInd w:val="0"/>
              <w:snapToGrid w:val="0"/>
              <w:jc w:val="center"/>
              <w:rPr>
                <w:b/>
                <w:color w:val="auto"/>
                <w:spacing w:val="-10"/>
                <w:sz w:val="24"/>
              </w:rPr>
            </w:pPr>
            <w:r>
              <w:rPr>
                <w:b/>
                <w:color w:val="auto"/>
                <w:spacing w:val="-10"/>
                <w:sz w:val="24"/>
              </w:rPr>
              <w:t xml:space="preserve">表4-3 </w:t>
            </w:r>
            <w:r>
              <w:rPr>
                <w:rFonts w:hint="eastAsia"/>
                <w:b/>
                <w:color w:val="auto"/>
                <w:spacing w:val="-10"/>
                <w:sz w:val="24"/>
              </w:rPr>
              <w:t xml:space="preserve"> </w:t>
            </w:r>
            <w:r>
              <w:rPr>
                <w:b/>
                <w:color w:val="auto"/>
                <w:spacing w:val="-10"/>
                <w:sz w:val="24"/>
              </w:rPr>
              <w:t>本项目骨料输送、计量、投料粉尘和料仓筒仓进料粉尘排放情况表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555"/>
              <w:gridCol w:w="555"/>
              <w:gridCol w:w="585"/>
              <w:gridCol w:w="698"/>
              <w:gridCol w:w="696"/>
              <w:gridCol w:w="969"/>
              <w:gridCol w:w="636"/>
              <w:gridCol w:w="621"/>
              <w:gridCol w:w="621"/>
              <w:gridCol w:w="727"/>
              <w:gridCol w:w="727"/>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restart"/>
                  <w:noWrap w:val="0"/>
                  <w:vAlign w:val="center"/>
                </w:tcPr>
                <w:p>
                  <w:pPr>
                    <w:spacing w:line="20" w:lineRule="atLeast"/>
                    <w:jc w:val="center"/>
                    <w:rPr>
                      <w:b/>
                      <w:color w:val="auto"/>
                      <w:spacing w:val="-10"/>
                      <w:sz w:val="18"/>
                      <w:szCs w:val="18"/>
                    </w:rPr>
                  </w:pPr>
                  <w:r>
                    <w:rPr>
                      <w:b/>
                      <w:color w:val="auto"/>
                      <w:spacing w:val="-10"/>
                      <w:sz w:val="18"/>
                      <w:szCs w:val="18"/>
                    </w:rPr>
                    <w:t>产排污环节</w:t>
                  </w:r>
                </w:p>
              </w:tc>
              <w:tc>
                <w:tcPr>
                  <w:tcW w:w="555" w:type="dxa"/>
                  <w:vMerge w:val="restart"/>
                  <w:noWrap w:val="0"/>
                  <w:vAlign w:val="center"/>
                </w:tcPr>
                <w:p>
                  <w:pPr>
                    <w:spacing w:line="20" w:lineRule="atLeast"/>
                    <w:jc w:val="center"/>
                    <w:rPr>
                      <w:b/>
                      <w:color w:val="auto"/>
                      <w:spacing w:val="-10"/>
                      <w:sz w:val="18"/>
                      <w:szCs w:val="18"/>
                    </w:rPr>
                  </w:pPr>
                  <w:r>
                    <w:rPr>
                      <w:b/>
                      <w:color w:val="auto"/>
                      <w:spacing w:val="-10"/>
                      <w:sz w:val="18"/>
                      <w:szCs w:val="18"/>
                    </w:rPr>
                    <w:t>污染物</w:t>
                  </w:r>
                </w:p>
              </w:tc>
              <w:tc>
                <w:tcPr>
                  <w:tcW w:w="555" w:type="dxa"/>
                  <w:vMerge w:val="restart"/>
                  <w:noWrap w:val="0"/>
                  <w:vAlign w:val="center"/>
                </w:tcPr>
                <w:p>
                  <w:pPr>
                    <w:spacing w:line="20" w:lineRule="atLeast"/>
                    <w:jc w:val="center"/>
                    <w:rPr>
                      <w:b/>
                      <w:color w:val="auto"/>
                      <w:spacing w:val="-10"/>
                      <w:sz w:val="18"/>
                      <w:szCs w:val="18"/>
                    </w:rPr>
                  </w:pPr>
                  <w:r>
                    <w:rPr>
                      <w:b/>
                      <w:color w:val="auto"/>
                      <w:spacing w:val="-10"/>
                      <w:sz w:val="18"/>
                      <w:szCs w:val="18"/>
                    </w:rPr>
                    <w:t>排放</w:t>
                  </w:r>
                </w:p>
                <w:p>
                  <w:pPr>
                    <w:spacing w:line="20" w:lineRule="atLeast"/>
                    <w:jc w:val="center"/>
                    <w:rPr>
                      <w:b/>
                      <w:color w:val="auto"/>
                      <w:spacing w:val="-10"/>
                      <w:sz w:val="18"/>
                      <w:szCs w:val="18"/>
                    </w:rPr>
                  </w:pPr>
                  <w:r>
                    <w:rPr>
                      <w:b/>
                      <w:color w:val="auto"/>
                      <w:spacing w:val="-10"/>
                      <w:sz w:val="18"/>
                      <w:szCs w:val="18"/>
                    </w:rPr>
                    <w:t>方式</w:t>
                  </w:r>
                </w:p>
              </w:tc>
              <w:tc>
                <w:tcPr>
                  <w:tcW w:w="1979" w:type="dxa"/>
                  <w:gridSpan w:val="3"/>
                  <w:noWrap w:val="0"/>
                  <w:vAlign w:val="center"/>
                </w:tcPr>
                <w:p>
                  <w:pPr>
                    <w:spacing w:line="20" w:lineRule="atLeast"/>
                    <w:jc w:val="center"/>
                    <w:rPr>
                      <w:b/>
                      <w:color w:val="auto"/>
                      <w:spacing w:val="-10"/>
                      <w:sz w:val="18"/>
                      <w:szCs w:val="18"/>
                    </w:rPr>
                  </w:pPr>
                  <w:r>
                    <w:rPr>
                      <w:b/>
                      <w:color w:val="auto"/>
                      <w:spacing w:val="-10"/>
                      <w:sz w:val="18"/>
                      <w:szCs w:val="18"/>
                    </w:rPr>
                    <w:t>产生情况</w:t>
                  </w:r>
                </w:p>
              </w:tc>
              <w:tc>
                <w:tcPr>
                  <w:tcW w:w="2847" w:type="dxa"/>
                  <w:gridSpan w:val="4"/>
                  <w:noWrap w:val="0"/>
                  <w:vAlign w:val="center"/>
                </w:tcPr>
                <w:p>
                  <w:pPr>
                    <w:spacing w:line="20" w:lineRule="atLeast"/>
                    <w:jc w:val="center"/>
                    <w:rPr>
                      <w:b/>
                      <w:color w:val="auto"/>
                      <w:spacing w:val="-10"/>
                      <w:sz w:val="18"/>
                      <w:szCs w:val="18"/>
                    </w:rPr>
                  </w:pPr>
                  <w:r>
                    <w:rPr>
                      <w:b/>
                      <w:bCs/>
                      <w:color w:val="auto"/>
                      <w:sz w:val="18"/>
                      <w:szCs w:val="18"/>
                    </w:rPr>
                    <w:t>治理设施</w:t>
                  </w:r>
                </w:p>
              </w:tc>
              <w:tc>
                <w:tcPr>
                  <w:tcW w:w="2179" w:type="dxa"/>
                  <w:gridSpan w:val="3"/>
                  <w:noWrap w:val="0"/>
                  <w:vAlign w:val="center"/>
                </w:tcPr>
                <w:p>
                  <w:pPr>
                    <w:spacing w:line="20" w:lineRule="atLeast"/>
                    <w:jc w:val="center"/>
                    <w:rPr>
                      <w:b/>
                      <w:color w:val="auto"/>
                      <w:spacing w:val="-10"/>
                      <w:sz w:val="18"/>
                      <w:szCs w:val="18"/>
                    </w:rPr>
                  </w:pPr>
                  <w:r>
                    <w:rPr>
                      <w:b/>
                      <w:color w:val="auto"/>
                      <w:spacing w:val="-10"/>
                      <w:sz w:val="18"/>
                      <w:szCs w:val="18"/>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noWrap w:val="0"/>
                  <w:vAlign w:val="center"/>
                </w:tcPr>
                <w:p>
                  <w:pPr>
                    <w:spacing w:line="20" w:lineRule="atLeast"/>
                    <w:jc w:val="center"/>
                    <w:rPr>
                      <w:color w:val="auto"/>
                      <w:sz w:val="18"/>
                      <w:szCs w:val="18"/>
                    </w:rPr>
                  </w:pPr>
                </w:p>
              </w:tc>
              <w:tc>
                <w:tcPr>
                  <w:tcW w:w="555" w:type="dxa"/>
                  <w:vMerge w:val="continue"/>
                  <w:noWrap w:val="0"/>
                  <w:vAlign w:val="center"/>
                </w:tcPr>
                <w:p>
                  <w:pPr>
                    <w:spacing w:line="20" w:lineRule="atLeast"/>
                    <w:jc w:val="center"/>
                    <w:rPr>
                      <w:color w:val="auto"/>
                      <w:sz w:val="18"/>
                      <w:szCs w:val="18"/>
                    </w:rPr>
                  </w:pPr>
                </w:p>
              </w:tc>
              <w:tc>
                <w:tcPr>
                  <w:tcW w:w="555" w:type="dxa"/>
                  <w:vMerge w:val="continue"/>
                  <w:noWrap w:val="0"/>
                  <w:vAlign w:val="center"/>
                </w:tcPr>
                <w:p>
                  <w:pPr>
                    <w:spacing w:line="20" w:lineRule="atLeast"/>
                    <w:jc w:val="center"/>
                    <w:rPr>
                      <w:color w:val="auto"/>
                      <w:sz w:val="18"/>
                      <w:szCs w:val="18"/>
                    </w:rPr>
                  </w:pPr>
                </w:p>
              </w:tc>
              <w:tc>
                <w:tcPr>
                  <w:tcW w:w="585" w:type="dxa"/>
                  <w:noWrap w:val="0"/>
                  <w:vAlign w:val="center"/>
                </w:tcPr>
                <w:p>
                  <w:pPr>
                    <w:spacing w:line="20" w:lineRule="atLeast"/>
                    <w:jc w:val="center"/>
                    <w:rPr>
                      <w:b/>
                      <w:color w:val="auto"/>
                      <w:spacing w:val="-10"/>
                      <w:sz w:val="18"/>
                      <w:szCs w:val="18"/>
                    </w:rPr>
                  </w:pPr>
                  <w:r>
                    <w:rPr>
                      <w:b/>
                      <w:color w:val="auto"/>
                      <w:spacing w:val="-10"/>
                      <w:sz w:val="18"/>
                      <w:szCs w:val="18"/>
                    </w:rPr>
                    <w:t>产生量</w:t>
                  </w:r>
                </w:p>
                <w:p>
                  <w:pPr>
                    <w:spacing w:line="20" w:lineRule="atLeast"/>
                    <w:jc w:val="center"/>
                    <w:rPr>
                      <w:b/>
                      <w:color w:val="auto"/>
                      <w:spacing w:val="-10"/>
                      <w:sz w:val="18"/>
                      <w:szCs w:val="18"/>
                    </w:rPr>
                  </w:pPr>
                  <w:r>
                    <w:rPr>
                      <w:b/>
                      <w:color w:val="auto"/>
                      <w:spacing w:val="-10"/>
                      <w:sz w:val="18"/>
                      <w:szCs w:val="18"/>
                    </w:rPr>
                    <w:t>t/a</w:t>
                  </w:r>
                </w:p>
              </w:tc>
              <w:tc>
                <w:tcPr>
                  <w:tcW w:w="698" w:type="dxa"/>
                  <w:noWrap w:val="0"/>
                  <w:vAlign w:val="center"/>
                </w:tcPr>
                <w:p>
                  <w:pPr>
                    <w:spacing w:line="20" w:lineRule="atLeast"/>
                    <w:jc w:val="center"/>
                    <w:rPr>
                      <w:b/>
                      <w:color w:val="auto"/>
                      <w:spacing w:val="-10"/>
                      <w:sz w:val="18"/>
                      <w:szCs w:val="18"/>
                    </w:rPr>
                  </w:pPr>
                  <w:r>
                    <w:rPr>
                      <w:b/>
                      <w:color w:val="auto"/>
                      <w:spacing w:val="-10"/>
                      <w:sz w:val="18"/>
                      <w:szCs w:val="18"/>
                    </w:rPr>
                    <w:t>产生</w:t>
                  </w:r>
                </w:p>
                <w:p>
                  <w:pPr>
                    <w:spacing w:line="20" w:lineRule="atLeast"/>
                    <w:jc w:val="center"/>
                    <w:rPr>
                      <w:b/>
                      <w:color w:val="auto"/>
                      <w:spacing w:val="-10"/>
                      <w:sz w:val="18"/>
                      <w:szCs w:val="18"/>
                    </w:rPr>
                  </w:pPr>
                  <w:r>
                    <w:rPr>
                      <w:b/>
                      <w:color w:val="auto"/>
                      <w:spacing w:val="-10"/>
                      <w:sz w:val="18"/>
                      <w:szCs w:val="18"/>
                    </w:rPr>
                    <w:t>速率</w:t>
                  </w:r>
                </w:p>
                <w:p>
                  <w:pPr>
                    <w:spacing w:line="20" w:lineRule="atLeast"/>
                    <w:jc w:val="center"/>
                    <w:rPr>
                      <w:b/>
                      <w:color w:val="auto"/>
                      <w:spacing w:val="-10"/>
                      <w:sz w:val="18"/>
                      <w:szCs w:val="18"/>
                    </w:rPr>
                  </w:pPr>
                  <w:r>
                    <w:rPr>
                      <w:b/>
                      <w:color w:val="auto"/>
                      <w:spacing w:val="-10"/>
                      <w:sz w:val="18"/>
                      <w:szCs w:val="18"/>
                    </w:rPr>
                    <w:t>kg/h</w:t>
                  </w:r>
                </w:p>
              </w:tc>
              <w:tc>
                <w:tcPr>
                  <w:tcW w:w="696" w:type="dxa"/>
                  <w:noWrap w:val="0"/>
                  <w:vAlign w:val="center"/>
                </w:tcPr>
                <w:p>
                  <w:pPr>
                    <w:spacing w:line="20" w:lineRule="atLeast"/>
                    <w:jc w:val="center"/>
                    <w:rPr>
                      <w:b/>
                      <w:color w:val="auto"/>
                      <w:spacing w:val="-10"/>
                      <w:sz w:val="18"/>
                      <w:szCs w:val="18"/>
                    </w:rPr>
                  </w:pPr>
                  <w:r>
                    <w:rPr>
                      <w:b/>
                      <w:color w:val="auto"/>
                      <w:spacing w:val="-10"/>
                      <w:sz w:val="18"/>
                      <w:szCs w:val="18"/>
                    </w:rPr>
                    <w:t>产生</w:t>
                  </w:r>
                </w:p>
                <w:p>
                  <w:pPr>
                    <w:spacing w:line="20" w:lineRule="atLeast"/>
                    <w:jc w:val="center"/>
                    <w:rPr>
                      <w:b/>
                      <w:color w:val="auto"/>
                      <w:spacing w:val="-10"/>
                      <w:sz w:val="18"/>
                      <w:szCs w:val="18"/>
                    </w:rPr>
                  </w:pPr>
                  <w:r>
                    <w:rPr>
                      <w:b/>
                      <w:color w:val="auto"/>
                      <w:spacing w:val="-10"/>
                      <w:sz w:val="18"/>
                      <w:szCs w:val="18"/>
                    </w:rPr>
                    <w:t>浓度</w:t>
                  </w:r>
                </w:p>
                <w:p>
                  <w:pPr>
                    <w:spacing w:line="20" w:lineRule="atLeast"/>
                    <w:jc w:val="center"/>
                    <w:rPr>
                      <w:b/>
                      <w:color w:val="auto"/>
                      <w:spacing w:val="-10"/>
                      <w:sz w:val="18"/>
                      <w:szCs w:val="18"/>
                      <w:vertAlign w:val="superscript"/>
                    </w:rPr>
                  </w:pPr>
                  <w:r>
                    <w:rPr>
                      <w:b/>
                      <w:color w:val="auto"/>
                      <w:spacing w:val="-10"/>
                      <w:sz w:val="18"/>
                      <w:szCs w:val="18"/>
                    </w:rPr>
                    <w:t>mg/m</w:t>
                  </w:r>
                  <w:r>
                    <w:rPr>
                      <w:b/>
                      <w:color w:val="auto"/>
                      <w:spacing w:val="-10"/>
                      <w:sz w:val="18"/>
                      <w:szCs w:val="18"/>
                      <w:vertAlign w:val="superscript"/>
                    </w:rPr>
                    <w:t>3</w:t>
                  </w:r>
                </w:p>
              </w:tc>
              <w:tc>
                <w:tcPr>
                  <w:tcW w:w="969" w:type="dxa"/>
                  <w:noWrap w:val="0"/>
                  <w:vAlign w:val="center"/>
                </w:tcPr>
                <w:p>
                  <w:pPr>
                    <w:spacing w:line="20" w:lineRule="atLeast"/>
                    <w:jc w:val="center"/>
                    <w:rPr>
                      <w:b/>
                      <w:bCs/>
                      <w:color w:val="auto"/>
                      <w:sz w:val="18"/>
                      <w:szCs w:val="18"/>
                    </w:rPr>
                  </w:pPr>
                  <w:r>
                    <w:rPr>
                      <w:b/>
                      <w:bCs/>
                      <w:color w:val="auto"/>
                      <w:sz w:val="18"/>
                      <w:szCs w:val="18"/>
                    </w:rPr>
                    <w:t>治理工艺</w:t>
                  </w:r>
                </w:p>
              </w:tc>
              <w:tc>
                <w:tcPr>
                  <w:tcW w:w="636" w:type="dxa"/>
                  <w:noWrap w:val="0"/>
                  <w:vAlign w:val="center"/>
                </w:tcPr>
                <w:p>
                  <w:pPr>
                    <w:spacing w:line="20" w:lineRule="atLeast"/>
                    <w:jc w:val="center"/>
                    <w:rPr>
                      <w:b/>
                      <w:bCs/>
                      <w:color w:val="auto"/>
                      <w:sz w:val="18"/>
                      <w:szCs w:val="18"/>
                    </w:rPr>
                  </w:pPr>
                  <w:r>
                    <w:rPr>
                      <w:b/>
                      <w:bCs/>
                      <w:color w:val="auto"/>
                      <w:sz w:val="18"/>
                      <w:szCs w:val="18"/>
                    </w:rPr>
                    <w:t>处理</w:t>
                  </w:r>
                </w:p>
                <w:p>
                  <w:pPr>
                    <w:spacing w:line="20" w:lineRule="atLeast"/>
                    <w:jc w:val="center"/>
                    <w:rPr>
                      <w:b/>
                      <w:bCs/>
                      <w:color w:val="auto"/>
                      <w:sz w:val="18"/>
                      <w:szCs w:val="18"/>
                    </w:rPr>
                  </w:pPr>
                  <w:r>
                    <w:rPr>
                      <w:b/>
                      <w:bCs/>
                      <w:color w:val="auto"/>
                      <w:sz w:val="18"/>
                      <w:szCs w:val="18"/>
                    </w:rPr>
                    <w:t>能力</w:t>
                  </w:r>
                </w:p>
                <w:p>
                  <w:pPr>
                    <w:spacing w:line="20" w:lineRule="atLeast"/>
                    <w:jc w:val="center"/>
                    <w:rPr>
                      <w:b/>
                      <w:bCs/>
                      <w:color w:val="auto"/>
                      <w:sz w:val="18"/>
                      <w:szCs w:val="18"/>
                    </w:rPr>
                  </w:pPr>
                  <w:r>
                    <w:rPr>
                      <w:b/>
                      <w:bCs/>
                      <w:color w:val="auto"/>
                      <w:sz w:val="18"/>
                      <w:szCs w:val="18"/>
                    </w:rPr>
                    <w:t>m</w:t>
                  </w:r>
                  <w:r>
                    <w:rPr>
                      <w:b/>
                      <w:bCs/>
                      <w:color w:val="auto"/>
                      <w:sz w:val="18"/>
                      <w:szCs w:val="18"/>
                      <w:vertAlign w:val="superscript"/>
                    </w:rPr>
                    <w:t>3</w:t>
                  </w:r>
                  <w:r>
                    <w:rPr>
                      <w:b/>
                      <w:bCs/>
                      <w:color w:val="auto"/>
                      <w:sz w:val="18"/>
                      <w:szCs w:val="18"/>
                    </w:rPr>
                    <w:t>/h</w:t>
                  </w:r>
                </w:p>
              </w:tc>
              <w:tc>
                <w:tcPr>
                  <w:tcW w:w="621" w:type="dxa"/>
                  <w:noWrap w:val="0"/>
                  <w:vAlign w:val="center"/>
                </w:tcPr>
                <w:p>
                  <w:pPr>
                    <w:spacing w:line="20" w:lineRule="atLeast"/>
                    <w:jc w:val="center"/>
                    <w:rPr>
                      <w:b/>
                      <w:bCs/>
                      <w:color w:val="auto"/>
                      <w:sz w:val="18"/>
                      <w:szCs w:val="18"/>
                    </w:rPr>
                  </w:pPr>
                  <w:r>
                    <w:rPr>
                      <w:b/>
                      <w:bCs/>
                      <w:color w:val="auto"/>
                      <w:sz w:val="18"/>
                      <w:szCs w:val="18"/>
                    </w:rPr>
                    <w:t>收集</w:t>
                  </w:r>
                </w:p>
                <w:p>
                  <w:pPr>
                    <w:spacing w:line="20" w:lineRule="atLeast"/>
                    <w:jc w:val="center"/>
                    <w:rPr>
                      <w:b/>
                      <w:bCs/>
                      <w:color w:val="auto"/>
                      <w:sz w:val="18"/>
                      <w:szCs w:val="18"/>
                    </w:rPr>
                  </w:pPr>
                  <w:r>
                    <w:rPr>
                      <w:b/>
                      <w:bCs/>
                      <w:color w:val="auto"/>
                      <w:sz w:val="18"/>
                      <w:szCs w:val="18"/>
                    </w:rPr>
                    <w:t>效率</w:t>
                  </w:r>
                </w:p>
                <w:p>
                  <w:pPr>
                    <w:spacing w:line="20" w:lineRule="atLeast"/>
                    <w:jc w:val="center"/>
                    <w:rPr>
                      <w:b/>
                      <w:bCs/>
                      <w:color w:val="auto"/>
                      <w:sz w:val="18"/>
                      <w:szCs w:val="18"/>
                    </w:rPr>
                  </w:pPr>
                  <w:r>
                    <w:rPr>
                      <w:b/>
                      <w:bCs/>
                      <w:color w:val="auto"/>
                      <w:sz w:val="18"/>
                      <w:szCs w:val="18"/>
                    </w:rPr>
                    <w:t>%</w:t>
                  </w:r>
                </w:p>
              </w:tc>
              <w:tc>
                <w:tcPr>
                  <w:tcW w:w="621" w:type="dxa"/>
                  <w:noWrap w:val="0"/>
                  <w:vAlign w:val="center"/>
                </w:tcPr>
                <w:p>
                  <w:pPr>
                    <w:spacing w:line="20" w:lineRule="atLeast"/>
                    <w:jc w:val="center"/>
                    <w:rPr>
                      <w:b/>
                      <w:bCs/>
                      <w:color w:val="auto"/>
                      <w:sz w:val="18"/>
                      <w:szCs w:val="18"/>
                    </w:rPr>
                  </w:pPr>
                  <w:r>
                    <w:rPr>
                      <w:b/>
                      <w:bCs/>
                      <w:color w:val="auto"/>
                      <w:sz w:val="18"/>
                      <w:szCs w:val="18"/>
                    </w:rPr>
                    <w:t>处理</w:t>
                  </w:r>
                </w:p>
                <w:p>
                  <w:pPr>
                    <w:spacing w:line="20" w:lineRule="atLeast"/>
                    <w:jc w:val="center"/>
                    <w:rPr>
                      <w:b/>
                      <w:bCs/>
                      <w:color w:val="auto"/>
                      <w:sz w:val="18"/>
                      <w:szCs w:val="18"/>
                    </w:rPr>
                  </w:pPr>
                  <w:r>
                    <w:rPr>
                      <w:b/>
                      <w:bCs/>
                      <w:color w:val="auto"/>
                      <w:sz w:val="18"/>
                      <w:szCs w:val="18"/>
                    </w:rPr>
                    <w:t>效率</w:t>
                  </w:r>
                </w:p>
                <w:p>
                  <w:pPr>
                    <w:spacing w:line="20" w:lineRule="atLeast"/>
                    <w:jc w:val="center"/>
                    <w:rPr>
                      <w:b/>
                      <w:bCs/>
                      <w:color w:val="auto"/>
                      <w:sz w:val="18"/>
                      <w:szCs w:val="18"/>
                    </w:rPr>
                  </w:pPr>
                  <w:r>
                    <w:rPr>
                      <w:b/>
                      <w:bCs/>
                      <w:color w:val="auto"/>
                      <w:sz w:val="18"/>
                      <w:szCs w:val="18"/>
                    </w:rPr>
                    <w:t>%</w:t>
                  </w:r>
                </w:p>
              </w:tc>
              <w:tc>
                <w:tcPr>
                  <w:tcW w:w="727" w:type="dxa"/>
                  <w:noWrap w:val="0"/>
                  <w:vAlign w:val="center"/>
                </w:tcPr>
                <w:p>
                  <w:pPr>
                    <w:spacing w:line="20" w:lineRule="atLeast"/>
                    <w:jc w:val="center"/>
                    <w:rPr>
                      <w:b/>
                      <w:color w:val="auto"/>
                      <w:spacing w:val="-10"/>
                      <w:sz w:val="18"/>
                      <w:szCs w:val="18"/>
                    </w:rPr>
                  </w:pPr>
                  <w:r>
                    <w:rPr>
                      <w:b/>
                      <w:color w:val="auto"/>
                      <w:spacing w:val="-10"/>
                      <w:sz w:val="18"/>
                      <w:szCs w:val="18"/>
                    </w:rPr>
                    <w:t>排放</w:t>
                  </w:r>
                </w:p>
                <w:p>
                  <w:pPr>
                    <w:spacing w:line="20" w:lineRule="atLeast"/>
                    <w:jc w:val="center"/>
                    <w:rPr>
                      <w:b/>
                      <w:color w:val="auto"/>
                      <w:spacing w:val="-10"/>
                      <w:sz w:val="18"/>
                      <w:szCs w:val="18"/>
                    </w:rPr>
                  </w:pPr>
                  <w:r>
                    <w:rPr>
                      <w:b/>
                      <w:color w:val="auto"/>
                      <w:spacing w:val="-10"/>
                      <w:sz w:val="18"/>
                      <w:szCs w:val="18"/>
                    </w:rPr>
                    <w:t>量</w:t>
                  </w:r>
                </w:p>
                <w:p>
                  <w:pPr>
                    <w:spacing w:line="20" w:lineRule="atLeast"/>
                    <w:jc w:val="center"/>
                    <w:rPr>
                      <w:b/>
                      <w:color w:val="auto"/>
                      <w:spacing w:val="-10"/>
                      <w:sz w:val="18"/>
                      <w:szCs w:val="18"/>
                    </w:rPr>
                  </w:pPr>
                  <w:r>
                    <w:rPr>
                      <w:b/>
                      <w:color w:val="auto"/>
                      <w:spacing w:val="-10"/>
                      <w:sz w:val="18"/>
                      <w:szCs w:val="18"/>
                    </w:rPr>
                    <w:t>t/a</w:t>
                  </w:r>
                </w:p>
              </w:tc>
              <w:tc>
                <w:tcPr>
                  <w:tcW w:w="727" w:type="dxa"/>
                  <w:noWrap w:val="0"/>
                  <w:vAlign w:val="center"/>
                </w:tcPr>
                <w:p>
                  <w:pPr>
                    <w:spacing w:line="20" w:lineRule="atLeast"/>
                    <w:jc w:val="center"/>
                    <w:rPr>
                      <w:b/>
                      <w:color w:val="auto"/>
                      <w:spacing w:val="-10"/>
                      <w:sz w:val="18"/>
                      <w:szCs w:val="18"/>
                    </w:rPr>
                  </w:pPr>
                  <w:r>
                    <w:rPr>
                      <w:b/>
                      <w:color w:val="auto"/>
                      <w:spacing w:val="-10"/>
                      <w:sz w:val="18"/>
                      <w:szCs w:val="18"/>
                    </w:rPr>
                    <w:t>排放</w:t>
                  </w:r>
                </w:p>
                <w:p>
                  <w:pPr>
                    <w:spacing w:line="20" w:lineRule="atLeast"/>
                    <w:jc w:val="center"/>
                    <w:rPr>
                      <w:b/>
                      <w:color w:val="auto"/>
                      <w:spacing w:val="-10"/>
                      <w:sz w:val="18"/>
                      <w:szCs w:val="18"/>
                    </w:rPr>
                  </w:pPr>
                  <w:r>
                    <w:rPr>
                      <w:b/>
                      <w:color w:val="auto"/>
                      <w:spacing w:val="-10"/>
                      <w:sz w:val="18"/>
                      <w:szCs w:val="18"/>
                    </w:rPr>
                    <w:t>速率</w:t>
                  </w:r>
                </w:p>
                <w:p>
                  <w:pPr>
                    <w:spacing w:line="20" w:lineRule="atLeast"/>
                    <w:jc w:val="center"/>
                    <w:rPr>
                      <w:b/>
                      <w:color w:val="auto"/>
                      <w:spacing w:val="-10"/>
                      <w:sz w:val="18"/>
                      <w:szCs w:val="18"/>
                    </w:rPr>
                  </w:pPr>
                  <w:r>
                    <w:rPr>
                      <w:b/>
                      <w:color w:val="auto"/>
                      <w:spacing w:val="-10"/>
                      <w:sz w:val="18"/>
                      <w:szCs w:val="18"/>
                    </w:rPr>
                    <w:t>kg/h</w:t>
                  </w:r>
                </w:p>
              </w:tc>
              <w:tc>
                <w:tcPr>
                  <w:tcW w:w="725" w:type="dxa"/>
                  <w:noWrap w:val="0"/>
                  <w:vAlign w:val="center"/>
                </w:tcPr>
                <w:p>
                  <w:pPr>
                    <w:spacing w:line="20" w:lineRule="atLeast"/>
                    <w:jc w:val="center"/>
                    <w:rPr>
                      <w:b/>
                      <w:color w:val="auto"/>
                      <w:spacing w:val="-10"/>
                      <w:sz w:val="18"/>
                      <w:szCs w:val="18"/>
                    </w:rPr>
                  </w:pPr>
                  <w:r>
                    <w:rPr>
                      <w:b/>
                      <w:color w:val="auto"/>
                      <w:spacing w:val="-10"/>
                      <w:sz w:val="18"/>
                      <w:szCs w:val="18"/>
                    </w:rPr>
                    <w:t>排放</w:t>
                  </w:r>
                </w:p>
                <w:p>
                  <w:pPr>
                    <w:spacing w:line="20" w:lineRule="atLeast"/>
                    <w:jc w:val="center"/>
                    <w:rPr>
                      <w:b/>
                      <w:color w:val="auto"/>
                      <w:spacing w:val="-10"/>
                      <w:sz w:val="18"/>
                      <w:szCs w:val="18"/>
                    </w:rPr>
                  </w:pPr>
                  <w:r>
                    <w:rPr>
                      <w:b/>
                      <w:color w:val="auto"/>
                      <w:spacing w:val="-10"/>
                      <w:sz w:val="18"/>
                      <w:szCs w:val="18"/>
                    </w:rPr>
                    <w:t>浓度</w:t>
                  </w:r>
                </w:p>
                <w:p>
                  <w:pPr>
                    <w:spacing w:line="20" w:lineRule="atLeast"/>
                    <w:jc w:val="center"/>
                    <w:rPr>
                      <w:b/>
                      <w:color w:val="auto"/>
                      <w:spacing w:val="-10"/>
                      <w:sz w:val="18"/>
                      <w:szCs w:val="18"/>
                    </w:rPr>
                  </w:pPr>
                  <w:r>
                    <w:rPr>
                      <w:b/>
                      <w:color w:val="auto"/>
                      <w:spacing w:val="-10"/>
                      <w:sz w:val="18"/>
                      <w:szCs w:val="18"/>
                    </w:rPr>
                    <w:t>mg/m</w:t>
                  </w:r>
                  <w:r>
                    <w:rPr>
                      <w:b/>
                      <w:color w:val="auto"/>
                      <w:spacing w:val="-10"/>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34" w:type="dxa"/>
                  <w:noWrap w:val="0"/>
                  <w:vAlign w:val="center"/>
                </w:tcPr>
                <w:p>
                  <w:pPr>
                    <w:topLinePunct/>
                    <w:adjustRightInd w:val="0"/>
                    <w:snapToGrid w:val="0"/>
                    <w:jc w:val="center"/>
                    <w:textAlignment w:val="center"/>
                    <w:rPr>
                      <w:color w:val="auto"/>
                      <w:kern w:val="0"/>
                      <w:sz w:val="18"/>
                      <w:szCs w:val="18"/>
                    </w:rPr>
                  </w:pPr>
                  <w:r>
                    <w:rPr>
                      <w:color w:val="auto"/>
                      <w:kern w:val="0"/>
                      <w:sz w:val="18"/>
                      <w:szCs w:val="18"/>
                    </w:rPr>
                    <w:t>骨料输送、计量、筛选、投料粉尘</w:t>
                  </w:r>
                </w:p>
              </w:tc>
              <w:tc>
                <w:tcPr>
                  <w:tcW w:w="555" w:type="dxa"/>
                  <w:noWrap w:val="0"/>
                  <w:vAlign w:val="center"/>
                </w:tcPr>
                <w:p>
                  <w:pPr>
                    <w:spacing w:line="20" w:lineRule="atLeast"/>
                    <w:jc w:val="center"/>
                    <w:rPr>
                      <w:bCs/>
                      <w:color w:val="auto"/>
                      <w:spacing w:val="-10"/>
                      <w:sz w:val="18"/>
                      <w:szCs w:val="18"/>
                    </w:rPr>
                  </w:pPr>
                  <w:r>
                    <w:rPr>
                      <w:bCs/>
                      <w:color w:val="auto"/>
                      <w:spacing w:val="-10"/>
                      <w:sz w:val="18"/>
                      <w:szCs w:val="18"/>
                    </w:rPr>
                    <w:t>颗粒物</w:t>
                  </w:r>
                </w:p>
              </w:tc>
              <w:tc>
                <w:tcPr>
                  <w:tcW w:w="555" w:type="dxa"/>
                  <w:noWrap w:val="0"/>
                  <w:vAlign w:val="center"/>
                </w:tcPr>
                <w:p>
                  <w:pPr>
                    <w:spacing w:line="20" w:lineRule="atLeast"/>
                    <w:jc w:val="center"/>
                    <w:rPr>
                      <w:bCs/>
                      <w:color w:val="auto"/>
                      <w:spacing w:val="-10"/>
                      <w:sz w:val="18"/>
                      <w:szCs w:val="18"/>
                    </w:rPr>
                  </w:pPr>
                  <w:r>
                    <w:rPr>
                      <w:bCs/>
                      <w:color w:val="auto"/>
                      <w:spacing w:val="-10"/>
                      <w:sz w:val="18"/>
                      <w:szCs w:val="18"/>
                    </w:rPr>
                    <w:t>无组织</w:t>
                  </w:r>
                </w:p>
              </w:tc>
              <w:tc>
                <w:tcPr>
                  <w:tcW w:w="585"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1.42</w:t>
                  </w:r>
                </w:p>
              </w:tc>
              <w:tc>
                <w:tcPr>
                  <w:tcW w:w="698"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1.1833</w:t>
                  </w:r>
                </w:p>
              </w:tc>
              <w:tc>
                <w:tcPr>
                  <w:tcW w:w="696" w:type="dxa"/>
                  <w:noWrap w:val="0"/>
                  <w:vAlign w:val="center"/>
                </w:tcPr>
                <w:p>
                  <w:pPr>
                    <w:spacing w:line="20" w:lineRule="atLeast"/>
                    <w:jc w:val="center"/>
                    <w:rPr>
                      <w:bCs/>
                      <w:color w:val="auto"/>
                      <w:spacing w:val="-10"/>
                      <w:sz w:val="18"/>
                      <w:szCs w:val="18"/>
                    </w:rPr>
                  </w:pPr>
                  <w:r>
                    <w:rPr>
                      <w:bCs/>
                      <w:color w:val="auto"/>
                      <w:spacing w:val="-10"/>
                      <w:sz w:val="18"/>
                      <w:szCs w:val="18"/>
                    </w:rPr>
                    <w:t>/</w:t>
                  </w:r>
                </w:p>
              </w:tc>
              <w:tc>
                <w:tcPr>
                  <w:tcW w:w="969" w:type="dxa"/>
                  <w:noWrap w:val="0"/>
                  <w:vAlign w:val="center"/>
                </w:tcPr>
                <w:p>
                  <w:pPr>
                    <w:spacing w:line="20" w:lineRule="atLeast"/>
                    <w:jc w:val="center"/>
                    <w:rPr>
                      <w:rFonts w:hint="eastAsia"/>
                      <w:bCs/>
                      <w:color w:val="auto"/>
                      <w:spacing w:val="-10"/>
                      <w:sz w:val="18"/>
                      <w:szCs w:val="18"/>
                    </w:rPr>
                  </w:pPr>
                  <w:r>
                    <w:rPr>
                      <w:bCs/>
                      <w:color w:val="auto"/>
                      <w:spacing w:val="-10"/>
                      <w:sz w:val="18"/>
                      <w:szCs w:val="18"/>
                    </w:rPr>
                    <w:t>喷淋</w:t>
                  </w:r>
                  <w:r>
                    <w:rPr>
                      <w:rFonts w:hint="eastAsia"/>
                      <w:bCs/>
                      <w:color w:val="auto"/>
                      <w:spacing w:val="-10"/>
                      <w:sz w:val="18"/>
                      <w:szCs w:val="18"/>
                    </w:rPr>
                    <w:t>预湿、场地硬化</w:t>
                  </w:r>
                </w:p>
              </w:tc>
              <w:tc>
                <w:tcPr>
                  <w:tcW w:w="636" w:type="dxa"/>
                  <w:noWrap w:val="0"/>
                  <w:vAlign w:val="center"/>
                </w:tcPr>
                <w:p>
                  <w:pPr>
                    <w:spacing w:line="20" w:lineRule="atLeast"/>
                    <w:jc w:val="center"/>
                    <w:rPr>
                      <w:bCs/>
                      <w:color w:val="auto"/>
                      <w:spacing w:val="-10"/>
                      <w:sz w:val="18"/>
                      <w:szCs w:val="18"/>
                    </w:rPr>
                  </w:pPr>
                  <w:r>
                    <w:rPr>
                      <w:bCs/>
                      <w:color w:val="auto"/>
                      <w:spacing w:val="-10"/>
                      <w:sz w:val="18"/>
                      <w:szCs w:val="18"/>
                    </w:rPr>
                    <w:t>/</w:t>
                  </w:r>
                </w:p>
              </w:tc>
              <w:tc>
                <w:tcPr>
                  <w:tcW w:w="621" w:type="dxa"/>
                  <w:noWrap w:val="0"/>
                  <w:vAlign w:val="center"/>
                </w:tcPr>
                <w:p>
                  <w:pPr>
                    <w:spacing w:line="20" w:lineRule="atLeast"/>
                    <w:jc w:val="center"/>
                    <w:rPr>
                      <w:bCs/>
                      <w:color w:val="auto"/>
                      <w:spacing w:val="-10"/>
                      <w:sz w:val="18"/>
                      <w:szCs w:val="18"/>
                    </w:rPr>
                  </w:pPr>
                  <w:r>
                    <w:rPr>
                      <w:bCs/>
                      <w:color w:val="auto"/>
                      <w:spacing w:val="-10"/>
                      <w:sz w:val="18"/>
                      <w:szCs w:val="18"/>
                    </w:rPr>
                    <w:t>/</w:t>
                  </w:r>
                </w:p>
              </w:tc>
              <w:tc>
                <w:tcPr>
                  <w:tcW w:w="621"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66</w:t>
                  </w:r>
                </w:p>
              </w:tc>
              <w:tc>
                <w:tcPr>
                  <w:tcW w:w="727"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0.4828</w:t>
                  </w:r>
                </w:p>
              </w:tc>
              <w:tc>
                <w:tcPr>
                  <w:tcW w:w="727"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0.4023</w:t>
                  </w:r>
                </w:p>
              </w:tc>
              <w:tc>
                <w:tcPr>
                  <w:tcW w:w="725" w:type="dxa"/>
                  <w:noWrap w:val="0"/>
                  <w:vAlign w:val="center"/>
                </w:tcPr>
                <w:p>
                  <w:pPr>
                    <w:spacing w:line="20" w:lineRule="atLeast"/>
                    <w:jc w:val="center"/>
                    <w:rPr>
                      <w:bCs/>
                      <w:color w:val="auto"/>
                      <w:spacing w:val="-10"/>
                      <w:sz w:val="18"/>
                      <w:szCs w:val="18"/>
                    </w:rPr>
                  </w:pPr>
                  <w:r>
                    <w:rPr>
                      <w:bCs/>
                      <w:color w:val="auto"/>
                      <w:spacing w:val="-1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noWrap w:val="0"/>
                  <w:vAlign w:val="center"/>
                </w:tcPr>
                <w:p>
                  <w:pPr>
                    <w:topLinePunct/>
                    <w:adjustRightInd w:val="0"/>
                    <w:snapToGrid w:val="0"/>
                    <w:jc w:val="center"/>
                    <w:textAlignment w:val="center"/>
                    <w:rPr>
                      <w:color w:val="auto"/>
                      <w:kern w:val="0"/>
                      <w:sz w:val="18"/>
                      <w:szCs w:val="18"/>
                    </w:rPr>
                  </w:pPr>
                  <w:r>
                    <w:rPr>
                      <w:bCs/>
                      <w:color w:val="auto"/>
                      <w:spacing w:val="-10"/>
                      <w:sz w:val="18"/>
                      <w:szCs w:val="18"/>
                    </w:rPr>
                    <w:t>筒仓粉料输送储存粉尘</w:t>
                  </w:r>
                </w:p>
              </w:tc>
              <w:tc>
                <w:tcPr>
                  <w:tcW w:w="555" w:type="dxa"/>
                  <w:noWrap w:val="0"/>
                  <w:vAlign w:val="center"/>
                </w:tcPr>
                <w:p>
                  <w:pPr>
                    <w:spacing w:line="20" w:lineRule="atLeast"/>
                    <w:jc w:val="center"/>
                    <w:rPr>
                      <w:bCs/>
                      <w:color w:val="auto"/>
                      <w:spacing w:val="-10"/>
                      <w:sz w:val="18"/>
                      <w:szCs w:val="18"/>
                    </w:rPr>
                  </w:pPr>
                  <w:r>
                    <w:rPr>
                      <w:bCs/>
                      <w:color w:val="auto"/>
                      <w:spacing w:val="-10"/>
                      <w:sz w:val="18"/>
                      <w:szCs w:val="18"/>
                    </w:rPr>
                    <w:t>颗粒物</w:t>
                  </w:r>
                </w:p>
              </w:tc>
              <w:tc>
                <w:tcPr>
                  <w:tcW w:w="555" w:type="dxa"/>
                  <w:noWrap w:val="0"/>
                  <w:vAlign w:val="center"/>
                </w:tcPr>
                <w:p>
                  <w:pPr>
                    <w:spacing w:line="20" w:lineRule="atLeast"/>
                    <w:jc w:val="center"/>
                    <w:rPr>
                      <w:bCs/>
                      <w:color w:val="auto"/>
                      <w:spacing w:val="-10"/>
                      <w:sz w:val="18"/>
                      <w:szCs w:val="18"/>
                    </w:rPr>
                  </w:pPr>
                  <w:r>
                    <w:rPr>
                      <w:bCs/>
                      <w:color w:val="auto"/>
                      <w:spacing w:val="-10"/>
                      <w:sz w:val="18"/>
                      <w:szCs w:val="18"/>
                    </w:rPr>
                    <w:t>无组织</w:t>
                  </w:r>
                </w:p>
              </w:tc>
              <w:tc>
                <w:tcPr>
                  <w:tcW w:w="585"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7.38</w:t>
                  </w:r>
                </w:p>
              </w:tc>
              <w:tc>
                <w:tcPr>
                  <w:tcW w:w="698"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6.15</w:t>
                  </w:r>
                </w:p>
              </w:tc>
              <w:tc>
                <w:tcPr>
                  <w:tcW w:w="696" w:type="dxa"/>
                  <w:noWrap w:val="0"/>
                  <w:vAlign w:val="center"/>
                </w:tcPr>
                <w:p>
                  <w:pPr>
                    <w:spacing w:line="20" w:lineRule="atLeast"/>
                    <w:jc w:val="center"/>
                    <w:rPr>
                      <w:bCs/>
                      <w:color w:val="auto"/>
                      <w:spacing w:val="-10"/>
                      <w:sz w:val="18"/>
                      <w:szCs w:val="18"/>
                    </w:rPr>
                  </w:pPr>
                  <w:r>
                    <w:rPr>
                      <w:bCs/>
                      <w:color w:val="auto"/>
                      <w:spacing w:val="-10"/>
                      <w:sz w:val="18"/>
                      <w:szCs w:val="18"/>
                    </w:rPr>
                    <w:t>/</w:t>
                  </w:r>
                </w:p>
              </w:tc>
              <w:tc>
                <w:tcPr>
                  <w:tcW w:w="969" w:type="dxa"/>
                  <w:noWrap w:val="0"/>
                  <w:vAlign w:val="center"/>
                </w:tcPr>
                <w:p>
                  <w:pPr>
                    <w:spacing w:line="20" w:lineRule="atLeast"/>
                    <w:jc w:val="center"/>
                    <w:rPr>
                      <w:bCs/>
                      <w:color w:val="auto"/>
                      <w:spacing w:val="-10"/>
                      <w:sz w:val="18"/>
                      <w:szCs w:val="18"/>
                    </w:rPr>
                  </w:pPr>
                  <w:r>
                    <w:rPr>
                      <w:bCs/>
                      <w:color w:val="auto"/>
                      <w:spacing w:val="-10"/>
                      <w:sz w:val="18"/>
                      <w:szCs w:val="18"/>
                    </w:rPr>
                    <w:t>袋式除尘器</w:t>
                  </w:r>
                </w:p>
              </w:tc>
              <w:tc>
                <w:tcPr>
                  <w:tcW w:w="636" w:type="dxa"/>
                  <w:noWrap w:val="0"/>
                  <w:vAlign w:val="center"/>
                </w:tcPr>
                <w:p>
                  <w:pPr>
                    <w:spacing w:line="20" w:lineRule="atLeast"/>
                    <w:jc w:val="center"/>
                    <w:rPr>
                      <w:bCs/>
                      <w:color w:val="auto"/>
                      <w:spacing w:val="-10"/>
                      <w:sz w:val="18"/>
                      <w:szCs w:val="18"/>
                    </w:rPr>
                  </w:pPr>
                  <w:r>
                    <w:rPr>
                      <w:bCs/>
                      <w:color w:val="auto"/>
                      <w:spacing w:val="-10"/>
                      <w:sz w:val="18"/>
                      <w:szCs w:val="18"/>
                    </w:rPr>
                    <w:t>/</w:t>
                  </w:r>
                </w:p>
              </w:tc>
              <w:tc>
                <w:tcPr>
                  <w:tcW w:w="621" w:type="dxa"/>
                  <w:noWrap w:val="0"/>
                  <w:vAlign w:val="center"/>
                </w:tcPr>
                <w:p>
                  <w:pPr>
                    <w:spacing w:line="20" w:lineRule="atLeast"/>
                    <w:jc w:val="center"/>
                    <w:rPr>
                      <w:bCs/>
                      <w:color w:val="auto"/>
                      <w:spacing w:val="-10"/>
                      <w:sz w:val="18"/>
                      <w:szCs w:val="18"/>
                    </w:rPr>
                  </w:pPr>
                  <w:r>
                    <w:rPr>
                      <w:bCs/>
                      <w:color w:val="auto"/>
                      <w:spacing w:val="-10"/>
                      <w:sz w:val="18"/>
                      <w:szCs w:val="18"/>
                    </w:rPr>
                    <w:t>100</w:t>
                  </w:r>
                </w:p>
              </w:tc>
              <w:tc>
                <w:tcPr>
                  <w:tcW w:w="621" w:type="dxa"/>
                  <w:noWrap w:val="0"/>
                  <w:vAlign w:val="center"/>
                </w:tcPr>
                <w:p>
                  <w:pPr>
                    <w:spacing w:line="20" w:lineRule="atLeast"/>
                    <w:jc w:val="center"/>
                    <w:rPr>
                      <w:bCs/>
                      <w:color w:val="auto"/>
                      <w:spacing w:val="-10"/>
                      <w:sz w:val="18"/>
                      <w:szCs w:val="18"/>
                    </w:rPr>
                  </w:pPr>
                  <w:r>
                    <w:rPr>
                      <w:bCs/>
                      <w:color w:val="auto"/>
                      <w:spacing w:val="-10"/>
                      <w:sz w:val="18"/>
                      <w:szCs w:val="18"/>
                    </w:rPr>
                    <w:t>99.7</w:t>
                  </w:r>
                </w:p>
              </w:tc>
              <w:tc>
                <w:tcPr>
                  <w:tcW w:w="727"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0.0221</w:t>
                  </w:r>
                </w:p>
              </w:tc>
              <w:tc>
                <w:tcPr>
                  <w:tcW w:w="727"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0.0176</w:t>
                  </w:r>
                </w:p>
              </w:tc>
              <w:tc>
                <w:tcPr>
                  <w:tcW w:w="725" w:type="dxa"/>
                  <w:noWrap w:val="0"/>
                  <w:vAlign w:val="center"/>
                </w:tcPr>
                <w:p>
                  <w:pPr>
                    <w:spacing w:line="20" w:lineRule="atLeast"/>
                    <w:jc w:val="center"/>
                    <w:rPr>
                      <w:bCs/>
                      <w:color w:val="auto"/>
                      <w:spacing w:val="-10"/>
                      <w:sz w:val="18"/>
                      <w:szCs w:val="18"/>
                    </w:rPr>
                  </w:pPr>
                  <w:r>
                    <w:rPr>
                      <w:bCs/>
                      <w:color w:val="auto"/>
                      <w:spacing w:val="-10"/>
                      <w:sz w:val="18"/>
                      <w:szCs w:val="18"/>
                    </w:rPr>
                    <w:t>/</w:t>
                  </w:r>
                </w:p>
              </w:tc>
            </w:tr>
          </w:tbl>
          <w:p>
            <w:pPr>
              <w:adjustRightInd w:val="0"/>
              <w:snapToGrid w:val="0"/>
              <w:ind w:firstLine="440" w:firstLineChars="200"/>
              <w:rPr>
                <w:bCs/>
                <w:color w:val="auto"/>
                <w:spacing w:val="-10"/>
                <w:sz w:val="24"/>
              </w:rPr>
            </w:pPr>
          </w:p>
          <w:p>
            <w:pPr>
              <w:adjustRightInd w:val="0"/>
              <w:snapToGrid w:val="0"/>
              <w:spacing w:line="360" w:lineRule="auto"/>
              <w:ind w:firstLine="442" w:firstLineChars="200"/>
              <w:rPr>
                <w:b/>
                <w:color w:val="auto"/>
                <w:spacing w:val="-10"/>
                <w:sz w:val="24"/>
              </w:rPr>
            </w:pPr>
            <w:r>
              <w:rPr>
                <w:b/>
                <w:color w:val="auto"/>
                <w:spacing w:val="-10"/>
                <w:sz w:val="24"/>
              </w:rPr>
              <w:t>（5）</w:t>
            </w:r>
            <w:r>
              <w:rPr>
                <w:rFonts w:hint="eastAsia"/>
                <w:b/>
                <w:color w:val="auto"/>
                <w:spacing w:val="-10"/>
                <w:sz w:val="24"/>
              </w:rPr>
              <w:t>燃烧器燃烧废气、干燥滚筒烘干废气</w:t>
            </w:r>
          </w:p>
          <w:p>
            <w:pPr>
              <w:adjustRightInd w:val="0"/>
              <w:snapToGrid w:val="0"/>
              <w:spacing w:line="360" w:lineRule="auto"/>
              <w:ind w:firstLine="440" w:firstLineChars="200"/>
              <w:rPr>
                <w:rFonts w:hint="eastAsia"/>
                <w:bCs/>
                <w:color w:val="auto"/>
                <w:spacing w:val="-10"/>
                <w:sz w:val="24"/>
              </w:rPr>
            </w:pPr>
            <w:r>
              <w:rPr>
                <w:rFonts w:hint="eastAsia"/>
                <w:bCs/>
                <w:color w:val="auto"/>
                <w:spacing w:val="-10"/>
                <w:sz w:val="24"/>
              </w:rPr>
              <w:t>①产生情况</w:t>
            </w:r>
          </w:p>
          <w:p>
            <w:pPr>
              <w:adjustRightInd w:val="0"/>
              <w:snapToGrid w:val="0"/>
              <w:spacing w:line="360" w:lineRule="auto"/>
              <w:ind w:firstLine="440" w:firstLineChars="200"/>
              <w:rPr>
                <w:bCs/>
                <w:color w:val="auto"/>
                <w:spacing w:val="-10"/>
                <w:sz w:val="24"/>
              </w:rPr>
            </w:pPr>
            <w:r>
              <w:rPr>
                <w:bCs/>
                <w:color w:val="auto"/>
                <w:spacing w:val="-10"/>
                <w:sz w:val="24"/>
              </w:rPr>
              <w:t>本项目燃烧器及干燥滚筒以重油为燃料，重油在燃烧过程会产生燃料废气，主要污染物为颗粒物、SO</w:t>
            </w:r>
            <w:r>
              <w:rPr>
                <w:bCs/>
                <w:color w:val="auto"/>
                <w:spacing w:val="-10"/>
                <w:sz w:val="24"/>
                <w:vertAlign w:val="subscript"/>
              </w:rPr>
              <w:t>2</w:t>
            </w:r>
            <w:r>
              <w:rPr>
                <w:bCs/>
                <w:color w:val="auto"/>
                <w:spacing w:val="-10"/>
                <w:sz w:val="24"/>
              </w:rPr>
              <w:t>、NOx。参考《排放源统计调查产排污核算方法和系数手册》中4430工业锅炉（热力生产和供应行业）行业系数手册中，重油室燃炉的产污系数分别为工业废气量15367标立方米/吨-原料、颗粒物3.28千克/吨-原料、二氧化硫19S千克/吨-原料、氮氧化物3.6千克/吨-原料，本项目重油使用量为600t/a，则工业废气量为9.22×10</w:t>
            </w:r>
            <w:r>
              <w:rPr>
                <w:bCs/>
                <w:color w:val="auto"/>
                <w:spacing w:val="-10"/>
                <w:sz w:val="24"/>
                <w:vertAlign w:val="superscript"/>
              </w:rPr>
              <w:t>6</w:t>
            </w:r>
            <w:r>
              <w:rPr>
                <w:bCs/>
                <w:color w:val="auto"/>
                <w:spacing w:val="-10"/>
                <w:sz w:val="24"/>
              </w:rPr>
              <w:t>m</w:t>
            </w:r>
            <w:r>
              <w:rPr>
                <w:bCs/>
                <w:color w:val="auto"/>
                <w:spacing w:val="-10"/>
                <w:sz w:val="24"/>
                <w:vertAlign w:val="superscript"/>
              </w:rPr>
              <w:t>3</w:t>
            </w:r>
            <w:r>
              <w:rPr>
                <w:bCs/>
                <w:color w:val="auto"/>
                <w:spacing w:val="-10"/>
                <w:sz w:val="24"/>
              </w:rPr>
              <w:t>/a、颗粒物产生量为</w:t>
            </w:r>
            <w:r>
              <w:rPr>
                <w:rFonts w:hint="eastAsia"/>
                <w:bCs/>
                <w:color w:val="auto"/>
                <w:spacing w:val="-10"/>
                <w:sz w:val="24"/>
              </w:rPr>
              <w:t>1.968</w:t>
            </w:r>
            <w:r>
              <w:rPr>
                <w:bCs/>
                <w:color w:val="auto"/>
                <w:spacing w:val="-10"/>
                <w:sz w:val="24"/>
              </w:rPr>
              <w:t>t/a、二氧化硫产生量为</w:t>
            </w:r>
            <w:r>
              <w:rPr>
                <w:rFonts w:hint="eastAsia"/>
                <w:bCs/>
                <w:color w:val="auto"/>
                <w:spacing w:val="-10"/>
                <w:sz w:val="24"/>
              </w:rPr>
              <w:t>1.71</w:t>
            </w:r>
            <w:r>
              <w:rPr>
                <w:bCs/>
                <w:color w:val="auto"/>
                <w:spacing w:val="-10"/>
                <w:sz w:val="24"/>
              </w:rPr>
              <w:t>t/a、氮氧化物产生量为</w:t>
            </w:r>
            <w:r>
              <w:rPr>
                <w:rFonts w:hint="eastAsia"/>
                <w:bCs/>
                <w:color w:val="auto"/>
                <w:spacing w:val="-10"/>
                <w:sz w:val="24"/>
              </w:rPr>
              <w:t>2.16</w:t>
            </w:r>
            <w:r>
              <w:rPr>
                <w:bCs/>
                <w:color w:val="auto"/>
                <w:spacing w:val="-10"/>
                <w:sz w:val="24"/>
              </w:rPr>
              <w:t>t/a。</w:t>
            </w:r>
          </w:p>
          <w:p>
            <w:pPr>
              <w:adjustRightInd w:val="0"/>
              <w:snapToGrid w:val="0"/>
              <w:spacing w:line="360" w:lineRule="auto"/>
              <w:ind w:firstLine="440" w:firstLineChars="200"/>
              <w:rPr>
                <w:bCs/>
                <w:color w:val="auto"/>
                <w:spacing w:val="-10"/>
                <w:sz w:val="24"/>
              </w:rPr>
            </w:pPr>
            <w:r>
              <w:rPr>
                <w:bCs/>
                <w:color w:val="auto"/>
                <w:spacing w:val="-10"/>
                <w:sz w:val="24"/>
              </w:rPr>
              <w:t>注：二氧化硫的产污系数是以含硫量（S%）的形式表示的，含硫量S（S%）是指燃油收到基硫分含量，以质量百分数的形式表示。例如燃料中含硫量（S%）为0.1%，则S=0.1。</w:t>
            </w:r>
          </w:p>
          <w:p>
            <w:pPr>
              <w:adjustRightInd w:val="0"/>
              <w:snapToGrid w:val="0"/>
              <w:spacing w:line="360" w:lineRule="auto"/>
              <w:ind w:firstLine="440" w:firstLineChars="200"/>
              <w:rPr>
                <w:bCs/>
                <w:color w:val="auto"/>
                <w:spacing w:val="-10"/>
                <w:sz w:val="24"/>
              </w:rPr>
            </w:pPr>
            <w:r>
              <w:rPr>
                <w:bCs/>
                <w:color w:val="auto"/>
                <w:spacing w:val="-10"/>
                <w:sz w:val="24"/>
              </w:rPr>
              <w:t>②</w:t>
            </w:r>
            <w:r>
              <w:rPr>
                <w:rFonts w:hint="eastAsia"/>
                <w:bCs/>
                <w:color w:val="auto"/>
                <w:spacing w:val="-10"/>
                <w:sz w:val="24"/>
              </w:rPr>
              <w:t>收集</w:t>
            </w:r>
            <w:r>
              <w:rPr>
                <w:bCs/>
                <w:color w:val="auto"/>
                <w:spacing w:val="-10"/>
                <w:sz w:val="24"/>
              </w:rPr>
              <w:t>治理</w:t>
            </w:r>
            <w:r>
              <w:rPr>
                <w:rFonts w:hint="eastAsia"/>
                <w:bCs/>
                <w:color w:val="auto"/>
                <w:spacing w:val="-10"/>
                <w:sz w:val="24"/>
              </w:rPr>
              <w:t>、排放情况</w:t>
            </w:r>
          </w:p>
          <w:p>
            <w:pPr>
              <w:adjustRightInd w:val="0"/>
              <w:snapToGrid w:val="0"/>
              <w:spacing w:line="360" w:lineRule="auto"/>
              <w:ind w:firstLine="440" w:firstLineChars="200"/>
              <w:rPr>
                <w:bCs/>
                <w:color w:val="auto"/>
                <w:spacing w:val="-10"/>
                <w:sz w:val="24"/>
              </w:rPr>
            </w:pPr>
            <w:r>
              <w:rPr>
                <w:rFonts w:hint="eastAsia"/>
                <w:bCs/>
                <w:color w:val="auto"/>
                <w:spacing w:val="-10"/>
                <w:sz w:val="24"/>
              </w:rPr>
              <w:t>本项目产生的燃烧废气、烘干废气设置袋式除尘器（风机风量设计为20000m</w:t>
            </w:r>
            <w:r>
              <w:rPr>
                <w:rFonts w:hint="eastAsia"/>
                <w:bCs/>
                <w:color w:val="auto"/>
                <w:spacing w:val="-10"/>
                <w:sz w:val="24"/>
                <w:vertAlign w:val="superscript"/>
              </w:rPr>
              <w:t>3</w:t>
            </w:r>
            <w:r>
              <w:rPr>
                <w:rFonts w:hint="eastAsia"/>
                <w:bCs/>
                <w:color w:val="auto"/>
                <w:spacing w:val="-10"/>
                <w:sz w:val="24"/>
              </w:rPr>
              <w:t>/h）处理，处理后通过15m的排气筒DA001排放；袋式除尘器主要用于处理颗粒物，属于颗粒物治理的可行技术，处理效率按99%计，则本项目燃烧器燃烧废气、干燥滚筒烘干废气的排放情况如下表：</w:t>
            </w:r>
          </w:p>
          <w:p>
            <w:pPr>
              <w:adjustRightInd w:val="0"/>
              <w:snapToGrid w:val="0"/>
              <w:jc w:val="center"/>
              <w:rPr>
                <w:b/>
                <w:color w:val="auto"/>
                <w:spacing w:val="-10"/>
                <w:sz w:val="24"/>
              </w:rPr>
            </w:pPr>
            <w:r>
              <w:rPr>
                <w:b/>
                <w:color w:val="auto"/>
                <w:spacing w:val="-10"/>
                <w:sz w:val="24"/>
              </w:rPr>
              <w:t>表4-</w:t>
            </w:r>
            <w:r>
              <w:rPr>
                <w:rFonts w:hint="eastAsia"/>
                <w:b/>
                <w:color w:val="auto"/>
                <w:spacing w:val="-10"/>
                <w:sz w:val="24"/>
              </w:rPr>
              <w:t xml:space="preserve">4 </w:t>
            </w:r>
            <w:r>
              <w:rPr>
                <w:b/>
                <w:color w:val="auto"/>
                <w:spacing w:val="-10"/>
                <w:sz w:val="24"/>
              </w:rPr>
              <w:t xml:space="preserve"> 本项目燃烧器燃烧废气、干燥滚筒烘干废气排放情况表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554"/>
              <w:gridCol w:w="554"/>
              <w:gridCol w:w="586"/>
              <w:gridCol w:w="698"/>
              <w:gridCol w:w="698"/>
              <w:gridCol w:w="967"/>
              <w:gridCol w:w="637"/>
              <w:gridCol w:w="621"/>
              <w:gridCol w:w="621"/>
              <w:gridCol w:w="728"/>
              <w:gridCol w:w="728"/>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8" w:type="dxa"/>
                  <w:vMerge w:val="restart"/>
                  <w:noWrap w:val="0"/>
                  <w:vAlign w:val="center"/>
                </w:tcPr>
                <w:p>
                  <w:pPr>
                    <w:spacing w:line="20" w:lineRule="atLeast"/>
                    <w:jc w:val="center"/>
                    <w:rPr>
                      <w:b/>
                      <w:color w:val="auto"/>
                      <w:spacing w:val="-10"/>
                      <w:sz w:val="18"/>
                      <w:szCs w:val="18"/>
                    </w:rPr>
                  </w:pPr>
                  <w:r>
                    <w:rPr>
                      <w:b/>
                      <w:color w:val="auto"/>
                      <w:spacing w:val="-10"/>
                      <w:sz w:val="18"/>
                      <w:szCs w:val="18"/>
                    </w:rPr>
                    <w:t>产排污环节</w:t>
                  </w:r>
                </w:p>
              </w:tc>
              <w:tc>
                <w:tcPr>
                  <w:tcW w:w="553" w:type="dxa"/>
                  <w:vMerge w:val="restart"/>
                  <w:noWrap w:val="0"/>
                  <w:vAlign w:val="center"/>
                </w:tcPr>
                <w:p>
                  <w:pPr>
                    <w:spacing w:line="20" w:lineRule="atLeast"/>
                    <w:jc w:val="center"/>
                    <w:rPr>
                      <w:b/>
                      <w:color w:val="auto"/>
                      <w:spacing w:val="-10"/>
                      <w:sz w:val="18"/>
                      <w:szCs w:val="18"/>
                    </w:rPr>
                  </w:pPr>
                  <w:r>
                    <w:rPr>
                      <w:b/>
                      <w:color w:val="auto"/>
                      <w:spacing w:val="-10"/>
                      <w:sz w:val="18"/>
                      <w:szCs w:val="18"/>
                    </w:rPr>
                    <w:t>污染物</w:t>
                  </w:r>
                </w:p>
              </w:tc>
              <w:tc>
                <w:tcPr>
                  <w:tcW w:w="553" w:type="dxa"/>
                  <w:vMerge w:val="restart"/>
                  <w:noWrap w:val="0"/>
                  <w:vAlign w:val="center"/>
                </w:tcPr>
                <w:p>
                  <w:pPr>
                    <w:spacing w:line="20" w:lineRule="atLeast"/>
                    <w:jc w:val="center"/>
                    <w:rPr>
                      <w:b/>
                      <w:color w:val="auto"/>
                      <w:spacing w:val="-10"/>
                      <w:sz w:val="18"/>
                      <w:szCs w:val="18"/>
                    </w:rPr>
                  </w:pPr>
                  <w:r>
                    <w:rPr>
                      <w:b/>
                      <w:color w:val="auto"/>
                      <w:spacing w:val="-10"/>
                      <w:sz w:val="18"/>
                      <w:szCs w:val="18"/>
                    </w:rPr>
                    <w:t>排放</w:t>
                  </w:r>
                </w:p>
                <w:p>
                  <w:pPr>
                    <w:spacing w:line="20" w:lineRule="atLeast"/>
                    <w:jc w:val="center"/>
                    <w:rPr>
                      <w:b/>
                      <w:color w:val="auto"/>
                      <w:spacing w:val="-10"/>
                      <w:sz w:val="18"/>
                      <w:szCs w:val="18"/>
                    </w:rPr>
                  </w:pPr>
                  <w:r>
                    <w:rPr>
                      <w:b/>
                      <w:color w:val="auto"/>
                      <w:spacing w:val="-10"/>
                      <w:sz w:val="18"/>
                      <w:szCs w:val="18"/>
                    </w:rPr>
                    <w:t>方式</w:t>
                  </w:r>
                </w:p>
              </w:tc>
              <w:tc>
                <w:tcPr>
                  <w:tcW w:w="1976" w:type="dxa"/>
                  <w:gridSpan w:val="3"/>
                  <w:noWrap w:val="0"/>
                  <w:vAlign w:val="center"/>
                </w:tcPr>
                <w:p>
                  <w:pPr>
                    <w:spacing w:line="20" w:lineRule="atLeast"/>
                    <w:jc w:val="center"/>
                    <w:rPr>
                      <w:b/>
                      <w:color w:val="auto"/>
                      <w:spacing w:val="-10"/>
                      <w:sz w:val="18"/>
                      <w:szCs w:val="18"/>
                    </w:rPr>
                  </w:pPr>
                  <w:r>
                    <w:rPr>
                      <w:b/>
                      <w:color w:val="auto"/>
                      <w:spacing w:val="-10"/>
                      <w:sz w:val="18"/>
                      <w:szCs w:val="18"/>
                    </w:rPr>
                    <w:t>产生情况</w:t>
                  </w:r>
                </w:p>
              </w:tc>
              <w:tc>
                <w:tcPr>
                  <w:tcW w:w="2837" w:type="dxa"/>
                  <w:gridSpan w:val="4"/>
                  <w:noWrap w:val="0"/>
                  <w:vAlign w:val="center"/>
                </w:tcPr>
                <w:p>
                  <w:pPr>
                    <w:spacing w:line="20" w:lineRule="atLeast"/>
                    <w:jc w:val="center"/>
                    <w:rPr>
                      <w:b/>
                      <w:color w:val="auto"/>
                      <w:spacing w:val="-10"/>
                      <w:sz w:val="18"/>
                      <w:szCs w:val="18"/>
                    </w:rPr>
                  </w:pPr>
                  <w:r>
                    <w:rPr>
                      <w:b/>
                      <w:bCs/>
                      <w:color w:val="auto"/>
                      <w:sz w:val="18"/>
                      <w:szCs w:val="18"/>
                    </w:rPr>
                    <w:t>治理设施</w:t>
                  </w:r>
                </w:p>
              </w:tc>
              <w:tc>
                <w:tcPr>
                  <w:tcW w:w="2177" w:type="dxa"/>
                  <w:gridSpan w:val="3"/>
                  <w:noWrap w:val="0"/>
                  <w:vAlign w:val="center"/>
                </w:tcPr>
                <w:p>
                  <w:pPr>
                    <w:spacing w:line="20" w:lineRule="atLeast"/>
                    <w:jc w:val="center"/>
                    <w:rPr>
                      <w:b/>
                      <w:color w:val="auto"/>
                      <w:spacing w:val="-10"/>
                      <w:sz w:val="18"/>
                      <w:szCs w:val="18"/>
                    </w:rPr>
                  </w:pPr>
                  <w:r>
                    <w:rPr>
                      <w:b/>
                      <w:color w:val="auto"/>
                      <w:spacing w:val="-10"/>
                      <w:sz w:val="18"/>
                      <w:szCs w:val="18"/>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8" w:type="dxa"/>
                  <w:vMerge w:val="continue"/>
                  <w:noWrap w:val="0"/>
                  <w:vAlign w:val="center"/>
                </w:tcPr>
                <w:p>
                  <w:pPr>
                    <w:spacing w:line="20" w:lineRule="atLeast"/>
                    <w:jc w:val="center"/>
                    <w:rPr>
                      <w:color w:val="auto"/>
                      <w:sz w:val="18"/>
                      <w:szCs w:val="18"/>
                    </w:rPr>
                  </w:pPr>
                </w:p>
              </w:tc>
              <w:tc>
                <w:tcPr>
                  <w:tcW w:w="553" w:type="dxa"/>
                  <w:vMerge w:val="continue"/>
                  <w:noWrap w:val="0"/>
                  <w:vAlign w:val="center"/>
                </w:tcPr>
                <w:p>
                  <w:pPr>
                    <w:spacing w:line="20" w:lineRule="atLeast"/>
                    <w:jc w:val="center"/>
                    <w:rPr>
                      <w:color w:val="auto"/>
                      <w:sz w:val="18"/>
                      <w:szCs w:val="18"/>
                    </w:rPr>
                  </w:pPr>
                </w:p>
              </w:tc>
              <w:tc>
                <w:tcPr>
                  <w:tcW w:w="553" w:type="dxa"/>
                  <w:vMerge w:val="continue"/>
                  <w:noWrap w:val="0"/>
                  <w:vAlign w:val="center"/>
                </w:tcPr>
                <w:p>
                  <w:pPr>
                    <w:spacing w:line="20" w:lineRule="atLeast"/>
                    <w:jc w:val="center"/>
                    <w:rPr>
                      <w:color w:val="auto"/>
                      <w:sz w:val="18"/>
                      <w:szCs w:val="18"/>
                    </w:rPr>
                  </w:pPr>
                </w:p>
              </w:tc>
              <w:tc>
                <w:tcPr>
                  <w:tcW w:w="584" w:type="dxa"/>
                  <w:noWrap w:val="0"/>
                  <w:vAlign w:val="center"/>
                </w:tcPr>
                <w:p>
                  <w:pPr>
                    <w:spacing w:line="20" w:lineRule="atLeast"/>
                    <w:jc w:val="center"/>
                    <w:rPr>
                      <w:b/>
                      <w:color w:val="auto"/>
                      <w:spacing w:val="-10"/>
                      <w:sz w:val="18"/>
                      <w:szCs w:val="18"/>
                    </w:rPr>
                  </w:pPr>
                  <w:r>
                    <w:rPr>
                      <w:b/>
                      <w:color w:val="auto"/>
                      <w:spacing w:val="-10"/>
                      <w:sz w:val="18"/>
                      <w:szCs w:val="18"/>
                    </w:rPr>
                    <w:t>产生量</w:t>
                  </w:r>
                </w:p>
                <w:p>
                  <w:pPr>
                    <w:spacing w:line="20" w:lineRule="atLeast"/>
                    <w:jc w:val="center"/>
                    <w:rPr>
                      <w:b/>
                      <w:color w:val="auto"/>
                      <w:spacing w:val="-10"/>
                      <w:sz w:val="18"/>
                      <w:szCs w:val="18"/>
                    </w:rPr>
                  </w:pPr>
                  <w:r>
                    <w:rPr>
                      <w:b/>
                      <w:color w:val="auto"/>
                      <w:spacing w:val="-10"/>
                      <w:sz w:val="18"/>
                      <w:szCs w:val="18"/>
                    </w:rPr>
                    <w:t>t/a</w:t>
                  </w:r>
                </w:p>
              </w:tc>
              <w:tc>
                <w:tcPr>
                  <w:tcW w:w="696" w:type="dxa"/>
                  <w:noWrap w:val="0"/>
                  <w:vAlign w:val="center"/>
                </w:tcPr>
                <w:p>
                  <w:pPr>
                    <w:spacing w:line="20" w:lineRule="atLeast"/>
                    <w:jc w:val="center"/>
                    <w:rPr>
                      <w:b/>
                      <w:color w:val="auto"/>
                      <w:spacing w:val="-10"/>
                      <w:sz w:val="18"/>
                      <w:szCs w:val="18"/>
                    </w:rPr>
                  </w:pPr>
                  <w:r>
                    <w:rPr>
                      <w:b/>
                      <w:color w:val="auto"/>
                      <w:spacing w:val="-10"/>
                      <w:sz w:val="18"/>
                      <w:szCs w:val="18"/>
                    </w:rPr>
                    <w:t>产生</w:t>
                  </w:r>
                </w:p>
                <w:p>
                  <w:pPr>
                    <w:spacing w:line="20" w:lineRule="atLeast"/>
                    <w:jc w:val="center"/>
                    <w:rPr>
                      <w:b/>
                      <w:color w:val="auto"/>
                      <w:spacing w:val="-10"/>
                      <w:sz w:val="18"/>
                      <w:szCs w:val="18"/>
                    </w:rPr>
                  </w:pPr>
                  <w:r>
                    <w:rPr>
                      <w:b/>
                      <w:color w:val="auto"/>
                      <w:spacing w:val="-10"/>
                      <w:sz w:val="18"/>
                      <w:szCs w:val="18"/>
                    </w:rPr>
                    <w:t>速率</w:t>
                  </w:r>
                </w:p>
                <w:p>
                  <w:pPr>
                    <w:spacing w:line="20" w:lineRule="atLeast"/>
                    <w:jc w:val="center"/>
                    <w:rPr>
                      <w:b/>
                      <w:color w:val="auto"/>
                      <w:spacing w:val="-10"/>
                      <w:sz w:val="18"/>
                      <w:szCs w:val="18"/>
                    </w:rPr>
                  </w:pPr>
                  <w:r>
                    <w:rPr>
                      <w:b/>
                      <w:color w:val="auto"/>
                      <w:spacing w:val="-10"/>
                      <w:sz w:val="18"/>
                      <w:szCs w:val="18"/>
                    </w:rPr>
                    <w:t>kg/h</w:t>
                  </w:r>
                </w:p>
              </w:tc>
              <w:tc>
                <w:tcPr>
                  <w:tcW w:w="696" w:type="dxa"/>
                  <w:noWrap w:val="0"/>
                  <w:vAlign w:val="center"/>
                </w:tcPr>
                <w:p>
                  <w:pPr>
                    <w:spacing w:line="20" w:lineRule="atLeast"/>
                    <w:jc w:val="center"/>
                    <w:rPr>
                      <w:b/>
                      <w:color w:val="auto"/>
                      <w:spacing w:val="-10"/>
                      <w:sz w:val="18"/>
                      <w:szCs w:val="18"/>
                    </w:rPr>
                  </w:pPr>
                  <w:r>
                    <w:rPr>
                      <w:b/>
                      <w:color w:val="auto"/>
                      <w:spacing w:val="-10"/>
                      <w:sz w:val="18"/>
                      <w:szCs w:val="18"/>
                    </w:rPr>
                    <w:t>产生</w:t>
                  </w:r>
                </w:p>
                <w:p>
                  <w:pPr>
                    <w:spacing w:line="20" w:lineRule="atLeast"/>
                    <w:jc w:val="center"/>
                    <w:rPr>
                      <w:b/>
                      <w:color w:val="auto"/>
                      <w:spacing w:val="-10"/>
                      <w:sz w:val="18"/>
                      <w:szCs w:val="18"/>
                    </w:rPr>
                  </w:pPr>
                  <w:r>
                    <w:rPr>
                      <w:b/>
                      <w:color w:val="auto"/>
                      <w:spacing w:val="-10"/>
                      <w:sz w:val="18"/>
                      <w:szCs w:val="18"/>
                    </w:rPr>
                    <w:t>浓度</w:t>
                  </w:r>
                </w:p>
                <w:p>
                  <w:pPr>
                    <w:spacing w:line="20" w:lineRule="atLeast"/>
                    <w:jc w:val="center"/>
                    <w:rPr>
                      <w:b/>
                      <w:color w:val="auto"/>
                      <w:spacing w:val="-10"/>
                      <w:sz w:val="18"/>
                      <w:szCs w:val="18"/>
                      <w:vertAlign w:val="superscript"/>
                    </w:rPr>
                  </w:pPr>
                  <w:r>
                    <w:rPr>
                      <w:b/>
                      <w:color w:val="auto"/>
                      <w:spacing w:val="-10"/>
                      <w:sz w:val="18"/>
                      <w:szCs w:val="18"/>
                    </w:rPr>
                    <w:t>mg/m</w:t>
                  </w:r>
                  <w:r>
                    <w:rPr>
                      <w:b/>
                      <w:color w:val="auto"/>
                      <w:spacing w:val="-10"/>
                      <w:sz w:val="18"/>
                      <w:szCs w:val="18"/>
                      <w:vertAlign w:val="superscript"/>
                    </w:rPr>
                    <w:t>3</w:t>
                  </w:r>
                </w:p>
              </w:tc>
              <w:tc>
                <w:tcPr>
                  <w:tcW w:w="964" w:type="dxa"/>
                  <w:noWrap w:val="0"/>
                  <w:vAlign w:val="center"/>
                </w:tcPr>
                <w:p>
                  <w:pPr>
                    <w:spacing w:line="20" w:lineRule="atLeast"/>
                    <w:jc w:val="center"/>
                    <w:rPr>
                      <w:b/>
                      <w:bCs/>
                      <w:color w:val="auto"/>
                      <w:sz w:val="18"/>
                      <w:szCs w:val="18"/>
                    </w:rPr>
                  </w:pPr>
                  <w:r>
                    <w:rPr>
                      <w:b/>
                      <w:bCs/>
                      <w:color w:val="auto"/>
                      <w:sz w:val="18"/>
                      <w:szCs w:val="18"/>
                    </w:rPr>
                    <w:t>治理工艺</w:t>
                  </w:r>
                </w:p>
              </w:tc>
              <w:tc>
                <w:tcPr>
                  <w:tcW w:w="635" w:type="dxa"/>
                  <w:noWrap w:val="0"/>
                  <w:vAlign w:val="center"/>
                </w:tcPr>
                <w:p>
                  <w:pPr>
                    <w:spacing w:line="20" w:lineRule="atLeast"/>
                    <w:jc w:val="center"/>
                    <w:rPr>
                      <w:b/>
                      <w:bCs/>
                      <w:color w:val="auto"/>
                      <w:sz w:val="18"/>
                      <w:szCs w:val="18"/>
                    </w:rPr>
                  </w:pPr>
                  <w:r>
                    <w:rPr>
                      <w:b/>
                      <w:bCs/>
                      <w:color w:val="auto"/>
                      <w:sz w:val="18"/>
                      <w:szCs w:val="18"/>
                    </w:rPr>
                    <w:t>处理</w:t>
                  </w:r>
                </w:p>
                <w:p>
                  <w:pPr>
                    <w:spacing w:line="20" w:lineRule="atLeast"/>
                    <w:jc w:val="center"/>
                    <w:rPr>
                      <w:b/>
                      <w:bCs/>
                      <w:color w:val="auto"/>
                      <w:sz w:val="18"/>
                      <w:szCs w:val="18"/>
                    </w:rPr>
                  </w:pPr>
                  <w:r>
                    <w:rPr>
                      <w:b/>
                      <w:bCs/>
                      <w:color w:val="auto"/>
                      <w:sz w:val="18"/>
                      <w:szCs w:val="18"/>
                    </w:rPr>
                    <w:t>能力</w:t>
                  </w:r>
                </w:p>
                <w:p>
                  <w:pPr>
                    <w:spacing w:line="20" w:lineRule="atLeast"/>
                    <w:jc w:val="center"/>
                    <w:rPr>
                      <w:b/>
                      <w:bCs/>
                      <w:color w:val="auto"/>
                      <w:sz w:val="18"/>
                      <w:szCs w:val="18"/>
                    </w:rPr>
                  </w:pPr>
                  <w:r>
                    <w:rPr>
                      <w:b/>
                      <w:bCs/>
                      <w:color w:val="auto"/>
                      <w:sz w:val="18"/>
                      <w:szCs w:val="18"/>
                    </w:rPr>
                    <w:t>m</w:t>
                  </w:r>
                  <w:r>
                    <w:rPr>
                      <w:b/>
                      <w:bCs/>
                      <w:color w:val="auto"/>
                      <w:sz w:val="18"/>
                      <w:szCs w:val="18"/>
                      <w:vertAlign w:val="superscript"/>
                    </w:rPr>
                    <w:t>3</w:t>
                  </w:r>
                  <w:r>
                    <w:rPr>
                      <w:b/>
                      <w:bCs/>
                      <w:color w:val="auto"/>
                      <w:sz w:val="18"/>
                      <w:szCs w:val="18"/>
                    </w:rPr>
                    <w:t>/h</w:t>
                  </w:r>
                </w:p>
              </w:tc>
              <w:tc>
                <w:tcPr>
                  <w:tcW w:w="619" w:type="dxa"/>
                  <w:noWrap w:val="0"/>
                  <w:vAlign w:val="center"/>
                </w:tcPr>
                <w:p>
                  <w:pPr>
                    <w:spacing w:line="20" w:lineRule="atLeast"/>
                    <w:jc w:val="center"/>
                    <w:rPr>
                      <w:b/>
                      <w:bCs/>
                      <w:color w:val="auto"/>
                      <w:sz w:val="18"/>
                      <w:szCs w:val="18"/>
                    </w:rPr>
                  </w:pPr>
                  <w:r>
                    <w:rPr>
                      <w:b/>
                      <w:bCs/>
                      <w:color w:val="auto"/>
                      <w:sz w:val="18"/>
                      <w:szCs w:val="18"/>
                    </w:rPr>
                    <w:t>收集</w:t>
                  </w:r>
                </w:p>
                <w:p>
                  <w:pPr>
                    <w:spacing w:line="20" w:lineRule="atLeast"/>
                    <w:jc w:val="center"/>
                    <w:rPr>
                      <w:b/>
                      <w:bCs/>
                      <w:color w:val="auto"/>
                      <w:sz w:val="18"/>
                      <w:szCs w:val="18"/>
                    </w:rPr>
                  </w:pPr>
                  <w:r>
                    <w:rPr>
                      <w:b/>
                      <w:bCs/>
                      <w:color w:val="auto"/>
                      <w:sz w:val="18"/>
                      <w:szCs w:val="18"/>
                    </w:rPr>
                    <w:t>效率</w:t>
                  </w:r>
                </w:p>
                <w:p>
                  <w:pPr>
                    <w:spacing w:line="20" w:lineRule="atLeast"/>
                    <w:jc w:val="center"/>
                    <w:rPr>
                      <w:b/>
                      <w:bCs/>
                      <w:color w:val="auto"/>
                      <w:sz w:val="18"/>
                      <w:szCs w:val="18"/>
                    </w:rPr>
                  </w:pPr>
                  <w:r>
                    <w:rPr>
                      <w:b/>
                      <w:bCs/>
                      <w:color w:val="auto"/>
                      <w:sz w:val="18"/>
                      <w:szCs w:val="18"/>
                    </w:rPr>
                    <w:t>%</w:t>
                  </w:r>
                </w:p>
              </w:tc>
              <w:tc>
                <w:tcPr>
                  <w:tcW w:w="619" w:type="dxa"/>
                  <w:noWrap w:val="0"/>
                  <w:vAlign w:val="center"/>
                </w:tcPr>
                <w:p>
                  <w:pPr>
                    <w:spacing w:line="20" w:lineRule="atLeast"/>
                    <w:jc w:val="center"/>
                    <w:rPr>
                      <w:b/>
                      <w:bCs/>
                      <w:color w:val="auto"/>
                      <w:sz w:val="18"/>
                      <w:szCs w:val="18"/>
                    </w:rPr>
                  </w:pPr>
                  <w:r>
                    <w:rPr>
                      <w:b/>
                      <w:bCs/>
                      <w:color w:val="auto"/>
                      <w:sz w:val="18"/>
                      <w:szCs w:val="18"/>
                    </w:rPr>
                    <w:t>处理</w:t>
                  </w:r>
                </w:p>
                <w:p>
                  <w:pPr>
                    <w:spacing w:line="20" w:lineRule="atLeast"/>
                    <w:jc w:val="center"/>
                    <w:rPr>
                      <w:b/>
                      <w:bCs/>
                      <w:color w:val="auto"/>
                      <w:sz w:val="18"/>
                      <w:szCs w:val="18"/>
                    </w:rPr>
                  </w:pPr>
                  <w:r>
                    <w:rPr>
                      <w:b/>
                      <w:bCs/>
                      <w:color w:val="auto"/>
                      <w:sz w:val="18"/>
                      <w:szCs w:val="18"/>
                    </w:rPr>
                    <w:t>效率</w:t>
                  </w:r>
                </w:p>
                <w:p>
                  <w:pPr>
                    <w:spacing w:line="20" w:lineRule="atLeast"/>
                    <w:jc w:val="center"/>
                    <w:rPr>
                      <w:b/>
                      <w:bCs/>
                      <w:color w:val="auto"/>
                      <w:sz w:val="18"/>
                      <w:szCs w:val="18"/>
                    </w:rPr>
                  </w:pPr>
                  <w:r>
                    <w:rPr>
                      <w:b/>
                      <w:bCs/>
                      <w:color w:val="auto"/>
                      <w:sz w:val="18"/>
                      <w:szCs w:val="18"/>
                    </w:rPr>
                    <w:t>%</w:t>
                  </w:r>
                </w:p>
              </w:tc>
              <w:tc>
                <w:tcPr>
                  <w:tcW w:w="726" w:type="dxa"/>
                  <w:noWrap w:val="0"/>
                  <w:vAlign w:val="center"/>
                </w:tcPr>
                <w:p>
                  <w:pPr>
                    <w:spacing w:line="20" w:lineRule="atLeast"/>
                    <w:jc w:val="center"/>
                    <w:rPr>
                      <w:b/>
                      <w:color w:val="auto"/>
                      <w:spacing w:val="-10"/>
                      <w:sz w:val="18"/>
                      <w:szCs w:val="18"/>
                    </w:rPr>
                  </w:pPr>
                  <w:r>
                    <w:rPr>
                      <w:b/>
                      <w:color w:val="auto"/>
                      <w:spacing w:val="-10"/>
                      <w:sz w:val="18"/>
                      <w:szCs w:val="18"/>
                    </w:rPr>
                    <w:t>排放</w:t>
                  </w:r>
                </w:p>
                <w:p>
                  <w:pPr>
                    <w:spacing w:line="20" w:lineRule="atLeast"/>
                    <w:jc w:val="center"/>
                    <w:rPr>
                      <w:b/>
                      <w:color w:val="auto"/>
                      <w:spacing w:val="-10"/>
                      <w:sz w:val="18"/>
                      <w:szCs w:val="18"/>
                    </w:rPr>
                  </w:pPr>
                  <w:r>
                    <w:rPr>
                      <w:b/>
                      <w:color w:val="auto"/>
                      <w:spacing w:val="-10"/>
                      <w:sz w:val="18"/>
                      <w:szCs w:val="18"/>
                    </w:rPr>
                    <w:t>量</w:t>
                  </w:r>
                </w:p>
                <w:p>
                  <w:pPr>
                    <w:spacing w:line="20" w:lineRule="atLeast"/>
                    <w:jc w:val="center"/>
                    <w:rPr>
                      <w:b/>
                      <w:color w:val="auto"/>
                      <w:spacing w:val="-10"/>
                      <w:sz w:val="18"/>
                      <w:szCs w:val="18"/>
                    </w:rPr>
                  </w:pPr>
                  <w:r>
                    <w:rPr>
                      <w:b/>
                      <w:color w:val="auto"/>
                      <w:spacing w:val="-10"/>
                      <w:sz w:val="18"/>
                      <w:szCs w:val="18"/>
                    </w:rPr>
                    <w:t>t/a</w:t>
                  </w:r>
                </w:p>
              </w:tc>
              <w:tc>
                <w:tcPr>
                  <w:tcW w:w="726" w:type="dxa"/>
                  <w:noWrap w:val="0"/>
                  <w:vAlign w:val="center"/>
                </w:tcPr>
                <w:p>
                  <w:pPr>
                    <w:spacing w:line="20" w:lineRule="atLeast"/>
                    <w:jc w:val="center"/>
                    <w:rPr>
                      <w:b/>
                      <w:color w:val="auto"/>
                      <w:spacing w:val="-10"/>
                      <w:sz w:val="18"/>
                      <w:szCs w:val="18"/>
                    </w:rPr>
                  </w:pPr>
                  <w:r>
                    <w:rPr>
                      <w:b/>
                      <w:color w:val="auto"/>
                      <w:spacing w:val="-10"/>
                      <w:sz w:val="18"/>
                      <w:szCs w:val="18"/>
                    </w:rPr>
                    <w:t>排放</w:t>
                  </w:r>
                </w:p>
                <w:p>
                  <w:pPr>
                    <w:spacing w:line="20" w:lineRule="atLeast"/>
                    <w:jc w:val="center"/>
                    <w:rPr>
                      <w:b/>
                      <w:color w:val="auto"/>
                      <w:spacing w:val="-10"/>
                      <w:sz w:val="18"/>
                      <w:szCs w:val="18"/>
                    </w:rPr>
                  </w:pPr>
                  <w:r>
                    <w:rPr>
                      <w:b/>
                      <w:color w:val="auto"/>
                      <w:spacing w:val="-10"/>
                      <w:sz w:val="18"/>
                      <w:szCs w:val="18"/>
                    </w:rPr>
                    <w:t>速率</w:t>
                  </w:r>
                </w:p>
                <w:p>
                  <w:pPr>
                    <w:spacing w:line="20" w:lineRule="atLeast"/>
                    <w:jc w:val="center"/>
                    <w:rPr>
                      <w:b/>
                      <w:color w:val="auto"/>
                      <w:spacing w:val="-10"/>
                      <w:sz w:val="18"/>
                      <w:szCs w:val="18"/>
                    </w:rPr>
                  </w:pPr>
                  <w:r>
                    <w:rPr>
                      <w:b/>
                      <w:color w:val="auto"/>
                      <w:spacing w:val="-10"/>
                      <w:sz w:val="18"/>
                      <w:szCs w:val="18"/>
                    </w:rPr>
                    <w:t>kg/h</w:t>
                  </w:r>
                </w:p>
              </w:tc>
              <w:tc>
                <w:tcPr>
                  <w:tcW w:w="725" w:type="dxa"/>
                  <w:noWrap w:val="0"/>
                  <w:vAlign w:val="center"/>
                </w:tcPr>
                <w:p>
                  <w:pPr>
                    <w:spacing w:line="20" w:lineRule="atLeast"/>
                    <w:jc w:val="center"/>
                    <w:rPr>
                      <w:b/>
                      <w:color w:val="auto"/>
                      <w:spacing w:val="-10"/>
                      <w:sz w:val="18"/>
                      <w:szCs w:val="18"/>
                    </w:rPr>
                  </w:pPr>
                  <w:r>
                    <w:rPr>
                      <w:b/>
                      <w:color w:val="auto"/>
                      <w:spacing w:val="-10"/>
                      <w:sz w:val="18"/>
                      <w:szCs w:val="18"/>
                    </w:rPr>
                    <w:t>排放</w:t>
                  </w:r>
                </w:p>
                <w:p>
                  <w:pPr>
                    <w:spacing w:line="20" w:lineRule="atLeast"/>
                    <w:jc w:val="center"/>
                    <w:rPr>
                      <w:b/>
                      <w:color w:val="auto"/>
                      <w:spacing w:val="-10"/>
                      <w:sz w:val="18"/>
                      <w:szCs w:val="18"/>
                    </w:rPr>
                  </w:pPr>
                  <w:r>
                    <w:rPr>
                      <w:b/>
                      <w:color w:val="auto"/>
                      <w:spacing w:val="-10"/>
                      <w:sz w:val="18"/>
                      <w:szCs w:val="18"/>
                    </w:rPr>
                    <w:t>浓度</w:t>
                  </w:r>
                </w:p>
                <w:p>
                  <w:pPr>
                    <w:spacing w:line="20" w:lineRule="atLeast"/>
                    <w:jc w:val="center"/>
                    <w:rPr>
                      <w:b/>
                      <w:color w:val="auto"/>
                      <w:spacing w:val="-10"/>
                      <w:sz w:val="18"/>
                      <w:szCs w:val="18"/>
                    </w:rPr>
                  </w:pPr>
                  <w:r>
                    <w:rPr>
                      <w:b/>
                      <w:color w:val="auto"/>
                      <w:spacing w:val="-10"/>
                      <w:sz w:val="18"/>
                      <w:szCs w:val="18"/>
                    </w:rPr>
                    <w:t>mg/m</w:t>
                  </w:r>
                  <w:r>
                    <w:rPr>
                      <w:b/>
                      <w:color w:val="auto"/>
                      <w:spacing w:val="-10"/>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8" w:type="dxa"/>
                  <w:vMerge w:val="restart"/>
                  <w:noWrap w:val="0"/>
                  <w:vAlign w:val="center"/>
                </w:tcPr>
                <w:p>
                  <w:pPr>
                    <w:topLinePunct/>
                    <w:adjustRightInd w:val="0"/>
                    <w:snapToGrid w:val="0"/>
                    <w:jc w:val="center"/>
                    <w:textAlignment w:val="center"/>
                    <w:rPr>
                      <w:color w:val="auto"/>
                      <w:kern w:val="0"/>
                      <w:sz w:val="18"/>
                      <w:szCs w:val="18"/>
                    </w:rPr>
                  </w:pPr>
                  <w:r>
                    <w:rPr>
                      <w:rFonts w:hint="eastAsia"/>
                      <w:color w:val="auto"/>
                      <w:sz w:val="18"/>
                      <w:szCs w:val="18"/>
                    </w:rPr>
                    <w:t>燃烧器燃烧废气、干燥滚筒烘干废气</w:t>
                  </w:r>
                </w:p>
              </w:tc>
              <w:tc>
                <w:tcPr>
                  <w:tcW w:w="553" w:type="dxa"/>
                  <w:noWrap w:val="0"/>
                  <w:vAlign w:val="center"/>
                </w:tcPr>
                <w:p>
                  <w:pPr>
                    <w:spacing w:line="20" w:lineRule="atLeast"/>
                    <w:jc w:val="center"/>
                    <w:rPr>
                      <w:bCs/>
                      <w:color w:val="auto"/>
                      <w:spacing w:val="-10"/>
                      <w:sz w:val="18"/>
                      <w:szCs w:val="18"/>
                    </w:rPr>
                  </w:pPr>
                  <w:r>
                    <w:rPr>
                      <w:bCs/>
                      <w:color w:val="auto"/>
                      <w:spacing w:val="-10"/>
                      <w:sz w:val="18"/>
                      <w:szCs w:val="18"/>
                    </w:rPr>
                    <w:t>颗粒物</w:t>
                  </w:r>
                </w:p>
              </w:tc>
              <w:tc>
                <w:tcPr>
                  <w:tcW w:w="553" w:type="dxa"/>
                  <w:vMerge w:val="restart"/>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有组织</w:t>
                  </w:r>
                </w:p>
              </w:tc>
              <w:tc>
                <w:tcPr>
                  <w:tcW w:w="584"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1.968</w:t>
                  </w:r>
                </w:p>
              </w:tc>
              <w:tc>
                <w:tcPr>
                  <w:tcW w:w="69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1.64</w:t>
                  </w:r>
                </w:p>
              </w:tc>
              <w:tc>
                <w:tcPr>
                  <w:tcW w:w="69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82</w:t>
                  </w:r>
                </w:p>
              </w:tc>
              <w:tc>
                <w:tcPr>
                  <w:tcW w:w="964" w:type="dxa"/>
                  <w:noWrap w:val="0"/>
                  <w:vAlign w:val="center"/>
                </w:tcPr>
                <w:p>
                  <w:pPr>
                    <w:spacing w:line="20" w:lineRule="atLeast"/>
                    <w:jc w:val="center"/>
                    <w:rPr>
                      <w:rFonts w:hint="eastAsia"/>
                      <w:bCs/>
                      <w:color w:val="auto"/>
                      <w:spacing w:val="-10"/>
                      <w:sz w:val="18"/>
                      <w:szCs w:val="18"/>
                    </w:rPr>
                  </w:pPr>
                  <w:r>
                    <w:rPr>
                      <w:bCs/>
                      <w:color w:val="auto"/>
                      <w:spacing w:val="-10"/>
                      <w:sz w:val="18"/>
                      <w:szCs w:val="18"/>
                    </w:rPr>
                    <w:t>袋式除尘器</w:t>
                  </w:r>
                </w:p>
              </w:tc>
              <w:tc>
                <w:tcPr>
                  <w:tcW w:w="635"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20000</w:t>
                  </w:r>
                </w:p>
              </w:tc>
              <w:tc>
                <w:tcPr>
                  <w:tcW w:w="619" w:type="dxa"/>
                  <w:noWrap w:val="0"/>
                  <w:vAlign w:val="center"/>
                </w:tcPr>
                <w:p>
                  <w:pPr>
                    <w:spacing w:line="20" w:lineRule="atLeast"/>
                    <w:jc w:val="center"/>
                    <w:rPr>
                      <w:bCs/>
                      <w:color w:val="auto"/>
                      <w:spacing w:val="-10"/>
                      <w:sz w:val="18"/>
                      <w:szCs w:val="18"/>
                    </w:rPr>
                  </w:pPr>
                  <w:r>
                    <w:rPr>
                      <w:bCs/>
                      <w:color w:val="auto"/>
                      <w:spacing w:val="-10"/>
                      <w:sz w:val="18"/>
                      <w:szCs w:val="18"/>
                    </w:rPr>
                    <w:t>/</w:t>
                  </w:r>
                </w:p>
              </w:tc>
              <w:tc>
                <w:tcPr>
                  <w:tcW w:w="6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99</w:t>
                  </w:r>
                </w:p>
              </w:tc>
              <w:tc>
                <w:tcPr>
                  <w:tcW w:w="72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0.02</w:t>
                  </w:r>
                </w:p>
              </w:tc>
              <w:tc>
                <w:tcPr>
                  <w:tcW w:w="72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0.0164</w:t>
                  </w:r>
                </w:p>
              </w:tc>
              <w:tc>
                <w:tcPr>
                  <w:tcW w:w="725"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8" w:type="dxa"/>
                  <w:vMerge w:val="continue"/>
                  <w:noWrap w:val="0"/>
                  <w:vAlign w:val="center"/>
                </w:tcPr>
                <w:p>
                  <w:pPr>
                    <w:topLinePunct/>
                    <w:adjustRightInd w:val="0"/>
                    <w:snapToGrid w:val="0"/>
                    <w:jc w:val="center"/>
                    <w:textAlignment w:val="center"/>
                    <w:rPr>
                      <w:color w:val="auto"/>
                      <w:kern w:val="0"/>
                      <w:sz w:val="18"/>
                      <w:szCs w:val="18"/>
                    </w:rPr>
                  </w:pPr>
                </w:p>
              </w:tc>
              <w:tc>
                <w:tcPr>
                  <w:tcW w:w="553" w:type="dxa"/>
                  <w:noWrap w:val="0"/>
                  <w:vAlign w:val="center"/>
                </w:tcPr>
                <w:p>
                  <w:pPr>
                    <w:spacing w:line="20" w:lineRule="atLeast"/>
                    <w:jc w:val="center"/>
                    <w:rPr>
                      <w:bCs/>
                      <w:color w:val="auto"/>
                      <w:spacing w:val="-10"/>
                      <w:sz w:val="18"/>
                      <w:szCs w:val="18"/>
                      <w:vertAlign w:val="subscript"/>
                    </w:rPr>
                  </w:pPr>
                  <w:r>
                    <w:rPr>
                      <w:rFonts w:hint="eastAsia"/>
                      <w:bCs/>
                      <w:color w:val="auto"/>
                      <w:spacing w:val="-10"/>
                      <w:sz w:val="18"/>
                      <w:szCs w:val="18"/>
                    </w:rPr>
                    <w:t>SO</w:t>
                  </w:r>
                  <w:r>
                    <w:rPr>
                      <w:rFonts w:hint="eastAsia"/>
                      <w:bCs/>
                      <w:color w:val="auto"/>
                      <w:spacing w:val="-10"/>
                      <w:sz w:val="18"/>
                      <w:szCs w:val="18"/>
                      <w:vertAlign w:val="subscript"/>
                    </w:rPr>
                    <w:t>2</w:t>
                  </w:r>
                </w:p>
              </w:tc>
              <w:tc>
                <w:tcPr>
                  <w:tcW w:w="553" w:type="dxa"/>
                  <w:vMerge w:val="continue"/>
                  <w:noWrap w:val="0"/>
                  <w:vAlign w:val="center"/>
                </w:tcPr>
                <w:p>
                  <w:pPr>
                    <w:spacing w:line="20" w:lineRule="atLeast"/>
                    <w:jc w:val="center"/>
                    <w:rPr>
                      <w:bCs/>
                      <w:color w:val="auto"/>
                      <w:spacing w:val="-10"/>
                      <w:sz w:val="18"/>
                      <w:szCs w:val="18"/>
                    </w:rPr>
                  </w:pPr>
                </w:p>
              </w:tc>
              <w:tc>
                <w:tcPr>
                  <w:tcW w:w="584"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1.71</w:t>
                  </w:r>
                </w:p>
              </w:tc>
              <w:tc>
                <w:tcPr>
                  <w:tcW w:w="69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1.425</w:t>
                  </w:r>
                </w:p>
              </w:tc>
              <w:tc>
                <w:tcPr>
                  <w:tcW w:w="69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71.25</w:t>
                  </w:r>
                </w:p>
              </w:tc>
              <w:tc>
                <w:tcPr>
                  <w:tcW w:w="964"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w:t>
                  </w:r>
                </w:p>
              </w:tc>
              <w:tc>
                <w:tcPr>
                  <w:tcW w:w="635" w:type="dxa"/>
                  <w:noWrap w:val="0"/>
                  <w:vAlign w:val="center"/>
                </w:tcPr>
                <w:p>
                  <w:pPr>
                    <w:spacing w:line="20" w:lineRule="atLeast"/>
                    <w:jc w:val="center"/>
                    <w:rPr>
                      <w:bCs/>
                      <w:color w:val="auto"/>
                      <w:spacing w:val="-10"/>
                      <w:sz w:val="18"/>
                      <w:szCs w:val="18"/>
                    </w:rPr>
                  </w:pPr>
                  <w:r>
                    <w:rPr>
                      <w:bCs/>
                      <w:color w:val="auto"/>
                      <w:spacing w:val="-10"/>
                      <w:sz w:val="18"/>
                      <w:szCs w:val="18"/>
                    </w:rPr>
                    <w:t>/</w:t>
                  </w:r>
                </w:p>
              </w:tc>
              <w:tc>
                <w:tcPr>
                  <w:tcW w:w="6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100</w:t>
                  </w:r>
                </w:p>
              </w:tc>
              <w:tc>
                <w:tcPr>
                  <w:tcW w:w="619"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w:t>
                  </w:r>
                </w:p>
              </w:tc>
              <w:tc>
                <w:tcPr>
                  <w:tcW w:w="72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1.71</w:t>
                  </w:r>
                </w:p>
              </w:tc>
              <w:tc>
                <w:tcPr>
                  <w:tcW w:w="72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1.425</w:t>
                  </w:r>
                </w:p>
              </w:tc>
              <w:tc>
                <w:tcPr>
                  <w:tcW w:w="725"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8" w:type="dxa"/>
                  <w:vMerge w:val="continue"/>
                  <w:noWrap w:val="0"/>
                  <w:vAlign w:val="center"/>
                </w:tcPr>
                <w:p>
                  <w:pPr>
                    <w:topLinePunct/>
                    <w:adjustRightInd w:val="0"/>
                    <w:snapToGrid w:val="0"/>
                    <w:jc w:val="center"/>
                    <w:textAlignment w:val="center"/>
                    <w:rPr>
                      <w:bCs/>
                      <w:color w:val="auto"/>
                      <w:spacing w:val="-10"/>
                      <w:sz w:val="18"/>
                      <w:szCs w:val="18"/>
                    </w:rPr>
                  </w:pPr>
                </w:p>
              </w:tc>
              <w:tc>
                <w:tcPr>
                  <w:tcW w:w="553"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NOx</w:t>
                  </w:r>
                </w:p>
              </w:tc>
              <w:tc>
                <w:tcPr>
                  <w:tcW w:w="553" w:type="dxa"/>
                  <w:vMerge w:val="continue"/>
                  <w:noWrap w:val="0"/>
                  <w:vAlign w:val="center"/>
                </w:tcPr>
                <w:p>
                  <w:pPr>
                    <w:spacing w:line="20" w:lineRule="atLeast"/>
                    <w:jc w:val="center"/>
                    <w:rPr>
                      <w:bCs/>
                      <w:color w:val="auto"/>
                      <w:spacing w:val="-10"/>
                      <w:sz w:val="18"/>
                      <w:szCs w:val="18"/>
                    </w:rPr>
                  </w:pPr>
                </w:p>
              </w:tc>
              <w:tc>
                <w:tcPr>
                  <w:tcW w:w="584"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2.16</w:t>
                  </w:r>
                </w:p>
              </w:tc>
              <w:tc>
                <w:tcPr>
                  <w:tcW w:w="69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1.8</w:t>
                  </w:r>
                </w:p>
              </w:tc>
              <w:tc>
                <w:tcPr>
                  <w:tcW w:w="69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90</w:t>
                  </w:r>
                </w:p>
              </w:tc>
              <w:tc>
                <w:tcPr>
                  <w:tcW w:w="964"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w:t>
                  </w:r>
                </w:p>
              </w:tc>
              <w:tc>
                <w:tcPr>
                  <w:tcW w:w="635" w:type="dxa"/>
                  <w:noWrap w:val="0"/>
                  <w:vAlign w:val="center"/>
                </w:tcPr>
                <w:p>
                  <w:pPr>
                    <w:spacing w:line="20" w:lineRule="atLeast"/>
                    <w:jc w:val="center"/>
                    <w:rPr>
                      <w:bCs/>
                      <w:color w:val="auto"/>
                      <w:spacing w:val="-10"/>
                      <w:sz w:val="18"/>
                      <w:szCs w:val="18"/>
                    </w:rPr>
                  </w:pPr>
                  <w:r>
                    <w:rPr>
                      <w:bCs/>
                      <w:color w:val="auto"/>
                      <w:spacing w:val="-10"/>
                      <w:sz w:val="18"/>
                      <w:szCs w:val="18"/>
                    </w:rPr>
                    <w:t>/</w:t>
                  </w:r>
                </w:p>
              </w:tc>
              <w:tc>
                <w:tcPr>
                  <w:tcW w:w="6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100</w:t>
                  </w:r>
                </w:p>
              </w:tc>
              <w:tc>
                <w:tcPr>
                  <w:tcW w:w="6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w:t>
                  </w:r>
                </w:p>
              </w:tc>
              <w:tc>
                <w:tcPr>
                  <w:tcW w:w="726"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2.16</w:t>
                  </w:r>
                </w:p>
              </w:tc>
              <w:tc>
                <w:tcPr>
                  <w:tcW w:w="726"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1.8</w:t>
                  </w:r>
                </w:p>
              </w:tc>
              <w:tc>
                <w:tcPr>
                  <w:tcW w:w="725"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90</w:t>
                  </w:r>
                </w:p>
              </w:tc>
            </w:tr>
          </w:tbl>
          <w:p>
            <w:pPr>
              <w:adjustRightInd w:val="0"/>
              <w:snapToGrid w:val="0"/>
              <w:ind w:firstLine="440" w:firstLineChars="200"/>
              <w:rPr>
                <w:bCs/>
                <w:color w:val="auto"/>
                <w:spacing w:val="-10"/>
                <w:sz w:val="24"/>
              </w:rPr>
            </w:pPr>
          </w:p>
          <w:p>
            <w:pPr>
              <w:adjustRightInd w:val="0"/>
              <w:snapToGrid w:val="0"/>
              <w:spacing w:line="360" w:lineRule="auto"/>
              <w:ind w:firstLine="442" w:firstLineChars="200"/>
              <w:rPr>
                <w:rFonts w:hint="eastAsia"/>
                <w:b/>
                <w:color w:val="auto"/>
                <w:spacing w:val="-10"/>
                <w:sz w:val="24"/>
              </w:rPr>
            </w:pPr>
            <w:r>
              <w:rPr>
                <w:rFonts w:hint="eastAsia"/>
                <w:b/>
                <w:color w:val="auto"/>
                <w:spacing w:val="-10"/>
                <w:sz w:val="24"/>
              </w:rPr>
              <w:t>（6）搅拌器加热、</w:t>
            </w:r>
            <w:r>
              <w:rPr>
                <w:b/>
                <w:color w:val="auto"/>
                <w:spacing w:val="-10"/>
                <w:sz w:val="24"/>
              </w:rPr>
              <w:t>搅拌</w:t>
            </w:r>
            <w:r>
              <w:rPr>
                <w:rFonts w:hint="eastAsia"/>
                <w:b/>
                <w:color w:val="auto"/>
                <w:spacing w:val="-10"/>
                <w:sz w:val="24"/>
              </w:rPr>
              <w:t>、出料废气</w:t>
            </w:r>
          </w:p>
          <w:p>
            <w:pPr>
              <w:adjustRightInd w:val="0"/>
              <w:snapToGrid w:val="0"/>
              <w:spacing w:line="360" w:lineRule="auto"/>
              <w:ind w:firstLine="440" w:firstLineChars="200"/>
              <w:rPr>
                <w:bCs/>
                <w:color w:val="auto"/>
                <w:spacing w:val="-10"/>
                <w:sz w:val="24"/>
              </w:rPr>
            </w:pPr>
            <w:r>
              <w:rPr>
                <w:bCs/>
                <w:color w:val="auto"/>
                <w:spacing w:val="-10"/>
                <w:sz w:val="24"/>
              </w:rPr>
              <w:t>①产生情况</w:t>
            </w:r>
          </w:p>
          <w:p>
            <w:pPr>
              <w:adjustRightInd w:val="0"/>
              <w:snapToGrid w:val="0"/>
              <w:spacing w:line="360" w:lineRule="auto"/>
              <w:ind w:firstLine="440" w:firstLineChars="200"/>
              <w:rPr>
                <w:bCs/>
                <w:color w:val="auto"/>
                <w:spacing w:val="-10"/>
                <w:sz w:val="24"/>
              </w:rPr>
            </w:pPr>
            <w:r>
              <w:rPr>
                <w:rFonts w:hint="eastAsia"/>
                <w:bCs/>
                <w:color w:val="auto"/>
                <w:spacing w:val="-10"/>
                <w:sz w:val="24"/>
              </w:rPr>
              <w:t>加热废气：</w:t>
            </w:r>
            <w:r>
              <w:rPr>
                <w:bCs/>
                <w:color w:val="auto"/>
                <w:spacing w:val="-10"/>
                <w:sz w:val="24"/>
              </w:rPr>
              <w:t>本项目</w:t>
            </w:r>
            <w:r>
              <w:rPr>
                <w:rFonts w:hint="eastAsia"/>
                <w:bCs/>
                <w:color w:val="auto"/>
                <w:spacing w:val="-10"/>
                <w:sz w:val="24"/>
              </w:rPr>
              <w:t>搅拌器在加热</w:t>
            </w:r>
            <w:r>
              <w:rPr>
                <w:bCs/>
                <w:color w:val="auto"/>
                <w:spacing w:val="-10"/>
                <w:sz w:val="24"/>
              </w:rPr>
              <w:t>过程中会产生沥青烟、苯并[a]芘、非甲烷总烃。沥青烟是指石油沥青及沥青制品生产过程中排放的液态烃类有机颗粒物质和少量在常温下的气态烃类物质，它含有多种化学物质的混合烟气，以烃类混合物为主要成分，其中含多环芳烃物质尤多，以苯并[a]芘为代表的多环芳烃类是强致癌物质。根据《有机化合物污染化学》（清华大学出版社，1990年8月出本）的有关资料，每吨石油沥青在加热过程中产生沥青烟56.25g，苯并[a]芘气体约0.01g~0.15g（本次评价取平均值0.0125g）；根据《沥青烟气净化研究》等资料，非甲烷总烃按沥青烟的70%计。</w:t>
            </w:r>
          </w:p>
          <w:p>
            <w:pPr>
              <w:adjustRightInd w:val="0"/>
              <w:snapToGrid w:val="0"/>
              <w:spacing w:line="360" w:lineRule="auto"/>
              <w:ind w:firstLine="440" w:firstLineChars="200"/>
              <w:rPr>
                <w:bCs/>
                <w:color w:val="auto"/>
                <w:spacing w:val="-10"/>
                <w:sz w:val="24"/>
              </w:rPr>
            </w:pPr>
            <w:r>
              <w:rPr>
                <w:bCs/>
                <w:color w:val="auto"/>
                <w:spacing w:val="-10"/>
                <w:sz w:val="24"/>
              </w:rPr>
              <w:t>根据建设单位提供的资料，本项目沥青年用量为3000t/a、沥青洗刨料（沥青约5%、骨料约95%）年用量为40000t/a，折算后沥青总用量为5000t/a，则本项目运营期沥青烟产生量为</w:t>
            </w:r>
            <w:r>
              <w:rPr>
                <w:rFonts w:hint="eastAsia"/>
                <w:bCs/>
                <w:color w:val="auto"/>
                <w:spacing w:val="-10"/>
                <w:sz w:val="24"/>
              </w:rPr>
              <w:t>0.2813t/a、苯并[a]芘产生量为6.25×10</w:t>
            </w:r>
            <w:r>
              <w:rPr>
                <w:rFonts w:hint="eastAsia"/>
                <w:bCs/>
                <w:color w:val="auto"/>
                <w:spacing w:val="-10"/>
                <w:sz w:val="24"/>
                <w:vertAlign w:val="superscript"/>
              </w:rPr>
              <w:t>-5</w:t>
            </w:r>
            <w:r>
              <w:rPr>
                <w:rFonts w:hint="eastAsia"/>
                <w:bCs/>
                <w:color w:val="auto"/>
                <w:spacing w:val="-10"/>
                <w:sz w:val="24"/>
              </w:rPr>
              <w:t>t/a、非甲烷总烃产生量为0.197t/a。</w:t>
            </w:r>
          </w:p>
          <w:p>
            <w:pPr>
              <w:adjustRightInd w:val="0"/>
              <w:snapToGrid w:val="0"/>
              <w:spacing w:line="360" w:lineRule="auto"/>
              <w:ind w:firstLine="440" w:firstLineChars="200"/>
              <w:rPr>
                <w:bCs/>
                <w:color w:val="auto"/>
                <w:spacing w:val="-10"/>
                <w:sz w:val="24"/>
              </w:rPr>
            </w:pPr>
            <w:r>
              <w:rPr>
                <w:rFonts w:hint="eastAsia"/>
                <w:bCs/>
                <w:color w:val="auto"/>
                <w:spacing w:val="-10"/>
                <w:sz w:val="24"/>
              </w:rPr>
              <w:t>搅拌废气：沥青在搅拌过程中会产生一定量为沥青烟、苯并[a]芘、非甲烷总烃，根据同类生产项目，本项目搅拌过程中产生量按加热过程中产生量的1%计，则搅拌废气中沥青烟产生量为0.0028/ta、苯并芘产生量为6.25×10</w:t>
            </w:r>
            <w:r>
              <w:rPr>
                <w:rFonts w:hint="eastAsia"/>
                <w:bCs/>
                <w:color w:val="auto"/>
                <w:spacing w:val="-10"/>
                <w:sz w:val="24"/>
                <w:vertAlign w:val="superscript"/>
              </w:rPr>
              <w:t>-7</w:t>
            </w:r>
            <w:r>
              <w:rPr>
                <w:rFonts w:hint="eastAsia"/>
                <w:bCs/>
                <w:color w:val="auto"/>
                <w:spacing w:val="-10"/>
                <w:sz w:val="24"/>
              </w:rPr>
              <w:t>t/a、非甲烷总烃产生量为0.002t/a。</w:t>
            </w:r>
          </w:p>
          <w:p>
            <w:pPr>
              <w:adjustRightInd w:val="0"/>
              <w:snapToGrid w:val="0"/>
              <w:spacing w:line="360" w:lineRule="auto"/>
              <w:ind w:firstLine="440" w:firstLineChars="200"/>
              <w:rPr>
                <w:bCs/>
                <w:color w:val="auto"/>
                <w:spacing w:val="-10"/>
                <w:sz w:val="24"/>
              </w:rPr>
            </w:pPr>
            <w:r>
              <w:rPr>
                <w:rFonts w:hint="eastAsia"/>
                <w:bCs/>
                <w:color w:val="auto"/>
                <w:spacing w:val="-10"/>
                <w:sz w:val="24"/>
              </w:rPr>
              <w:t>出料废气：沥青在出料过程中会产生一定量为沥青烟、苯并[a]芘、非甲烷总烃，根据同类生产项目，本项目出料过程中产生量按加热过程中产生量的0.5%计，则搅拌废气中沥青烟产生量为0.0014/ta、苯并[a]芘产生量为3.13×10</w:t>
            </w:r>
            <w:r>
              <w:rPr>
                <w:rFonts w:hint="eastAsia"/>
                <w:bCs/>
                <w:color w:val="auto"/>
                <w:spacing w:val="-10"/>
                <w:sz w:val="24"/>
                <w:vertAlign w:val="superscript"/>
              </w:rPr>
              <w:t>-7</w:t>
            </w:r>
            <w:r>
              <w:rPr>
                <w:rFonts w:hint="eastAsia"/>
                <w:bCs/>
                <w:color w:val="auto"/>
                <w:spacing w:val="-10"/>
                <w:sz w:val="24"/>
              </w:rPr>
              <w:t>t/a、非甲烷总烃产生量为0.001t/a。</w:t>
            </w:r>
          </w:p>
          <w:p>
            <w:pPr>
              <w:adjustRightInd w:val="0"/>
              <w:snapToGrid w:val="0"/>
              <w:spacing w:line="360" w:lineRule="auto"/>
              <w:ind w:firstLine="440" w:firstLineChars="200"/>
              <w:rPr>
                <w:rFonts w:hint="eastAsia"/>
                <w:bCs/>
                <w:color w:val="auto"/>
                <w:spacing w:val="-10"/>
                <w:sz w:val="24"/>
              </w:rPr>
            </w:pPr>
            <w:r>
              <w:rPr>
                <w:rFonts w:hint="eastAsia"/>
                <w:bCs/>
                <w:color w:val="auto"/>
                <w:spacing w:val="-10"/>
                <w:sz w:val="24"/>
              </w:rPr>
              <w:t>综上所述，本项目搅拌器加热、搅拌、出料过程中产生的废气合计为沥青烟0.2855t/a、苯并[a]芘6.34×10</w:t>
            </w:r>
            <w:r>
              <w:rPr>
                <w:rFonts w:hint="eastAsia"/>
                <w:bCs/>
                <w:color w:val="auto"/>
                <w:spacing w:val="-10"/>
                <w:sz w:val="24"/>
                <w:vertAlign w:val="superscript"/>
              </w:rPr>
              <w:t>-7</w:t>
            </w:r>
            <w:r>
              <w:rPr>
                <w:rFonts w:hint="eastAsia"/>
                <w:bCs/>
                <w:color w:val="auto"/>
                <w:spacing w:val="-10"/>
                <w:sz w:val="24"/>
              </w:rPr>
              <w:t>t/a、非甲烷总烃0.2t/a。</w:t>
            </w:r>
          </w:p>
          <w:p>
            <w:pPr>
              <w:adjustRightInd w:val="0"/>
              <w:snapToGrid w:val="0"/>
              <w:spacing w:line="360" w:lineRule="auto"/>
              <w:ind w:firstLine="440" w:firstLineChars="200"/>
              <w:rPr>
                <w:bCs/>
                <w:color w:val="auto"/>
                <w:spacing w:val="-10"/>
                <w:sz w:val="24"/>
              </w:rPr>
            </w:pPr>
            <w:r>
              <w:rPr>
                <w:bCs/>
                <w:color w:val="auto"/>
                <w:spacing w:val="-10"/>
                <w:sz w:val="24"/>
              </w:rPr>
              <w:t>②</w:t>
            </w:r>
            <w:r>
              <w:rPr>
                <w:rFonts w:hint="eastAsia"/>
                <w:bCs/>
                <w:color w:val="auto"/>
                <w:spacing w:val="-10"/>
                <w:sz w:val="24"/>
              </w:rPr>
              <w:t>收集治理、排放情况</w:t>
            </w:r>
          </w:p>
          <w:p>
            <w:pPr>
              <w:adjustRightInd w:val="0"/>
              <w:snapToGrid w:val="0"/>
              <w:spacing w:line="360" w:lineRule="auto"/>
              <w:ind w:firstLine="440" w:firstLineChars="200"/>
              <w:rPr>
                <w:rFonts w:hint="eastAsia"/>
                <w:bCs/>
                <w:color w:val="auto"/>
                <w:spacing w:val="-10"/>
                <w:sz w:val="24"/>
              </w:rPr>
            </w:pPr>
            <w:r>
              <w:rPr>
                <w:bCs/>
                <w:color w:val="auto"/>
                <w:spacing w:val="-10"/>
                <w:sz w:val="24"/>
              </w:rPr>
              <w:t>本项目产生的搅拌器加热、搅拌、出料废气设置集气罩+袋式除尘器+活性炭吸附装置</w:t>
            </w:r>
            <w:r>
              <w:rPr>
                <w:rFonts w:hint="eastAsia"/>
                <w:bCs/>
                <w:color w:val="auto"/>
                <w:spacing w:val="-10"/>
                <w:sz w:val="24"/>
              </w:rPr>
              <w:t>（风机风量设计为10000m</w:t>
            </w:r>
            <w:r>
              <w:rPr>
                <w:rFonts w:hint="eastAsia"/>
                <w:bCs/>
                <w:color w:val="auto"/>
                <w:spacing w:val="-10"/>
                <w:sz w:val="24"/>
                <w:vertAlign w:val="superscript"/>
              </w:rPr>
              <w:t>3</w:t>
            </w:r>
            <w:r>
              <w:rPr>
                <w:rFonts w:hint="eastAsia"/>
                <w:bCs/>
                <w:color w:val="auto"/>
                <w:spacing w:val="-10"/>
                <w:sz w:val="24"/>
              </w:rPr>
              <w:t>/h）</w:t>
            </w:r>
            <w:r>
              <w:rPr>
                <w:bCs/>
                <w:color w:val="auto"/>
                <w:spacing w:val="-10"/>
                <w:sz w:val="24"/>
              </w:rPr>
              <w:t>处理，处理后通过15m的排气筒（DA003）排放。</w:t>
            </w:r>
            <w:r>
              <w:rPr>
                <w:rFonts w:hint="eastAsia"/>
                <w:bCs/>
                <w:color w:val="auto"/>
                <w:spacing w:val="-10"/>
                <w:sz w:val="24"/>
              </w:rPr>
              <w:t>废气收集效率按90%计，沥青烟处理效率按99%计，苯并[a]芘处理效率按50%计，非甲烷总烃处理效率按50%计，则本项目搅拌器加热、搅拌、出料废气的排放情况如下表：</w:t>
            </w:r>
          </w:p>
          <w:p>
            <w:pPr>
              <w:adjustRightInd w:val="0"/>
              <w:snapToGrid w:val="0"/>
              <w:jc w:val="center"/>
              <w:rPr>
                <w:b/>
                <w:color w:val="auto"/>
                <w:spacing w:val="-10"/>
                <w:sz w:val="24"/>
              </w:rPr>
            </w:pPr>
            <w:r>
              <w:rPr>
                <w:b/>
                <w:color w:val="auto"/>
                <w:spacing w:val="-10"/>
                <w:sz w:val="24"/>
              </w:rPr>
              <w:t>表4-</w:t>
            </w:r>
            <w:r>
              <w:rPr>
                <w:rFonts w:hint="eastAsia"/>
                <w:b/>
                <w:color w:val="auto"/>
                <w:spacing w:val="-10"/>
                <w:sz w:val="24"/>
              </w:rPr>
              <w:t xml:space="preserve">4 </w:t>
            </w:r>
            <w:r>
              <w:rPr>
                <w:b/>
                <w:color w:val="auto"/>
                <w:spacing w:val="-10"/>
                <w:sz w:val="24"/>
              </w:rPr>
              <w:t xml:space="preserve"> 本项目搅拌器加热、搅拌、出料废气排放情况表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737"/>
              <w:gridCol w:w="597"/>
              <w:gridCol w:w="826"/>
              <w:gridCol w:w="676"/>
              <w:gridCol w:w="694"/>
              <w:gridCol w:w="896"/>
              <w:gridCol w:w="635"/>
              <w:gridCol w:w="601"/>
              <w:gridCol w:w="593"/>
              <w:gridCol w:w="699"/>
              <w:gridCol w:w="719"/>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vMerge w:val="restart"/>
                  <w:noWrap w:val="0"/>
                  <w:vAlign w:val="center"/>
                </w:tcPr>
                <w:p>
                  <w:pPr>
                    <w:spacing w:line="20" w:lineRule="atLeast"/>
                    <w:jc w:val="center"/>
                    <w:rPr>
                      <w:b/>
                      <w:color w:val="auto"/>
                      <w:spacing w:val="-10"/>
                      <w:sz w:val="18"/>
                      <w:szCs w:val="18"/>
                    </w:rPr>
                  </w:pPr>
                  <w:r>
                    <w:rPr>
                      <w:b/>
                      <w:color w:val="auto"/>
                      <w:spacing w:val="-10"/>
                      <w:sz w:val="18"/>
                      <w:szCs w:val="18"/>
                    </w:rPr>
                    <w:t>产排污</w:t>
                  </w:r>
                </w:p>
                <w:p>
                  <w:pPr>
                    <w:spacing w:line="20" w:lineRule="atLeast"/>
                    <w:jc w:val="center"/>
                    <w:rPr>
                      <w:b/>
                      <w:color w:val="auto"/>
                      <w:spacing w:val="-10"/>
                      <w:sz w:val="18"/>
                      <w:szCs w:val="18"/>
                    </w:rPr>
                  </w:pPr>
                  <w:r>
                    <w:rPr>
                      <w:b/>
                      <w:color w:val="auto"/>
                      <w:spacing w:val="-10"/>
                      <w:sz w:val="18"/>
                      <w:szCs w:val="18"/>
                    </w:rPr>
                    <w:t>环节</w:t>
                  </w:r>
                </w:p>
              </w:tc>
              <w:tc>
                <w:tcPr>
                  <w:tcW w:w="737" w:type="dxa"/>
                  <w:vMerge w:val="restart"/>
                  <w:noWrap w:val="0"/>
                  <w:vAlign w:val="center"/>
                </w:tcPr>
                <w:p>
                  <w:pPr>
                    <w:spacing w:line="20" w:lineRule="atLeast"/>
                    <w:jc w:val="center"/>
                    <w:rPr>
                      <w:b/>
                      <w:color w:val="auto"/>
                      <w:spacing w:val="-10"/>
                      <w:sz w:val="18"/>
                      <w:szCs w:val="18"/>
                    </w:rPr>
                  </w:pPr>
                  <w:r>
                    <w:rPr>
                      <w:b/>
                      <w:color w:val="auto"/>
                      <w:spacing w:val="-10"/>
                      <w:sz w:val="18"/>
                      <w:szCs w:val="18"/>
                    </w:rPr>
                    <w:t>污染物</w:t>
                  </w:r>
                </w:p>
              </w:tc>
              <w:tc>
                <w:tcPr>
                  <w:tcW w:w="597" w:type="dxa"/>
                  <w:vMerge w:val="restart"/>
                  <w:noWrap w:val="0"/>
                  <w:vAlign w:val="center"/>
                </w:tcPr>
                <w:p>
                  <w:pPr>
                    <w:spacing w:line="20" w:lineRule="atLeast"/>
                    <w:jc w:val="center"/>
                    <w:rPr>
                      <w:b/>
                      <w:color w:val="auto"/>
                      <w:spacing w:val="-10"/>
                      <w:sz w:val="18"/>
                      <w:szCs w:val="18"/>
                    </w:rPr>
                  </w:pPr>
                  <w:r>
                    <w:rPr>
                      <w:b/>
                      <w:color w:val="auto"/>
                      <w:spacing w:val="-10"/>
                      <w:sz w:val="18"/>
                      <w:szCs w:val="18"/>
                    </w:rPr>
                    <w:t>排放</w:t>
                  </w:r>
                </w:p>
                <w:p>
                  <w:pPr>
                    <w:spacing w:line="20" w:lineRule="atLeast"/>
                    <w:jc w:val="center"/>
                    <w:rPr>
                      <w:b/>
                      <w:color w:val="auto"/>
                      <w:spacing w:val="-10"/>
                      <w:sz w:val="18"/>
                      <w:szCs w:val="18"/>
                    </w:rPr>
                  </w:pPr>
                  <w:r>
                    <w:rPr>
                      <w:b/>
                      <w:color w:val="auto"/>
                      <w:spacing w:val="-10"/>
                      <w:sz w:val="18"/>
                      <w:szCs w:val="18"/>
                    </w:rPr>
                    <w:t>方式</w:t>
                  </w:r>
                </w:p>
              </w:tc>
              <w:tc>
                <w:tcPr>
                  <w:tcW w:w="2196" w:type="dxa"/>
                  <w:gridSpan w:val="3"/>
                  <w:noWrap w:val="0"/>
                  <w:vAlign w:val="center"/>
                </w:tcPr>
                <w:p>
                  <w:pPr>
                    <w:spacing w:line="20" w:lineRule="atLeast"/>
                    <w:jc w:val="center"/>
                    <w:rPr>
                      <w:b/>
                      <w:color w:val="auto"/>
                      <w:spacing w:val="-10"/>
                      <w:sz w:val="18"/>
                      <w:szCs w:val="18"/>
                    </w:rPr>
                  </w:pPr>
                  <w:r>
                    <w:rPr>
                      <w:b/>
                      <w:color w:val="auto"/>
                      <w:spacing w:val="-10"/>
                      <w:sz w:val="18"/>
                      <w:szCs w:val="18"/>
                    </w:rPr>
                    <w:t>产生情况</w:t>
                  </w:r>
                </w:p>
              </w:tc>
              <w:tc>
                <w:tcPr>
                  <w:tcW w:w="2725" w:type="dxa"/>
                  <w:gridSpan w:val="4"/>
                  <w:noWrap w:val="0"/>
                  <w:vAlign w:val="center"/>
                </w:tcPr>
                <w:p>
                  <w:pPr>
                    <w:spacing w:line="20" w:lineRule="atLeast"/>
                    <w:jc w:val="center"/>
                    <w:rPr>
                      <w:b/>
                      <w:color w:val="auto"/>
                      <w:spacing w:val="-10"/>
                      <w:sz w:val="18"/>
                      <w:szCs w:val="18"/>
                    </w:rPr>
                  </w:pPr>
                  <w:r>
                    <w:rPr>
                      <w:b/>
                      <w:bCs/>
                      <w:color w:val="auto"/>
                      <w:sz w:val="18"/>
                      <w:szCs w:val="18"/>
                    </w:rPr>
                    <w:t>治理设施</w:t>
                  </w:r>
                </w:p>
              </w:tc>
              <w:tc>
                <w:tcPr>
                  <w:tcW w:w="2137" w:type="dxa"/>
                  <w:gridSpan w:val="3"/>
                  <w:noWrap w:val="0"/>
                  <w:vAlign w:val="center"/>
                </w:tcPr>
                <w:p>
                  <w:pPr>
                    <w:spacing w:line="20" w:lineRule="atLeast"/>
                    <w:jc w:val="center"/>
                    <w:rPr>
                      <w:b/>
                      <w:color w:val="auto"/>
                      <w:spacing w:val="-10"/>
                      <w:sz w:val="18"/>
                      <w:szCs w:val="18"/>
                    </w:rPr>
                  </w:pPr>
                  <w:r>
                    <w:rPr>
                      <w:b/>
                      <w:color w:val="auto"/>
                      <w:spacing w:val="-10"/>
                      <w:sz w:val="18"/>
                      <w:szCs w:val="18"/>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vMerge w:val="continue"/>
                  <w:noWrap w:val="0"/>
                  <w:vAlign w:val="center"/>
                </w:tcPr>
                <w:p>
                  <w:pPr>
                    <w:spacing w:line="20" w:lineRule="atLeast"/>
                    <w:jc w:val="center"/>
                    <w:rPr>
                      <w:color w:val="auto"/>
                      <w:sz w:val="18"/>
                      <w:szCs w:val="18"/>
                    </w:rPr>
                  </w:pPr>
                </w:p>
              </w:tc>
              <w:tc>
                <w:tcPr>
                  <w:tcW w:w="737" w:type="dxa"/>
                  <w:vMerge w:val="continue"/>
                  <w:noWrap w:val="0"/>
                  <w:vAlign w:val="center"/>
                </w:tcPr>
                <w:p>
                  <w:pPr>
                    <w:spacing w:line="20" w:lineRule="atLeast"/>
                    <w:jc w:val="center"/>
                    <w:rPr>
                      <w:color w:val="auto"/>
                      <w:sz w:val="18"/>
                      <w:szCs w:val="18"/>
                    </w:rPr>
                  </w:pPr>
                </w:p>
              </w:tc>
              <w:tc>
                <w:tcPr>
                  <w:tcW w:w="597" w:type="dxa"/>
                  <w:vMerge w:val="continue"/>
                  <w:noWrap w:val="0"/>
                  <w:vAlign w:val="center"/>
                </w:tcPr>
                <w:p>
                  <w:pPr>
                    <w:spacing w:line="20" w:lineRule="atLeast"/>
                    <w:jc w:val="center"/>
                    <w:rPr>
                      <w:color w:val="auto"/>
                      <w:sz w:val="18"/>
                      <w:szCs w:val="18"/>
                    </w:rPr>
                  </w:pPr>
                </w:p>
              </w:tc>
              <w:tc>
                <w:tcPr>
                  <w:tcW w:w="826" w:type="dxa"/>
                  <w:noWrap w:val="0"/>
                  <w:vAlign w:val="center"/>
                </w:tcPr>
                <w:p>
                  <w:pPr>
                    <w:spacing w:line="20" w:lineRule="atLeast"/>
                    <w:jc w:val="center"/>
                    <w:rPr>
                      <w:b/>
                      <w:color w:val="auto"/>
                      <w:spacing w:val="-10"/>
                      <w:sz w:val="18"/>
                      <w:szCs w:val="18"/>
                    </w:rPr>
                  </w:pPr>
                  <w:r>
                    <w:rPr>
                      <w:b/>
                      <w:color w:val="auto"/>
                      <w:spacing w:val="-10"/>
                      <w:sz w:val="18"/>
                      <w:szCs w:val="18"/>
                    </w:rPr>
                    <w:t>产生量</w:t>
                  </w:r>
                </w:p>
                <w:p>
                  <w:pPr>
                    <w:spacing w:line="20" w:lineRule="atLeast"/>
                    <w:jc w:val="center"/>
                    <w:rPr>
                      <w:b/>
                      <w:color w:val="auto"/>
                      <w:spacing w:val="-10"/>
                      <w:sz w:val="18"/>
                      <w:szCs w:val="18"/>
                    </w:rPr>
                  </w:pPr>
                  <w:r>
                    <w:rPr>
                      <w:b/>
                      <w:color w:val="auto"/>
                      <w:spacing w:val="-10"/>
                      <w:sz w:val="18"/>
                      <w:szCs w:val="18"/>
                    </w:rPr>
                    <w:t>t/a</w:t>
                  </w:r>
                </w:p>
              </w:tc>
              <w:tc>
                <w:tcPr>
                  <w:tcW w:w="676" w:type="dxa"/>
                  <w:noWrap w:val="0"/>
                  <w:vAlign w:val="center"/>
                </w:tcPr>
                <w:p>
                  <w:pPr>
                    <w:spacing w:line="20" w:lineRule="atLeast"/>
                    <w:jc w:val="center"/>
                    <w:rPr>
                      <w:b/>
                      <w:color w:val="auto"/>
                      <w:spacing w:val="-10"/>
                      <w:sz w:val="18"/>
                      <w:szCs w:val="18"/>
                    </w:rPr>
                  </w:pPr>
                  <w:r>
                    <w:rPr>
                      <w:b/>
                      <w:color w:val="auto"/>
                      <w:spacing w:val="-10"/>
                      <w:sz w:val="18"/>
                      <w:szCs w:val="18"/>
                    </w:rPr>
                    <w:t>产生</w:t>
                  </w:r>
                </w:p>
                <w:p>
                  <w:pPr>
                    <w:spacing w:line="20" w:lineRule="atLeast"/>
                    <w:jc w:val="center"/>
                    <w:rPr>
                      <w:b/>
                      <w:color w:val="auto"/>
                      <w:spacing w:val="-10"/>
                      <w:sz w:val="18"/>
                      <w:szCs w:val="18"/>
                    </w:rPr>
                  </w:pPr>
                  <w:r>
                    <w:rPr>
                      <w:b/>
                      <w:color w:val="auto"/>
                      <w:spacing w:val="-10"/>
                      <w:sz w:val="18"/>
                      <w:szCs w:val="18"/>
                    </w:rPr>
                    <w:t>速率</w:t>
                  </w:r>
                </w:p>
                <w:p>
                  <w:pPr>
                    <w:spacing w:line="20" w:lineRule="atLeast"/>
                    <w:jc w:val="center"/>
                    <w:rPr>
                      <w:b/>
                      <w:color w:val="auto"/>
                      <w:spacing w:val="-10"/>
                      <w:sz w:val="18"/>
                      <w:szCs w:val="18"/>
                    </w:rPr>
                  </w:pPr>
                  <w:r>
                    <w:rPr>
                      <w:b/>
                      <w:color w:val="auto"/>
                      <w:spacing w:val="-10"/>
                      <w:sz w:val="18"/>
                      <w:szCs w:val="18"/>
                    </w:rPr>
                    <w:t>kg/h</w:t>
                  </w:r>
                </w:p>
              </w:tc>
              <w:tc>
                <w:tcPr>
                  <w:tcW w:w="694" w:type="dxa"/>
                  <w:noWrap w:val="0"/>
                  <w:vAlign w:val="center"/>
                </w:tcPr>
                <w:p>
                  <w:pPr>
                    <w:spacing w:line="20" w:lineRule="atLeast"/>
                    <w:jc w:val="center"/>
                    <w:rPr>
                      <w:b/>
                      <w:color w:val="auto"/>
                      <w:spacing w:val="-10"/>
                      <w:sz w:val="18"/>
                      <w:szCs w:val="18"/>
                    </w:rPr>
                  </w:pPr>
                  <w:r>
                    <w:rPr>
                      <w:b/>
                      <w:color w:val="auto"/>
                      <w:spacing w:val="-10"/>
                      <w:sz w:val="18"/>
                      <w:szCs w:val="18"/>
                    </w:rPr>
                    <w:t>产生</w:t>
                  </w:r>
                </w:p>
                <w:p>
                  <w:pPr>
                    <w:spacing w:line="20" w:lineRule="atLeast"/>
                    <w:jc w:val="center"/>
                    <w:rPr>
                      <w:b/>
                      <w:color w:val="auto"/>
                      <w:spacing w:val="-10"/>
                      <w:sz w:val="18"/>
                      <w:szCs w:val="18"/>
                    </w:rPr>
                  </w:pPr>
                  <w:r>
                    <w:rPr>
                      <w:b/>
                      <w:color w:val="auto"/>
                      <w:spacing w:val="-10"/>
                      <w:sz w:val="18"/>
                      <w:szCs w:val="18"/>
                    </w:rPr>
                    <w:t>浓度</w:t>
                  </w:r>
                </w:p>
                <w:p>
                  <w:pPr>
                    <w:spacing w:line="20" w:lineRule="atLeast"/>
                    <w:jc w:val="center"/>
                    <w:rPr>
                      <w:b/>
                      <w:color w:val="auto"/>
                      <w:spacing w:val="-10"/>
                      <w:sz w:val="18"/>
                      <w:szCs w:val="18"/>
                      <w:vertAlign w:val="superscript"/>
                    </w:rPr>
                  </w:pPr>
                  <w:r>
                    <w:rPr>
                      <w:b/>
                      <w:color w:val="auto"/>
                      <w:spacing w:val="-10"/>
                      <w:sz w:val="18"/>
                      <w:szCs w:val="18"/>
                    </w:rPr>
                    <w:t>mg/m</w:t>
                  </w:r>
                  <w:r>
                    <w:rPr>
                      <w:b/>
                      <w:color w:val="auto"/>
                      <w:spacing w:val="-10"/>
                      <w:sz w:val="18"/>
                      <w:szCs w:val="18"/>
                      <w:vertAlign w:val="superscript"/>
                    </w:rPr>
                    <w:t>3</w:t>
                  </w:r>
                </w:p>
              </w:tc>
              <w:tc>
                <w:tcPr>
                  <w:tcW w:w="896" w:type="dxa"/>
                  <w:noWrap w:val="0"/>
                  <w:vAlign w:val="center"/>
                </w:tcPr>
                <w:p>
                  <w:pPr>
                    <w:spacing w:line="20" w:lineRule="atLeast"/>
                    <w:jc w:val="center"/>
                    <w:rPr>
                      <w:b/>
                      <w:bCs/>
                      <w:color w:val="auto"/>
                      <w:sz w:val="18"/>
                      <w:szCs w:val="18"/>
                    </w:rPr>
                  </w:pPr>
                  <w:r>
                    <w:rPr>
                      <w:b/>
                      <w:bCs/>
                      <w:color w:val="auto"/>
                      <w:sz w:val="18"/>
                      <w:szCs w:val="18"/>
                    </w:rPr>
                    <w:t>治理工艺</w:t>
                  </w:r>
                </w:p>
              </w:tc>
              <w:tc>
                <w:tcPr>
                  <w:tcW w:w="635" w:type="dxa"/>
                  <w:noWrap w:val="0"/>
                  <w:vAlign w:val="center"/>
                </w:tcPr>
                <w:p>
                  <w:pPr>
                    <w:spacing w:line="20" w:lineRule="atLeast"/>
                    <w:jc w:val="center"/>
                    <w:rPr>
                      <w:b/>
                      <w:bCs/>
                      <w:color w:val="auto"/>
                      <w:sz w:val="18"/>
                      <w:szCs w:val="18"/>
                    </w:rPr>
                  </w:pPr>
                  <w:r>
                    <w:rPr>
                      <w:b/>
                      <w:bCs/>
                      <w:color w:val="auto"/>
                      <w:sz w:val="18"/>
                      <w:szCs w:val="18"/>
                    </w:rPr>
                    <w:t>处理</w:t>
                  </w:r>
                </w:p>
                <w:p>
                  <w:pPr>
                    <w:spacing w:line="20" w:lineRule="atLeast"/>
                    <w:jc w:val="center"/>
                    <w:rPr>
                      <w:b/>
                      <w:bCs/>
                      <w:color w:val="auto"/>
                      <w:sz w:val="18"/>
                      <w:szCs w:val="18"/>
                    </w:rPr>
                  </w:pPr>
                  <w:r>
                    <w:rPr>
                      <w:b/>
                      <w:bCs/>
                      <w:color w:val="auto"/>
                      <w:sz w:val="18"/>
                      <w:szCs w:val="18"/>
                    </w:rPr>
                    <w:t>能力</w:t>
                  </w:r>
                </w:p>
                <w:p>
                  <w:pPr>
                    <w:spacing w:line="20" w:lineRule="atLeast"/>
                    <w:jc w:val="center"/>
                    <w:rPr>
                      <w:b/>
                      <w:bCs/>
                      <w:color w:val="auto"/>
                      <w:sz w:val="18"/>
                      <w:szCs w:val="18"/>
                    </w:rPr>
                  </w:pPr>
                  <w:r>
                    <w:rPr>
                      <w:b/>
                      <w:bCs/>
                      <w:color w:val="auto"/>
                      <w:sz w:val="18"/>
                      <w:szCs w:val="18"/>
                    </w:rPr>
                    <w:t>m</w:t>
                  </w:r>
                  <w:r>
                    <w:rPr>
                      <w:b/>
                      <w:bCs/>
                      <w:color w:val="auto"/>
                      <w:sz w:val="18"/>
                      <w:szCs w:val="18"/>
                      <w:vertAlign w:val="superscript"/>
                    </w:rPr>
                    <w:t>3</w:t>
                  </w:r>
                  <w:r>
                    <w:rPr>
                      <w:b/>
                      <w:bCs/>
                      <w:color w:val="auto"/>
                      <w:sz w:val="18"/>
                      <w:szCs w:val="18"/>
                    </w:rPr>
                    <w:t>/h</w:t>
                  </w:r>
                </w:p>
              </w:tc>
              <w:tc>
                <w:tcPr>
                  <w:tcW w:w="601" w:type="dxa"/>
                  <w:noWrap w:val="0"/>
                  <w:vAlign w:val="center"/>
                </w:tcPr>
                <w:p>
                  <w:pPr>
                    <w:spacing w:line="20" w:lineRule="atLeast"/>
                    <w:jc w:val="center"/>
                    <w:rPr>
                      <w:b/>
                      <w:bCs/>
                      <w:color w:val="auto"/>
                      <w:sz w:val="18"/>
                      <w:szCs w:val="18"/>
                    </w:rPr>
                  </w:pPr>
                  <w:r>
                    <w:rPr>
                      <w:b/>
                      <w:bCs/>
                      <w:color w:val="auto"/>
                      <w:sz w:val="18"/>
                      <w:szCs w:val="18"/>
                    </w:rPr>
                    <w:t>收集</w:t>
                  </w:r>
                </w:p>
                <w:p>
                  <w:pPr>
                    <w:spacing w:line="20" w:lineRule="atLeast"/>
                    <w:jc w:val="center"/>
                    <w:rPr>
                      <w:b/>
                      <w:bCs/>
                      <w:color w:val="auto"/>
                      <w:sz w:val="18"/>
                      <w:szCs w:val="18"/>
                    </w:rPr>
                  </w:pPr>
                  <w:r>
                    <w:rPr>
                      <w:b/>
                      <w:bCs/>
                      <w:color w:val="auto"/>
                      <w:sz w:val="18"/>
                      <w:szCs w:val="18"/>
                    </w:rPr>
                    <w:t>效率</w:t>
                  </w:r>
                </w:p>
                <w:p>
                  <w:pPr>
                    <w:spacing w:line="20" w:lineRule="atLeast"/>
                    <w:jc w:val="center"/>
                    <w:rPr>
                      <w:b/>
                      <w:bCs/>
                      <w:color w:val="auto"/>
                      <w:sz w:val="18"/>
                      <w:szCs w:val="18"/>
                    </w:rPr>
                  </w:pPr>
                  <w:r>
                    <w:rPr>
                      <w:b/>
                      <w:bCs/>
                      <w:color w:val="auto"/>
                      <w:sz w:val="18"/>
                      <w:szCs w:val="18"/>
                    </w:rPr>
                    <w:t>%</w:t>
                  </w:r>
                </w:p>
              </w:tc>
              <w:tc>
                <w:tcPr>
                  <w:tcW w:w="593" w:type="dxa"/>
                  <w:noWrap w:val="0"/>
                  <w:vAlign w:val="center"/>
                </w:tcPr>
                <w:p>
                  <w:pPr>
                    <w:spacing w:line="20" w:lineRule="atLeast"/>
                    <w:jc w:val="center"/>
                    <w:rPr>
                      <w:b/>
                      <w:bCs/>
                      <w:color w:val="auto"/>
                      <w:sz w:val="18"/>
                      <w:szCs w:val="18"/>
                    </w:rPr>
                  </w:pPr>
                  <w:r>
                    <w:rPr>
                      <w:b/>
                      <w:bCs/>
                      <w:color w:val="auto"/>
                      <w:sz w:val="18"/>
                      <w:szCs w:val="18"/>
                    </w:rPr>
                    <w:t>处理</w:t>
                  </w:r>
                </w:p>
                <w:p>
                  <w:pPr>
                    <w:spacing w:line="20" w:lineRule="atLeast"/>
                    <w:jc w:val="center"/>
                    <w:rPr>
                      <w:b/>
                      <w:bCs/>
                      <w:color w:val="auto"/>
                      <w:sz w:val="18"/>
                      <w:szCs w:val="18"/>
                    </w:rPr>
                  </w:pPr>
                  <w:r>
                    <w:rPr>
                      <w:b/>
                      <w:bCs/>
                      <w:color w:val="auto"/>
                      <w:sz w:val="18"/>
                      <w:szCs w:val="18"/>
                    </w:rPr>
                    <w:t>效率</w:t>
                  </w:r>
                </w:p>
                <w:p>
                  <w:pPr>
                    <w:spacing w:line="20" w:lineRule="atLeast"/>
                    <w:jc w:val="center"/>
                    <w:rPr>
                      <w:b/>
                      <w:bCs/>
                      <w:color w:val="auto"/>
                      <w:sz w:val="18"/>
                      <w:szCs w:val="18"/>
                    </w:rPr>
                  </w:pPr>
                  <w:r>
                    <w:rPr>
                      <w:b/>
                      <w:bCs/>
                      <w:color w:val="auto"/>
                      <w:sz w:val="18"/>
                      <w:szCs w:val="18"/>
                    </w:rPr>
                    <w:t>%</w:t>
                  </w:r>
                </w:p>
              </w:tc>
              <w:tc>
                <w:tcPr>
                  <w:tcW w:w="699" w:type="dxa"/>
                  <w:noWrap w:val="0"/>
                  <w:vAlign w:val="center"/>
                </w:tcPr>
                <w:p>
                  <w:pPr>
                    <w:spacing w:line="20" w:lineRule="atLeast"/>
                    <w:jc w:val="center"/>
                    <w:rPr>
                      <w:b/>
                      <w:color w:val="auto"/>
                      <w:spacing w:val="-10"/>
                      <w:sz w:val="18"/>
                      <w:szCs w:val="18"/>
                    </w:rPr>
                  </w:pPr>
                  <w:r>
                    <w:rPr>
                      <w:b/>
                      <w:color w:val="auto"/>
                      <w:spacing w:val="-10"/>
                      <w:sz w:val="18"/>
                      <w:szCs w:val="18"/>
                    </w:rPr>
                    <w:t>排放</w:t>
                  </w:r>
                </w:p>
                <w:p>
                  <w:pPr>
                    <w:spacing w:line="20" w:lineRule="atLeast"/>
                    <w:jc w:val="center"/>
                    <w:rPr>
                      <w:b/>
                      <w:color w:val="auto"/>
                      <w:spacing w:val="-10"/>
                      <w:sz w:val="18"/>
                      <w:szCs w:val="18"/>
                    </w:rPr>
                  </w:pPr>
                  <w:r>
                    <w:rPr>
                      <w:b/>
                      <w:color w:val="auto"/>
                      <w:spacing w:val="-10"/>
                      <w:sz w:val="18"/>
                      <w:szCs w:val="18"/>
                    </w:rPr>
                    <w:t>量</w:t>
                  </w:r>
                </w:p>
                <w:p>
                  <w:pPr>
                    <w:spacing w:line="20" w:lineRule="atLeast"/>
                    <w:jc w:val="center"/>
                    <w:rPr>
                      <w:b/>
                      <w:color w:val="auto"/>
                      <w:spacing w:val="-10"/>
                      <w:sz w:val="18"/>
                      <w:szCs w:val="18"/>
                    </w:rPr>
                  </w:pPr>
                  <w:r>
                    <w:rPr>
                      <w:b/>
                      <w:color w:val="auto"/>
                      <w:spacing w:val="-10"/>
                      <w:sz w:val="18"/>
                      <w:szCs w:val="18"/>
                    </w:rPr>
                    <w:t>t/a</w:t>
                  </w:r>
                </w:p>
              </w:tc>
              <w:tc>
                <w:tcPr>
                  <w:tcW w:w="719" w:type="dxa"/>
                  <w:noWrap w:val="0"/>
                  <w:vAlign w:val="center"/>
                </w:tcPr>
                <w:p>
                  <w:pPr>
                    <w:spacing w:line="20" w:lineRule="atLeast"/>
                    <w:jc w:val="center"/>
                    <w:rPr>
                      <w:b/>
                      <w:color w:val="auto"/>
                      <w:spacing w:val="-10"/>
                      <w:sz w:val="18"/>
                      <w:szCs w:val="18"/>
                    </w:rPr>
                  </w:pPr>
                  <w:r>
                    <w:rPr>
                      <w:b/>
                      <w:color w:val="auto"/>
                      <w:spacing w:val="-10"/>
                      <w:sz w:val="18"/>
                      <w:szCs w:val="18"/>
                    </w:rPr>
                    <w:t>排放</w:t>
                  </w:r>
                </w:p>
                <w:p>
                  <w:pPr>
                    <w:spacing w:line="20" w:lineRule="atLeast"/>
                    <w:jc w:val="center"/>
                    <w:rPr>
                      <w:b/>
                      <w:color w:val="auto"/>
                      <w:spacing w:val="-10"/>
                      <w:sz w:val="18"/>
                      <w:szCs w:val="18"/>
                    </w:rPr>
                  </w:pPr>
                  <w:r>
                    <w:rPr>
                      <w:b/>
                      <w:color w:val="auto"/>
                      <w:spacing w:val="-10"/>
                      <w:sz w:val="18"/>
                      <w:szCs w:val="18"/>
                    </w:rPr>
                    <w:t>速率</w:t>
                  </w:r>
                </w:p>
                <w:p>
                  <w:pPr>
                    <w:spacing w:line="20" w:lineRule="atLeast"/>
                    <w:jc w:val="center"/>
                    <w:rPr>
                      <w:b/>
                      <w:color w:val="auto"/>
                      <w:spacing w:val="-10"/>
                      <w:sz w:val="18"/>
                      <w:szCs w:val="18"/>
                    </w:rPr>
                  </w:pPr>
                  <w:r>
                    <w:rPr>
                      <w:b/>
                      <w:color w:val="auto"/>
                      <w:spacing w:val="-10"/>
                      <w:sz w:val="18"/>
                      <w:szCs w:val="18"/>
                    </w:rPr>
                    <w:t>kg/h</w:t>
                  </w:r>
                </w:p>
              </w:tc>
              <w:tc>
                <w:tcPr>
                  <w:tcW w:w="719" w:type="dxa"/>
                  <w:noWrap w:val="0"/>
                  <w:vAlign w:val="center"/>
                </w:tcPr>
                <w:p>
                  <w:pPr>
                    <w:spacing w:line="20" w:lineRule="atLeast"/>
                    <w:jc w:val="center"/>
                    <w:rPr>
                      <w:b/>
                      <w:color w:val="auto"/>
                      <w:spacing w:val="-10"/>
                      <w:sz w:val="18"/>
                      <w:szCs w:val="18"/>
                    </w:rPr>
                  </w:pPr>
                  <w:r>
                    <w:rPr>
                      <w:b/>
                      <w:color w:val="auto"/>
                      <w:spacing w:val="-10"/>
                      <w:sz w:val="18"/>
                      <w:szCs w:val="18"/>
                    </w:rPr>
                    <w:t>排放</w:t>
                  </w:r>
                </w:p>
                <w:p>
                  <w:pPr>
                    <w:spacing w:line="20" w:lineRule="atLeast"/>
                    <w:jc w:val="center"/>
                    <w:rPr>
                      <w:b/>
                      <w:color w:val="auto"/>
                      <w:spacing w:val="-10"/>
                      <w:sz w:val="18"/>
                      <w:szCs w:val="18"/>
                    </w:rPr>
                  </w:pPr>
                  <w:r>
                    <w:rPr>
                      <w:b/>
                      <w:color w:val="auto"/>
                      <w:spacing w:val="-10"/>
                      <w:sz w:val="18"/>
                      <w:szCs w:val="18"/>
                    </w:rPr>
                    <w:t>浓度</w:t>
                  </w:r>
                </w:p>
                <w:p>
                  <w:pPr>
                    <w:spacing w:line="20" w:lineRule="atLeast"/>
                    <w:jc w:val="center"/>
                    <w:rPr>
                      <w:b/>
                      <w:color w:val="auto"/>
                      <w:spacing w:val="-10"/>
                      <w:sz w:val="18"/>
                      <w:szCs w:val="18"/>
                    </w:rPr>
                  </w:pPr>
                  <w:r>
                    <w:rPr>
                      <w:b/>
                      <w:color w:val="auto"/>
                      <w:spacing w:val="-10"/>
                      <w:sz w:val="18"/>
                      <w:szCs w:val="18"/>
                    </w:rPr>
                    <w:t>mg/m</w:t>
                  </w:r>
                  <w:r>
                    <w:rPr>
                      <w:b/>
                      <w:color w:val="auto"/>
                      <w:spacing w:val="-10"/>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vMerge w:val="restart"/>
                  <w:noWrap w:val="0"/>
                  <w:vAlign w:val="center"/>
                </w:tcPr>
                <w:p>
                  <w:pPr>
                    <w:topLinePunct/>
                    <w:adjustRightInd w:val="0"/>
                    <w:snapToGrid w:val="0"/>
                    <w:jc w:val="center"/>
                    <w:textAlignment w:val="center"/>
                    <w:rPr>
                      <w:color w:val="auto"/>
                      <w:kern w:val="0"/>
                      <w:sz w:val="18"/>
                      <w:szCs w:val="18"/>
                    </w:rPr>
                  </w:pPr>
                  <w:r>
                    <w:rPr>
                      <w:rFonts w:hint="eastAsia"/>
                      <w:color w:val="auto"/>
                      <w:sz w:val="18"/>
                      <w:szCs w:val="18"/>
                    </w:rPr>
                    <w:t>搅拌器加热、搅拌、出料废气</w:t>
                  </w:r>
                </w:p>
              </w:tc>
              <w:tc>
                <w:tcPr>
                  <w:tcW w:w="737" w:type="dxa"/>
                  <w:vMerge w:val="restart"/>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沥青烟</w:t>
                  </w:r>
                </w:p>
              </w:tc>
              <w:tc>
                <w:tcPr>
                  <w:tcW w:w="597"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有组织</w:t>
                  </w:r>
                </w:p>
              </w:tc>
              <w:tc>
                <w:tcPr>
                  <w:tcW w:w="82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0.2569</w:t>
                  </w:r>
                </w:p>
              </w:tc>
              <w:tc>
                <w:tcPr>
                  <w:tcW w:w="67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0.2141</w:t>
                  </w:r>
                </w:p>
              </w:tc>
              <w:tc>
                <w:tcPr>
                  <w:tcW w:w="694"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21.41</w:t>
                  </w:r>
                </w:p>
              </w:tc>
              <w:tc>
                <w:tcPr>
                  <w:tcW w:w="896"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袋式除尘器+活性炭吸附</w:t>
                  </w:r>
                </w:p>
              </w:tc>
              <w:tc>
                <w:tcPr>
                  <w:tcW w:w="635"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10000</w:t>
                  </w:r>
                </w:p>
              </w:tc>
              <w:tc>
                <w:tcPr>
                  <w:tcW w:w="601"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90</w:t>
                  </w:r>
                </w:p>
              </w:tc>
              <w:tc>
                <w:tcPr>
                  <w:tcW w:w="593"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99</w:t>
                  </w:r>
                </w:p>
              </w:tc>
              <w:tc>
                <w:tcPr>
                  <w:tcW w:w="69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0.0026</w:t>
                  </w:r>
                </w:p>
              </w:tc>
              <w:tc>
                <w:tcPr>
                  <w:tcW w:w="7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0.0021</w:t>
                  </w:r>
                </w:p>
              </w:tc>
              <w:tc>
                <w:tcPr>
                  <w:tcW w:w="7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vMerge w:val="continue"/>
                  <w:noWrap w:val="0"/>
                  <w:vAlign w:val="center"/>
                </w:tcPr>
                <w:p>
                  <w:pPr>
                    <w:topLinePunct/>
                    <w:adjustRightInd w:val="0"/>
                    <w:snapToGrid w:val="0"/>
                    <w:jc w:val="center"/>
                    <w:textAlignment w:val="center"/>
                    <w:rPr>
                      <w:color w:val="auto"/>
                      <w:kern w:val="0"/>
                      <w:sz w:val="18"/>
                      <w:szCs w:val="18"/>
                    </w:rPr>
                  </w:pPr>
                </w:p>
              </w:tc>
              <w:tc>
                <w:tcPr>
                  <w:tcW w:w="737" w:type="dxa"/>
                  <w:vMerge w:val="continue"/>
                  <w:noWrap w:val="0"/>
                  <w:vAlign w:val="center"/>
                </w:tcPr>
                <w:p>
                  <w:pPr>
                    <w:spacing w:line="20" w:lineRule="atLeast"/>
                    <w:jc w:val="center"/>
                    <w:rPr>
                      <w:bCs/>
                      <w:color w:val="auto"/>
                      <w:spacing w:val="-10"/>
                      <w:sz w:val="18"/>
                      <w:szCs w:val="18"/>
                    </w:rPr>
                  </w:pPr>
                </w:p>
              </w:tc>
              <w:tc>
                <w:tcPr>
                  <w:tcW w:w="597"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无组织</w:t>
                  </w:r>
                </w:p>
              </w:tc>
              <w:tc>
                <w:tcPr>
                  <w:tcW w:w="82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0.0286</w:t>
                  </w:r>
                </w:p>
              </w:tc>
              <w:tc>
                <w:tcPr>
                  <w:tcW w:w="67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0.0238</w:t>
                  </w:r>
                </w:p>
              </w:tc>
              <w:tc>
                <w:tcPr>
                  <w:tcW w:w="694"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w:t>
                  </w:r>
                </w:p>
              </w:tc>
              <w:tc>
                <w:tcPr>
                  <w:tcW w:w="896"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w:t>
                  </w:r>
                </w:p>
              </w:tc>
              <w:tc>
                <w:tcPr>
                  <w:tcW w:w="635" w:type="dxa"/>
                  <w:noWrap w:val="0"/>
                  <w:vAlign w:val="center"/>
                </w:tcPr>
                <w:p>
                  <w:pPr>
                    <w:spacing w:line="20" w:lineRule="atLeast"/>
                    <w:jc w:val="center"/>
                    <w:rPr>
                      <w:bCs/>
                      <w:color w:val="auto"/>
                      <w:spacing w:val="-10"/>
                      <w:sz w:val="18"/>
                      <w:szCs w:val="18"/>
                    </w:rPr>
                  </w:pPr>
                  <w:r>
                    <w:rPr>
                      <w:bCs/>
                      <w:color w:val="auto"/>
                      <w:spacing w:val="-10"/>
                      <w:sz w:val="18"/>
                      <w:szCs w:val="18"/>
                    </w:rPr>
                    <w:t>/</w:t>
                  </w:r>
                </w:p>
              </w:tc>
              <w:tc>
                <w:tcPr>
                  <w:tcW w:w="601"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w:t>
                  </w:r>
                </w:p>
              </w:tc>
              <w:tc>
                <w:tcPr>
                  <w:tcW w:w="593"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w:t>
                  </w:r>
                </w:p>
              </w:tc>
              <w:tc>
                <w:tcPr>
                  <w:tcW w:w="69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0.0286</w:t>
                  </w:r>
                </w:p>
              </w:tc>
              <w:tc>
                <w:tcPr>
                  <w:tcW w:w="7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0.0238</w:t>
                  </w:r>
                </w:p>
              </w:tc>
              <w:tc>
                <w:tcPr>
                  <w:tcW w:w="7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vMerge w:val="continue"/>
                  <w:noWrap w:val="0"/>
                  <w:vAlign w:val="center"/>
                </w:tcPr>
                <w:p>
                  <w:pPr>
                    <w:topLinePunct/>
                    <w:adjustRightInd w:val="0"/>
                    <w:snapToGrid w:val="0"/>
                    <w:jc w:val="center"/>
                    <w:textAlignment w:val="center"/>
                    <w:rPr>
                      <w:bCs/>
                      <w:color w:val="auto"/>
                      <w:spacing w:val="-10"/>
                      <w:sz w:val="18"/>
                      <w:szCs w:val="18"/>
                    </w:rPr>
                  </w:pPr>
                </w:p>
              </w:tc>
              <w:tc>
                <w:tcPr>
                  <w:tcW w:w="737" w:type="dxa"/>
                  <w:vMerge w:val="restart"/>
                  <w:noWrap w:val="0"/>
                  <w:vAlign w:val="center"/>
                </w:tcPr>
                <w:p>
                  <w:pPr>
                    <w:spacing w:line="20" w:lineRule="atLeast"/>
                    <w:jc w:val="center"/>
                    <w:rPr>
                      <w:bCs/>
                      <w:color w:val="auto"/>
                      <w:spacing w:val="-10"/>
                      <w:sz w:val="18"/>
                      <w:szCs w:val="18"/>
                    </w:rPr>
                  </w:pPr>
                  <w:r>
                    <w:rPr>
                      <w:rFonts w:hint="eastAsia"/>
                      <w:bCs/>
                      <w:color w:val="auto"/>
                      <w:spacing w:val="-10"/>
                      <w:sz w:val="18"/>
                      <w:szCs w:val="18"/>
                    </w:rPr>
                    <w:t>苯并[a]芘</w:t>
                  </w:r>
                </w:p>
              </w:tc>
              <w:tc>
                <w:tcPr>
                  <w:tcW w:w="597"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有组织</w:t>
                  </w:r>
                </w:p>
              </w:tc>
              <w:tc>
                <w:tcPr>
                  <w:tcW w:w="82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5.71×10</w:t>
                  </w:r>
                  <w:r>
                    <w:rPr>
                      <w:rFonts w:hint="eastAsia"/>
                      <w:bCs/>
                      <w:color w:val="auto"/>
                      <w:spacing w:val="-10"/>
                      <w:sz w:val="18"/>
                      <w:szCs w:val="18"/>
                      <w:vertAlign w:val="superscript"/>
                    </w:rPr>
                    <w:t>-7</w:t>
                  </w:r>
                </w:p>
              </w:tc>
              <w:tc>
                <w:tcPr>
                  <w:tcW w:w="67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4.76×10</w:t>
                  </w:r>
                  <w:r>
                    <w:rPr>
                      <w:rFonts w:hint="eastAsia"/>
                      <w:bCs/>
                      <w:color w:val="auto"/>
                      <w:spacing w:val="-10"/>
                      <w:sz w:val="18"/>
                      <w:szCs w:val="18"/>
                      <w:vertAlign w:val="superscript"/>
                    </w:rPr>
                    <w:t>-7</w:t>
                  </w:r>
                </w:p>
              </w:tc>
              <w:tc>
                <w:tcPr>
                  <w:tcW w:w="694"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4.76×10</w:t>
                  </w:r>
                  <w:r>
                    <w:rPr>
                      <w:rFonts w:hint="eastAsia"/>
                      <w:bCs/>
                      <w:color w:val="auto"/>
                      <w:spacing w:val="-10"/>
                      <w:sz w:val="18"/>
                      <w:szCs w:val="18"/>
                      <w:vertAlign w:val="superscript"/>
                    </w:rPr>
                    <w:t>-5</w:t>
                  </w:r>
                </w:p>
              </w:tc>
              <w:tc>
                <w:tcPr>
                  <w:tcW w:w="896"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袋式除尘器+活性炭吸附</w:t>
                  </w:r>
                </w:p>
              </w:tc>
              <w:tc>
                <w:tcPr>
                  <w:tcW w:w="635"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10000</w:t>
                  </w:r>
                </w:p>
              </w:tc>
              <w:tc>
                <w:tcPr>
                  <w:tcW w:w="601"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90</w:t>
                  </w:r>
                </w:p>
              </w:tc>
              <w:tc>
                <w:tcPr>
                  <w:tcW w:w="593"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50</w:t>
                  </w:r>
                </w:p>
              </w:tc>
              <w:tc>
                <w:tcPr>
                  <w:tcW w:w="69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2.86×10</w:t>
                  </w:r>
                  <w:r>
                    <w:rPr>
                      <w:rFonts w:hint="eastAsia"/>
                      <w:bCs/>
                      <w:color w:val="auto"/>
                      <w:spacing w:val="-10"/>
                      <w:sz w:val="18"/>
                      <w:szCs w:val="18"/>
                      <w:vertAlign w:val="superscript"/>
                    </w:rPr>
                    <w:t>-7</w:t>
                  </w:r>
                </w:p>
              </w:tc>
              <w:tc>
                <w:tcPr>
                  <w:tcW w:w="7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2.38×10</w:t>
                  </w:r>
                  <w:r>
                    <w:rPr>
                      <w:rFonts w:hint="eastAsia"/>
                      <w:bCs/>
                      <w:color w:val="auto"/>
                      <w:spacing w:val="-10"/>
                      <w:sz w:val="18"/>
                      <w:szCs w:val="18"/>
                      <w:vertAlign w:val="superscript"/>
                    </w:rPr>
                    <w:t>-7</w:t>
                  </w:r>
                </w:p>
              </w:tc>
              <w:tc>
                <w:tcPr>
                  <w:tcW w:w="7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2.38×10</w:t>
                  </w:r>
                  <w:r>
                    <w:rPr>
                      <w:rFonts w:hint="eastAsia"/>
                      <w:bCs/>
                      <w:color w:val="auto"/>
                      <w:spacing w:val="-10"/>
                      <w:sz w:val="18"/>
                      <w:szCs w:val="18"/>
                      <w:vertAlign w:val="super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vMerge w:val="continue"/>
                  <w:noWrap w:val="0"/>
                  <w:vAlign w:val="center"/>
                </w:tcPr>
                <w:p>
                  <w:pPr>
                    <w:topLinePunct/>
                    <w:adjustRightInd w:val="0"/>
                    <w:snapToGrid w:val="0"/>
                    <w:jc w:val="center"/>
                    <w:textAlignment w:val="center"/>
                    <w:rPr>
                      <w:bCs/>
                      <w:color w:val="auto"/>
                      <w:spacing w:val="-10"/>
                      <w:sz w:val="18"/>
                      <w:szCs w:val="18"/>
                    </w:rPr>
                  </w:pPr>
                </w:p>
              </w:tc>
              <w:tc>
                <w:tcPr>
                  <w:tcW w:w="737" w:type="dxa"/>
                  <w:vMerge w:val="continue"/>
                  <w:noWrap w:val="0"/>
                  <w:vAlign w:val="center"/>
                </w:tcPr>
                <w:p>
                  <w:pPr>
                    <w:spacing w:line="20" w:lineRule="atLeast"/>
                    <w:jc w:val="center"/>
                    <w:rPr>
                      <w:rFonts w:hint="eastAsia"/>
                      <w:bCs/>
                      <w:color w:val="auto"/>
                      <w:spacing w:val="-10"/>
                      <w:sz w:val="18"/>
                      <w:szCs w:val="18"/>
                    </w:rPr>
                  </w:pPr>
                </w:p>
              </w:tc>
              <w:tc>
                <w:tcPr>
                  <w:tcW w:w="597"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无组织</w:t>
                  </w:r>
                </w:p>
              </w:tc>
              <w:tc>
                <w:tcPr>
                  <w:tcW w:w="82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0.63×10</w:t>
                  </w:r>
                  <w:r>
                    <w:rPr>
                      <w:rFonts w:hint="eastAsia"/>
                      <w:bCs/>
                      <w:color w:val="auto"/>
                      <w:spacing w:val="-10"/>
                      <w:sz w:val="18"/>
                      <w:szCs w:val="18"/>
                      <w:vertAlign w:val="superscript"/>
                    </w:rPr>
                    <w:t>-7</w:t>
                  </w:r>
                </w:p>
              </w:tc>
              <w:tc>
                <w:tcPr>
                  <w:tcW w:w="67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0.53×10</w:t>
                  </w:r>
                  <w:r>
                    <w:rPr>
                      <w:rFonts w:hint="eastAsia"/>
                      <w:bCs/>
                      <w:color w:val="auto"/>
                      <w:spacing w:val="-10"/>
                      <w:sz w:val="18"/>
                      <w:szCs w:val="18"/>
                      <w:vertAlign w:val="superscript"/>
                    </w:rPr>
                    <w:t>-7</w:t>
                  </w:r>
                </w:p>
              </w:tc>
              <w:tc>
                <w:tcPr>
                  <w:tcW w:w="694"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w:t>
                  </w:r>
                </w:p>
              </w:tc>
              <w:tc>
                <w:tcPr>
                  <w:tcW w:w="896"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w:t>
                  </w:r>
                </w:p>
              </w:tc>
              <w:tc>
                <w:tcPr>
                  <w:tcW w:w="635" w:type="dxa"/>
                  <w:noWrap w:val="0"/>
                  <w:vAlign w:val="center"/>
                </w:tcPr>
                <w:p>
                  <w:pPr>
                    <w:spacing w:line="20" w:lineRule="atLeast"/>
                    <w:jc w:val="center"/>
                    <w:rPr>
                      <w:bCs/>
                      <w:color w:val="auto"/>
                      <w:spacing w:val="-10"/>
                      <w:sz w:val="18"/>
                      <w:szCs w:val="18"/>
                    </w:rPr>
                  </w:pPr>
                  <w:r>
                    <w:rPr>
                      <w:bCs/>
                      <w:color w:val="auto"/>
                      <w:spacing w:val="-10"/>
                      <w:sz w:val="18"/>
                      <w:szCs w:val="18"/>
                    </w:rPr>
                    <w:t>/</w:t>
                  </w:r>
                </w:p>
              </w:tc>
              <w:tc>
                <w:tcPr>
                  <w:tcW w:w="601"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w:t>
                  </w:r>
                </w:p>
              </w:tc>
              <w:tc>
                <w:tcPr>
                  <w:tcW w:w="593"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w:t>
                  </w:r>
                </w:p>
              </w:tc>
              <w:tc>
                <w:tcPr>
                  <w:tcW w:w="699"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0.63×10</w:t>
                  </w:r>
                  <w:r>
                    <w:rPr>
                      <w:rFonts w:hint="eastAsia"/>
                      <w:bCs/>
                      <w:color w:val="auto"/>
                      <w:spacing w:val="-10"/>
                      <w:sz w:val="18"/>
                      <w:szCs w:val="18"/>
                      <w:vertAlign w:val="superscript"/>
                    </w:rPr>
                    <w:t>-7</w:t>
                  </w:r>
                </w:p>
              </w:tc>
              <w:tc>
                <w:tcPr>
                  <w:tcW w:w="719"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0.53×10</w:t>
                  </w:r>
                  <w:r>
                    <w:rPr>
                      <w:rFonts w:hint="eastAsia"/>
                      <w:bCs/>
                      <w:color w:val="auto"/>
                      <w:spacing w:val="-10"/>
                      <w:sz w:val="18"/>
                      <w:szCs w:val="18"/>
                      <w:vertAlign w:val="superscript"/>
                    </w:rPr>
                    <w:t>-7</w:t>
                  </w:r>
                </w:p>
              </w:tc>
              <w:tc>
                <w:tcPr>
                  <w:tcW w:w="719"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vMerge w:val="continue"/>
                  <w:noWrap w:val="0"/>
                  <w:vAlign w:val="center"/>
                </w:tcPr>
                <w:p>
                  <w:pPr>
                    <w:topLinePunct/>
                    <w:adjustRightInd w:val="0"/>
                    <w:snapToGrid w:val="0"/>
                    <w:jc w:val="center"/>
                    <w:textAlignment w:val="center"/>
                    <w:rPr>
                      <w:bCs/>
                      <w:color w:val="auto"/>
                      <w:spacing w:val="-10"/>
                      <w:sz w:val="18"/>
                      <w:szCs w:val="18"/>
                    </w:rPr>
                  </w:pPr>
                </w:p>
              </w:tc>
              <w:tc>
                <w:tcPr>
                  <w:tcW w:w="737" w:type="dxa"/>
                  <w:vMerge w:val="restart"/>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非甲烷总烃</w:t>
                  </w:r>
                </w:p>
              </w:tc>
              <w:tc>
                <w:tcPr>
                  <w:tcW w:w="597"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有组织</w:t>
                  </w:r>
                </w:p>
              </w:tc>
              <w:tc>
                <w:tcPr>
                  <w:tcW w:w="82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0.18</w:t>
                  </w:r>
                </w:p>
              </w:tc>
              <w:tc>
                <w:tcPr>
                  <w:tcW w:w="67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0.15</w:t>
                  </w:r>
                </w:p>
              </w:tc>
              <w:tc>
                <w:tcPr>
                  <w:tcW w:w="694"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15</w:t>
                  </w:r>
                </w:p>
              </w:tc>
              <w:tc>
                <w:tcPr>
                  <w:tcW w:w="896"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袋式除尘器+活性炭吸附</w:t>
                  </w:r>
                </w:p>
              </w:tc>
              <w:tc>
                <w:tcPr>
                  <w:tcW w:w="635"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10000</w:t>
                  </w:r>
                </w:p>
              </w:tc>
              <w:tc>
                <w:tcPr>
                  <w:tcW w:w="601"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90</w:t>
                  </w:r>
                </w:p>
              </w:tc>
              <w:tc>
                <w:tcPr>
                  <w:tcW w:w="593"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50</w:t>
                  </w:r>
                </w:p>
              </w:tc>
              <w:tc>
                <w:tcPr>
                  <w:tcW w:w="69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0.09</w:t>
                  </w:r>
                </w:p>
              </w:tc>
              <w:tc>
                <w:tcPr>
                  <w:tcW w:w="7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0.075</w:t>
                  </w:r>
                </w:p>
              </w:tc>
              <w:tc>
                <w:tcPr>
                  <w:tcW w:w="7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7" w:type="dxa"/>
                  <w:vMerge w:val="continue"/>
                  <w:noWrap w:val="0"/>
                  <w:vAlign w:val="center"/>
                </w:tcPr>
                <w:p>
                  <w:pPr>
                    <w:topLinePunct/>
                    <w:adjustRightInd w:val="0"/>
                    <w:snapToGrid w:val="0"/>
                    <w:jc w:val="center"/>
                    <w:textAlignment w:val="center"/>
                    <w:rPr>
                      <w:bCs/>
                      <w:color w:val="auto"/>
                      <w:spacing w:val="-10"/>
                      <w:sz w:val="18"/>
                      <w:szCs w:val="18"/>
                    </w:rPr>
                  </w:pPr>
                </w:p>
              </w:tc>
              <w:tc>
                <w:tcPr>
                  <w:tcW w:w="737" w:type="dxa"/>
                  <w:vMerge w:val="continue"/>
                  <w:noWrap w:val="0"/>
                  <w:vAlign w:val="center"/>
                </w:tcPr>
                <w:p>
                  <w:pPr>
                    <w:spacing w:line="20" w:lineRule="atLeast"/>
                    <w:jc w:val="center"/>
                    <w:rPr>
                      <w:rFonts w:hint="eastAsia"/>
                      <w:bCs/>
                      <w:color w:val="auto"/>
                      <w:spacing w:val="-10"/>
                      <w:sz w:val="18"/>
                      <w:szCs w:val="18"/>
                    </w:rPr>
                  </w:pPr>
                </w:p>
              </w:tc>
              <w:tc>
                <w:tcPr>
                  <w:tcW w:w="597"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无组织</w:t>
                  </w:r>
                </w:p>
              </w:tc>
              <w:tc>
                <w:tcPr>
                  <w:tcW w:w="82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0.02</w:t>
                  </w:r>
                </w:p>
              </w:tc>
              <w:tc>
                <w:tcPr>
                  <w:tcW w:w="67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0.0167</w:t>
                  </w:r>
                </w:p>
              </w:tc>
              <w:tc>
                <w:tcPr>
                  <w:tcW w:w="694"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w:t>
                  </w:r>
                </w:p>
              </w:tc>
              <w:tc>
                <w:tcPr>
                  <w:tcW w:w="896"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w:t>
                  </w:r>
                </w:p>
              </w:tc>
              <w:tc>
                <w:tcPr>
                  <w:tcW w:w="635" w:type="dxa"/>
                  <w:noWrap w:val="0"/>
                  <w:vAlign w:val="center"/>
                </w:tcPr>
                <w:p>
                  <w:pPr>
                    <w:spacing w:line="20" w:lineRule="atLeast"/>
                    <w:jc w:val="center"/>
                    <w:rPr>
                      <w:bCs/>
                      <w:color w:val="auto"/>
                      <w:spacing w:val="-10"/>
                      <w:sz w:val="18"/>
                      <w:szCs w:val="18"/>
                    </w:rPr>
                  </w:pPr>
                  <w:r>
                    <w:rPr>
                      <w:bCs/>
                      <w:color w:val="auto"/>
                      <w:spacing w:val="-10"/>
                      <w:sz w:val="18"/>
                      <w:szCs w:val="18"/>
                    </w:rPr>
                    <w:t>/</w:t>
                  </w:r>
                </w:p>
              </w:tc>
              <w:tc>
                <w:tcPr>
                  <w:tcW w:w="601"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w:t>
                  </w:r>
                </w:p>
              </w:tc>
              <w:tc>
                <w:tcPr>
                  <w:tcW w:w="593"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w:t>
                  </w:r>
                </w:p>
              </w:tc>
              <w:tc>
                <w:tcPr>
                  <w:tcW w:w="69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0.02</w:t>
                  </w:r>
                </w:p>
              </w:tc>
              <w:tc>
                <w:tcPr>
                  <w:tcW w:w="7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0.0167</w:t>
                  </w:r>
                </w:p>
              </w:tc>
              <w:tc>
                <w:tcPr>
                  <w:tcW w:w="7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w:t>
                  </w:r>
                </w:p>
              </w:tc>
            </w:tr>
          </w:tbl>
          <w:p>
            <w:pPr>
              <w:adjustRightInd w:val="0"/>
              <w:snapToGrid w:val="0"/>
              <w:spacing w:line="360" w:lineRule="auto"/>
              <w:ind w:firstLine="440" w:firstLineChars="200"/>
              <w:rPr>
                <w:bCs/>
                <w:color w:val="auto"/>
                <w:spacing w:val="-10"/>
                <w:sz w:val="24"/>
              </w:rPr>
            </w:pPr>
          </w:p>
          <w:p>
            <w:pPr>
              <w:adjustRightInd w:val="0"/>
              <w:snapToGrid w:val="0"/>
              <w:spacing w:line="360" w:lineRule="auto"/>
              <w:ind w:firstLine="442" w:firstLineChars="200"/>
              <w:rPr>
                <w:b/>
                <w:color w:val="auto"/>
                <w:spacing w:val="-10"/>
                <w:sz w:val="24"/>
              </w:rPr>
            </w:pPr>
            <w:r>
              <w:rPr>
                <w:rFonts w:hint="eastAsia"/>
                <w:b/>
                <w:color w:val="auto"/>
                <w:spacing w:val="-10"/>
                <w:sz w:val="24"/>
              </w:rPr>
              <w:t>（7）导热油炉燃烧废气</w:t>
            </w:r>
          </w:p>
          <w:p>
            <w:pPr>
              <w:adjustRightInd w:val="0"/>
              <w:snapToGrid w:val="0"/>
              <w:spacing w:line="360" w:lineRule="auto"/>
              <w:ind w:firstLine="440" w:firstLineChars="200"/>
              <w:rPr>
                <w:rFonts w:hint="eastAsia"/>
                <w:bCs/>
                <w:color w:val="auto"/>
                <w:spacing w:val="-10"/>
                <w:sz w:val="24"/>
              </w:rPr>
            </w:pPr>
            <w:r>
              <w:rPr>
                <w:rFonts w:hint="eastAsia"/>
                <w:bCs/>
                <w:color w:val="auto"/>
                <w:spacing w:val="-10"/>
                <w:sz w:val="24"/>
              </w:rPr>
              <w:t>①产生情况</w:t>
            </w:r>
          </w:p>
          <w:p>
            <w:pPr>
              <w:adjustRightInd w:val="0"/>
              <w:snapToGrid w:val="0"/>
              <w:spacing w:line="360" w:lineRule="auto"/>
              <w:ind w:firstLine="440" w:firstLineChars="200"/>
              <w:rPr>
                <w:bCs/>
                <w:color w:val="auto"/>
                <w:spacing w:val="-10"/>
                <w:sz w:val="24"/>
              </w:rPr>
            </w:pPr>
            <w:r>
              <w:rPr>
                <w:rFonts w:hint="eastAsia"/>
                <w:bCs/>
                <w:color w:val="auto"/>
                <w:spacing w:val="-10"/>
                <w:sz w:val="24"/>
              </w:rPr>
              <w:t>本项目导热油炉以柴油为燃料，柴油在燃烧过程会产生燃料废气，主要污染物为颗粒物、SO</w:t>
            </w:r>
            <w:r>
              <w:rPr>
                <w:rFonts w:hint="eastAsia"/>
                <w:bCs/>
                <w:color w:val="auto"/>
                <w:spacing w:val="-10"/>
                <w:sz w:val="24"/>
                <w:vertAlign w:val="subscript"/>
              </w:rPr>
              <w:t>2</w:t>
            </w:r>
            <w:r>
              <w:rPr>
                <w:rFonts w:hint="eastAsia"/>
                <w:bCs/>
                <w:color w:val="auto"/>
                <w:spacing w:val="-10"/>
                <w:sz w:val="24"/>
              </w:rPr>
              <w:t>、NOx。参考《排放源统计调查产排污核算方法和系数手册》中4430工业锅炉（热力生产和供应行业）行业系数手册中，柴油室燃炉的产污系数分别为工业废气量17804标立方米/吨-原料、颗粒物0.26千克/吨-原料、二氧化硫19S千克/吨-原料、氮氧化物3.03千克/吨-原料，本项目柴油使用量为100t/a，则工业废气量为1780400m</w:t>
            </w:r>
            <w:r>
              <w:rPr>
                <w:rFonts w:hint="eastAsia"/>
                <w:bCs/>
                <w:color w:val="auto"/>
                <w:spacing w:val="-10"/>
                <w:sz w:val="24"/>
                <w:vertAlign w:val="superscript"/>
              </w:rPr>
              <w:t>3</w:t>
            </w:r>
            <w:r>
              <w:rPr>
                <w:rFonts w:hint="eastAsia"/>
                <w:bCs/>
                <w:color w:val="auto"/>
                <w:spacing w:val="-10"/>
                <w:sz w:val="24"/>
              </w:rPr>
              <w:t>/a、颗粒物产生量为0.026t/a、二氧化硫产生量为0.19t/a、氮氧化物产生量为0.303t/a。</w:t>
            </w:r>
          </w:p>
          <w:p>
            <w:pPr>
              <w:adjustRightInd w:val="0"/>
              <w:snapToGrid w:val="0"/>
              <w:spacing w:line="360" w:lineRule="auto"/>
              <w:ind w:firstLine="440" w:firstLineChars="200"/>
              <w:rPr>
                <w:bCs/>
                <w:color w:val="auto"/>
                <w:spacing w:val="-10"/>
                <w:sz w:val="24"/>
              </w:rPr>
            </w:pPr>
            <w:r>
              <w:rPr>
                <w:bCs/>
                <w:color w:val="auto"/>
                <w:spacing w:val="-10"/>
                <w:sz w:val="24"/>
              </w:rPr>
              <w:t>注：二氧化硫的产污系数是以含硫量（S</w:t>
            </w:r>
            <w:r>
              <w:rPr>
                <w:rFonts w:hint="eastAsia"/>
                <w:bCs/>
                <w:color w:val="auto"/>
                <w:spacing w:val="-10"/>
                <w:sz w:val="24"/>
              </w:rPr>
              <w:t>%</w:t>
            </w:r>
            <w:r>
              <w:rPr>
                <w:bCs/>
                <w:color w:val="auto"/>
                <w:spacing w:val="-10"/>
                <w:sz w:val="24"/>
              </w:rPr>
              <w:t>）的形式表示的，含硫量S（S</w:t>
            </w:r>
            <w:r>
              <w:rPr>
                <w:rFonts w:hint="eastAsia"/>
                <w:bCs/>
                <w:color w:val="auto"/>
                <w:spacing w:val="-10"/>
                <w:sz w:val="24"/>
              </w:rPr>
              <w:t>%</w:t>
            </w:r>
            <w:r>
              <w:rPr>
                <w:bCs/>
                <w:color w:val="auto"/>
                <w:spacing w:val="-10"/>
                <w:sz w:val="24"/>
              </w:rPr>
              <w:t>）是指燃油收到基硫分含量，以质量百分数的形式表示。例如燃料中含硫量（S</w:t>
            </w:r>
            <w:r>
              <w:rPr>
                <w:rFonts w:hint="eastAsia"/>
                <w:bCs/>
                <w:color w:val="auto"/>
                <w:spacing w:val="-10"/>
                <w:sz w:val="24"/>
              </w:rPr>
              <w:t>%</w:t>
            </w:r>
            <w:r>
              <w:rPr>
                <w:bCs/>
                <w:color w:val="auto"/>
                <w:spacing w:val="-10"/>
                <w:sz w:val="24"/>
              </w:rPr>
              <w:t>）为0.1</w:t>
            </w:r>
            <w:r>
              <w:rPr>
                <w:rFonts w:hint="eastAsia"/>
                <w:bCs/>
                <w:color w:val="auto"/>
                <w:spacing w:val="-10"/>
                <w:sz w:val="24"/>
              </w:rPr>
              <w:t>%</w:t>
            </w:r>
            <w:r>
              <w:rPr>
                <w:bCs/>
                <w:color w:val="auto"/>
                <w:spacing w:val="-10"/>
                <w:sz w:val="24"/>
              </w:rPr>
              <w:t>，则S=0.1。</w:t>
            </w:r>
          </w:p>
          <w:p>
            <w:pPr>
              <w:adjustRightInd w:val="0"/>
              <w:snapToGrid w:val="0"/>
              <w:spacing w:line="360" w:lineRule="auto"/>
              <w:ind w:firstLine="440" w:firstLineChars="200"/>
              <w:rPr>
                <w:bCs/>
                <w:color w:val="auto"/>
                <w:spacing w:val="-10"/>
                <w:sz w:val="24"/>
              </w:rPr>
            </w:pPr>
            <w:r>
              <w:rPr>
                <w:bCs/>
                <w:color w:val="auto"/>
                <w:spacing w:val="-10"/>
                <w:sz w:val="24"/>
              </w:rPr>
              <w:t>②</w:t>
            </w:r>
            <w:r>
              <w:rPr>
                <w:rFonts w:hint="eastAsia"/>
                <w:bCs/>
                <w:color w:val="auto"/>
                <w:spacing w:val="-10"/>
                <w:sz w:val="24"/>
              </w:rPr>
              <w:t>排放情况</w:t>
            </w:r>
          </w:p>
          <w:p>
            <w:pPr>
              <w:adjustRightInd w:val="0"/>
              <w:snapToGrid w:val="0"/>
              <w:spacing w:line="360" w:lineRule="auto"/>
              <w:ind w:firstLine="440" w:firstLineChars="200"/>
              <w:rPr>
                <w:bCs/>
                <w:color w:val="auto"/>
                <w:spacing w:val="-10"/>
                <w:sz w:val="24"/>
              </w:rPr>
            </w:pPr>
            <w:r>
              <w:rPr>
                <w:rFonts w:hint="eastAsia"/>
                <w:bCs/>
                <w:color w:val="auto"/>
                <w:spacing w:val="-10"/>
                <w:sz w:val="24"/>
              </w:rPr>
              <w:t>本项目产生的导热油炉燃烧废气通过引风机（风机风量设计为20000m</w:t>
            </w:r>
            <w:r>
              <w:rPr>
                <w:rFonts w:hint="eastAsia"/>
                <w:bCs/>
                <w:color w:val="auto"/>
                <w:spacing w:val="-10"/>
                <w:sz w:val="24"/>
                <w:vertAlign w:val="superscript"/>
              </w:rPr>
              <w:t>3</w:t>
            </w:r>
            <w:r>
              <w:rPr>
                <w:rFonts w:hint="eastAsia"/>
                <w:bCs/>
                <w:color w:val="auto"/>
                <w:spacing w:val="-10"/>
                <w:sz w:val="24"/>
              </w:rPr>
              <w:t>/h）引入15m的排气筒DA022排放。本项目导热油炉燃烧废气的排放情况如下表：</w:t>
            </w:r>
          </w:p>
          <w:p>
            <w:pPr>
              <w:adjustRightInd w:val="0"/>
              <w:snapToGrid w:val="0"/>
              <w:jc w:val="center"/>
              <w:rPr>
                <w:b/>
                <w:color w:val="auto"/>
                <w:spacing w:val="-10"/>
                <w:sz w:val="24"/>
              </w:rPr>
            </w:pPr>
            <w:r>
              <w:rPr>
                <w:b/>
                <w:color w:val="auto"/>
                <w:spacing w:val="-10"/>
                <w:sz w:val="24"/>
              </w:rPr>
              <w:t>表4-</w:t>
            </w:r>
            <w:r>
              <w:rPr>
                <w:rFonts w:hint="eastAsia"/>
                <w:b/>
                <w:color w:val="auto"/>
                <w:spacing w:val="-10"/>
                <w:sz w:val="24"/>
              </w:rPr>
              <w:t>5</w:t>
            </w:r>
            <w:r>
              <w:rPr>
                <w:b/>
                <w:color w:val="auto"/>
                <w:spacing w:val="-10"/>
                <w:sz w:val="24"/>
              </w:rPr>
              <w:t xml:space="preserve"> </w:t>
            </w:r>
            <w:r>
              <w:rPr>
                <w:rFonts w:hint="eastAsia"/>
                <w:b/>
                <w:color w:val="auto"/>
                <w:spacing w:val="-10"/>
                <w:sz w:val="24"/>
              </w:rPr>
              <w:t xml:space="preserve"> </w:t>
            </w:r>
            <w:r>
              <w:rPr>
                <w:b/>
                <w:color w:val="auto"/>
                <w:spacing w:val="-10"/>
                <w:sz w:val="24"/>
              </w:rPr>
              <w:t>本项目导热油炉燃烧废气排放情况表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554"/>
              <w:gridCol w:w="554"/>
              <w:gridCol w:w="586"/>
              <w:gridCol w:w="698"/>
              <w:gridCol w:w="698"/>
              <w:gridCol w:w="967"/>
              <w:gridCol w:w="637"/>
              <w:gridCol w:w="621"/>
              <w:gridCol w:w="621"/>
              <w:gridCol w:w="728"/>
              <w:gridCol w:w="728"/>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8" w:type="dxa"/>
                  <w:vMerge w:val="restart"/>
                  <w:noWrap w:val="0"/>
                  <w:vAlign w:val="center"/>
                </w:tcPr>
                <w:p>
                  <w:pPr>
                    <w:spacing w:line="20" w:lineRule="atLeast"/>
                    <w:jc w:val="center"/>
                    <w:rPr>
                      <w:b/>
                      <w:color w:val="auto"/>
                      <w:spacing w:val="-10"/>
                      <w:sz w:val="18"/>
                      <w:szCs w:val="18"/>
                    </w:rPr>
                  </w:pPr>
                  <w:r>
                    <w:rPr>
                      <w:b/>
                      <w:color w:val="auto"/>
                      <w:spacing w:val="-10"/>
                      <w:sz w:val="18"/>
                      <w:szCs w:val="18"/>
                    </w:rPr>
                    <w:t>产排污环节</w:t>
                  </w:r>
                </w:p>
              </w:tc>
              <w:tc>
                <w:tcPr>
                  <w:tcW w:w="553" w:type="dxa"/>
                  <w:vMerge w:val="restart"/>
                  <w:noWrap w:val="0"/>
                  <w:vAlign w:val="center"/>
                </w:tcPr>
                <w:p>
                  <w:pPr>
                    <w:spacing w:line="20" w:lineRule="atLeast"/>
                    <w:jc w:val="center"/>
                    <w:rPr>
                      <w:b/>
                      <w:color w:val="auto"/>
                      <w:spacing w:val="-10"/>
                      <w:sz w:val="18"/>
                      <w:szCs w:val="18"/>
                    </w:rPr>
                  </w:pPr>
                  <w:r>
                    <w:rPr>
                      <w:b/>
                      <w:color w:val="auto"/>
                      <w:spacing w:val="-10"/>
                      <w:sz w:val="18"/>
                      <w:szCs w:val="18"/>
                    </w:rPr>
                    <w:t>污染物</w:t>
                  </w:r>
                </w:p>
              </w:tc>
              <w:tc>
                <w:tcPr>
                  <w:tcW w:w="553" w:type="dxa"/>
                  <w:vMerge w:val="restart"/>
                  <w:noWrap w:val="0"/>
                  <w:vAlign w:val="center"/>
                </w:tcPr>
                <w:p>
                  <w:pPr>
                    <w:spacing w:line="20" w:lineRule="atLeast"/>
                    <w:jc w:val="center"/>
                    <w:rPr>
                      <w:b/>
                      <w:color w:val="auto"/>
                      <w:spacing w:val="-10"/>
                      <w:sz w:val="18"/>
                      <w:szCs w:val="18"/>
                    </w:rPr>
                  </w:pPr>
                  <w:r>
                    <w:rPr>
                      <w:b/>
                      <w:color w:val="auto"/>
                      <w:spacing w:val="-10"/>
                      <w:sz w:val="18"/>
                      <w:szCs w:val="18"/>
                    </w:rPr>
                    <w:t>排放</w:t>
                  </w:r>
                </w:p>
                <w:p>
                  <w:pPr>
                    <w:spacing w:line="20" w:lineRule="atLeast"/>
                    <w:jc w:val="center"/>
                    <w:rPr>
                      <w:b/>
                      <w:color w:val="auto"/>
                      <w:spacing w:val="-10"/>
                      <w:sz w:val="18"/>
                      <w:szCs w:val="18"/>
                    </w:rPr>
                  </w:pPr>
                  <w:r>
                    <w:rPr>
                      <w:b/>
                      <w:color w:val="auto"/>
                      <w:spacing w:val="-10"/>
                      <w:sz w:val="18"/>
                      <w:szCs w:val="18"/>
                    </w:rPr>
                    <w:t>方式</w:t>
                  </w:r>
                </w:p>
              </w:tc>
              <w:tc>
                <w:tcPr>
                  <w:tcW w:w="1976" w:type="dxa"/>
                  <w:gridSpan w:val="3"/>
                  <w:noWrap w:val="0"/>
                  <w:vAlign w:val="center"/>
                </w:tcPr>
                <w:p>
                  <w:pPr>
                    <w:spacing w:line="20" w:lineRule="atLeast"/>
                    <w:jc w:val="center"/>
                    <w:rPr>
                      <w:b/>
                      <w:color w:val="auto"/>
                      <w:spacing w:val="-10"/>
                      <w:sz w:val="18"/>
                      <w:szCs w:val="18"/>
                    </w:rPr>
                  </w:pPr>
                  <w:r>
                    <w:rPr>
                      <w:b/>
                      <w:color w:val="auto"/>
                      <w:spacing w:val="-10"/>
                      <w:sz w:val="18"/>
                      <w:szCs w:val="18"/>
                    </w:rPr>
                    <w:t>产生情况</w:t>
                  </w:r>
                </w:p>
              </w:tc>
              <w:tc>
                <w:tcPr>
                  <w:tcW w:w="2837" w:type="dxa"/>
                  <w:gridSpan w:val="4"/>
                  <w:noWrap w:val="0"/>
                  <w:vAlign w:val="center"/>
                </w:tcPr>
                <w:p>
                  <w:pPr>
                    <w:spacing w:line="20" w:lineRule="atLeast"/>
                    <w:jc w:val="center"/>
                    <w:rPr>
                      <w:b/>
                      <w:color w:val="auto"/>
                      <w:spacing w:val="-10"/>
                      <w:sz w:val="18"/>
                      <w:szCs w:val="18"/>
                    </w:rPr>
                  </w:pPr>
                  <w:r>
                    <w:rPr>
                      <w:b/>
                      <w:bCs/>
                      <w:color w:val="auto"/>
                      <w:sz w:val="18"/>
                      <w:szCs w:val="18"/>
                    </w:rPr>
                    <w:t>治理设施</w:t>
                  </w:r>
                </w:p>
              </w:tc>
              <w:tc>
                <w:tcPr>
                  <w:tcW w:w="2177" w:type="dxa"/>
                  <w:gridSpan w:val="3"/>
                  <w:noWrap w:val="0"/>
                  <w:vAlign w:val="center"/>
                </w:tcPr>
                <w:p>
                  <w:pPr>
                    <w:spacing w:line="20" w:lineRule="atLeast"/>
                    <w:jc w:val="center"/>
                    <w:rPr>
                      <w:b/>
                      <w:color w:val="auto"/>
                      <w:spacing w:val="-10"/>
                      <w:sz w:val="18"/>
                      <w:szCs w:val="18"/>
                    </w:rPr>
                  </w:pPr>
                  <w:r>
                    <w:rPr>
                      <w:b/>
                      <w:color w:val="auto"/>
                      <w:spacing w:val="-10"/>
                      <w:sz w:val="18"/>
                      <w:szCs w:val="18"/>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8" w:type="dxa"/>
                  <w:vMerge w:val="continue"/>
                  <w:noWrap w:val="0"/>
                  <w:vAlign w:val="center"/>
                </w:tcPr>
                <w:p>
                  <w:pPr>
                    <w:spacing w:line="20" w:lineRule="atLeast"/>
                    <w:jc w:val="center"/>
                    <w:rPr>
                      <w:color w:val="auto"/>
                      <w:sz w:val="18"/>
                      <w:szCs w:val="18"/>
                    </w:rPr>
                  </w:pPr>
                </w:p>
              </w:tc>
              <w:tc>
                <w:tcPr>
                  <w:tcW w:w="553" w:type="dxa"/>
                  <w:vMerge w:val="continue"/>
                  <w:noWrap w:val="0"/>
                  <w:vAlign w:val="center"/>
                </w:tcPr>
                <w:p>
                  <w:pPr>
                    <w:spacing w:line="20" w:lineRule="atLeast"/>
                    <w:jc w:val="center"/>
                    <w:rPr>
                      <w:color w:val="auto"/>
                      <w:sz w:val="18"/>
                      <w:szCs w:val="18"/>
                    </w:rPr>
                  </w:pPr>
                </w:p>
              </w:tc>
              <w:tc>
                <w:tcPr>
                  <w:tcW w:w="553" w:type="dxa"/>
                  <w:vMerge w:val="continue"/>
                  <w:noWrap w:val="0"/>
                  <w:vAlign w:val="center"/>
                </w:tcPr>
                <w:p>
                  <w:pPr>
                    <w:spacing w:line="20" w:lineRule="atLeast"/>
                    <w:jc w:val="center"/>
                    <w:rPr>
                      <w:color w:val="auto"/>
                      <w:sz w:val="18"/>
                      <w:szCs w:val="18"/>
                    </w:rPr>
                  </w:pPr>
                </w:p>
              </w:tc>
              <w:tc>
                <w:tcPr>
                  <w:tcW w:w="584" w:type="dxa"/>
                  <w:noWrap w:val="0"/>
                  <w:vAlign w:val="center"/>
                </w:tcPr>
                <w:p>
                  <w:pPr>
                    <w:spacing w:line="20" w:lineRule="atLeast"/>
                    <w:jc w:val="center"/>
                    <w:rPr>
                      <w:b/>
                      <w:color w:val="auto"/>
                      <w:spacing w:val="-10"/>
                      <w:sz w:val="18"/>
                      <w:szCs w:val="18"/>
                    </w:rPr>
                  </w:pPr>
                  <w:r>
                    <w:rPr>
                      <w:b/>
                      <w:color w:val="auto"/>
                      <w:spacing w:val="-10"/>
                      <w:sz w:val="18"/>
                      <w:szCs w:val="18"/>
                    </w:rPr>
                    <w:t>产生量</w:t>
                  </w:r>
                </w:p>
                <w:p>
                  <w:pPr>
                    <w:spacing w:line="20" w:lineRule="atLeast"/>
                    <w:jc w:val="center"/>
                    <w:rPr>
                      <w:b/>
                      <w:color w:val="auto"/>
                      <w:spacing w:val="-10"/>
                      <w:sz w:val="18"/>
                      <w:szCs w:val="18"/>
                    </w:rPr>
                  </w:pPr>
                  <w:r>
                    <w:rPr>
                      <w:b/>
                      <w:color w:val="auto"/>
                      <w:spacing w:val="-10"/>
                      <w:sz w:val="18"/>
                      <w:szCs w:val="18"/>
                    </w:rPr>
                    <w:t>t/a</w:t>
                  </w:r>
                </w:p>
              </w:tc>
              <w:tc>
                <w:tcPr>
                  <w:tcW w:w="696" w:type="dxa"/>
                  <w:noWrap w:val="0"/>
                  <w:vAlign w:val="center"/>
                </w:tcPr>
                <w:p>
                  <w:pPr>
                    <w:spacing w:line="20" w:lineRule="atLeast"/>
                    <w:jc w:val="center"/>
                    <w:rPr>
                      <w:b/>
                      <w:color w:val="auto"/>
                      <w:spacing w:val="-10"/>
                      <w:sz w:val="18"/>
                      <w:szCs w:val="18"/>
                    </w:rPr>
                  </w:pPr>
                  <w:r>
                    <w:rPr>
                      <w:b/>
                      <w:color w:val="auto"/>
                      <w:spacing w:val="-10"/>
                      <w:sz w:val="18"/>
                      <w:szCs w:val="18"/>
                    </w:rPr>
                    <w:t>产生</w:t>
                  </w:r>
                </w:p>
                <w:p>
                  <w:pPr>
                    <w:spacing w:line="20" w:lineRule="atLeast"/>
                    <w:jc w:val="center"/>
                    <w:rPr>
                      <w:b/>
                      <w:color w:val="auto"/>
                      <w:spacing w:val="-10"/>
                      <w:sz w:val="18"/>
                      <w:szCs w:val="18"/>
                    </w:rPr>
                  </w:pPr>
                  <w:r>
                    <w:rPr>
                      <w:b/>
                      <w:color w:val="auto"/>
                      <w:spacing w:val="-10"/>
                      <w:sz w:val="18"/>
                      <w:szCs w:val="18"/>
                    </w:rPr>
                    <w:t>速率</w:t>
                  </w:r>
                </w:p>
                <w:p>
                  <w:pPr>
                    <w:spacing w:line="20" w:lineRule="atLeast"/>
                    <w:jc w:val="center"/>
                    <w:rPr>
                      <w:b/>
                      <w:color w:val="auto"/>
                      <w:spacing w:val="-10"/>
                      <w:sz w:val="18"/>
                      <w:szCs w:val="18"/>
                    </w:rPr>
                  </w:pPr>
                  <w:r>
                    <w:rPr>
                      <w:b/>
                      <w:color w:val="auto"/>
                      <w:spacing w:val="-10"/>
                      <w:sz w:val="18"/>
                      <w:szCs w:val="18"/>
                    </w:rPr>
                    <w:t>kg/h</w:t>
                  </w:r>
                </w:p>
              </w:tc>
              <w:tc>
                <w:tcPr>
                  <w:tcW w:w="696" w:type="dxa"/>
                  <w:noWrap w:val="0"/>
                  <w:vAlign w:val="center"/>
                </w:tcPr>
                <w:p>
                  <w:pPr>
                    <w:spacing w:line="20" w:lineRule="atLeast"/>
                    <w:jc w:val="center"/>
                    <w:rPr>
                      <w:b/>
                      <w:color w:val="auto"/>
                      <w:spacing w:val="-10"/>
                      <w:sz w:val="18"/>
                      <w:szCs w:val="18"/>
                    </w:rPr>
                  </w:pPr>
                  <w:r>
                    <w:rPr>
                      <w:b/>
                      <w:color w:val="auto"/>
                      <w:spacing w:val="-10"/>
                      <w:sz w:val="18"/>
                      <w:szCs w:val="18"/>
                    </w:rPr>
                    <w:t>产生</w:t>
                  </w:r>
                </w:p>
                <w:p>
                  <w:pPr>
                    <w:spacing w:line="20" w:lineRule="atLeast"/>
                    <w:jc w:val="center"/>
                    <w:rPr>
                      <w:b/>
                      <w:color w:val="auto"/>
                      <w:spacing w:val="-10"/>
                      <w:sz w:val="18"/>
                      <w:szCs w:val="18"/>
                    </w:rPr>
                  </w:pPr>
                  <w:r>
                    <w:rPr>
                      <w:b/>
                      <w:color w:val="auto"/>
                      <w:spacing w:val="-10"/>
                      <w:sz w:val="18"/>
                      <w:szCs w:val="18"/>
                    </w:rPr>
                    <w:t>浓度</w:t>
                  </w:r>
                </w:p>
                <w:p>
                  <w:pPr>
                    <w:spacing w:line="20" w:lineRule="atLeast"/>
                    <w:jc w:val="center"/>
                    <w:rPr>
                      <w:b/>
                      <w:color w:val="auto"/>
                      <w:spacing w:val="-10"/>
                      <w:sz w:val="18"/>
                      <w:szCs w:val="18"/>
                      <w:vertAlign w:val="superscript"/>
                    </w:rPr>
                  </w:pPr>
                  <w:r>
                    <w:rPr>
                      <w:b/>
                      <w:color w:val="auto"/>
                      <w:spacing w:val="-10"/>
                      <w:sz w:val="18"/>
                      <w:szCs w:val="18"/>
                    </w:rPr>
                    <w:t>mg/m</w:t>
                  </w:r>
                  <w:r>
                    <w:rPr>
                      <w:b/>
                      <w:color w:val="auto"/>
                      <w:spacing w:val="-10"/>
                      <w:sz w:val="18"/>
                      <w:szCs w:val="18"/>
                      <w:vertAlign w:val="superscript"/>
                    </w:rPr>
                    <w:t>3</w:t>
                  </w:r>
                </w:p>
              </w:tc>
              <w:tc>
                <w:tcPr>
                  <w:tcW w:w="964" w:type="dxa"/>
                  <w:noWrap w:val="0"/>
                  <w:vAlign w:val="center"/>
                </w:tcPr>
                <w:p>
                  <w:pPr>
                    <w:spacing w:line="20" w:lineRule="atLeast"/>
                    <w:jc w:val="center"/>
                    <w:rPr>
                      <w:b/>
                      <w:bCs/>
                      <w:color w:val="auto"/>
                      <w:sz w:val="18"/>
                      <w:szCs w:val="18"/>
                    </w:rPr>
                  </w:pPr>
                  <w:r>
                    <w:rPr>
                      <w:b/>
                      <w:bCs/>
                      <w:color w:val="auto"/>
                      <w:sz w:val="18"/>
                      <w:szCs w:val="18"/>
                    </w:rPr>
                    <w:t>治理工艺</w:t>
                  </w:r>
                </w:p>
              </w:tc>
              <w:tc>
                <w:tcPr>
                  <w:tcW w:w="635" w:type="dxa"/>
                  <w:noWrap w:val="0"/>
                  <w:vAlign w:val="center"/>
                </w:tcPr>
                <w:p>
                  <w:pPr>
                    <w:spacing w:line="20" w:lineRule="atLeast"/>
                    <w:jc w:val="center"/>
                    <w:rPr>
                      <w:b/>
                      <w:bCs/>
                      <w:color w:val="auto"/>
                      <w:sz w:val="18"/>
                      <w:szCs w:val="18"/>
                    </w:rPr>
                  </w:pPr>
                  <w:r>
                    <w:rPr>
                      <w:b/>
                      <w:bCs/>
                      <w:color w:val="auto"/>
                      <w:sz w:val="18"/>
                      <w:szCs w:val="18"/>
                    </w:rPr>
                    <w:t>处理</w:t>
                  </w:r>
                </w:p>
                <w:p>
                  <w:pPr>
                    <w:spacing w:line="20" w:lineRule="atLeast"/>
                    <w:jc w:val="center"/>
                    <w:rPr>
                      <w:b/>
                      <w:bCs/>
                      <w:color w:val="auto"/>
                      <w:sz w:val="18"/>
                      <w:szCs w:val="18"/>
                    </w:rPr>
                  </w:pPr>
                  <w:r>
                    <w:rPr>
                      <w:b/>
                      <w:bCs/>
                      <w:color w:val="auto"/>
                      <w:sz w:val="18"/>
                      <w:szCs w:val="18"/>
                    </w:rPr>
                    <w:t>能力</w:t>
                  </w:r>
                </w:p>
                <w:p>
                  <w:pPr>
                    <w:spacing w:line="20" w:lineRule="atLeast"/>
                    <w:jc w:val="center"/>
                    <w:rPr>
                      <w:b/>
                      <w:bCs/>
                      <w:color w:val="auto"/>
                      <w:sz w:val="18"/>
                      <w:szCs w:val="18"/>
                    </w:rPr>
                  </w:pPr>
                  <w:r>
                    <w:rPr>
                      <w:b/>
                      <w:bCs/>
                      <w:color w:val="auto"/>
                      <w:sz w:val="18"/>
                      <w:szCs w:val="18"/>
                    </w:rPr>
                    <w:t>m</w:t>
                  </w:r>
                  <w:r>
                    <w:rPr>
                      <w:b/>
                      <w:bCs/>
                      <w:color w:val="auto"/>
                      <w:sz w:val="18"/>
                      <w:szCs w:val="18"/>
                      <w:vertAlign w:val="superscript"/>
                    </w:rPr>
                    <w:t>3</w:t>
                  </w:r>
                  <w:r>
                    <w:rPr>
                      <w:b/>
                      <w:bCs/>
                      <w:color w:val="auto"/>
                      <w:sz w:val="18"/>
                      <w:szCs w:val="18"/>
                    </w:rPr>
                    <w:t>/h</w:t>
                  </w:r>
                </w:p>
              </w:tc>
              <w:tc>
                <w:tcPr>
                  <w:tcW w:w="619" w:type="dxa"/>
                  <w:noWrap w:val="0"/>
                  <w:vAlign w:val="center"/>
                </w:tcPr>
                <w:p>
                  <w:pPr>
                    <w:spacing w:line="20" w:lineRule="atLeast"/>
                    <w:jc w:val="center"/>
                    <w:rPr>
                      <w:b/>
                      <w:bCs/>
                      <w:color w:val="auto"/>
                      <w:sz w:val="18"/>
                      <w:szCs w:val="18"/>
                    </w:rPr>
                  </w:pPr>
                  <w:r>
                    <w:rPr>
                      <w:b/>
                      <w:bCs/>
                      <w:color w:val="auto"/>
                      <w:sz w:val="18"/>
                      <w:szCs w:val="18"/>
                    </w:rPr>
                    <w:t>收集</w:t>
                  </w:r>
                </w:p>
                <w:p>
                  <w:pPr>
                    <w:spacing w:line="20" w:lineRule="atLeast"/>
                    <w:jc w:val="center"/>
                    <w:rPr>
                      <w:b/>
                      <w:bCs/>
                      <w:color w:val="auto"/>
                      <w:sz w:val="18"/>
                      <w:szCs w:val="18"/>
                    </w:rPr>
                  </w:pPr>
                  <w:r>
                    <w:rPr>
                      <w:b/>
                      <w:bCs/>
                      <w:color w:val="auto"/>
                      <w:sz w:val="18"/>
                      <w:szCs w:val="18"/>
                    </w:rPr>
                    <w:t>效率</w:t>
                  </w:r>
                </w:p>
                <w:p>
                  <w:pPr>
                    <w:spacing w:line="20" w:lineRule="atLeast"/>
                    <w:jc w:val="center"/>
                    <w:rPr>
                      <w:b/>
                      <w:bCs/>
                      <w:color w:val="auto"/>
                      <w:sz w:val="18"/>
                      <w:szCs w:val="18"/>
                    </w:rPr>
                  </w:pPr>
                  <w:r>
                    <w:rPr>
                      <w:b/>
                      <w:bCs/>
                      <w:color w:val="auto"/>
                      <w:sz w:val="18"/>
                      <w:szCs w:val="18"/>
                    </w:rPr>
                    <w:t>%</w:t>
                  </w:r>
                </w:p>
              </w:tc>
              <w:tc>
                <w:tcPr>
                  <w:tcW w:w="619" w:type="dxa"/>
                  <w:noWrap w:val="0"/>
                  <w:vAlign w:val="center"/>
                </w:tcPr>
                <w:p>
                  <w:pPr>
                    <w:spacing w:line="20" w:lineRule="atLeast"/>
                    <w:jc w:val="center"/>
                    <w:rPr>
                      <w:b/>
                      <w:bCs/>
                      <w:color w:val="auto"/>
                      <w:sz w:val="18"/>
                      <w:szCs w:val="18"/>
                    </w:rPr>
                  </w:pPr>
                  <w:r>
                    <w:rPr>
                      <w:b/>
                      <w:bCs/>
                      <w:color w:val="auto"/>
                      <w:sz w:val="18"/>
                      <w:szCs w:val="18"/>
                    </w:rPr>
                    <w:t>处理</w:t>
                  </w:r>
                </w:p>
                <w:p>
                  <w:pPr>
                    <w:spacing w:line="20" w:lineRule="atLeast"/>
                    <w:jc w:val="center"/>
                    <w:rPr>
                      <w:b/>
                      <w:bCs/>
                      <w:color w:val="auto"/>
                      <w:sz w:val="18"/>
                      <w:szCs w:val="18"/>
                    </w:rPr>
                  </w:pPr>
                  <w:r>
                    <w:rPr>
                      <w:b/>
                      <w:bCs/>
                      <w:color w:val="auto"/>
                      <w:sz w:val="18"/>
                      <w:szCs w:val="18"/>
                    </w:rPr>
                    <w:t>效率</w:t>
                  </w:r>
                </w:p>
                <w:p>
                  <w:pPr>
                    <w:spacing w:line="20" w:lineRule="atLeast"/>
                    <w:jc w:val="center"/>
                    <w:rPr>
                      <w:b/>
                      <w:bCs/>
                      <w:color w:val="auto"/>
                      <w:sz w:val="18"/>
                      <w:szCs w:val="18"/>
                    </w:rPr>
                  </w:pPr>
                  <w:r>
                    <w:rPr>
                      <w:b/>
                      <w:bCs/>
                      <w:color w:val="auto"/>
                      <w:sz w:val="18"/>
                      <w:szCs w:val="18"/>
                    </w:rPr>
                    <w:t>%</w:t>
                  </w:r>
                </w:p>
              </w:tc>
              <w:tc>
                <w:tcPr>
                  <w:tcW w:w="726" w:type="dxa"/>
                  <w:noWrap w:val="0"/>
                  <w:vAlign w:val="center"/>
                </w:tcPr>
                <w:p>
                  <w:pPr>
                    <w:spacing w:line="20" w:lineRule="atLeast"/>
                    <w:jc w:val="center"/>
                    <w:rPr>
                      <w:b/>
                      <w:color w:val="auto"/>
                      <w:spacing w:val="-10"/>
                      <w:sz w:val="18"/>
                      <w:szCs w:val="18"/>
                    </w:rPr>
                  </w:pPr>
                  <w:r>
                    <w:rPr>
                      <w:b/>
                      <w:color w:val="auto"/>
                      <w:spacing w:val="-10"/>
                      <w:sz w:val="18"/>
                      <w:szCs w:val="18"/>
                    </w:rPr>
                    <w:t>排放</w:t>
                  </w:r>
                </w:p>
                <w:p>
                  <w:pPr>
                    <w:spacing w:line="20" w:lineRule="atLeast"/>
                    <w:jc w:val="center"/>
                    <w:rPr>
                      <w:b/>
                      <w:color w:val="auto"/>
                      <w:spacing w:val="-10"/>
                      <w:sz w:val="18"/>
                      <w:szCs w:val="18"/>
                    </w:rPr>
                  </w:pPr>
                  <w:r>
                    <w:rPr>
                      <w:b/>
                      <w:color w:val="auto"/>
                      <w:spacing w:val="-10"/>
                      <w:sz w:val="18"/>
                      <w:szCs w:val="18"/>
                    </w:rPr>
                    <w:t>量</w:t>
                  </w:r>
                </w:p>
                <w:p>
                  <w:pPr>
                    <w:spacing w:line="20" w:lineRule="atLeast"/>
                    <w:jc w:val="center"/>
                    <w:rPr>
                      <w:b/>
                      <w:color w:val="auto"/>
                      <w:spacing w:val="-10"/>
                      <w:sz w:val="18"/>
                      <w:szCs w:val="18"/>
                    </w:rPr>
                  </w:pPr>
                  <w:r>
                    <w:rPr>
                      <w:b/>
                      <w:color w:val="auto"/>
                      <w:spacing w:val="-10"/>
                      <w:sz w:val="18"/>
                      <w:szCs w:val="18"/>
                    </w:rPr>
                    <w:t>t/a</w:t>
                  </w:r>
                </w:p>
              </w:tc>
              <w:tc>
                <w:tcPr>
                  <w:tcW w:w="726" w:type="dxa"/>
                  <w:noWrap w:val="0"/>
                  <w:vAlign w:val="center"/>
                </w:tcPr>
                <w:p>
                  <w:pPr>
                    <w:spacing w:line="20" w:lineRule="atLeast"/>
                    <w:jc w:val="center"/>
                    <w:rPr>
                      <w:b/>
                      <w:color w:val="auto"/>
                      <w:spacing w:val="-10"/>
                      <w:sz w:val="18"/>
                      <w:szCs w:val="18"/>
                    </w:rPr>
                  </w:pPr>
                  <w:r>
                    <w:rPr>
                      <w:b/>
                      <w:color w:val="auto"/>
                      <w:spacing w:val="-10"/>
                      <w:sz w:val="18"/>
                      <w:szCs w:val="18"/>
                    </w:rPr>
                    <w:t>排放</w:t>
                  </w:r>
                </w:p>
                <w:p>
                  <w:pPr>
                    <w:spacing w:line="20" w:lineRule="atLeast"/>
                    <w:jc w:val="center"/>
                    <w:rPr>
                      <w:b/>
                      <w:color w:val="auto"/>
                      <w:spacing w:val="-10"/>
                      <w:sz w:val="18"/>
                      <w:szCs w:val="18"/>
                    </w:rPr>
                  </w:pPr>
                  <w:r>
                    <w:rPr>
                      <w:b/>
                      <w:color w:val="auto"/>
                      <w:spacing w:val="-10"/>
                      <w:sz w:val="18"/>
                      <w:szCs w:val="18"/>
                    </w:rPr>
                    <w:t>速率</w:t>
                  </w:r>
                </w:p>
                <w:p>
                  <w:pPr>
                    <w:spacing w:line="20" w:lineRule="atLeast"/>
                    <w:jc w:val="center"/>
                    <w:rPr>
                      <w:b/>
                      <w:color w:val="auto"/>
                      <w:spacing w:val="-10"/>
                      <w:sz w:val="18"/>
                      <w:szCs w:val="18"/>
                    </w:rPr>
                  </w:pPr>
                  <w:r>
                    <w:rPr>
                      <w:b/>
                      <w:color w:val="auto"/>
                      <w:spacing w:val="-10"/>
                      <w:sz w:val="18"/>
                      <w:szCs w:val="18"/>
                    </w:rPr>
                    <w:t>kg/h</w:t>
                  </w:r>
                </w:p>
              </w:tc>
              <w:tc>
                <w:tcPr>
                  <w:tcW w:w="725" w:type="dxa"/>
                  <w:noWrap w:val="0"/>
                  <w:vAlign w:val="center"/>
                </w:tcPr>
                <w:p>
                  <w:pPr>
                    <w:spacing w:line="20" w:lineRule="atLeast"/>
                    <w:jc w:val="center"/>
                    <w:rPr>
                      <w:b/>
                      <w:color w:val="auto"/>
                      <w:spacing w:val="-10"/>
                      <w:sz w:val="18"/>
                      <w:szCs w:val="18"/>
                    </w:rPr>
                  </w:pPr>
                  <w:r>
                    <w:rPr>
                      <w:b/>
                      <w:color w:val="auto"/>
                      <w:spacing w:val="-10"/>
                      <w:sz w:val="18"/>
                      <w:szCs w:val="18"/>
                    </w:rPr>
                    <w:t>排放</w:t>
                  </w:r>
                </w:p>
                <w:p>
                  <w:pPr>
                    <w:spacing w:line="20" w:lineRule="atLeast"/>
                    <w:jc w:val="center"/>
                    <w:rPr>
                      <w:b/>
                      <w:color w:val="auto"/>
                      <w:spacing w:val="-10"/>
                      <w:sz w:val="18"/>
                      <w:szCs w:val="18"/>
                    </w:rPr>
                  </w:pPr>
                  <w:r>
                    <w:rPr>
                      <w:b/>
                      <w:color w:val="auto"/>
                      <w:spacing w:val="-10"/>
                      <w:sz w:val="18"/>
                      <w:szCs w:val="18"/>
                    </w:rPr>
                    <w:t>浓度</w:t>
                  </w:r>
                </w:p>
                <w:p>
                  <w:pPr>
                    <w:spacing w:line="20" w:lineRule="atLeast"/>
                    <w:jc w:val="center"/>
                    <w:rPr>
                      <w:b/>
                      <w:color w:val="auto"/>
                      <w:spacing w:val="-10"/>
                      <w:sz w:val="18"/>
                      <w:szCs w:val="18"/>
                    </w:rPr>
                  </w:pPr>
                  <w:r>
                    <w:rPr>
                      <w:b/>
                      <w:color w:val="auto"/>
                      <w:spacing w:val="-10"/>
                      <w:sz w:val="18"/>
                      <w:szCs w:val="18"/>
                    </w:rPr>
                    <w:t>mg/m</w:t>
                  </w:r>
                  <w:r>
                    <w:rPr>
                      <w:b/>
                      <w:color w:val="auto"/>
                      <w:spacing w:val="-10"/>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8" w:type="dxa"/>
                  <w:vMerge w:val="restart"/>
                  <w:noWrap w:val="0"/>
                  <w:vAlign w:val="center"/>
                </w:tcPr>
                <w:p>
                  <w:pPr>
                    <w:topLinePunct/>
                    <w:adjustRightInd w:val="0"/>
                    <w:snapToGrid w:val="0"/>
                    <w:jc w:val="center"/>
                    <w:textAlignment w:val="center"/>
                    <w:rPr>
                      <w:color w:val="auto"/>
                      <w:kern w:val="0"/>
                      <w:sz w:val="18"/>
                      <w:szCs w:val="18"/>
                    </w:rPr>
                  </w:pPr>
                  <w:r>
                    <w:rPr>
                      <w:rFonts w:hint="eastAsia"/>
                      <w:color w:val="auto"/>
                      <w:sz w:val="18"/>
                      <w:szCs w:val="18"/>
                    </w:rPr>
                    <w:t>导热油炉燃烧废气</w:t>
                  </w:r>
                </w:p>
              </w:tc>
              <w:tc>
                <w:tcPr>
                  <w:tcW w:w="553" w:type="dxa"/>
                  <w:noWrap w:val="0"/>
                  <w:vAlign w:val="center"/>
                </w:tcPr>
                <w:p>
                  <w:pPr>
                    <w:spacing w:line="20" w:lineRule="atLeast"/>
                    <w:jc w:val="center"/>
                    <w:rPr>
                      <w:bCs/>
                      <w:color w:val="auto"/>
                      <w:spacing w:val="-10"/>
                      <w:sz w:val="18"/>
                      <w:szCs w:val="18"/>
                    </w:rPr>
                  </w:pPr>
                  <w:r>
                    <w:rPr>
                      <w:bCs/>
                      <w:color w:val="auto"/>
                      <w:spacing w:val="-10"/>
                      <w:sz w:val="18"/>
                      <w:szCs w:val="18"/>
                    </w:rPr>
                    <w:t>颗粒物</w:t>
                  </w:r>
                </w:p>
              </w:tc>
              <w:tc>
                <w:tcPr>
                  <w:tcW w:w="553" w:type="dxa"/>
                  <w:vMerge w:val="restart"/>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有组织</w:t>
                  </w:r>
                </w:p>
              </w:tc>
              <w:tc>
                <w:tcPr>
                  <w:tcW w:w="584"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0.026</w:t>
                  </w:r>
                </w:p>
              </w:tc>
              <w:tc>
                <w:tcPr>
                  <w:tcW w:w="69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0.022</w:t>
                  </w:r>
                </w:p>
              </w:tc>
              <w:tc>
                <w:tcPr>
                  <w:tcW w:w="69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1.083</w:t>
                  </w:r>
                </w:p>
              </w:tc>
              <w:tc>
                <w:tcPr>
                  <w:tcW w:w="964"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w:t>
                  </w:r>
                </w:p>
              </w:tc>
              <w:tc>
                <w:tcPr>
                  <w:tcW w:w="635"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w:t>
                  </w:r>
                </w:p>
              </w:tc>
              <w:tc>
                <w:tcPr>
                  <w:tcW w:w="6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100</w:t>
                  </w:r>
                </w:p>
              </w:tc>
              <w:tc>
                <w:tcPr>
                  <w:tcW w:w="6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w:t>
                  </w:r>
                </w:p>
              </w:tc>
              <w:tc>
                <w:tcPr>
                  <w:tcW w:w="72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0.026</w:t>
                  </w:r>
                </w:p>
              </w:tc>
              <w:tc>
                <w:tcPr>
                  <w:tcW w:w="72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0.022</w:t>
                  </w:r>
                </w:p>
              </w:tc>
              <w:tc>
                <w:tcPr>
                  <w:tcW w:w="725"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8" w:type="dxa"/>
                  <w:vMerge w:val="continue"/>
                  <w:noWrap w:val="0"/>
                  <w:vAlign w:val="center"/>
                </w:tcPr>
                <w:p>
                  <w:pPr>
                    <w:topLinePunct/>
                    <w:adjustRightInd w:val="0"/>
                    <w:snapToGrid w:val="0"/>
                    <w:jc w:val="center"/>
                    <w:textAlignment w:val="center"/>
                    <w:rPr>
                      <w:color w:val="auto"/>
                      <w:kern w:val="0"/>
                      <w:sz w:val="18"/>
                      <w:szCs w:val="18"/>
                    </w:rPr>
                  </w:pPr>
                </w:p>
              </w:tc>
              <w:tc>
                <w:tcPr>
                  <w:tcW w:w="553" w:type="dxa"/>
                  <w:noWrap w:val="0"/>
                  <w:vAlign w:val="center"/>
                </w:tcPr>
                <w:p>
                  <w:pPr>
                    <w:spacing w:line="20" w:lineRule="atLeast"/>
                    <w:jc w:val="center"/>
                    <w:rPr>
                      <w:bCs/>
                      <w:color w:val="auto"/>
                      <w:spacing w:val="-10"/>
                      <w:sz w:val="18"/>
                      <w:szCs w:val="18"/>
                      <w:vertAlign w:val="subscript"/>
                    </w:rPr>
                  </w:pPr>
                  <w:r>
                    <w:rPr>
                      <w:rFonts w:hint="eastAsia"/>
                      <w:bCs/>
                      <w:color w:val="auto"/>
                      <w:spacing w:val="-10"/>
                      <w:sz w:val="18"/>
                      <w:szCs w:val="18"/>
                    </w:rPr>
                    <w:t>SO</w:t>
                  </w:r>
                  <w:r>
                    <w:rPr>
                      <w:rFonts w:hint="eastAsia"/>
                      <w:bCs/>
                      <w:color w:val="auto"/>
                      <w:spacing w:val="-10"/>
                      <w:sz w:val="18"/>
                      <w:szCs w:val="18"/>
                      <w:vertAlign w:val="subscript"/>
                    </w:rPr>
                    <w:t>2</w:t>
                  </w:r>
                </w:p>
              </w:tc>
              <w:tc>
                <w:tcPr>
                  <w:tcW w:w="553" w:type="dxa"/>
                  <w:vMerge w:val="continue"/>
                  <w:noWrap w:val="0"/>
                  <w:vAlign w:val="center"/>
                </w:tcPr>
                <w:p>
                  <w:pPr>
                    <w:spacing w:line="20" w:lineRule="atLeast"/>
                    <w:jc w:val="center"/>
                    <w:rPr>
                      <w:bCs/>
                      <w:color w:val="auto"/>
                      <w:spacing w:val="-10"/>
                      <w:sz w:val="18"/>
                      <w:szCs w:val="18"/>
                    </w:rPr>
                  </w:pPr>
                </w:p>
              </w:tc>
              <w:tc>
                <w:tcPr>
                  <w:tcW w:w="584"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0.19</w:t>
                  </w:r>
                </w:p>
              </w:tc>
              <w:tc>
                <w:tcPr>
                  <w:tcW w:w="69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0.158</w:t>
                  </w:r>
                </w:p>
              </w:tc>
              <w:tc>
                <w:tcPr>
                  <w:tcW w:w="69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7.917</w:t>
                  </w:r>
                </w:p>
              </w:tc>
              <w:tc>
                <w:tcPr>
                  <w:tcW w:w="964"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w:t>
                  </w:r>
                </w:p>
              </w:tc>
              <w:tc>
                <w:tcPr>
                  <w:tcW w:w="635" w:type="dxa"/>
                  <w:noWrap w:val="0"/>
                  <w:vAlign w:val="center"/>
                </w:tcPr>
                <w:p>
                  <w:pPr>
                    <w:spacing w:line="20" w:lineRule="atLeast"/>
                    <w:jc w:val="center"/>
                    <w:rPr>
                      <w:bCs/>
                      <w:color w:val="auto"/>
                      <w:spacing w:val="-10"/>
                      <w:sz w:val="18"/>
                      <w:szCs w:val="18"/>
                    </w:rPr>
                  </w:pPr>
                  <w:r>
                    <w:rPr>
                      <w:bCs/>
                      <w:color w:val="auto"/>
                      <w:spacing w:val="-10"/>
                      <w:sz w:val="18"/>
                      <w:szCs w:val="18"/>
                    </w:rPr>
                    <w:t>/</w:t>
                  </w:r>
                </w:p>
              </w:tc>
              <w:tc>
                <w:tcPr>
                  <w:tcW w:w="6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100</w:t>
                  </w:r>
                </w:p>
              </w:tc>
              <w:tc>
                <w:tcPr>
                  <w:tcW w:w="619"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w:t>
                  </w:r>
                </w:p>
              </w:tc>
              <w:tc>
                <w:tcPr>
                  <w:tcW w:w="72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0.19</w:t>
                  </w:r>
                </w:p>
              </w:tc>
              <w:tc>
                <w:tcPr>
                  <w:tcW w:w="72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0.158</w:t>
                  </w:r>
                </w:p>
              </w:tc>
              <w:tc>
                <w:tcPr>
                  <w:tcW w:w="725"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7.917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8" w:type="dxa"/>
                  <w:vMerge w:val="continue"/>
                  <w:noWrap w:val="0"/>
                  <w:vAlign w:val="center"/>
                </w:tcPr>
                <w:p>
                  <w:pPr>
                    <w:topLinePunct/>
                    <w:adjustRightInd w:val="0"/>
                    <w:snapToGrid w:val="0"/>
                    <w:jc w:val="center"/>
                    <w:textAlignment w:val="center"/>
                    <w:rPr>
                      <w:bCs/>
                      <w:color w:val="auto"/>
                      <w:spacing w:val="-10"/>
                      <w:sz w:val="18"/>
                      <w:szCs w:val="18"/>
                    </w:rPr>
                  </w:pPr>
                </w:p>
              </w:tc>
              <w:tc>
                <w:tcPr>
                  <w:tcW w:w="553"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NOx</w:t>
                  </w:r>
                </w:p>
              </w:tc>
              <w:tc>
                <w:tcPr>
                  <w:tcW w:w="553" w:type="dxa"/>
                  <w:vMerge w:val="continue"/>
                  <w:noWrap w:val="0"/>
                  <w:vAlign w:val="center"/>
                </w:tcPr>
                <w:p>
                  <w:pPr>
                    <w:spacing w:line="20" w:lineRule="atLeast"/>
                    <w:jc w:val="center"/>
                    <w:rPr>
                      <w:bCs/>
                      <w:color w:val="auto"/>
                      <w:spacing w:val="-10"/>
                      <w:sz w:val="18"/>
                      <w:szCs w:val="18"/>
                    </w:rPr>
                  </w:pPr>
                </w:p>
              </w:tc>
              <w:tc>
                <w:tcPr>
                  <w:tcW w:w="584"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0.303</w:t>
                  </w:r>
                </w:p>
              </w:tc>
              <w:tc>
                <w:tcPr>
                  <w:tcW w:w="69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0.253</w:t>
                  </w:r>
                </w:p>
              </w:tc>
              <w:tc>
                <w:tcPr>
                  <w:tcW w:w="696"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12.625</w:t>
                  </w:r>
                </w:p>
              </w:tc>
              <w:tc>
                <w:tcPr>
                  <w:tcW w:w="964"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w:t>
                  </w:r>
                </w:p>
              </w:tc>
              <w:tc>
                <w:tcPr>
                  <w:tcW w:w="635" w:type="dxa"/>
                  <w:noWrap w:val="0"/>
                  <w:vAlign w:val="center"/>
                </w:tcPr>
                <w:p>
                  <w:pPr>
                    <w:spacing w:line="20" w:lineRule="atLeast"/>
                    <w:jc w:val="center"/>
                    <w:rPr>
                      <w:bCs/>
                      <w:color w:val="auto"/>
                      <w:spacing w:val="-10"/>
                      <w:sz w:val="18"/>
                      <w:szCs w:val="18"/>
                    </w:rPr>
                  </w:pPr>
                  <w:r>
                    <w:rPr>
                      <w:bCs/>
                      <w:color w:val="auto"/>
                      <w:spacing w:val="-10"/>
                      <w:sz w:val="18"/>
                      <w:szCs w:val="18"/>
                    </w:rPr>
                    <w:t>/</w:t>
                  </w:r>
                </w:p>
              </w:tc>
              <w:tc>
                <w:tcPr>
                  <w:tcW w:w="6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100</w:t>
                  </w:r>
                </w:p>
              </w:tc>
              <w:tc>
                <w:tcPr>
                  <w:tcW w:w="619"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w:t>
                  </w:r>
                </w:p>
              </w:tc>
              <w:tc>
                <w:tcPr>
                  <w:tcW w:w="726"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0.303</w:t>
                  </w:r>
                </w:p>
              </w:tc>
              <w:tc>
                <w:tcPr>
                  <w:tcW w:w="726" w:type="dxa"/>
                  <w:noWrap w:val="0"/>
                  <w:vAlign w:val="center"/>
                </w:tcPr>
                <w:p>
                  <w:pPr>
                    <w:spacing w:line="20" w:lineRule="atLeast"/>
                    <w:jc w:val="center"/>
                    <w:rPr>
                      <w:rFonts w:hint="eastAsia"/>
                      <w:bCs/>
                      <w:color w:val="auto"/>
                      <w:spacing w:val="-10"/>
                      <w:sz w:val="18"/>
                      <w:szCs w:val="18"/>
                    </w:rPr>
                  </w:pPr>
                  <w:r>
                    <w:rPr>
                      <w:rFonts w:hint="eastAsia"/>
                      <w:bCs/>
                      <w:color w:val="auto"/>
                      <w:spacing w:val="-10"/>
                      <w:sz w:val="18"/>
                      <w:szCs w:val="18"/>
                    </w:rPr>
                    <w:t>0.253</w:t>
                  </w:r>
                </w:p>
              </w:tc>
              <w:tc>
                <w:tcPr>
                  <w:tcW w:w="725" w:type="dxa"/>
                  <w:noWrap w:val="0"/>
                  <w:vAlign w:val="center"/>
                </w:tcPr>
                <w:p>
                  <w:pPr>
                    <w:spacing w:line="20" w:lineRule="atLeast"/>
                    <w:jc w:val="center"/>
                    <w:rPr>
                      <w:bCs/>
                      <w:color w:val="auto"/>
                      <w:spacing w:val="-10"/>
                      <w:sz w:val="18"/>
                      <w:szCs w:val="18"/>
                    </w:rPr>
                  </w:pPr>
                  <w:r>
                    <w:rPr>
                      <w:rFonts w:hint="eastAsia"/>
                      <w:bCs/>
                      <w:color w:val="auto"/>
                      <w:spacing w:val="-10"/>
                      <w:sz w:val="18"/>
                      <w:szCs w:val="18"/>
                    </w:rPr>
                    <w:t>12.625</w:t>
                  </w:r>
                </w:p>
              </w:tc>
            </w:tr>
          </w:tbl>
          <w:p>
            <w:pPr>
              <w:adjustRightInd w:val="0"/>
              <w:snapToGrid w:val="0"/>
              <w:ind w:firstLine="440" w:firstLineChars="200"/>
              <w:rPr>
                <w:bCs/>
                <w:color w:val="auto"/>
                <w:spacing w:val="-10"/>
                <w:sz w:val="24"/>
              </w:rPr>
            </w:pPr>
          </w:p>
          <w:p>
            <w:pPr>
              <w:adjustRightInd w:val="0"/>
              <w:snapToGrid w:val="0"/>
              <w:spacing w:line="360" w:lineRule="auto"/>
              <w:ind w:firstLine="442" w:firstLineChars="200"/>
              <w:rPr>
                <w:b/>
                <w:color w:val="auto"/>
                <w:spacing w:val="-10"/>
                <w:sz w:val="24"/>
              </w:rPr>
            </w:pPr>
            <w:r>
              <w:rPr>
                <w:rFonts w:hint="eastAsia"/>
                <w:b/>
                <w:color w:val="auto"/>
                <w:spacing w:val="-10"/>
                <w:sz w:val="24"/>
              </w:rPr>
              <w:t>（8）</w:t>
            </w:r>
            <w:r>
              <w:rPr>
                <w:b/>
                <w:color w:val="auto"/>
                <w:spacing w:val="-10"/>
                <w:sz w:val="24"/>
              </w:rPr>
              <w:t>储罐呼吸废气</w:t>
            </w:r>
          </w:p>
          <w:p>
            <w:pPr>
              <w:adjustRightInd w:val="0"/>
              <w:snapToGrid w:val="0"/>
              <w:spacing w:line="360" w:lineRule="auto"/>
              <w:ind w:firstLine="440" w:firstLineChars="200"/>
              <w:rPr>
                <w:bCs/>
                <w:color w:val="auto"/>
                <w:spacing w:val="-10"/>
                <w:sz w:val="24"/>
              </w:rPr>
            </w:pPr>
            <w:r>
              <w:rPr>
                <w:bCs/>
                <w:color w:val="auto"/>
                <w:spacing w:val="-10"/>
                <w:sz w:val="24"/>
              </w:rPr>
              <w:t>柴油与重油属于石油产品，成分中中含有烃类化合物，在储罐储存过程中，部分烃类化合物会挥发产生会发现有机化合物（本次评价以非甲烷总烃计）。参照《散装液态石油产品损耗》（GB11085-1989），本项目柴油与重油在</w:t>
            </w:r>
            <w:r>
              <w:rPr>
                <w:rFonts w:hint="eastAsia"/>
                <w:bCs/>
                <w:color w:val="auto"/>
                <w:spacing w:val="-10"/>
                <w:sz w:val="24"/>
              </w:rPr>
              <w:t>储罐储存时的挥发率按0.01%计，本项目柴油使用量为100t/a、重油使用量为600t/a，则本项目储罐呼吸废气的非甲烷总烃产生为0.07。该部分废气产生量较少，以无组织的形式排放。</w:t>
            </w:r>
          </w:p>
          <w:p>
            <w:pPr>
              <w:adjustRightInd w:val="0"/>
              <w:snapToGrid w:val="0"/>
              <w:spacing w:line="360" w:lineRule="auto"/>
              <w:ind w:firstLine="442" w:firstLineChars="200"/>
              <w:rPr>
                <w:b/>
                <w:color w:val="auto"/>
                <w:spacing w:val="-10"/>
                <w:sz w:val="24"/>
              </w:rPr>
            </w:pPr>
            <w:r>
              <w:rPr>
                <w:b/>
                <w:color w:val="auto"/>
                <w:spacing w:val="-10"/>
                <w:sz w:val="24"/>
              </w:rPr>
              <w:t>（</w:t>
            </w:r>
            <w:r>
              <w:rPr>
                <w:rFonts w:hint="eastAsia"/>
                <w:b/>
                <w:color w:val="auto"/>
                <w:spacing w:val="-10"/>
                <w:sz w:val="24"/>
              </w:rPr>
              <w:t>9</w:t>
            </w:r>
            <w:r>
              <w:rPr>
                <w:b/>
                <w:color w:val="auto"/>
                <w:spacing w:val="-10"/>
                <w:sz w:val="24"/>
              </w:rPr>
              <w:t>）汽车尾气</w:t>
            </w:r>
          </w:p>
          <w:p>
            <w:pPr>
              <w:adjustRightInd w:val="0"/>
              <w:snapToGrid w:val="0"/>
              <w:spacing w:line="360" w:lineRule="auto"/>
              <w:ind w:firstLine="440" w:firstLineChars="200"/>
              <w:rPr>
                <w:bCs/>
                <w:color w:val="auto"/>
                <w:spacing w:val="-10"/>
                <w:sz w:val="24"/>
              </w:rPr>
            </w:pPr>
            <w:r>
              <w:rPr>
                <w:bCs/>
                <w:color w:val="auto"/>
                <w:spacing w:val="-10"/>
                <w:sz w:val="24"/>
              </w:rPr>
              <w:t>本项目运输车辆在行驶过程中会产生少量的汽车尾气，汽车尾气是车辆起动、驻停、行驶时排放的废气，主要污染因子为CO、HC、NOx等。</w:t>
            </w:r>
          </w:p>
          <w:p>
            <w:pPr>
              <w:adjustRightInd w:val="0"/>
              <w:snapToGrid w:val="0"/>
              <w:spacing w:line="360" w:lineRule="auto"/>
              <w:ind w:firstLine="440" w:firstLineChars="200"/>
              <w:rPr>
                <w:bCs/>
                <w:color w:val="auto"/>
                <w:spacing w:val="-10"/>
                <w:sz w:val="24"/>
              </w:rPr>
            </w:pPr>
            <w:r>
              <w:rPr>
                <w:bCs/>
                <w:color w:val="auto"/>
                <w:spacing w:val="-10"/>
                <w:sz w:val="24"/>
              </w:rPr>
              <w:t>环评要求应加强对项目区域内进出车辆的管理，尽量减少车辆怠速时间，避免猛提速等高燃耗操作；使用高标号汽油；正常维护运输车辆，定期维护保养，使车辆处于较好的运转状态，加强厂区绿化。本项目汽车启动时间较短，废气产生量小，且项目区域内地势开阔，通风条件较好，汽车尾气经自然扩散和绿化吸附后对周边环境影响较小。</w:t>
            </w:r>
          </w:p>
          <w:p>
            <w:pPr>
              <w:adjustRightInd w:val="0"/>
              <w:snapToGrid w:val="0"/>
              <w:spacing w:line="360" w:lineRule="auto"/>
              <w:ind w:firstLine="442" w:firstLineChars="200"/>
              <w:rPr>
                <w:b/>
                <w:color w:val="auto"/>
                <w:spacing w:val="-10"/>
                <w:sz w:val="24"/>
              </w:rPr>
            </w:pPr>
            <w:r>
              <w:rPr>
                <w:rFonts w:hint="eastAsia"/>
                <w:b/>
                <w:color w:val="auto"/>
                <w:spacing w:val="-10"/>
                <w:sz w:val="24"/>
              </w:rPr>
              <w:t>3.非正常排放情况</w:t>
            </w:r>
          </w:p>
          <w:p>
            <w:pPr>
              <w:adjustRightInd w:val="0"/>
              <w:snapToGrid w:val="0"/>
              <w:spacing w:line="360" w:lineRule="auto"/>
              <w:ind w:firstLine="480" w:firstLineChars="200"/>
              <w:rPr>
                <w:bCs/>
                <w:snapToGrid w:val="0"/>
                <w:color w:val="auto"/>
                <w:kern w:val="0"/>
                <w:sz w:val="24"/>
              </w:rPr>
            </w:pPr>
            <w:r>
              <w:rPr>
                <w:rFonts w:hint="eastAsia"/>
                <w:bCs/>
                <w:snapToGrid w:val="0"/>
                <w:color w:val="auto"/>
                <w:kern w:val="0"/>
                <w:sz w:val="24"/>
              </w:rPr>
              <w:t>本项目废气非正常排放主要是治理设施或废气处理设施出现故障，导致废气经低处理效率或无处理排放，本次评价按照最不利情况进行核算，即治理设施或废气处理设施失效导致废气无组织排放，具体非正常排放情况如下表：</w:t>
            </w:r>
          </w:p>
          <w:p>
            <w:pPr>
              <w:adjustRightInd w:val="0"/>
              <w:snapToGrid w:val="0"/>
              <w:jc w:val="center"/>
              <w:rPr>
                <w:b/>
                <w:snapToGrid w:val="0"/>
                <w:color w:val="auto"/>
                <w:kern w:val="0"/>
                <w:sz w:val="24"/>
              </w:rPr>
            </w:pPr>
            <w:r>
              <w:rPr>
                <w:rFonts w:hint="eastAsia"/>
                <w:b/>
                <w:snapToGrid w:val="0"/>
                <w:color w:val="auto"/>
                <w:kern w:val="0"/>
                <w:sz w:val="24"/>
              </w:rPr>
              <w:t>表4-4 本项目非正常排放情况</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000"/>
              <w:gridCol w:w="748"/>
              <w:gridCol w:w="1262"/>
              <w:gridCol w:w="1005"/>
              <w:gridCol w:w="1110"/>
              <w:gridCol w:w="780"/>
              <w:gridCol w:w="945"/>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6" w:type="dxa"/>
                  <w:gridSpan w:val="2"/>
                  <w:noWrap w:val="0"/>
                  <w:vAlign w:val="center"/>
                </w:tcPr>
                <w:p>
                  <w:pPr>
                    <w:snapToGrid w:val="0"/>
                    <w:jc w:val="center"/>
                    <w:rPr>
                      <w:b/>
                      <w:color w:val="auto"/>
                      <w:sz w:val="18"/>
                      <w:szCs w:val="18"/>
                    </w:rPr>
                  </w:pPr>
                  <w:r>
                    <w:rPr>
                      <w:rFonts w:hint="eastAsia"/>
                      <w:b/>
                      <w:color w:val="auto"/>
                      <w:sz w:val="18"/>
                      <w:szCs w:val="18"/>
                    </w:rPr>
                    <w:t>产排污环节</w:t>
                  </w:r>
                </w:p>
              </w:tc>
              <w:tc>
                <w:tcPr>
                  <w:tcW w:w="748" w:type="dxa"/>
                  <w:noWrap w:val="0"/>
                  <w:vAlign w:val="center"/>
                </w:tcPr>
                <w:p>
                  <w:pPr>
                    <w:snapToGrid w:val="0"/>
                    <w:jc w:val="center"/>
                    <w:rPr>
                      <w:b/>
                      <w:color w:val="auto"/>
                      <w:sz w:val="18"/>
                      <w:szCs w:val="18"/>
                      <w:lang w:val="zh-CN"/>
                    </w:rPr>
                  </w:pPr>
                  <w:r>
                    <w:rPr>
                      <w:rFonts w:hint="eastAsia"/>
                      <w:b/>
                      <w:color w:val="auto"/>
                      <w:sz w:val="18"/>
                      <w:szCs w:val="18"/>
                    </w:rPr>
                    <w:t>发生</w:t>
                  </w:r>
                  <w:r>
                    <w:rPr>
                      <w:rFonts w:hint="eastAsia"/>
                      <w:b/>
                      <w:color w:val="auto"/>
                      <w:sz w:val="18"/>
                      <w:szCs w:val="18"/>
                      <w:lang w:val="zh-CN"/>
                    </w:rPr>
                    <w:t>原因</w:t>
                  </w:r>
                </w:p>
              </w:tc>
              <w:tc>
                <w:tcPr>
                  <w:tcW w:w="1262" w:type="dxa"/>
                  <w:noWrap w:val="0"/>
                  <w:vAlign w:val="center"/>
                </w:tcPr>
                <w:p>
                  <w:pPr>
                    <w:snapToGrid w:val="0"/>
                    <w:jc w:val="center"/>
                    <w:rPr>
                      <w:b/>
                      <w:color w:val="auto"/>
                      <w:sz w:val="18"/>
                      <w:szCs w:val="18"/>
                      <w:lang w:val="zh-CN"/>
                    </w:rPr>
                  </w:pPr>
                  <w:r>
                    <w:rPr>
                      <w:rFonts w:hint="eastAsia"/>
                      <w:b/>
                      <w:color w:val="auto"/>
                      <w:sz w:val="18"/>
                      <w:szCs w:val="18"/>
                      <w:lang w:val="zh-CN"/>
                    </w:rPr>
                    <w:t>污染物</w:t>
                  </w:r>
                </w:p>
              </w:tc>
              <w:tc>
                <w:tcPr>
                  <w:tcW w:w="1005" w:type="dxa"/>
                  <w:noWrap w:val="0"/>
                  <w:vAlign w:val="center"/>
                </w:tcPr>
                <w:p>
                  <w:pPr>
                    <w:snapToGrid w:val="0"/>
                    <w:jc w:val="center"/>
                    <w:rPr>
                      <w:b/>
                      <w:color w:val="auto"/>
                      <w:sz w:val="18"/>
                      <w:szCs w:val="18"/>
                      <w:lang w:val="zh-CN"/>
                    </w:rPr>
                  </w:pPr>
                  <w:r>
                    <w:rPr>
                      <w:rFonts w:hint="eastAsia"/>
                      <w:b/>
                      <w:color w:val="auto"/>
                      <w:sz w:val="18"/>
                      <w:szCs w:val="18"/>
                      <w:lang w:val="zh-CN"/>
                    </w:rPr>
                    <w:t>排放浓度</w:t>
                  </w:r>
                </w:p>
                <w:p>
                  <w:pPr>
                    <w:snapToGrid w:val="0"/>
                    <w:jc w:val="center"/>
                    <w:rPr>
                      <w:b/>
                      <w:color w:val="auto"/>
                      <w:sz w:val="18"/>
                      <w:szCs w:val="18"/>
                      <w:lang w:val="zh-CN"/>
                    </w:rPr>
                  </w:pPr>
                  <w:r>
                    <w:rPr>
                      <w:rFonts w:hint="eastAsia"/>
                      <w:b/>
                      <w:color w:val="auto"/>
                      <w:sz w:val="18"/>
                      <w:szCs w:val="18"/>
                      <w:lang w:val="zh-CN"/>
                    </w:rPr>
                    <w:t>（mg/m</w:t>
                  </w:r>
                  <w:r>
                    <w:rPr>
                      <w:rFonts w:hint="eastAsia"/>
                      <w:b/>
                      <w:color w:val="auto"/>
                      <w:sz w:val="18"/>
                      <w:szCs w:val="18"/>
                      <w:vertAlign w:val="superscript"/>
                      <w:lang w:val="zh-CN"/>
                    </w:rPr>
                    <w:t>3</w:t>
                  </w:r>
                  <w:r>
                    <w:rPr>
                      <w:rFonts w:hint="eastAsia"/>
                      <w:b/>
                      <w:color w:val="auto"/>
                      <w:sz w:val="18"/>
                      <w:szCs w:val="18"/>
                      <w:lang w:val="zh-CN"/>
                    </w:rPr>
                    <w:t>）</w:t>
                  </w:r>
                </w:p>
              </w:tc>
              <w:tc>
                <w:tcPr>
                  <w:tcW w:w="1110" w:type="dxa"/>
                  <w:noWrap w:val="0"/>
                  <w:vAlign w:val="center"/>
                </w:tcPr>
                <w:p>
                  <w:pPr>
                    <w:snapToGrid w:val="0"/>
                    <w:jc w:val="center"/>
                    <w:rPr>
                      <w:b/>
                      <w:color w:val="auto"/>
                      <w:sz w:val="18"/>
                      <w:szCs w:val="18"/>
                      <w:lang w:val="zh-CN"/>
                    </w:rPr>
                  </w:pPr>
                  <w:r>
                    <w:rPr>
                      <w:rFonts w:hint="eastAsia"/>
                      <w:b/>
                      <w:color w:val="auto"/>
                      <w:sz w:val="18"/>
                      <w:szCs w:val="18"/>
                      <w:lang w:val="zh-CN"/>
                    </w:rPr>
                    <w:t>排放速率（</w:t>
                  </w:r>
                  <w:r>
                    <w:rPr>
                      <w:b/>
                      <w:color w:val="auto"/>
                      <w:sz w:val="18"/>
                      <w:szCs w:val="18"/>
                    </w:rPr>
                    <w:t>kg/h</w:t>
                  </w:r>
                  <w:r>
                    <w:rPr>
                      <w:rFonts w:hint="eastAsia"/>
                      <w:b/>
                      <w:color w:val="auto"/>
                      <w:sz w:val="18"/>
                      <w:szCs w:val="18"/>
                    </w:rPr>
                    <w:t>）</w:t>
                  </w:r>
                </w:p>
              </w:tc>
              <w:tc>
                <w:tcPr>
                  <w:tcW w:w="780" w:type="dxa"/>
                  <w:noWrap w:val="0"/>
                  <w:vAlign w:val="center"/>
                </w:tcPr>
                <w:p>
                  <w:pPr>
                    <w:snapToGrid w:val="0"/>
                    <w:jc w:val="center"/>
                    <w:rPr>
                      <w:rFonts w:hint="eastAsia"/>
                      <w:b/>
                      <w:color w:val="auto"/>
                      <w:sz w:val="18"/>
                      <w:szCs w:val="18"/>
                    </w:rPr>
                  </w:pPr>
                  <w:r>
                    <w:rPr>
                      <w:rFonts w:hint="eastAsia"/>
                      <w:b/>
                      <w:color w:val="auto"/>
                      <w:sz w:val="18"/>
                      <w:szCs w:val="18"/>
                    </w:rPr>
                    <w:t>持续</w:t>
                  </w:r>
                </w:p>
                <w:p>
                  <w:pPr>
                    <w:snapToGrid w:val="0"/>
                    <w:jc w:val="center"/>
                    <w:rPr>
                      <w:b/>
                      <w:color w:val="auto"/>
                      <w:sz w:val="18"/>
                      <w:szCs w:val="18"/>
                      <w:lang w:val="zh-CN"/>
                    </w:rPr>
                  </w:pPr>
                  <w:r>
                    <w:rPr>
                      <w:rFonts w:hint="eastAsia"/>
                      <w:b/>
                      <w:color w:val="auto"/>
                      <w:sz w:val="18"/>
                      <w:szCs w:val="18"/>
                    </w:rPr>
                    <w:t>时间/h</w:t>
                  </w:r>
                </w:p>
              </w:tc>
              <w:tc>
                <w:tcPr>
                  <w:tcW w:w="945" w:type="dxa"/>
                  <w:noWrap w:val="0"/>
                  <w:vAlign w:val="center"/>
                </w:tcPr>
                <w:p>
                  <w:pPr>
                    <w:snapToGrid w:val="0"/>
                    <w:jc w:val="center"/>
                    <w:rPr>
                      <w:b/>
                      <w:color w:val="auto"/>
                      <w:sz w:val="18"/>
                      <w:szCs w:val="18"/>
                      <w:lang w:val="zh-CN"/>
                    </w:rPr>
                  </w:pPr>
                  <w:r>
                    <w:rPr>
                      <w:rFonts w:hint="eastAsia"/>
                      <w:b/>
                      <w:color w:val="auto"/>
                      <w:sz w:val="18"/>
                      <w:szCs w:val="18"/>
                      <w:lang w:val="zh-CN"/>
                    </w:rPr>
                    <w:t>发生频次</w:t>
                  </w:r>
                </w:p>
              </w:tc>
              <w:tc>
                <w:tcPr>
                  <w:tcW w:w="1563" w:type="dxa"/>
                  <w:noWrap w:val="0"/>
                  <w:vAlign w:val="center"/>
                </w:tcPr>
                <w:p>
                  <w:pPr>
                    <w:snapToGrid w:val="0"/>
                    <w:jc w:val="center"/>
                    <w:rPr>
                      <w:b/>
                      <w:color w:val="auto"/>
                      <w:sz w:val="18"/>
                      <w:szCs w:val="18"/>
                      <w:lang w:val="zh-CN"/>
                    </w:rPr>
                  </w:pPr>
                  <w:r>
                    <w:rPr>
                      <w:rFonts w:hint="eastAsia"/>
                      <w:b/>
                      <w:color w:val="auto"/>
                      <w:sz w:val="18"/>
                      <w:szCs w:val="18"/>
                      <w:lang w:val="zh-CN"/>
                    </w:rPr>
                    <w:t>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6" w:type="dxa"/>
                  <w:gridSpan w:val="2"/>
                  <w:noWrap w:val="0"/>
                  <w:vAlign w:val="center"/>
                </w:tcPr>
                <w:p>
                  <w:pPr>
                    <w:snapToGrid w:val="0"/>
                    <w:jc w:val="center"/>
                    <w:rPr>
                      <w:color w:val="auto"/>
                      <w:sz w:val="18"/>
                      <w:szCs w:val="18"/>
                    </w:rPr>
                  </w:pPr>
                  <w:r>
                    <w:rPr>
                      <w:rFonts w:hint="eastAsia"/>
                      <w:color w:val="auto"/>
                      <w:sz w:val="18"/>
                      <w:szCs w:val="18"/>
                    </w:rPr>
                    <w:t>运输车辆动力扬尘</w:t>
                  </w:r>
                </w:p>
              </w:tc>
              <w:tc>
                <w:tcPr>
                  <w:tcW w:w="748" w:type="dxa"/>
                  <w:vMerge w:val="restart"/>
                  <w:noWrap w:val="0"/>
                  <w:vAlign w:val="center"/>
                </w:tcPr>
                <w:p>
                  <w:pPr>
                    <w:snapToGrid w:val="0"/>
                    <w:jc w:val="center"/>
                    <w:rPr>
                      <w:rFonts w:hint="eastAsia"/>
                      <w:color w:val="auto"/>
                      <w:sz w:val="18"/>
                      <w:szCs w:val="18"/>
                    </w:rPr>
                  </w:pPr>
                  <w:r>
                    <w:rPr>
                      <w:rFonts w:hint="eastAsia"/>
                      <w:color w:val="auto"/>
                      <w:sz w:val="18"/>
                      <w:szCs w:val="18"/>
                    </w:rPr>
                    <w:t>治理设施发生故障</w:t>
                  </w:r>
                </w:p>
              </w:tc>
              <w:tc>
                <w:tcPr>
                  <w:tcW w:w="1262" w:type="dxa"/>
                  <w:noWrap w:val="0"/>
                  <w:vAlign w:val="center"/>
                </w:tcPr>
                <w:p>
                  <w:pPr>
                    <w:widowControl/>
                    <w:snapToGrid w:val="0"/>
                    <w:jc w:val="center"/>
                    <w:textAlignment w:val="center"/>
                    <w:rPr>
                      <w:rFonts w:hint="eastAsia" w:cs="宋体"/>
                      <w:color w:val="auto"/>
                      <w:kern w:val="0"/>
                      <w:sz w:val="18"/>
                      <w:szCs w:val="18"/>
                      <w:lang w:bidi="ar"/>
                    </w:rPr>
                  </w:pPr>
                  <w:r>
                    <w:rPr>
                      <w:rFonts w:hint="eastAsia" w:cs="宋体"/>
                      <w:color w:val="auto"/>
                      <w:kern w:val="0"/>
                      <w:sz w:val="18"/>
                      <w:szCs w:val="18"/>
                      <w:lang w:bidi="ar"/>
                    </w:rPr>
                    <w:t>颗粒物</w:t>
                  </w:r>
                </w:p>
              </w:tc>
              <w:tc>
                <w:tcPr>
                  <w:tcW w:w="1005" w:type="dxa"/>
                  <w:noWrap w:val="0"/>
                  <w:vAlign w:val="center"/>
                </w:tcPr>
                <w:p>
                  <w:pPr>
                    <w:snapToGrid w:val="0"/>
                    <w:jc w:val="center"/>
                    <w:rPr>
                      <w:rFonts w:hint="eastAsia"/>
                      <w:color w:val="auto"/>
                      <w:sz w:val="18"/>
                      <w:szCs w:val="18"/>
                    </w:rPr>
                  </w:pPr>
                  <w:r>
                    <w:rPr>
                      <w:rFonts w:hint="eastAsia"/>
                      <w:color w:val="auto"/>
                      <w:sz w:val="18"/>
                      <w:szCs w:val="18"/>
                    </w:rPr>
                    <w:t>/</w:t>
                  </w:r>
                </w:p>
              </w:tc>
              <w:tc>
                <w:tcPr>
                  <w:tcW w:w="1110" w:type="dxa"/>
                  <w:noWrap w:val="0"/>
                  <w:vAlign w:val="center"/>
                </w:tcPr>
                <w:p>
                  <w:pPr>
                    <w:snapToGrid w:val="0"/>
                    <w:jc w:val="center"/>
                    <w:rPr>
                      <w:color w:val="auto"/>
                      <w:sz w:val="18"/>
                      <w:szCs w:val="18"/>
                    </w:rPr>
                  </w:pPr>
                  <w:r>
                    <w:rPr>
                      <w:rFonts w:hint="eastAsia"/>
                      <w:color w:val="auto"/>
                      <w:sz w:val="18"/>
                      <w:szCs w:val="18"/>
                    </w:rPr>
                    <w:t>0.1328</w:t>
                  </w:r>
                </w:p>
              </w:tc>
              <w:tc>
                <w:tcPr>
                  <w:tcW w:w="780" w:type="dxa"/>
                  <w:vMerge w:val="restart"/>
                  <w:noWrap w:val="0"/>
                  <w:vAlign w:val="center"/>
                </w:tcPr>
                <w:p>
                  <w:pPr>
                    <w:snapToGrid w:val="0"/>
                    <w:jc w:val="center"/>
                    <w:rPr>
                      <w:color w:val="auto"/>
                      <w:sz w:val="18"/>
                      <w:szCs w:val="18"/>
                    </w:rPr>
                  </w:pPr>
                  <w:r>
                    <w:rPr>
                      <w:rFonts w:hint="eastAsia"/>
                      <w:color w:val="auto"/>
                      <w:sz w:val="18"/>
                      <w:szCs w:val="18"/>
                    </w:rPr>
                    <w:t>1</w:t>
                  </w:r>
                </w:p>
              </w:tc>
              <w:tc>
                <w:tcPr>
                  <w:tcW w:w="945" w:type="dxa"/>
                  <w:vMerge w:val="restart"/>
                  <w:noWrap w:val="0"/>
                  <w:vAlign w:val="center"/>
                </w:tcPr>
                <w:p>
                  <w:pPr>
                    <w:snapToGrid w:val="0"/>
                    <w:jc w:val="center"/>
                    <w:rPr>
                      <w:color w:val="auto"/>
                      <w:sz w:val="18"/>
                      <w:szCs w:val="18"/>
                    </w:rPr>
                  </w:pPr>
                  <w:r>
                    <w:rPr>
                      <w:rFonts w:hint="eastAsia"/>
                      <w:color w:val="auto"/>
                      <w:sz w:val="18"/>
                      <w:szCs w:val="18"/>
                    </w:rPr>
                    <w:t>以实际生产过程中发生频次为准</w:t>
                  </w:r>
                </w:p>
              </w:tc>
              <w:tc>
                <w:tcPr>
                  <w:tcW w:w="1563" w:type="dxa"/>
                  <w:vMerge w:val="restart"/>
                  <w:noWrap w:val="0"/>
                  <w:vAlign w:val="center"/>
                </w:tcPr>
                <w:p>
                  <w:pPr>
                    <w:snapToGrid w:val="0"/>
                    <w:jc w:val="center"/>
                    <w:rPr>
                      <w:color w:val="auto"/>
                      <w:sz w:val="18"/>
                      <w:szCs w:val="18"/>
                    </w:rPr>
                  </w:pPr>
                  <w:r>
                    <w:rPr>
                      <w:rFonts w:hint="eastAsia"/>
                      <w:color w:val="auto"/>
                      <w:sz w:val="18"/>
                      <w:szCs w:val="18"/>
                    </w:rPr>
                    <w:t>废气处理系统按标准要求设计、施工和管理，对废气处理系统进行定期和不定期检查，及时维修或更换不良部</w:t>
                  </w:r>
                  <w:r>
                    <w:rPr>
                      <w:rFonts w:hint="eastAsia"/>
                      <w:color w:val="auto"/>
                      <w:sz w:val="18"/>
                      <w:szCs w:val="18"/>
                      <w:lang w:val="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6" w:type="dxa"/>
                  <w:gridSpan w:val="2"/>
                  <w:noWrap w:val="0"/>
                  <w:vAlign w:val="center"/>
                </w:tcPr>
                <w:p>
                  <w:pPr>
                    <w:snapToGrid w:val="0"/>
                    <w:jc w:val="center"/>
                    <w:rPr>
                      <w:color w:val="auto"/>
                      <w:sz w:val="18"/>
                      <w:szCs w:val="18"/>
                    </w:rPr>
                  </w:pPr>
                  <w:r>
                    <w:rPr>
                      <w:rFonts w:hint="eastAsia"/>
                      <w:color w:val="auto"/>
                      <w:sz w:val="18"/>
                      <w:szCs w:val="18"/>
                    </w:rPr>
                    <w:t>骨料装卸粉尘</w:t>
                  </w:r>
                </w:p>
              </w:tc>
              <w:tc>
                <w:tcPr>
                  <w:tcW w:w="748" w:type="dxa"/>
                  <w:vMerge w:val="continue"/>
                  <w:noWrap w:val="0"/>
                  <w:vAlign w:val="center"/>
                </w:tcPr>
                <w:p>
                  <w:pPr>
                    <w:snapToGrid w:val="0"/>
                    <w:jc w:val="center"/>
                    <w:rPr>
                      <w:rFonts w:hint="eastAsia"/>
                      <w:color w:val="auto"/>
                      <w:sz w:val="18"/>
                      <w:szCs w:val="18"/>
                    </w:rPr>
                  </w:pPr>
                </w:p>
              </w:tc>
              <w:tc>
                <w:tcPr>
                  <w:tcW w:w="1262" w:type="dxa"/>
                  <w:noWrap w:val="0"/>
                  <w:vAlign w:val="center"/>
                </w:tcPr>
                <w:p>
                  <w:pPr>
                    <w:widowControl/>
                    <w:snapToGrid w:val="0"/>
                    <w:jc w:val="center"/>
                    <w:textAlignment w:val="center"/>
                    <w:rPr>
                      <w:rFonts w:hint="eastAsia" w:cs="宋体"/>
                      <w:color w:val="auto"/>
                      <w:kern w:val="0"/>
                      <w:sz w:val="18"/>
                      <w:szCs w:val="18"/>
                      <w:lang w:bidi="ar"/>
                    </w:rPr>
                  </w:pPr>
                  <w:r>
                    <w:rPr>
                      <w:rFonts w:hint="eastAsia" w:cs="宋体"/>
                      <w:color w:val="auto"/>
                      <w:kern w:val="0"/>
                      <w:sz w:val="18"/>
                      <w:szCs w:val="18"/>
                      <w:lang w:bidi="ar"/>
                    </w:rPr>
                    <w:t>颗粒物</w:t>
                  </w:r>
                </w:p>
              </w:tc>
              <w:tc>
                <w:tcPr>
                  <w:tcW w:w="1005" w:type="dxa"/>
                  <w:noWrap w:val="0"/>
                  <w:vAlign w:val="center"/>
                </w:tcPr>
                <w:p>
                  <w:pPr>
                    <w:snapToGrid w:val="0"/>
                    <w:jc w:val="center"/>
                    <w:rPr>
                      <w:rFonts w:hint="eastAsia"/>
                      <w:color w:val="auto"/>
                      <w:sz w:val="18"/>
                      <w:szCs w:val="18"/>
                    </w:rPr>
                  </w:pPr>
                  <w:r>
                    <w:rPr>
                      <w:rFonts w:hint="eastAsia"/>
                      <w:color w:val="auto"/>
                      <w:sz w:val="18"/>
                      <w:szCs w:val="18"/>
                    </w:rPr>
                    <w:t>/</w:t>
                  </w:r>
                </w:p>
              </w:tc>
              <w:tc>
                <w:tcPr>
                  <w:tcW w:w="1110" w:type="dxa"/>
                  <w:noWrap w:val="0"/>
                  <w:vAlign w:val="center"/>
                </w:tcPr>
                <w:p>
                  <w:pPr>
                    <w:snapToGrid w:val="0"/>
                    <w:jc w:val="center"/>
                    <w:rPr>
                      <w:color w:val="auto"/>
                      <w:sz w:val="18"/>
                      <w:szCs w:val="18"/>
                    </w:rPr>
                  </w:pPr>
                  <w:r>
                    <w:rPr>
                      <w:rFonts w:hint="eastAsia"/>
                      <w:color w:val="auto"/>
                      <w:sz w:val="18"/>
                      <w:szCs w:val="18"/>
                    </w:rPr>
                    <w:t>0.0028</w:t>
                  </w:r>
                </w:p>
              </w:tc>
              <w:tc>
                <w:tcPr>
                  <w:tcW w:w="780" w:type="dxa"/>
                  <w:vMerge w:val="continue"/>
                  <w:noWrap w:val="0"/>
                  <w:vAlign w:val="center"/>
                </w:tcPr>
                <w:p>
                  <w:pPr>
                    <w:snapToGrid w:val="0"/>
                    <w:jc w:val="center"/>
                    <w:rPr>
                      <w:rFonts w:hint="eastAsia"/>
                      <w:color w:val="auto"/>
                      <w:sz w:val="18"/>
                      <w:szCs w:val="18"/>
                    </w:rPr>
                  </w:pPr>
                </w:p>
              </w:tc>
              <w:tc>
                <w:tcPr>
                  <w:tcW w:w="945" w:type="dxa"/>
                  <w:vMerge w:val="continue"/>
                  <w:noWrap w:val="0"/>
                  <w:vAlign w:val="center"/>
                </w:tcPr>
                <w:p>
                  <w:pPr>
                    <w:snapToGrid w:val="0"/>
                    <w:jc w:val="center"/>
                    <w:rPr>
                      <w:rFonts w:hint="eastAsia"/>
                      <w:color w:val="auto"/>
                      <w:sz w:val="18"/>
                      <w:szCs w:val="18"/>
                    </w:rPr>
                  </w:pPr>
                </w:p>
              </w:tc>
              <w:tc>
                <w:tcPr>
                  <w:tcW w:w="1563" w:type="dxa"/>
                  <w:vMerge w:val="continue"/>
                  <w:noWrap w:val="0"/>
                  <w:vAlign w:val="center"/>
                </w:tcPr>
                <w:p>
                  <w:pPr>
                    <w:snapToGrid w:val="0"/>
                    <w:jc w:val="center"/>
                    <w:rPr>
                      <w:rFonts w:hint="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6" w:type="dxa"/>
                  <w:gridSpan w:val="2"/>
                  <w:noWrap w:val="0"/>
                  <w:vAlign w:val="center"/>
                </w:tcPr>
                <w:p>
                  <w:pPr>
                    <w:snapToGrid w:val="0"/>
                    <w:jc w:val="center"/>
                    <w:rPr>
                      <w:color w:val="auto"/>
                      <w:sz w:val="18"/>
                      <w:szCs w:val="18"/>
                    </w:rPr>
                  </w:pPr>
                  <w:r>
                    <w:rPr>
                      <w:rFonts w:hint="eastAsia"/>
                      <w:color w:val="auto"/>
                      <w:sz w:val="18"/>
                      <w:szCs w:val="18"/>
                    </w:rPr>
                    <w:t>骨料输送、计量、筛选、投料粉尘和筒仓粉料输送储存粉尘</w:t>
                  </w:r>
                </w:p>
              </w:tc>
              <w:tc>
                <w:tcPr>
                  <w:tcW w:w="748" w:type="dxa"/>
                  <w:vMerge w:val="restart"/>
                  <w:noWrap w:val="0"/>
                  <w:vAlign w:val="center"/>
                </w:tcPr>
                <w:p>
                  <w:pPr>
                    <w:snapToGrid w:val="0"/>
                    <w:jc w:val="center"/>
                    <w:rPr>
                      <w:color w:val="auto"/>
                      <w:sz w:val="18"/>
                      <w:szCs w:val="18"/>
                    </w:rPr>
                  </w:pPr>
                  <w:r>
                    <w:rPr>
                      <w:rFonts w:hint="eastAsia"/>
                      <w:color w:val="auto"/>
                      <w:sz w:val="18"/>
                      <w:szCs w:val="18"/>
                    </w:rPr>
                    <w:t>废气处理装置发生故障</w:t>
                  </w:r>
                </w:p>
              </w:tc>
              <w:tc>
                <w:tcPr>
                  <w:tcW w:w="1262" w:type="dxa"/>
                  <w:noWrap w:val="0"/>
                  <w:vAlign w:val="center"/>
                </w:tcPr>
                <w:p>
                  <w:pPr>
                    <w:widowControl/>
                    <w:snapToGrid w:val="0"/>
                    <w:jc w:val="center"/>
                    <w:textAlignment w:val="center"/>
                    <w:rPr>
                      <w:color w:val="auto"/>
                      <w:kern w:val="0"/>
                      <w:sz w:val="18"/>
                      <w:szCs w:val="18"/>
                      <w:lang w:bidi="ar"/>
                    </w:rPr>
                  </w:pPr>
                  <w:r>
                    <w:rPr>
                      <w:rFonts w:hint="eastAsia" w:cs="宋体"/>
                      <w:color w:val="auto"/>
                      <w:kern w:val="0"/>
                      <w:sz w:val="18"/>
                      <w:szCs w:val="18"/>
                      <w:lang w:bidi="ar"/>
                    </w:rPr>
                    <w:t>颗粒物</w:t>
                  </w:r>
                </w:p>
              </w:tc>
              <w:tc>
                <w:tcPr>
                  <w:tcW w:w="1005" w:type="dxa"/>
                  <w:noWrap w:val="0"/>
                  <w:vAlign w:val="center"/>
                </w:tcPr>
                <w:p>
                  <w:pPr>
                    <w:snapToGrid w:val="0"/>
                    <w:jc w:val="center"/>
                    <w:rPr>
                      <w:rFonts w:hint="eastAsia"/>
                      <w:color w:val="auto"/>
                      <w:sz w:val="18"/>
                      <w:szCs w:val="18"/>
                    </w:rPr>
                  </w:pPr>
                  <w:r>
                    <w:rPr>
                      <w:rFonts w:hint="eastAsia"/>
                      <w:color w:val="auto"/>
                      <w:sz w:val="18"/>
                      <w:szCs w:val="18"/>
                    </w:rPr>
                    <w:t>/</w:t>
                  </w:r>
                </w:p>
              </w:tc>
              <w:tc>
                <w:tcPr>
                  <w:tcW w:w="1110" w:type="dxa"/>
                  <w:noWrap w:val="0"/>
                  <w:vAlign w:val="center"/>
                </w:tcPr>
                <w:p>
                  <w:pPr>
                    <w:snapToGrid w:val="0"/>
                    <w:jc w:val="center"/>
                    <w:rPr>
                      <w:color w:val="auto"/>
                      <w:sz w:val="18"/>
                      <w:szCs w:val="18"/>
                    </w:rPr>
                  </w:pPr>
                  <w:r>
                    <w:rPr>
                      <w:rFonts w:hint="eastAsia"/>
                      <w:color w:val="auto"/>
                      <w:sz w:val="18"/>
                      <w:szCs w:val="18"/>
                    </w:rPr>
                    <w:t>7.333</w:t>
                  </w:r>
                </w:p>
              </w:tc>
              <w:tc>
                <w:tcPr>
                  <w:tcW w:w="780" w:type="dxa"/>
                  <w:vMerge w:val="continue"/>
                  <w:noWrap w:val="0"/>
                  <w:vAlign w:val="center"/>
                </w:tcPr>
                <w:p>
                  <w:pPr>
                    <w:snapToGrid w:val="0"/>
                    <w:jc w:val="center"/>
                    <w:rPr>
                      <w:color w:val="auto"/>
                      <w:sz w:val="18"/>
                      <w:szCs w:val="18"/>
                    </w:rPr>
                  </w:pPr>
                </w:p>
              </w:tc>
              <w:tc>
                <w:tcPr>
                  <w:tcW w:w="945" w:type="dxa"/>
                  <w:vMerge w:val="continue"/>
                  <w:noWrap w:val="0"/>
                  <w:vAlign w:val="center"/>
                </w:tcPr>
                <w:p>
                  <w:pPr>
                    <w:snapToGrid w:val="0"/>
                    <w:jc w:val="center"/>
                    <w:rPr>
                      <w:color w:val="auto"/>
                      <w:sz w:val="18"/>
                      <w:szCs w:val="18"/>
                    </w:rPr>
                  </w:pPr>
                </w:p>
              </w:tc>
              <w:tc>
                <w:tcPr>
                  <w:tcW w:w="1563" w:type="dxa"/>
                  <w:vMerge w:val="continue"/>
                  <w:noWrap w:val="0"/>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restart"/>
                  <w:noWrap w:val="0"/>
                  <w:vAlign w:val="center"/>
                </w:tcPr>
                <w:p>
                  <w:pPr>
                    <w:snapToGrid w:val="0"/>
                    <w:jc w:val="center"/>
                    <w:rPr>
                      <w:rFonts w:hint="eastAsia"/>
                      <w:color w:val="auto"/>
                      <w:sz w:val="18"/>
                      <w:szCs w:val="18"/>
                    </w:rPr>
                  </w:pPr>
                  <w:r>
                    <w:rPr>
                      <w:color w:val="auto"/>
                      <w:sz w:val="18"/>
                      <w:szCs w:val="18"/>
                    </w:rPr>
                    <w:t>DA00</w:t>
                  </w:r>
                  <w:r>
                    <w:rPr>
                      <w:rFonts w:hint="eastAsia"/>
                      <w:color w:val="auto"/>
                      <w:sz w:val="18"/>
                      <w:szCs w:val="18"/>
                    </w:rPr>
                    <w:t>1</w:t>
                  </w:r>
                </w:p>
              </w:tc>
              <w:tc>
                <w:tcPr>
                  <w:tcW w:w="1000" w:type="dxa"/>
                  <w:vMerge w:val="restart"/>
                  <w:noWrap w:val="0"/>
                  <w:vAlign w:val="center"/>
                </w:tcPr>
                <w:p>
                  <w:pPr>
                    <w:snapToGrid w:val="0"/>
                    <w:jc w:val="center"/>
                    <w:rPr>
                      <w:color w:val="auto"/>
                      <w:sz w:val="18"/>
                      <w:szCs w:val="18"/>
                    </w:rPr>
                  </w:pPr>
                  <w:r>
                    <w:rPr>
                      <w:rFonts w:hint="eastAsia"/>
                      <w:color w:val="auto"/>
                      <w:sz w:val="18"/>
                      <w:szCs w:val="18"/>
                    </w:rPr>
                    <w:t>燃烧器燃烧废气、干燥滚筒烘干废气</w:t>
                  </w:r>
                </w:p>
              </w:tc>
              <w:tc>
                <w:tcPr>
                  <w:tcW w:w="748" w:type="dxa"/>
                  <w:vMerge w:val="continue"/>
                  <w:noWrap w:val="0"/>
                  <w:vAlign w:val="center"/>
                </w:tcPr>
                <w:p>
                  <w:pPr>
                    <w:snapToGrid w:val="0"/>
                    <w:jc w:val="center"/>
                    <w:rPr>
                      <w:color w:val="auto"/>
                      <w:sz w:val="18"/>
                      <w:szCs w:val="18"/>
                    </w:rPr>
                  </w:pPr>
                </w:p>
              </w:tc>
              <w:tc>
                <w:tcPr>
                  <w:tcW w:w="1262" w:type="dxa"/>
                  <w:noWrap w:val="0"/>
                  <w:vAlign w:val="center"/>
                </w:tcPr>
                <w:p>
                  <w:pPr>
                    <w:spacing w:line="20" w:lineRule="atLeast"/>
                    <w:jc w:val="center"/>
                    <w:rPr>
                      <w:color w:val="auto"/>
                      <w:kern w:val="0"/>
                      <w:sz w:val="18"/>
                      <w:szCs w:val="18"/>
                      <w:lang w:bidi="ar"/>
                    </w:rPr>
                  </w:pPr>
                  <w:r>
                    <w:rPr>
                      <w:bCs/>
                      <w:color w:val="auto"/>
                      <w:spacing w:val="-10"/>
                      <w:sz w:val="18"/>
                      <w:szCs w:val="18"/>
                    </w:rPr>
                    <w:t>颗粒物</w:t>
                  </w:r>
                </w:p>
              </w:tc>
              <w:tc>
                <w:tcPr>
                  <w:tcW w:w="1005" w:type="dxa"/>
                  <w:noWrap w:val="0"/>
                  <w:vAlign w:val="center"/>
                </w:tcPr>
                <w:p>
                  <w:pPr>
                    <w:spacing w:line="20" w:lineRule="atLeast"/>
                    <w:jc w:val="center"/>
                    <w:rPr>
                      <w:color w:val="auto"/>
                      <w:sz w:val="18"/>
                      <w:szCs w:val="18"/>
                    </w:rPr>
                  </w:pPr>
                  <w:r>
                    <w:rPr>
                      <w:rFonts w:hint="eastAsia"/>
                      <w:bCs/>
                      <w:color w:val="auto"/>
                      <w:spacing w:val="-10"/>
                      <w:sz w:val="18"/>
                      <w:szCs w:val="18"/>
                    </w:rPr>
                    <w:t>82</w:t>
                  </w:r>
                </w:p>
              </w:tc>
              <w:tc>
                <w:tcPr>
                  <w:tcW w:w="1110" w:type="dxa"/>
                  <w:noWrap w:val="0"/>
                  <w:vAlign w:val="center"/>
                </w:tcPr>
                <w:p>
                  <w:pPr>
                    <w:spacing w:line="20" w:lineRule="atLeast"/>
                    <w:jc w:val="center"/>
                    <w:rPr>
                      <w:color w:val="auto"/>
                      <w:sz w:val="18"/>
                      <w:szCs w:val="18"/>
                    </w:rPr>
                  </w:pPr>
                  <w:r>
                    <w:rPr>
                      <w:rFonts w:hint="eastAsia"/>
                      <w:bCs/>
                      <w:color w:val="auto"/>
                      <w:spacing w:val="-10"/>
                      <w:sz w:val="18"/>
                      <w:szCs w:val="18"/>
                    </w:rPr>
                    <w:t>1.64</w:t>
                  </w:r>
                </w:p>
              </w:tc>
              <w:tc>
                <w:tcPr>
                  <w:tcW w:w="780" w:type="dxa"/>
                  <w:vMerge w:val="continue"/>
                  <w:noWrap w:val="0"/>
                  <w:vAlign w:val="center"/>
                </w:tcPr>
                <w:p>
                  <w:pPr>
                    <w:snapToGrid w:val="0"/>
                    <w:jc w:val="center"/>
                    <w:rPr>
                      <w:color w:val="auto"/>
                      <w:sz w:val="18"/>
                      <w:szCs w:val="18"/>
                    </w:rPr>
                  </w:pPr>
                </w:p>
              </w:tc>
              <w:tc>
                <w:tcPr>
                  <w:tcW w:w="945" w:type="dxa"/>
                  <w:vMerge w:val="continue"/>
                  <w:noWrap w:val="0"/>
                  <w:vAlign w:val="center"/>
                </w:tcPr>
                <w:p>
                  <w:pPr>
                    <w:snapToGrid w:val="0"/>
                    <w:jc w:val="center"/>
                    <w:rPr>
                      <w:color w:val="auto"/>
                      <w:sz w:val="18"/>
                      <w:szCs w:val="18"/>
                      <w:lang w:val="zh-CN"/>
                    </w:rPr>
                  </w:pPr>
                </w:p>
              </w:tc>
              <w:tc>
                <w:tcPr>
                  <w:tcW w:w="1563" w:type="dxa"/>
                  <w:vMerge w:val="continue"/>
                  <w:noWrap w:val="0"/>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snapToGrid w:val="0"/>
                    <w:jc w:val="center"/>
                    <w:rPr>
                      <w:color w:val="auto"/>
                      <w:sz w:val="18"/>
                      <w:szCs w:val="18"/>
                    </w:rPr>
                  </w:pPr>
                </w:p>
              </w:tc>
              <w:tc>
                <w:tcPr>
                  <w:tcW w:w="1000" w:type="dxa"/>
                  <w:vMerge w:val="continue"/>
                  <w:noWrap w:val="0"/>
                  <w:vAlign w:val="center"/>
                </w:tcPr>
                <w:p>
                  <w:pPr>
                    <w:snapToGrid w:val="0"/>
                    <w:jc w:val="center"/>
                    <w:rPr>
                      <w:color w:val="auto"/>
                      <w:sz w:val="18"/>
                      <w:szCs w:val="18"/>
                    </w:rPr>
                  </w:pPr>
                </w:p>
              </w:tc>
              <w:tc>
                <w:tcPr>
                  <w:tcW w:w="748" w:type="dxa"/>
                  <w:vMerge w:val="continue"/>
                  <w:noWrap w:val="0"/>
                  <w:vAlign w:val="center"/>
                </w:tcPr>
                <w:p>
                  <w:pPr>
                    <w:snapToGrid w:val="0"/>
                    <w:jc w:val="center"/>
                    <w:rPr>
                      <w:color w:val="auto"/>
                      <w:sz w:val="18"/>
                      <w:szCs w:val="18"/>
                    </w:rPr>
                  </w:pPr>
                </w:p>
              </w:tc>
              <w:tc>
                <w:tcPr>
                  <w:tcW w:w="1262" w:type="dxa"/>
                  <w:noWrap w:val="0"/>
                  <w:vAlign w:val="center"/>
                </w:tcPr>
                <w:p>
                  <w:pPr>
                    <w:spacing w:line="20" w:lineRule="atLeast"/>
                    <w:jc w:val="center"/>
                    <w:rPr>
                      <w:rFonts w:cs="宋体"/>
                      <w:color w:val="auto"/>
                      <w:kern w:val="0"/>
                      <w:sz w:val="18"/>
                      <w:szCs w:val="18"/>
                      <w:lang w:bidi="ar"/>
                    </w:rPr>
                  </w:pPr>
                  <w:r>
                    <w:rPr>
                      <w:rFonts w:hint="eastAsia"/>
                      <w:bCs/>
                      <w:color w:val="auto"/>
                      <w:spacing w:val="-10"/>
                      <w:sz w:val="18"/>
                      <w:szCs w:val="18"/>
                    </w:rPr>
                    <w:t>SO</w:t>
                  </w:r>
                  <w:r>
                    <w:rPr>
                      <w:rFonts w:hint="eastAsia"/>
                      <w:bCs/>
                      <w:color w:val="auto"/>
                      <w:spacing w:val="-10"/>
                      <w:sz w:val="18"/>
                      <w:szCs w:val="18"/>
                      <w:vertAlign w:val="subscript"/>
                    </w:rPr>
                    <w:t>2</w:t>
                  </w:r>
                </w:p>
              </w:tc>
              <w:tc>
                <w:tcPr>
                  <w:tcW w:w="1005" w:type="dxa"/>
                  <w:noWrap w:val="0"/>
                  <w:vAlign w:val="center"/>
                </w:tcPr>
                <w:p>
                  <w:pPr>
                    <w:spacing w:line="20" w:lineRule="atLeast"/>
                    <w:jc w:val="center"/>
                    <w:rPr>
                      <w:color w:val="auto"/>
                      <w:sz w:val="18"/>
                      <w:szCs w:val="18"/>
                    </w:rPr>
                  </w:pPr>
                  <w:r>
                    <w:rPr>
                      <w:rFonts w:hint="eastAsia"/>
                      <w:bCs/>
                      <w:color w:val="auto"/>
                      <w:spacing w:val="-10"/>
                      <w:sz w:val="18"/>
                      <w:szCs w:val="18"/>
                    </w:rPr>
                    <w:t>71.25</w:t>
                  </w:r>
                </w:p>
              </w:tc>
              <w:tc>
                <w:tcPr>
                  <w:tcW w:w="1110" w:type="dxa"/>
                  <w:noWrap w:val="0"/>
                  <w:vAlign w:val="center"/>
                </w:tcPr>
                <w:p>
                  <w:pPr>
                    <w:spacing w:line="20" w:lineRule="atLeast"/>
                    <w:jc w:val="center"/>
                    <w:rPr>
                      <w:color w:val="auto"/>
                      <w:sz w:val="18"/>
                      <w:szCs w:val="18"/>
                    </w:rPr>
                  </w:pPr>
                  <w:r>
                    <w:rPr>
                      <w:rFonts w:hint="eastAsia"/>
                      <w:bCs/>
                      <w:color w:val="auto"/>
                      <w:spacing w:val="-10"/>
                      <w:sz w:val="18"/>
                      <w:szCs w:val="18"/>
                    </w:rPr>
                    <w:t>1.425</w:t>
                  </w:r>
                </w:p>
              </w:tc>
              <w:tc>
                <w:tcPr>
                  <w:tcW w:w="780" w:type="dxa"/>
                  <w:vMerge w:val="continue"/>
                  <w:noWrap w:val="0"/>
                  <w:vAlign w:val="center"/>
                </w:tcPr>
                <w:p>
                  <w:pPr>
                    <w:snapToGrid w:val="0"/>
                    <w:jc w:val="center"/>
                    <w:rPr>
                      <w:color w:val="auto"/>
                      <w:sz w:val="18"/>
                      <w:szCs w:val="18"/>
                    </w:rPr>
                  </w:pPr>
                </w:p>
              </w:tc>
              <w:tc>
                <w:tcPr>
                  <w:tcW w:w="945" w:type="dxa"/>
                  <w:vMerge w:val="continue"/>
                  <w:noWrap w:val="0"/>
                  <w:vAlign w:val="center"/>
                </w:tcPr>
                <w:p>
                  <w:pPr>
                    <w:snapToGrid w:val="0"/>
                    <w:jc w:val="center"/>
                    <w:rPr>
                      <w:color w:val="auto"/>
                      <w:sz w:val="18"/>
                      <w:szCs w:val="18"/>
                      <w:lang w:val="zh-CN"/>
                    </w:rPr>
                  </w:pPr>
                </w:p>
              </w:tc>
              <w:tc>
                <w:tcPr>
                  <w:tcW w:w="1563" w:type="dxa"/>
                  <w:vMerge w:val="continue"/>
                  <w:noWrap w:val="0"/>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snapToGrid w:val="0"/>
                    <w:jc w:val="center"/>
                    <w:rPr>
                      <w:color w:val="auto"/>
                      <w:sz w:val="18"/>
                      <w:szCs w:val="18"/>
                    </w:rPr>
                  </w:pPr>
                </w:p>
              </w:tc>
              <w:tc>
                <w:tcPr>
                  <w:tcW w:w="1000" w:type="dxa"/>
                  <w:vMerge w:val="continue"/>
                  <w:noWrap w:val="0"/>
                  <w:vAlign w:val="center"/>
                </w:tcPr>
                <w:p>
                  <w:pPr>
                    <w:snapToGrid w:val="0"/>
                    <w:jc w:val="center"/>
                    <w:rPr>
                      <w:color w:val="auto"/>
                      <w:sz w:val="18"/>
                      <w:szCs w:val="18"/>
                    </w:rPr>
                  </w:pPr>
                </w:p>
              </w:tc>
              <w:tc>
                <w:tcPr>
                  <w:tcW w:w="748" w:type="dxa"/>
                  <w:vMerge w:val="continue"/>
                  <w:noWrap w:val="0"/>
                  <w:vAlign w:val="center"/>
                </w:tcPr>
                <w:p>
                  <w:pPr>
                    <w:snapToGrid w:val="0"/>
                    <w:jc w:val="center"/>
                    <w:rPr>
                      <w:color w:val="auto"/>
                      <w:sz w:val="18"/>
                      <w:szCs w:val="18"/>
                    </w:rPr>
                  </w:pPr>
                </w:p>
              </w:tc>
              <w:tc>
                <w:tcPr>
                  <w:tcW w:w="1262" w:type="dxa"/>
                  <w:noWrap w:val="0"/>
                  <w:vAlign w:val="center"/>
                </w:tcPr>
                <w:p>
                  <w:pPr>
                    <w:spacing w:line="20" w:lineRule="atLeast"/>
                    <w:jc w:val="center"/>
                    <w:rPr>
                      <w:rFonts w:cs="宋体"/>
                      <w:color w:val="auto"/>
                      <w:kern w:val="0"/>
                      <w:sz w:val="18"/>
                      <w:szCs w:val="18"/>
                      <w:lang w:bidi="ar"/>
                    </w:rPr>
                  </w:pPr>
                  <w:r>
                    <w:rPr>
                      <w:rFonts w:hint="eastAsia"/>
                      <w:bCs/>
                      <w:color w:val="auto"/>
                      <w:spacing w:val="-10"/>
                      <w:sz w:val="18"/>
                      <w:szCs w:val="18"/>
                    </w:rPr>
                    <w:t>NOx</w:t>
                  </w:r>
                </w:p>
              </w:tc>
              <w:tc>
                <w:tcPr>
                  <w:tcW w:w="1005" w:type="dxa"/>
                  <w:noWrap w:val="0"/>
                  <w:vAlign w:val="center"/>
                </w:tcPr>
                <w:p>
                  <w:pPr>
                    <w:spacing w:line="20" w:lineRule="atLeast"/>
                    <w:jc w:val="center"/>
                    <w:rPr>
                      <w:color w:val="auto"/>
                      <w:sz w:val="18"/>
                      <w:szCs w:val="18"/>
                    </w:rPr>
                  </w:pPr>
                  <w:r>
                    <w:rPr>
                      <w:rFonts w:hint="eastAsia"/>
                      <w:bCs/>
                      <w:color w:val="auto"/>
                      <w:spacing w:val="-10"/>
                      <w:sz w:val="18"/>
                      <w:szCs w:val="18"/>
                    </w:rPr>
                    <w:t>90</w:t>
                  </w:r>
                </w:p>
              </w:tc>
              <w:tc>
                <w:tcPr>
                  <w:tcW w:w="1110" w:type="dxa"/>
                  <w:noWrap w:val="0"/>
                  <w:vAlign w:val="center"/>
                </w:tcPr>
                <w:p>
                  <w:pPr>
                    <w:spacing w:line="20" w:lineRule="atLeast"/>
                    <w:jc w:val="center"/>
                    <w:rPr>
                      <w:color w:val="auto"/>
                      <w:sz w:val="18"/>
                      <w:szCs w:val="18"/>
                    </w:rPr>
                  </w:pPr>
                  <w:r>
                    <w:rPr>
                      <w:rFonts w:hint="eastAsia"/>
                      <w:bCs/>
                      <w:color w:val="auto"/>
                      <w:spacing w:val="-10"/>
                      <w:sz w:val="18"/>
                      <w:szCs w:val="18"/>
                    </w:rPr>
                    <w:t>1.8</w:t>
                  </w:r>
                </w:p>
              </w:tc>
              <w:tc>
                <w:tcPr>
                  <w:tcW w:w="780" w:type="dxa"/>
                  <w:vMerge w:val="continue"/>
                  <w:noWrap w:val="0"/>
                  <w:vAlign w:val="center"/>
                </w:tcPr>
                <w:p>
                  <w:pPr>
                    <w:snapToGrid w:val="0"/>
                    <w:jc w:val="center"/>
                    <w:rPr>
                      <w:color w:val="auto"/>
                      <w:sz w:val="18"/>
                      <w:szCs w:val="18"/>
                    </w:rPr>
                  </w:pPr>
                </w:p>
              </w:tc>
              <w:tc>
                <w:tcPr>
                  <w:tcW w:w="945" w:type="dxa"/>
                  <w:vMerge w:val="continue"/>
                  <w:noWrap w:val="0"/>
                  <w:vAlign w:val="center"/>
                </w:tcPr>
                <w:p>
                  <w:pPr>
                    <w:snapToGrid w:val="0"/>
                    <w:jc w:val="center"/>
                    <w:rPr>
                      <w:color w:val="auto"/>
                      <w:sz w:val="18"/>
                      <w:szCs w:val="18"/>
                      <w:lang w:val="zh-CN"/>
                    </w:rPr>
                  </w:pPr>
                </w:p>
              </w:tc>
              <w:tc>
                <w:tcPr>
                  <w:tcW w:w="1563" w:type="dxa"/>
                  <w:vMerge w:val="continue"/>
                  <w:noWrap w:val="0"/>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restart"/>
                  <w:noWrap w:val="0"/>
                  <w:vAlign w:val="center"/>
                </w:tcPr>
                <w:p>
                  <w:pPr>
                    <w:snapToGrid w:val="0"/>
                    <w:jc w:val="center"/>
                    <w:rPr>
                      <w:rFonts w:hint="eastAsia"/>
                      <w:color w:val="auto"/>
                      <w:sz w:val="18"/>
                      <w:szCs w:val="18"/>
                    </w:rPr>
                  </w:pPr>
                  <w:r>
                    <w:rPr>
                      <w:color w:val="auto"/>
                      <w:sz w:val="18"/>
                      <w:szCs w:val="18"/>
                    </w:rPr>
                    <w:t>DA00</w:t>
                  </w:r>
                  <w:r>
                    <w:rPr>
                      <w:rFonts w:hint="eastAsia"/>
                      <w:color w:val="auto"/>
                      <w:sz w:val="18"/>
                      <w:szCs w:val="18"/>
                    </w:rPr>
                    <w:t>2</w:t>
                  </w:r>
                </w:p>
              </w:tc>
              <w:tc>
                <w:tcPr>
                  <w:tcW w:w="1000" w:type="dxa"/>
                  <w:vMerge w:val="restart"/>
                  <w:noWrap w:val="0"/>
                  <w:vAlign w:val="center"/>
                </w:tcPr>
                <w:p>
                  <w:pPr>
                    <w:snapToGrid w:val="0"/>
                    <w:jc w:val="center"/>
                    <w:rPr>
                      <w:color w:val="auto"/>
                      <w:sz w:val="18"/>
                      <w:szCs w:val="18"/>
                    </w:rPr>
                  </w:pPr>
                  <w:r>
                    <w:rPr>
                      <w:rFonts w:hint="eastAsia"/>
                      <w:color w:val="auto"/>
                      <w:sz w:val="18"/>
                      <w:szCs w:val="18"/>
                    </w:rPr>
                    <w:t>搅拌器加热、搅拌、出料废气</w:t>
                  </w:r>
                </w:p>
              </w:tc>
              <w:tc>
                <w:tcPr>
                  <w:tcW w:w="748" w:type="dxa"/>
                  <w:vMerge w:val="continue"/>
                  <w:noWrap w:val="0"/>
                  <w:vAlign w:val="center"/>
                </w:tcPr>
                <w:p>
                  <w:pPr>
                    <w:snapToGrid w:val="0"/>
                    <w:jc w:val="center"/>
                    <w:rPr>
                      <w:color w:val="auto"/>
                      <w:sz w:val="18"/>
                      <w:szCs w:val="18"/>
                    </w:rPr>
                  </w:pPr>
                </w:p>
              </w:tc>
              <w:tc>
                <w:tcPr>
                  <w:tcW w:w="1262" w:type="dxa"/>
                  <w:noWrap w:val="0"/>
                  <w:vAlign w:val="center"/>
                </w:tcPr>
                <w:p>
                  <w:pPr>
                    <w:spacing w:line="20" w:lineRule="atLeast"/>
                    <w:jc w:val="center"/>
                    <w:rPr>
                      <w:color w:val="auto"/>
                      <w:sz w:val="18"/>
                      <w:szCs w:val="18"/>
                    </w:rPr>
                  </w:pPr>
                  <w:r>
                    <w:rPr>
                      <w:rFonts w:hint="eastAsia"/>
                      <w:bCs/>
                      <w:color w:val="auto"/>
                      <w:spacing w:val="-10"/>
                      <w:sz w:val="18"/>
                      <w:szCs w:val="18"/>
                    </w:rPr>
                    <w:t>沥青烟</w:t>
                  </w:r>
                </w:p>
              </w:tc>
              <w:tc>
                <w:tcPr>
                  <w:tcW w:w="1005" w:type="dxa"/>
                  <w:noWrap w:val="0"/>
                  <w:vAlign w:val="center"/>
                </w:tcPr>
                <w:p>
                  <w:pPr>
                    <w:spacing w:line="20" w:lineRule="atLeast"/>
                    <w:jc w:val="center"/>
                    <w:rPr>
                      <w:color w:val="auto"/>
                      <w:sz w:val="18"/>
                      <w:szCs w:val="18"/>
                    </w:rPr>
                  </w:pPr>
                  <w:r>
                    <w:rPr>
                      <w:rFonts w:hint="eastAsia"/>
                      <w:bCs/>
                      <w:color w:val="auto"/>
                      <w:spacing w:val="-10"/>
                      <w:sz w:val="18"/>
                      <w:szCs w:val="18"/>
                    </w:rPr>
                    <w:t>21.41</w:t>
                  </w:r>
                </w:p>
              </w:tc>
              <w:tc>
                <w:tcPr>
                  <w:tcW w:w="1110" w:type="dxa"/>
                  <w:noWrap w:val="0"/>
                  <w:vAlign w:val="center"/>
                </w:tcPr>
                <w:p>
                  <w:pPr>
                    <w:spacing w:line="20" w:lineRule="atLeast"/>
                    <w:jc w:val="center"/>
                    <w:rPr>
                      <w:color w:val="auto"/>
                      <w:sz w:val="18"/>
                      <w:szCs w:val="18"/>
                    </w:rPr>
                  </w:pPr>
                  <w:r>
                    <w:rPr>
                      <w:rFonts w:hint="eastAsia"/>
                      <w:bCs/>
                      <w:color w:val="auto"/>
                      <w:spacing w:val="-10"/>
                      <w:sz w:val="18"/>
                      <w:szCs w:val="18"/>
                    </w:rPr>
                    <w:t>0.2141</w:t>
                  </w:r>
                </w:p>
              </w:tc>
              <w:tc>
                <w:tcPr>
                  <w:tcW w:w="780" w:type="dxa"/>
                  <w:vMerge w:val="continue"/>
                  <w:noWrap w:val="0"/>
                  <w:vAlign w:val="center"/>
                </w:tcPr>
                <w:p>
                  <w:pPr>
                    <w:snapToGrid w:val="0"/>
                    <w:jc w:val="center"/>
                    <w:rPr>
                      <w:color w:val="auto"/>
                      <w:sz w:val="18"/>
                      <w:szCs w:val="18"/>
                    </w:rPr>
                  </w:pPr>
                </w:p>
              </w:tc>
              <w:tc>
                <w:tcPr>
                  <w:tcW w:w="945" w:type="dxa"/>
                  <w:vMerge w:val="continue"/>
                  <w:noWrap w:val="0"/>
                  <w:vAlign w:val="center"/>
                </w:tcPr>
                <w:p>
                  <w:pPr>
                    <w:snapToGrid w:val="0"/>
                    <w:jc w:val="center"/>
                    <w:rPr>
                      <w:color w:val="auto"/>
                      <w:sz w:val="18"/>
                      <w:szCs w:val="18"/>
                      <w:lang w:val="zh-CN"/>
                    </w:rPr>
                  </w:pPr>
                </w:p>
              </w:tc>
              <w:tc>
                <w:tcPr>
                  <w:tcW w:w="1563" w:type="dxa"/>
                  <w:vMerge w:val="continue"/>
                  <w:noWrap w:val="0"/>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snapToGrid w:val="0"/>
                    <w:jc w:val="center"/>
                    <w:rPr>
                      <w:color w:val="auto"/>
                      <w:sz w:val="18"/>
                      <w:szCs w:val="18"/>
                    </w:rPr>
                  </w:pPr>
                </w:p>
              </w:tc>
              <w:tc>
                <w:tcPr>
                  <w:tcW w:w="1000" w:type="dxa"/>
                  <w:vMerge w:val="continue"/>
                  <w:noWrap w:val="0"/>
                  <w:vAlign w:val="center"/>
                </w:tcPr>
                <w:p>
                  <w:pPr>
                    <w:snapToGrid w:val="0"/>
                    <w:jc w:val="center"/>
                    <w:rPr>
                      <w:color w:val="auto"/>
                      <w:sz w:val="18"/>
                      <w:szCs w:val="18"/>
                    </w:rPr>
                  </w:pPr>
                </w:p>
              </w:tc>
              <w:tc>
                <w:tcPr>
                  <w:tcW w:w="748" w:type="dxa"/>
                  <w:vMerge w:val="continue"/>
                  <w:noWrap w:val="0"/>
                  <w:vAlign w:val="center"/>
                </w:tcPr>
                <w:p>
                  <w:pPr>
                    <w:snapToGrid w:val="0"/>
                    <w:jc w:val="center"/>
                    <w:rPr>
                      <w:color w:val="auto"/>
                      <w:sz w:val="18"/>
                      <w:szCs w:val="18"/>
                    </w:rPr>
                  </w:pPr>
                </w:p>
              </w:tc>
              <w:tc>
                <w:tcPr>
                  <w:tcW w:w="1262" w:type="dxa"/>
                  <w:noWrap w:val="0"/>
                  <w:vAlign w:val="center"/>
                </w:tcPr>
                <w:p>
                  <w:pPr>
                    <w:spacing w:line="20" w:lineRule="atLeast"/>
                    <w:jc w:val="center"/>
                    <w:rPr>
                      <w:color w:val="auto"/>
                      <w:kern w:val="0"/>
                      <w:sz w:val="18"/>
                      <w:szCs w:val="18"/>
                      <w:lang w:bidi="ar"/>
                    </w:rPr>
                  </w:pPr>
                  <w:r>
                    <w:rPr>
                      <w:rFonts w:hint="eastAsia"/>
                      <w:bCs/>
                      <w:color w:val="auto"/>
                      <w:spacing w:val="-10"/>
                      <w:sz w:val="18"/>
                      <w:szCs w:val="18"/>
                    </w:rPr>
                    <w:t>苯并[a]芘</w:t>
                  </w:r>
                </w:p>
              </w:tc>
              <w:tc>
                <w:tcPr>
                  <w:tcW w:w="1005" w:type="dxa"/>
                  <w:noWrap w:val="0"/>
                  <w:vAlign w:val="center"/>
                </w:tcPr>
                <w:p>
                  <w:pPr>
                    <w:spacing w:line="20" w:lineRule="atLeast"/>
                    <w:jc w:val="center"/>
                    <w:rPr>
                      <w:color w:val="auto"/>
                      <w:sz w:val="18"/>
                      <w:szCs w:val="18"/>
                    </w:rPr>
                  </w:pPr>
                  <w:r>
                    <w:rPr>
                      <w:rFonts w:hint="eastAsia"/>
                      <w:bCs/>
                      <w:color w:val="auto"/>
                      <w:spacing w:val="-10"/>
                      <w:sz w:val="18"/>
                      <w:szCs w:val="18"/>
                    </w:rPr>
                    <w:t>4.76×10</w:t>
                  </w:r>
                  <w:r>
                    <w:rPr>
                      <w:rFonts w:hint="eastAsia"/>
                      <w:bCs/>
                      <w:color w:val="auto"/>
                      <w:spacing w:val="-10"/>
                      <w:sz w:val="18"/>
                      <w:szCs w:val="18"/>
                      <w:vertAlign w:val="superscript"/>
                    </w:rPr>
                    <w:t>-5</w:t>
                  </w:r>
                </w:p>
              </w:tc>
              <w:tc>
                <w:tcPr>
                  <w:tcW w:w="1110" w:type="dxa"/>
                  <w:noWrap w:val="0"/>
                  <w:vAlign w:val="center"/>
                </w:tcPr>
                <w:p>
                  <w:pPr>
                    <w:spacing w:line="20" w:lineRule="atLeast"/>
                    <w:jc w:val="center"/>
                    <w:rPr>
                      <w:color w:val="auto"/>
                      <w:sz w:val="18"/>
                      <w:szCs w:val="18"/>
                    </w:rPr>
                  </w:pPr>
                  <w:r>
                    <w:rPr>
                      <w:rFonts w:hint="eastAsia"/>
                      <w:bCs/>
                      <w:color w:val="auto"/>
                      <w:spacing w:val="-10"/>
                      <w:sz w:val="18"/>
                      <w:szCs w:val="18"/>
                    </w:rPr>
                    <w:t>4.76×10</w:t>
                  </w:r>
                  <w:r>
                    <w:rPr>
                      <w:rFonts w:hint="eastAsia"/>
                      <w:bCs/>
                      <w:color w:val="auto"/>
                      <w:spacing w:val="-10"/>
                      <w:sz w:val="18"/>
                      <w:szCs w:val="18"/>
                      <w:vertAlign w:val="superscript"/>
                    </w:rPr>
                    <w:t>-7</w:t>
                  </w:r>
                </w:p>
              </w:tc>
              <w:tc>
                <w:tcPr>
                  <w:tcW w:w="780" w:type="dxa"/>
                  <w:vMerge w:val="continue"/>
                  <w:noWrap w:val="0"/>
                  <w:vAlign w:val="center"/>
                </w:tcPr>
                <w:p>
                  <w:pPr>
                    <w:snapToGrid w:val="0"/>
                    <w:jc w:val="center"/>
                    <w:rPr>
                      <w:color w:val="auto"/>
                      <w:sz w:val="18"/>
                      <w:szCs w:val="18"/>
                    </w:rPr>
                  </w:pPr>
                </w:p>
              </w:tc>
              <w:tc>
                <w:tcPr>
                  <w:tcW w:w="945" w:type="dxa"/>
                  <w:vMerge w:val="continue"/>
                  <w:noWrap w:val="0"/>
                  <w:vAlign w:val="center"/>
                </w:tcPr>
                <w:p>
                  <w:pPr>
                    <w:snapToGrid w:val="0"/>
                    <w:jc w:val="center"/>
                    <w:rPr>
                      <w:color w:val="auto"/>
                      <w:sz w:val="18"/>
                      <w:szCs w:val="18"/>
                      <w:lang w:val="zh-CN"/>
                    </w:rPr>
                  </w:pPr>
                </w:p>
              </w:tc>
              <w:tc>
                <w:tcPr>
                  <w:tcW w:w="1563" w:type="dxa"/>
                  <w:vMerge w:val="continue"/>
                  <w:noWrap w:val="0"/>
                  <w:vAlign w:val="center"/>
                </w:tcPr>
                <w:p>
                  <w:pPr>
                    <w:snapToGrid w:val="0"/>
                    <w:jc w:val="center"/>
                    <w:rPr>
                      <w:color w:val="auto"/>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snapToGrid w:val="0"/>
                    <w:jc w:val="center"/>
                    <w:rPr>
                      <w:color w:val="auto"/>
                      <w:sz w:val="18"/>
                      <w:szCs w:val="18"/>
                    </w:rPr>
                  </w:pPr>
                </w:p>
              </w:tc>
              <w:tc>
                <w:tcPr>
                  <w:tcW w:w="1000" w:type="dxa"/>
                  <w:vMerge w:val="continue"/>
                  <w:noWrap w:val="0"/>
                  <w:vAlign w:val="center"/>
                </w:tcPr>
                <w:p>
                  <w:pPr>
                    <w:snapToGrid w:val="0"/>
                    <w:jc w:val="center"/>
                    <w:rPr>
                      <w:color w:val="auto"/>
                      <w:sz w:val="18"/>
                      <w:szCs w:val="18"/>
                    </w:rPr>
                  </w:pPr>
                </w:p>
              </w:tc>
              <w:tc>
                <w:tcPr>
                  <w:tcW w:w="748" w:type="dxa"/>
                  <w:vMerge w:val="continue"/>
                  <w:noWrap w:val="0"/>
                  <w:vAlign w:val="center"/>
                </w:tcPr>
                <w:p>
                  <w:pPr>
                    <w:snapToGrid w:val="0"/>
                    <w:jc w:val="center"/>
                    <w:rPr>
                      <w:color w:val="auto"/>
                      <w:sz w:val="18"/>
                      <w:szCs w:val="18"/>
                    </w:rPr>
                  </w:pPr>
                </w:p>
              </w:tc>
              <w:tc>
                <w:tcPr>
                  <w:tcW w:w="1262" w:type="dxa"/>
                  <w:noWrap w:val="0"/>
                  <w:vAlign w:val="center"/>
                </w:tcPr>
                <w:p>
                  <w:pPr>
                    <w:spacing w:line="20" w:lineRule="atLeast"/>
                    <w:jc w:val="center"/>
                    <w:rPr>
                      <w:color w:val="auto"/>
                      <w:sz w:val="18"/>
                      <w:szCs w:val="18"/>
                    </w:rPr>
                  </w:pPr>
                  <w:r>
                    <w:rPr>
                      <w:rFonts w:hint="eastAsia"/>
                      <w:bCs/>
                      <w:color w:val="auto"/>
                      <w:spacing w:val="-10"/>
                      <w:sz w:val="18"/>
                      <w:szCs w:val="18"/>
                    </w:rPr>
                    <w:t>非甲烷总烃</w:t>
                  </w:r>
                </w:p>
              </w:tc>
              <w:tc>
                <w:tcPr>
                  <w:tcW w:w="1005" w:type="dxa"/>
                  <w:noWrap w:val="0"/>
                  <w:vAlign w:val="center"/>
                </w:tcPr>
                <w:p>
                  <w:pPr>
                    <w:spacing w:line="20" w:lineRule="atLeast"/>
                    <w:jc w:val="center"/>
                    <w:rPr>
                      <w:color w:val="auto"/>
                      <w:sz w:val="18"/>
                      <w:szCs w:val="18"/>
                    </w:rPr>
                  </w:pPr>
                  <w:r>
                    <w:rPr>
                      <w:rFonts w:hint="eastAsia"/>
                      <w:bCs/>
                      <w:color w:val="auto"/>
                      <w:spacing w:val="-10"/>
                      <w:sz w:val="18"/>
                      <w:szCs w:val="18"/>
                    </w:rPr>
                    <w:t>15</w:t>
                  </w:r>
                </w:p>
              </w:tc>
              <w:tc>
                <w:tcPr>
                  <w:tcW w:w="1110" w:type="dxa"/>
                  <w:noWrap w:val="0"/>
                  <w:vAlign w:val="center"/>
                </w:tcPr>
                <w:p>
                  <w:pPr>
                    <w:spacing w:line="20" w:lineRule="atLeast"/>
                    <w:jc w:val="center"/>
                    <w:rPr>
                      <w:color w:val="auto"/>
                      <w:sz w:val="18"/>
                      <w:szCs w:val="18"/>
                    </w:rPr>
                  </w:pPr>
                  <w:r>
                    <w:rPr>
                      <w:rFonts w:hint="eastAsia"/>
                      <w:bCs/>
                      <w:color w:val="auto"/>
                      <w:spacing w:val="-10"/>
                      <w:sz w:val="18"/>
                      <w:szCs w:val="18"/>
                    </w:rPr>
                    <w:t>0.15</w:t>
                  </w:r>
                </w:p>
              </w:tc>
              <w:tc>
                <w:tcPr>
                  <w:tcW w:w="780" w:type="dxa"/>
                  <w:vMerge w:val="continue"/>
                  <w:noWrap w:val="0"/>
                  <w:vAlign w:val="center"/>
                </w:tcPr>
                <w:p>
                  <w:pPr>
                    <w:snapToGrid w:val="0"/>
                    <w:jc w:val="center"/>
                    <w:rPr>
                      <w:color w:val="auto"/>
                      <w:sz w:val="18"/>
                      <w:szCs w:val="18"/>
                    </w:rPr>
                  </w:pPr>
                </w:p>
              </w:tc>
              <w:tc>
                <w:tcPr>
                  <w:tcW w:w="945" w:type="dxa"/>
                  <w:vMerge w:val="continue"/>
                  <w:noWrap w:val="0"/>
                  <w:vAlign w:val="center"/>
                </w:tcPr>
                <w:p>
                  <w:pPr>
                    <w:snapToGrid w:val="0"/>
                    <w:jc w:val="center"/>
                    <w:rPr>
                      <w:color w:val="auto"/>
                      <w:sz w:val="18"/>
                      <w:szCs w:val="18"/>
                      <w:lang w:val="zh-CN"/>
                    </w:rPr>
                  </w:pPr>
                </w:p>
              </w:tc>
              <w:tc>
                <w:tcPr>
                  <w:tcW w:w="1563" w:type="dxa"/>
                  <w:vMerge w:val="continue"/>
                  <w:noWrap w:val="0"/>
                  <w:vAlign w:val="center"/>
                </w:tcPr>
                <w:p>
                  <w:pPr>
                    <w:snapToGrid w:val="0"/>
                    <w:jc w:val="center"/>
                    <w:rPr>
                      <w:color w:val="auto"/>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restart"/>
                  <w:noWrap w:val="0"/>
                  <w:vAlign w:val="center"/>
                </w:tcPr>
                <w:p>
                  <w:pPr>
                    <w:snapToGrid w:val="0"/>
                    <w:jc w:val="center"/>
                    <w:rPr>
                      <w:rFonts w:hint="eastAsia"/>
                      <w:color w:val="auto"/>
                      <w:sz w:val="18"/>
                      <w:szCs w:val="18"/>
                    </w:rPr>
                  </w:pPr>
                  <w:r>
                    <w:rPr>
                      <w:color w:val="auto"/>
                      <w:sz w:val="18"/>
                      <w:szCs w:val="18"/>
                    </w:rPr>
                    <w:t>DA00</w:t>
                  </w:r>
                  <w:r>
                    <w:rPr>
                      <w:rFonts w:hint="eastAsia"/>
                      <w:color w:val="auto"/>
                      <w:sz w:val="18"/>
                      <w:szCs w:val="18"/>
                    </w:rPr>
                    <w:t>3</w:t>
                  </w:r>
                </w:p>
              </w:tc>
              <w:tc>
                <w:tcPr>
                  <w:tcW w:w="1000" w:type="dxa"/>
                  <w:vMerge w:val="restart"/>
                  <w:noWrap w:val="0"/>
                  <w:vAlign w:val="center"/>
                </w:tcPr>
                <w:p>
                  <w:pPr>
                    <w:snapToGrid w:val="0"/>
                    <w:jc w:val="center"/>
                    <w:rPr>
                      <w:color w:val="auto"/>
                      <w:sz w:val="18"/>
                      <w:szCs w:val="18"/>
                    </w:rPr>
                  </w:pPr>
                  <w:r>
                    <w:rPr>
                      <w:rFonts w:hint="eastAsia"/>
                      <w:color w:val="auto"/>
                      <w:sz w:val="18"/>
                      <w:szCs w:val="18"/>
                    </w:rPr>
                    <w:t>导热油炉燃烧废气</w:t>
                  </w:r>
                </w:p>
              </w:tc>
              <w:tc>
                <w:tcPr>
                  <w:tcW w:w="748" w:type="dxa"/>
                  <w:vMerge w:val="continue"/>
                  <w:noWrap w:val="0"/>
                  <w:vAlign w:val="center"/>
                </w:tcPr>
                <w:p>
                  <w:pPr>
                    <w:snapToGrid w:val="0"/>
                    <w:jc w:val="center"/>
                    <w:rPr>
                      <w:color w:val="auto"/>
                      <w:sz w:val="18"/>
                      <w:szCs w:val="18"/>
                    </w:rPr>
                  </w:pPr>
                </w:p>
              </w:tc>
              <w:tc>
                <w:tcPr>
                  <w:tcW w:w="1262" w:type="dxa"/>
                  <w:noWrap w:val="0"/>
                  <w:vAlign w:val="center"/>
                </w:tcPr>
                <w:p>
                  <w:pPr>
                    <w:spacing w:line="20" w:lineRule="atLeast"/>
                    <w:jc w:val="center"/>
                    <w:rPr>
                      <w:color w:val="auto"/>
                      <w:sz w:val="18"/>
                      <w:szCs w:val="18"/>
                    </w:rPr>
                  </w:pPr>
                  <w:r>
                    <w:rPr>
                      <w:bCs/>
                      <w:color w:val="auto"/>
                      <w:spacing w:val="-10"/>
                      <w:sz w:val="18"/>
                      <w:szCs w:val="18"/>
                    </w:rPr>
                    <w:t>颗粒物</w:t>
                  </w:r>
                </w:p>
              </w:tc>
              <w:tc>
                <w:tcPr>
                  <w:tcW w:w="1005" w:type="dxa"/>
                  <w:noWrap w:val="0"/>
                  <w:vAlign w:val="center"/>
                </w:tcPr>
                <w:p>
                  <w:pPr>
                    <w:spacing w:line="20" w:lineRule="atLeast"/>
                    <w:jc w:val="center"/>
                    <w:rPr>
                      <w:color w:val="auto"/>
                      <w:sz w:val="18"/>
                      <w:szCs w:val="18"/>
                    </w:rPr>
                  </w:pPr>
                  <w:r>
                    <w:rPr>
                      <w:rFonts w:hint="eastAsia"/>
                      <w:bCs/>
                      <w:color w:val="auto"/>
                      <w:spacing w:val="-10"/>
                      <w:sz w:val="18"/>
                      <w:szCs w:val="18"/>
                    </w:rPr>
                    <w:t>1.083</w:t>
                  </w:r>
                </w:p>
              </w:tc>
              <w:tc>
                <w:tcPr>
                  <w:tcW w:w="1110" w:type="dxa"/>
                  <w:noWrap w:val="0"/>
                  <w:vAlign w:val="center"/>
                </w:tcPr>
                <w:p>
                  <w:pPr>
                    <w:spacing w:line="20" w:lineRule="atLeast"/>
                    <w:jc w:val="center"/>
                    <w:rPr>
                      <w:color w:val="auto"/>
                      <w:sz w:val="18"/>
                      <w:szCs w:val="18"/>
                    </w:rPr>
                  </w:pPr>
                  <w:r>
                    <w:rPr>
                      <w:rFonts w:hint="eastAsia"/>
                      <w:bCs/>
                      <w:color w:val="auto"/>
                      <w:spacing w:val="-10"/>
                      <w:sz w:val="18"/>
                      <w:szCs w:val="18"/>
                    </w:rPr>
                    <w:t>0.022</w:t>
                  </w:r>
                </w:p>
              </w:tc>
              <w:tc>
                <w:tcPr>
                  <w:tcW w:w="780" w:type="dxa"/>
                  <w:vMerge w:val="continue"/>
                  <w:noWrap w:val="0"/>
                  <w:vAlign w:val="center"/>
                </w:tcPr>
                <w:p>
                  <w:pPr>
                    <w:snapToGrid w:val="0"/>
                    <w:jc w:val="center"/>
                    <w:rPr>
                      <w:color w:val="auto"/>
                      <w:sz w:val="18"/>
                      <w:szCs w:val="18"/>
                    </w:rPr>
                  </w:pPr>
                </w:p>
              </w:tc>
              <w:tc>
                <w:tcPr>
                  <w:tcW w:w="945" w:type="dxa"/>
                  <w:vMerge w:val="continue"/>
                  <w:noWrap w:val="0"/>
                  <w:vAlign w:val="center"/>
                </w:tcPr>
                <w:p>
                  <w:pPr>
                    <w:snapToGrid w:val="0"/>
                    <w:jc w:val="center"/>
                    <w:rPr>
                      <w:color w:val="auto"/>
                      <w:sz w:val="18"/>
                      <w:szCs w:val="18"/>
                      <w:lang w:val="zh-CN"/>
                    </w:rPr>
                  </w:pPr>
                </w:p>
              </w:tc>
              <w:tc>
                <w:tcPr>
                  <w:tcW w:w="1563" w:type="dxa"/>
                  <w:vMerge w:val="continue"/>
                  <w:noWrap w:val="0"/>
                  <w:vAlign w:val="center"/>
                </w:tcPr>
                <w:p>
                  <w:pPr>
                    <w:snapToGrid w:val="0"/>
                    <w:jc w:val="center"/>
                    <w:rPr>
                      <w:color w:val="auto"/>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snapToGrid w:val="0"/>
                    <w:jc w:val="center"/>
                    <w:rPr>
                      <w:color w:val="auto"/>
                      <w:sz w:val="18"/>
                      <w:szCs w:val="18"/>
                    </w:rPr>
                  </w:pPr>
                </w:p>
              </w:tc>
              <w:tc>
                <w:tcPr>
                  <w:tcW w:w="1000" w:type="dxa"/>
                  <w:vMerge w:val="continue"/>
                  <w:noWrap w:val="0"/>
                  <w:vAlign w:val="center"/>
                </w:tcPr>
                <w:p>
                  <w:pPr>
                    <w:snapToGrid w:val="0"/>
                    <w:jc w:val="center"/>
                    <w:rPr>
                      <w:color w:val="auto"/>
                      <w:sz w:val="18"/>
                      <w:szCs w:val="18"/>
                    </w:rPr>
                  </w:pPr>
                </w:p>
              </w:tc>
              <w:tc>
                <w:tcPr>
                  <w:tcW w:w="748" w:type="dxa"/>
                  <w:vMerge w:val="continue"/>
                  <w:noWrap w:val="0"/>
                  <w:vAlign w:val="center"/>
                </w:tcPr>
                <w:p>
                  <w:pPr>
                    <w:snapToGrid w:val="0"/>
                    <w:jc w:val="center"/>
                    <w:rPr>
                      <w:color w:val="auto"/>
                      <w:sz w:val="18"/>
                      <w:szCs w:val="18"/>
                    </w:rPr>
                  </w:pPr>
                </w:p>
              </w:tc>
              <w:tc>
                <w:tcPr>
                  <w:tcW w:w="1262" w:type="dxa"/>
                  <w:noWrap w:val="0"/>
                  <w:vAlign w:val="center"/>
                </w:tcPr>
                <w:p>
                  <w:pPr>
                    <w:spacing w:line="20" w:lineRule="atLeast"/>
                    <w:jc w:val="center"/>
                    <w:rPr>
                      <w:color w:val="auto"/>
                      <w:sz w:val="18"/>
                      <w:szCs w:val="18"/>
                    </w:rPr>
                  </w:pPr>
                  <w:r>
                    <w:rPr>
                      <w:rFonts w:hint="eastAsia"/>
                      <w:bCs/>
                      <w:color w:val="auto"/>
                      <w:spacing w:val="-10"/>
                      <w:sz w:val="18"/>
                      <w:szCs w:val="18"/>
                    </w:rPr>
                    <w:t>SO</w:t>
                  </w:r>
                  <w:r>
                    <w:rPr>
                      <w:rFonts w:hint="eastAsia"/>
                      <w:bCs/>
                      <w:color w:val="auto"/>
                      <w:spacing w:val="-10"/>
                      <w:sz w:val="18"/>
                      <w:szCs w:val="18"/>
                      <w:vertAlign w:val="subscript"/>
                    </w:rPr>
                    <w:t>2</w:t>
                  </w:r>
                </w:p>
              </w:tc>
              <w:tc>
                <w:tcPr>
                  <w:tcW w:w="1005" w:type="dxa"/>
                  <w:noWrap w:val="0"/>
                  <w:vAlign w:val="center"/>
                </w:tcPr>
                <w:p>
                  <w:pPr>
                    <w:spacing w:line="20" w:lineRule="atLeast"/>
                    <w:jc w:val="center"/>
                    <w:rPr>
                      <w:color w:val="auto"/>
                      <w:sz w:val="18"/>
                      <w:szCs w:val="18"/>
                    </w:rPr>
                  </w:pPr>
                  <w:r>
                    <w:rPr>
                      <w:rFonts w:hint="eastAsia"/>
                      <w:bCs/>
                      <w:color w:val="auto"/>
                      <w:spacing w:val="-10"/>
                      <w:sz w:val="18"/>
                      <w:szCs w:val="18"/>
                    </w:rPr>
                    <w:t>7.917</w:t>
                  </w:r>
                </w:p>
              </w:tc>
              <w:tc>
                <w:tcPr>
                  <w:tcW w:w="1110" w:type="dxa"/>
                  <w:noWrap w:val="0"/>
                  <w:vAlign w:val="center"/>
                </w:tcPr>
                <w:p>
                  <w:pPr>
                    <w:spacing w:line="20" w:lineRule="atLeast"/>
                    <w:jc w:val="center"/>
                    <w:rPr>
                      <w:color w:val="auto"/>
                      <w:sz w:val="18"/>
                      <w:szCs w:val="18"/>
                    </w:rPr>
                  </w:pPr>
                  <w:r>
                    <w:rPr>
                      <w:rFonts w:hint="eastAsia"/>
                      <w:bCs/>
                      <w:color w:val="auto"/>
                      <w:spacing w:val="-10"/>
                      <w:sz w:val="18"/>
                      <w:szCs w:val="18"/>
                    </w:rPr>
                    <w:t>0.158</w:t>
                  </w:r>
                </w:p>
              </w:tc>
              <w:tc>
                <w:tcPr>
                  <w:tcW w:w="780" w:type="dxa"/>
                  <w:vMerge w:val="continue"/>
                  <w:noWrap w:val="0"/>
                  <w:vAlign w:val="center"/>
                </w:tcPr>
                <w:p>
                  <w:pPr>
                    <w:snapToGrid w:val="0"/>
                    <w:jc w:val="center"/>
                    <w:rPr>
                      <w:color w:val="auto"/>
                      <w:sz w:val="18"/>
                      <w:szCs w:val="18"/>
                    </w:rPr>
                  </w:pPr>
                </w:p>
              </w:tc>
              <w:tc>
                <w:tcPr>
                  <w:tcW w:w="945" w:type="dxa"/>
                  <w:vMerge w:val="continue"/>
                  <w:noWrap w:val="0"/>
                  <w:vAlign w:val="center"/>
                </w:tcPr>
                <w:p>
                  <w:pPr>
                    <w:snapToGrid w:val="0"/>
                    <w:jc w:val="center"/>
                    <w:rPr>
                      <w:color w:val="auto"/>
                      <w:sz w:val="18"/>
                      <w:szCs w:val="18"/>
                      <w:lang w:val="zh-CN"/>
                    </w:rPr>
                  </w:pPr>
                </w:p>
              </w:tc>
              <w:tc>
                <w:tcPr>
                  <w:tcW w:w="1563" w:type="dxa"/>
                  <w:vMerge w:val="continue"/>
                  <w:noWrap w:val="0"/>
                  <w:vAlign w:val="center"/>
                </w:tcPr>
                <w:p>
                  <w:pPr>
                    <w:snapToGrid w:val="0"/>
                    <w:jc w:val="center"/>
                    <w:rPr>
                      <w:color w:val="auto"/>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snapToGrid w:val="0"/>
                    <w:jc w:val="center"/>
                    <w:rPr>
                      <w:color w:val="auto"/>
                      <w:sz w:val="18"/>
                      <w:szCs w:val="18"/>
                    </w:rPr>
                  </w:pPr>
                </w:p>
              </w:tc>
              <w:tc>
                <w:tcPr>
                  <w:tcW w:w="1000" w:type="dxa"/>
                  <w:vMerge w:val="continue"/>
                  <w:noWrap w:val="0"/>
                  <w:vAlign w:val="center"/>
                </w:tcPr>
                <w:p>
                  <w:pPr>
                    <w:snapToGrid w:val="0"/>
                    <w:jc w:val="center"/>
                    <w:rPr>
                      <w:color w:val="auto"/>
                      <w:sz w:val="18"/>
                      <w:szCs w:val="18"/>
                    </w:rPr>
                  </w:pPr>
                </w:p>
              </w:tc>
              <w:tc>
                <w:tcPr>
                  <w:tcW w:w="748" w:type="dxa"/>
                  <w:vMerge w:val="continue"/>
                  <w:noWrap w:val="0"/>
                  <w:vAlign w:val="center"/>
                </w:tcPr>
                <w:p>
                  <w:pPr>
                    <w:snapToGrid w:val="0"/>
                    <w:jc w:val="center"/>
                    <w:rPr>
                      <w:color w:val="auto"/>
                      <w:sz w:val="18"/>
                      <w:szCs w:val="18"/>
                    </w:rPr>
                  </w:pPr>
                </w:p>
              </w:tc>
              <w:tc>
                <w:tcPr>
                  <w:tcW w:w="1262" w:type="dxa"/>
                  <w:noWrap w:val="0"/>
                  <w:vAlign w:val="center"/>
                </w:tcPr>
                <w:p>
                  <w:pPr>
                    <w:spacing w:line="20" w:lineRule="atLeast"/>
                    <w:jc w:val="center"/>
                    <w:rPr>
                      <w:color w:val="auto"/>
                      <w:sz w:val="18"/>
                      <w:szCs w:val="18"/>
                    </w:rPr>
                  </w:pPr>
                  <w:r>
                    <w:rPr>
                      <w:rFonts w:hint="eastAsia"/>
                      <w:bCs/>
                      <w:color w:val="auto"/>
                      <w:spacing w:val="-10"/>
                      <w:sz w:val="18"/>
                      <w:szCs w:val="18"/>
                    </w:rPr>
                    <w:t>NOx</w:t>
                  </w:r>
                </w:p>
              </w:tc>
              <w:tc>
                <w:tcPr>
                  <w:tcW w:w="1005" w:type="dxa"/>
                  <w:noWrap w:val="0"/>
                  <w:vAlign w:val="center"/>
                </w:tcPr>
                <w:p>
                  <w:pPr>
                    <w:spacing w:line="20" w:lineRule="atLeast"/>
                    <w:jc w:val="center"/>
                    <w:rPr>
                      <w:color w:val="auto"/>
                      <w:sz w:val="18"/>
                      <w:szCs w:val="18"/>
                    </w:rPr>
                  </w:pPr>
                  <w:r>
                    <w:rPr>
                      <w:rFonts w:hint="eastAsia"/>
                      <w:bCs/>
                      <w:color w:val="auto"/>
                      <w:spacing w:val="-10"/>
                      <w:sz w:val="18"/>
                      <w:szCs w:val="18"/>
                    </w:rPr>
                    <w:t>12.625</w:t>
                  </w:r>
                </w:p>
              </w:tc>
              <w:tc>
                <w:tcPr>
                  <w:tcW w:w="1110" w:type="dxa"/>
                  <w:noWrap w:val="0"/>
                  <w:vAlign w:val="center"/>
                </w:tcPr>
                <w:p>
                  <w:pPr>
                    <w:spacing w:line="20" w:lineRule="atLeast"/>
                    <w:jc w:val="center"/>
                    <w:rPr>
                      <w:color w:val="auto"/>
                      <w:sz w:val="18"/>
                      <w:szCs w:val="18"/>
                    </w:rPr>
                  </w:pPr>
                  <w:r>
                    <w:rPr>
                      <w:rFonts w:hint="eastAsia"/>
                      <w:bCs/>
                      <w:color w:val="auto"/>
                      <w:spacing w:val="-10"/>
                      <w:sz w:val="18"/>
                      <w:szCs w:val="18"/>
                    </w:rPr>
                    <w:t>0.253</w:t>
                  </w:r>
                </w:p>
              </w:tc>
              <w:tc>
                <w:tcPr>
                  <w:tcW w:w="780" w:type="dxa"/>
                  <w:vMerge w:val="continue"/>
                  <w:noWrap w:val="0"/>
                  <w:vAlign w:val="center"/>
                </w:tcPr>
                <w:p>
                  <w:pPr>
                    <w:snapToGrid w:val="0"/>
                    <w:jc w:val="center"/>
                    <w:rPr>
                      <w:color w:val="auto"/>
                      <w:sz w:val="18"/>
                      <w:szCs w:val="18"/>
                    </w:rPr>
                  </w:pPr>
                </w:p>
              </w:tc>
              <w:tc>
                <w:tcPr>
                  <w:tcW w:w="945" w:type="dxa"/>
                  <w:vMerge w:val="continue"/>
                  <w:noWrap w:val="0"/>
                  <w:vAlign w:val="center"/>
                </w:tcPr>
                <w:p>
                  <w:pPr>
                    <w:snapToGrid w:val="0"/>
                    <w:jc w:val="center"/>
                    <w:rPr>
                      <w:color w:val="auto"/>
                      <w:sz w:val="18"/>
                      <w:szCs w:val="18"/>
                      <w:lang w:val="zh-CN"/>
                    </w:rPr>
                  </w:pPr>
                </w:p>
              </w:tc>
              <w:tc>
                <w:tcPr>
                  <w:tcW w:w="1563" w:type="dxa"/>
                  <w:vMerge w:val="continue"/>
                  <w:noWrap w:val="0"/>
                  <w:vAlign w:val="center"/>
                </w:tcPr>
                <w:p>
                  <w:pPr>
                    <w:snapToGrid w:val="0"/>
                    <w:jc w:val="center"/>
                    <w:rPr>
                      <w:color w:val="auto"/>
                      <w:sz w:val="18"/>
                      <w:szCs w:val="18"/>
                      <w:lang w:val="zh-CN"/>
                    </w:rPr>
                  </w:pPr>
                </w:p>
              </w:tc>
            </w:tr>
          </w:tbl>
          <w:p>
            <w:pPr>
              <w:adjustRightInd w:val="0"/>
              <w:snapToGrid w:val="0"/>
              <w:ind w:firstLine="440" w:firstLineChars="200"/>
              <w:rPr>
                <w:bCs/>
                <w:color w:val="auto"/>
                <w:spacing w:val="-10"/>
                <w:sz w:val="24"/>
              </w:rPr>
            </w:pPr>
          </w:p>
          <w:p>
            <w:pPr>
              <w:adjustRightInd w:val="0"/>
              <w:snapToGrid w:val="0"/>
              <w:spacing w:line="360" w:lineRule="auto"/>
              <w:ind w:firstLine="442" w:firstLineChars="200"/>
              <w:rPr>
                <w:b/>
                <w:snapToGrid w:val="0"/>
                <w:color w:val="auto"/>
                <w:kern w:val="0"/>
                <w:sz w:val="24"/>
              </w:rPr>
            </w:pPr>
            <w:r>
              <w:rPr>
                <w:rFonts w:hint="eastAsia"/>
                <w:b/>
                <w:color w:val="auto"/>
                <w:spacing w:val="-10"/>
                <w:sz w:val="24"/>
              </w:rPr>
              <w:t>4.</w:t>
            </w:r>
            <w:r>
              <w:rPr>
                <w:b/>
                <w:snapToGrid w:val="0"/>
                <w:color w:val="auto"/>
                <w:kern w:val="0"/>
                <w:sz w:val="24"/>
              </w:rPr>
              <w:t>废气排放的环境影响</w:t>
            </w:r>
          </w:p>
          <w:p>
            <w:pPr>
              <w:adjustRightInd w:val="0"/>
              <w:snapToGrid w:val="0"/>
              <w:spacing w:line="360" w:lineRule="auto"/>
              <w:ind w:firstLine="480" w:firstLineChars="200"/>
              <w:rPr>
                <w:rFonts w:hint="eastAsia"/>
                <w:color w:val="auto"/>
                <w:kern w:val="0"/>
                <w:sz w:val="24"/>
              </w:rPr>
            </w:pPr>
            <w:r>
              <w:rPr>
                <w:rFonts w:hint="eastAsia"/>
                <w:bCs/>
                <w:snapToGrid w:val="0"/>
                <w:color w:val="auto"/>
                <w:kern w:val="0"/>
                <w:sz w:val="24"/>
              </w:rPr>
              <w:t>根据</w:t>
            </w:r>
            <w:r>
              <w:rPr>
                <w:color w:val="auto"/>
                <w:kern w:val="0"/>
                <w:sz w:val="24"/>
              </w:rPr>
              <w:t>江西省生态环境厅发布的《2021年江西省各县（市、区）六项污染物浓度年均值》，南康区2021年环境空气中的SO</w:t>
            </w:r>
            <w:r>
              <w:rPr>
                <w:color w:val="auto"/>
                <w:kern w:val="0"/>
                <w:sz w:val="24"/>
                <w:vertAlign w:val="subscript"/>
              </w:rPr>
              <w:t>2</w:t>
            </w:r>
            <w:r>
              <w:rPr>
                <w:color w:val="auto"/>
                <w:kern w:val="0"/>
                <w:sz w:val="24"/>
              </w:rPr>
              <w:t>、NO</w:t>
            </w:r>
            <w:r>
              <w:rPr>
                <w:color w:val="auto"/>
                <w:kern w:val="0"/>
                <w:sz w:val="24"/>
                <w:vertAlign w:val="subscript"/>
              </w:rPr>
              <w:t>2</w:t>
            </w:r>
            <w:r>
              <w:rPr>
                <w:color w:val="auto"/>
                <w:kern w:val="0"/>
                <w:sz w:val="24"/>
              </w:rPr>
              <w:t>、PM</w:t>
            </w:r>
            <w:r>
              <w:rPr>
                <w:color w:val="auto"/>
                <w:kern w:val="0"/>
                <w:sz w:val="24"/>
                <w:vertAlign w:val="subscript"/>
              </w:rPr>
              <w:t>10</w:t>
            </w:r>
            <w:r>
              <w:rPr>
                <w:color w:val="auto"/>
                <w:kern w:val="0"/>
                <w:sz w:val="24"/>
              </w:rPr>
              <w:t>、PM</w:t>
            </w:r>
            <w:r>
              <w:rPr>
                <w:color w:val="auto"/>
                <w:kern w:val="0"/>
                <w:sz w:val="24"/>
                <w:vertAlign w:val="subscript"/>
              </w:rPr>
              <w:t>2.5</w:t>
            </w:r>
            <w:r>
              <w:rPr>
                <w:color w:val="auto"/>
                <w:kern w:val="0"/>
                <w:sz w:val="24"/>
              </w:rPr>
              <w:t>、CO、O</w:t>
            </w:r>
            <w:r>
              <w:rPr>
                <w:color w:val="auto"/>
                <w:kern w:val="0"/>
                <w:sz w:val="24"/>
                <w:vertAlign w:val="subscript"/>
              </w:rPr>
              <w:t>3</w:t>
            </w:r>
            <w:r>
              <w:rPr>
                <w:color w:val="auto"/>
                <w:kern w:val="0"/>
                <w:sz w:val="24"/>
              </w:rPr>
              <w:t>均可达《环境空气质量标准》（GB3095-2012）及其修改单二级标准，</w:t>
            </w:r>
            <w:r>
              <w:rPr>
                <w:rFonts w:hint="eastAsia"/>
                <w:color w:val="auto"/>
                <w:kern w:val="0"/>
                <w:sz w:val="24"/>
              </w:rPr>
              <w:t>判定宁都县</w:t>
            </w:r>
            <w:r>
              <w:rPr>
                <w:color w:val="auto"/>
                <w:kern w:val="0"/>
                <w:sz w:val="24"/>
              </w:rPr>
              <w:t>属于环境空气达标区。</w:t>
            </w:r>
            <w:r>
              <w:rPr>
                <w:rFonts w:hint="eastAsia"/>
                <w:color w:val="auto"/>
                <w:kern w:val="0"/>
                <w:sz w:val="24"/>
              </w:rPr>
              <w:t>本项目运营产生的废气主要为运输车辆动力扬尘、骨料装卸粉尘、骨料输送、计量、筛选、投料粉尘、筒仓粉料输送储存粉尘、燃烧器燃烧废气、干燥滚筒烘干废气、搅拌器加热、搅拌、出料废气、导热油炉燃烧废气、储罐呼吸废气、汽车尾气，经采取有效治理措施后，均可达标排放，其中燃烧器燃烧废气、干燥滚筒烘干废气、搅拌器加热、搅拌、出料废气经收集治理后，颗粒物、SO</w:t>
            </w:r>
            <w:r>
              <w:rPr>
                <w:rFonts w:hint="eastAsia"/>
                <w:color w:val="auto"/>
                <w:kern w:val="0"/>
                <w:sz w:val="24"/>
                <w:vertAlign w:val="subscript"/>
              </w:rPr>
              <w:t>2</w:t>
            </w:r>
            <w:r>
              <w:rPr>
                <w:rFonts w:hint="eastAsia"/>
                <w:color w:val="auto"/>
                <w:kern w:val="0"/>
                <w:sz w:val="24"/>
              </w:rPr>
              <w:t>、NOx、沥青烟、苯并[a]芘、非甲烷总烃有组织排放满足《大气污染物综合排放标准》（GB16297-1996）中的二级标准限值；导热油炉燃烧废气经收集后，烟尘、烟气黑度、二氧化硫有组织排放满足《工业炉窑大气污染物排放标准》（GB9078-1996）中的其他炉窑、燃煤（油）炉窑排放限值、氮氧化物有组织排放满足《大气污染物综合排放标准》（GB16297-1996）中的二级标准限值。</w:t>
            </w:r>
          </w:p>
          <w:p>
            <w:pPr>
              <w:adjustRightInd w:val="0"/>
              <w:snapToGrid w:val="0"/>
              <w:spacing w:line="360" w:lineRule="auto"/>
              <w:ind w:firstLine="480" w:firstLineChars="200"/>
              <w:rPr>
                <w:bCs/>
                <w:color w:val="auto"/>
                <w:spacing w:val="-10"/>
                <w:sz w:val="24"/>
              </w:rPr>
            </w:pPr>
            <w:r>
              <w:rPr>
                <w:rFonts w:hint="eastAsia"/>
                <w:bCs/>
                <w:snapToGrid w:val="0"/>
                <w:color w:val="auto"/>
                <w:kern w:val="0"/>
                <w:sz w:val="24"/>
              </w:rPr>
              <w:t>综上所述，本项目产生的废气均采取有效的污染治理措施收集治理，治理后的废气均可达标排放，对大气环境的影响较小。</w:t>
            </w:r>
          </w:p>
          <w:p>
            <w:pPr>
              <w:adjustRightInd w:val="0"/>
              <w:snapToGrid w:val="0"/>
              <w:spacing w:line="360" w:lineRule="auto"/>
              <w:ind w:firstLine="482" w:firstLineChars="200"/>
              <w:rPr>
                <w:b/>
                <w:color w:val="auto"/>
                <w:spacing w:val="-10"/>
                <w:sz w:val="24"/>
              </w:rPr>
            </w:pPr>
            <w:r>
              <w:rPr>
                <w:rFonts w:hint="eastAsia"/>
                <w:b/>
                <w:bCs/>
                <w:color w:val="auto"/>
                <w:kern w:val="0"/>
                <w:sz w:val="24"/>
              </w:rPr>
              <w:t>5</w:t>
            </w:r>
            <w:r>
              <w:rPr>
                <w:b/>
                <w:color w:val="auto"/>
                <w:spacing w:val="-10"/>
                <w:sz w:val="24"/>
              </w:rPr>
              <w:t>.废气监测要求</w:t>
            </w:r>
          </w:p>
          <w:p>
            <w:pPr>
              <w:adjustRightInd w:val="0"/>
              <w:snapToGrid w:val="0"/>
              <w:spacing w:line="360" w:lineRule="auto"/>
              <w:ind w:firstLine="440" w:firstLineChars="200"/>
              <w:rPr>
                <w:bCs/>
                <w:color w:val="auto"/>
                <w:spacing w:val="-10"/>
                <w:sz w:val="24"/>
              </w:rPr>
            </w:pPr>
            <w:r>
              <w:rPr>
                <w:bCs/>
                <w:color w:val="auto"/>
                <w:spacing w:val="-10"/>
                <w:sz w:val="24"/>
              </w:rPr>
              <w:t>根据本项目所属行业、所采用的生产工艺及所使用的原辅材料和设备设施，对照《固定污染源排污许可分类管理名录》（2019年版），进行简化管理申报；对照《排污许可申请与核发技术规范 总则》（HJ942-2018）、《排污许可证申请与核发技术规范 石墨及其他非金属矿物制品制造》（HJ1119-2020），本项目废气监测要求如下：</w:t>
            </w:r>
          </w:p>
          <w:p>
            <w:pPr>
              <w:adjustRightInd w:val="0"/>
              <w:snapToGrid w:val="0"/>
              <w:jc w:val="center"/>
              <w:rPr>
                <w:b/>
                <w:color w:val="auto"/>
                <w:spacing w:val="-10"/>
                <w:sz w:val="24"/>
              </w:rPr>
            </w:pPr>
            <w:r>
              <w:rPr>
                <w:b/>
                <w:color w:val="auto"/>
                <w:spacing w:val="-10"/>
                <w:sz w:val="24"/>
              </w:rPr>
              <w:t>表4-6 本项目废气监测要求</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541"/>
              <w:gridCol w:w="1194"/>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4" w:type="dxa"/>
                  <w:noWrap w:val="0"/>
                  <w:vAlign w:val="center"/>
                </w:tcPr>
                <w:p>
                  <w:pPr>
                    <w:adjustRightInd w:val="0"/>
                    <w:snapToGrid w:val="0"/>
                    <w:jc w:val="center"/>
                    <w:rPr>
                      <w:b/>
                      <w:color w:val="auto"/>
                      <w:spacing w:val="-10"/>
                      <w:szCs w:val="21"/>
                    </w:rPr>
                  </w:pPr>
                  <w:r>
                    <w:rPr>
                      <w:b/>
                      <w:color w:val="auto"/>
                      <w:spacing w:val="-10"/>
                      <w:szCs w:val="21"/>
                    </w:rPr>
                    <w:t>监测点位</w:t>
                  </w:r>
                </w:p>
              </w:tc>
              <w:tc>
                <w:tcPr>
                  <w:tcW w:w="1541" w:type="dxa"/>
                  <w:noWrap w:val="0"/>
                  <w:vAlign w:val="center"/>
                </w:tcPr>
                <w:p>
                  <w:pPr>
                    <w:adjustRightInd w:val="0"/>
                    <w:snapToGrid w:val="0"/>
                    <w:jc w:val="center"/>
                    <w:rPr>
                      <w:b/>
                      <w:color w:val="auto"/>
                      <w:spacing w:val="-10"/>
                      <w:szCs w:val="21"/>
                    </w:rPr>
                  </w:pPr>
                  <w:r>
                    <w:rPr>
                      <w:b/>
                      <w:color w:val="auto"/>
                      <w:spacing w:val="-10"/>
                      <w:szCs w:val="21"/>
                    </w:rPr>
                    <w:t>监测因子</w:t>
                  </w:r>
                </w:p>
              </w:tc>
              <w:tc>
                <w:tcPr>
                  <w:tcW w:w="1194" w:type="dxa"/>
                  <w:noWrap w:val="0"/>
                  <w:vAlign w:val="center"/>
                </w:tcPr>
                <w:p>
                  <w:pPr>
                    <w:adjustRightInd w:val="0"/>
                    <w:snapToGrid w:val="0"/>
                    <w:jc w:val="center"/>
                    <w:rPr>
                      <w:b/>
                      <w:color w:val="auto"/>
                      <w:spacing w:val="-10"/>
                      <w:szCs w:val="21"/>
                    </w:rPr>
                  </w:pPr>
                  <w:r>
                    <w:rPr>
                      <w:b/>
                      <w:color w:val="auto"/>
                      <w:spacing w:val="-10"/>
                      <w:szCs w:val="21"/>
                    </w:rPr>
                    <w:t>监测频次</w:t>
                  </w:r>
                </w:p>
              </w:tc>
              <w:tc>
                <w:tcPr>
                  <w:tcW w:w="4860" w:type="dxa"/>
                  <w:noWrap w:val="0"/>
                  <w:vAlign w:val="center"/>
                </w:tcPr>
                <w:p>
                  <w:pPr>
                    <w:adjustRightInd w:val="0"/>
                    <w:snapToGrid w:val="0"/>
                    <w:jc w:val="center"/>
                    <w:rPr>
                      <w:b/>
                      <w:color w:val="auto"/>
                      <w:spacing w:val="-10"/>
                      <w:szCs w:val="21"/>
                    </w:rPr>
                  </w:pPr>
                  <w:r>
                    <w:rPr>
                      <w:b/>
                      <w:color w:val="auto"/>
                      <w:spacing w:val="-10"/>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4" w:type="dxa"/>
                  <w:vMerge w:val="restart"/>
                  <w:noWrap w:val="0"/>
                  <w:vAlign w:val="center"/>
                </w:tcPr>
                <w:p>
                  <w:pPr>
                    <w:adjustRightInd w:val="0"/>
                    <w:snapToGrid w:val="0"/>
                    <w:jc w:val="center"/>
                    <w:rPr>
                      <w:bCs/>
                      <w:color w:val="auto"/>
                      <w:spacing w:val="-10"/>
                      <w:szCs w:val="21"/>
                    </w:rPr>
                  </w:pPr>
                  <w:r>
                    <w:rPr>
                      <w:bCs/>
                      <w:color w:val="auto"/>
                      <w:spacing w:val="-10"/>
                      <w:szCs w:val="21"/>
                    </w:rPr>
                    <w:t>DA001</w:t>
                  </w:r>
                  <w:r>
                    <w:rPr>
                      <w:rFonts w:hint="eastAsia"/>
                      <w:bCs/>
                      <w:color w:val="auto"/>
                      <w:spacing w:val="-10"/>
                      <w:szCs w:val="21"/>
                    </w:rPr>
                    <w:t>、</w:t>
                  </w:r>
                  <w:r>
                    <w:rPr>
                      <w:rFonts w:hint="eastAsia"/>
                      <w:color w:val="auto"/>
                      <w:szCs w:val="21"/>
                    </w:rPr>
                    <w:t>1#废气排放口</w:t>
                  </w:r>
                </w:p>
              </w:tc>
              <w:tc>
                <w:tcPr>
                  <w:tcW w:w="1541" w:type="dxa"/>
                  <w:noWrap w:val="0"/>
                  <w:vAlign w:val="center"/>
                </w:tcPr>
                <w:p>
                  <w:pPr>
                    <w:spacing w:line="20" w:lineRule="atLeast"/>
                    <w:jc w:val="center"/>
                    <w:rPr>
                      <w:bCs/>
                      <w:color w:val="auto"/>
                      <w:spacing w:val="-10"/>
                      <w:szCs w:val="21"/>
                    </w:rPr>
                  </w:pPr>
                  <w:r>
                    <w:rPr>
                      <w:bCs/>
                      <w:color w:val="auto"/>
                      <w:spacing w:val="-10"/>
                      <w:szCs w:val="21"/>
                    </w:rPr>
                    <w:t>颗粒物</w:t>
                  </w:r>
                </w:p>
              </w:tc>
              <w:tc>
                <w:tcPr>
                  <w:tcW w:w="1194" w:type="dxa"/>
                  <w:vMerge w:val="restart"/>
                  <w:noWrap w:val="0"/>
                  <w:vAlign w:val="center"/>
                </w:tcPr>
                <w:p>
                  <w:pPr>
                    <w:adjustRightInd w:val="0"/>
                    <w:snapToGrid w:val="0"/>
                    <w:jc w:val="center"/>
                    <w:rPr>
                      <w:bCs/>
                      <w:color w:val="auto"/>
                      <w:spacing w:val="-10"/>
                      <w:szCs w:val="21"/>
                    </w:rPr>
                  </w:pPr>
                  <w:r>
                    <w:rPr>
                      <w:bCs/>
                      <w:color w:val="auto"/>
                      <w:spacing w:val="-10"/>
                      <w:szCs w:val="21"/>
                    </w:rPr>
                    <w:t>1次/</w:t>
                  </w:r>
                  <w:r>
                    <w:rPr>
                      <w:rFonts w:hint="eastAsia"/>
                      <w:bCs/>
                      <w:color w:val="auto"/>
                      <w:spacing w:val="-10"/>
                      <w:szCs w:val="21"/>
                    </w:rPr>
                    <w:t>半</w:t>
                  </w:r>
                  <w:r>
                    <w:rPr>
                      <w:bCs/>
                      <w:color w:val="auto"/>
                      <w:spacing w:val="-10"/>
                      <w:szCs w:val="21"/>
                    </w:rPr>
                    <w:t>年</w:t>
                  </w:r>
                </w:p>
              </w:tc>
              <w:tc>
                <w:tcPr>
                  <w:tcW w:w="4860" w:type="dxa"/>
                  <w:vMerge w:val="restart"/>
                  <w:noWrap w:val="0"/>
                  <w:vAlign w:val="center"/>
                </w:tcPr>
                <w:p>
                  <w:pPr>
                    <w:snapToGrid w:val="0"/>
                    <w:jc w:val="center"/>
                    <w:rPr>
                      <w:bCs/>
                      <w:color w:val="auto"/>
                      <w:spacing w:val="-10"/>
                      <w:szCs w:val="21"/>
                    </w:rPr>
                  </w:pPr>
                  <w:r>
                    <w:rPr>
                      <w:snapToGrid w:val="0"/>
                      <w:color w:val="auto"/>
                      <w:kern w:val="0"/>
                      <w:szCs w:val="21"/>
                    </w:rPr>
                    <w:t>《大气污染物综合排放标准》（GB16297-1996）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4" w:type="dxa"/>
                  <w:vMerge w:val="continue"/>
                  <w:noWrap w:val="0"/>
                  <w:vAlign w:val="center"/>
                </w:tcPr>
                <w:p>
                  <w:pPr>
                    <w:adjustRightInd w:val="0"/>
                    <w:snapToGrid w:val="0"/>
                    <w:jc w:val="center"/>
                    <w:rPr>
                      <w:bCs/>
                      <w:color w:val="auto"/>
                      <w:spacing w:val="-10"/>
                      <w:szCs w:val="21"/>
                    </w:rPr>
                  </w:pPr>
                </w:p>
              </w:tc>
              <w:tc>
                <w:tcPr>
                  <w:tcW w:w="1541" w:type="dxa"/>
                  <w:noWrap w:val="0"/>
                  <w:vAlign w:val="center"/>
                </w:tcPr>
                <w:p>
                  <w:pPr>
                    <w:spacing w:line="20" w:lineRule="atLeast"/>
                    <w:jc w:val="center"/>
                    <w:rPr>
                      <w:color w:val="auto"/>
                      <w:kern w:val="0"/>
                      <w:szCs w:val="21"/>
                    </w:rPr>
                  </w:pPr>
                  <w:r>
                    <w:rPr>
                      <w:bCs/>
                      <w:color w:val="auto"/>
                      <w:spacing w:val="-10"/>
                      <w:szCs w:val="21"/>
                    </w:rPr>
                    <w:t>SO</w:t>
                  </w:r>
                  <w:r>
                    <w:rPr>
                      <w:bCs/>
                      <w:color w:val="auto"/>
                      <w:spacing w:val="-10"/>
                      <w:szCs w:val="21"/>
                      <w:vertAlign w:val="subscript"/>
                    </w:rPr>
                    <w:t>2</w:t>
                  </w:r>
                </w:p>
              </w:tc>
              <w:tc>
                <w:tcPr>
                  <w:tcW w:w="1194" w:type="dxa"/>
                  <w:vMerge w:val="continue"/>
                  <w:noWrap w:val="0"/>
                  <w:vAlign w:val="center"/>
                </w:tcPr>
                <w:p>
                  <w:pPr>
                    <w:adjustRightInd w:val="0"/>
                    <w:snapToGrid w:val="0"/>
                    <w:jc w:val="center"/>
                    <w:rPr>
                      <w:bCs/>
                      <w:color w:val="auto"/>
                      <w:spacing w:val="-10"/>
                      <w:szCs w:val="21"/>
                    </w:rPr>
                  </w:pPr>
                </w:p>
              </w:tc>
              <w:tc>
                <w:tcPr>
                  <w:tcW w:w="4860" w:type="dxa"/>
                  <w:vMerge w:val="continue"/>
                  <w:noWrap w:val="0"/>
                  <w:vAlign w:val="center"/>
                </w:tcPr>
                <w:p>
                  <w:pPr>
                    <w:adjustRightInd w:val="0"/>
                    <w:snapToGrid w:val="0"/>
                    <w:jc w:val="center"/>
                    <w:rPr>
                      <w:rFonts w:hint="eastAsia"/>
                      <w:bCs/>
                      <w:color w:val="auto"/>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4" w:type="dxa"/>
                  <w:vMerge w:val="continue"/>
                  <w:noWrap w:val="0"/>
                  <w:vAlign w:val="center"/>
                </w:tcPr>
                <w:p>
                  <w:pPr>
                    <w:adjustRightInd w:val="0"/>
                    <w:snapToGrid w:val="0"/>
                    <w:jc w:val="center"/>
                    <w:rPr>
                      <w:bCs/>
                      <w:color w:val="auto"/>
                      <w:spacing w:val="-10"/>
                      <w:szCs w:val="21"/>
                    </w:rPr>
                  </w:pPr>
                </w:p>
              </w:tc>
              <w:tc>
                <w:tcPr>
                  <w:tcW w:w="1541" w:type="dxa"/>
                  <w:noWrap w:val="0"/>
                  <w:vAlign w:val="center"/>
                </w:tcPr>
                <w:p>
                  <w:pPr>
                    <w:spacing w:line="20" w:lineRule="atLeast"/>
                    <w:jc w:val="center"/>
                    <w:rPr>
                      <w:color w:val="auto"/>
                      <w:kern w:val="0"/>
                      <w:szCs w:val="21"/>
                    </w:rPr>
                  </w:pPr>
                  <w:r>
                    <w:rPr>
                      <w:bCs/>
                      <w:color w:val="auto"/>
                      <w:spacing w:val="-10"/>
                      <w:szCs w:val="21"/>
                    </w:rPr>
                    <w:t>NOx</w:t>
                  </w:r>
                </w:p>
              </w:tc>
              <w:tc>
                <w:tcPr>
                  <w:tcW w:w="1194" w:type="dxa"/>
                  <w:vMerge w:val="continue"/>
                  <w:noWrap w:val="0"/>
                  <w:vAlign w:val="center"/>
                </w:tcPr>
                <w:p>
                  <w:pPr>
                    <w:adjustRightInd w:val="0"/>
                    <w:snapToGrid w:val="0"/>
                    <w:jc w:val="center"/>
                    <w:rPr>
                      <w:bCs/>
                      <w:color w:val="auto"/>
                      <w:spacing w:val="-10"/>
                      <w:szCs w:val="21"/>
                    </w:rPr>
                  </w:pPr>
                </w:p>
              </w:tc>
              <w:tc>
                <w:tcPr>
                  <w:tcW w:w="4860" w:type="dxa"/>
                  <w:vMerge w:val="continue"/>
                  <w:noWrap w:val="0"/>
                  <w:vAlign w:val="center"/>
                </w:tcPr>
                <w:p>
                  <w:pPr>
                    <w:adjustRightInd w:val="0"/>
                    <w:snapToGrid w:val="0"/>
                    <w:jc w:val="center"/>
                    <w:rPr>
                      <w:rFonts w:hint="eastAsia"/>
                      <w:bCs/>
                      <w:color w:val="auto"/>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4" w:type="dxa"/>
                  <w:vMerge w:val="restart"/>
                  <w:noWrap w:val="0"/>
                  <w:vAlign w:val="center"/>
                </w:tcPr>
                <w:p>
                  <w:pPr>
                    <w:adjustRightInd w:val="0"/>
                    <w:snapToGrid w:val="0"/>
                    <w:jc w:val="center"/>
                    <w:rPr>
                      <w:bCs/>
                      <w:color w:val="auto"/>
                      <w:spacing w:val="-10"/>
                      <w:szCs w:val="21"/>
                    </w:rPr>
                  </w:pPr>
                  <w:r>
                    <w:rPr>
                      <w:bCs/>
                      <w:color w:val="auto"/>
                      <w:spacing w:val="-10"/>
                      <w:szCs w:val="21"/>
                    </w:rPr>
                    <w:t>DA00</w:t>
                  </w:r>
                  <w:r>
                    <w:rPr>
                      <w:rFonts w:hint="eastAsia"/>
                      <w:bCs/>
                      <w:color w:val="auto"/>
                      <w:spacing w:val="-10"/>
                      <w:szCs w:val="21"/>
                    </w:rPr>
                    <w:t>2、</w:t>
                  </w:r>
                  <w:r>
                    <w:rPr>
                      <w:rFonts w:hint="eastAsia"/>
                      <w:color w:val="auto"/>
                      <w:szCs w:val="21"/>
                    </w:rPr>
                    <w:t>2#废气排放口</w:t>
                  </w:r>
                </w:p>
              </w:tc>
              <w:tc>
                <w:tcPr>
                  <w:tcW w:w="1541" w:type="dxa"/>
                  <w:noWrap w:val="0"/>
                  <w:vAlign w:val="center"/>
                </w:tcPr>
                <w:p>
                  <w:pPr>
                    <w:spacing w:line="20" w:lineRule="atLeast"/>
                    <w:jc w:val="center"/>
                    <w:rPr>
                      <w:bCs/>
                      <w:color w:val="auto"/>
                      <w:spacing w:val="-10"/>
                      <w:szCs w:val="21"/>
                    </w:rPr>
                  </w:pPr>
                  <w:r>
                    <w:rPr>
                      <w:bCs/>
                      <w:color w:val="auto"/>
                      <w:spacing w:val="-10"/>
                      <w:szCs w:val="21"/>
                    </w:rPr>
                    <w:t>沥青烟</w:t>
                  </w:r>
                </w:p>
              </w:tc>
              <w:tc>
                <w:tcPr>
                  <w:tcW w:w="1194" w:type="dxa"/>
                  <w:vMerge w:val="restart"/>
                  <w:noWrap w:val="0"/>
                  <w:vAlign w:val="center"/>
                </w:tcPr>
                <w:p>
                  <w:pPr>
                    <w:adjustRightInd w:val="0"/>
                    <w:snapToGrid w:val="0"/>
                    <w:jc w:val="center"/>
                    <w:rPr>
                      <w:bCs/>
                      <w:color w:val="auto"/>
                      <w:spacing w:val="-10"/>
                      <w:szCs w:val="21"/>
                    </w:rPr>
                  </w:pPr>
                  <w:r>
                    <w:rPr>
                      <w:bCs/>
                      <w:color w:val="auto"/>
                      <w:spacing w:val="-10"/>
                      <w:szCs w:val="21"/>
                    </w:rPr>
                    <w:t>1次/年</w:t>
                  </w:r>
                </w:p>
              </w:tc>
              <w:tc>
                <w:tcPr>
                  <w:tcW w:w="4860" w:type="dxa"/>
                  <w:vMerge w:val="restart"/>
                  <w:noWrap w:val="0"/>
                  <w:vAlign w:val="center"/>
                </w:tcPr>
                <w:p>
                  <w:pPr>
                    <w:snapToGrid w:val="0"/>
                    <w:jc w:val="center"/>
                    <w:rPr>
                      <w:bCs/>
                      <w:color w:val="auto"/>
                      <w:spacing w:val="-10"/>
                      <w:szCs w:val="21"/>
                    </w:rPr>
                  </w:pPr>
                  <w:r>
                    <w:rPr>
                      <w:snapToGrid w:val="0"/>
                      <w:color w:val="auto"/>
                      <w:kern w:val="0"/>
                      <w:szCs w:val="21"/>
                    </w:rPr>
                    <w:t>《大气污染物综合排放标准》（GB16297-1996）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4" w:type="dxa"/>
                  <w:vMerge w:val="continue"/>
                  <w:noWrap w:val="0"/>
                  <w:vAlign w:val="center"/>
                </w:tcPr>
                <w:p>
                  <w:pPr>
                    <w:adjustRightInd w:val="0"/>
                    <w:snapToGrid w:val="0"/>
                    <w:jc w:val="center"/>
                    <w:rPr>
                      <w:bCs/>
                      <w:color w:val="auto"/>
                      <w:spacing w:val="-10"/>
                      <w:szCs w:val="21"/>
                    </w:rPr>
                  </w:pPr>
                </w:p>
              </w:tc>
              <w:tc>
                <w:tcPr>
                  <w:tcW w:w="1541" w:type="dxa"/>
                  <w:noWrap w:val="0"/>
                  <w:vAlign w:val="center"/>
                </w:tcPr>
                <w:p>
                  <w:pPr>
                    <w:spacing w:line="20" w:lineRule="atLeast"/>
                    <w:jc w:val="center"/>
                    <w:rPr>
                      <w:color w:val="auto"/>
                      <w:kern w:val="0"/>
                      <w:szCs w:val="21"/>
                    </w:rPr>
                  </w:pPr>
                  <w:r>
                    <w:rPr>
                      <w:bCs/>
                      <w:color w:val="auto"/>
                      <w:spacing w:val="-10"/>
                      <w:szCs w:val="21"/>
                    </w:rPr>
                    <w:t>苯并[a]芘</w:t>
                  </w:r>
                </w:p>
              </w:tc>
              <w:tc>
                <w:tcPr>
                  <w:tcW w:w="1194" w:type="dxa"/>
                  <w:vMerge w:val="continue"/>
                  <w:noWrap w:val="0"/>
                  <w:vAlign w:val="center"/>
                </w:tcPr>
                <w:p>
                  <w:pPr>
                    <w:adjustRightInd w:val="0"/>
                    <w:snapToGrid w:val="0"/>
                    <w:jc w:val="center"/>
                    <w:rPr>
                      <w:bCs/>
                      <w:color w:val="auto"/>
                      <w:spacing w:val="-10"/>
                      <w:szCs w:val="21"/>
                    </w:rPr>
                  </w:pPr>
                </w:p>
              </w:tc>
              <w:tc>
                <w:tcPr>
                  <w:tcW w:w="4860" w:type="dxa"/>
                  <w:vMerge w:val="continue"/>
                  <w:noWrap w:val="0"/>
                  <w:vAlign w:val="center"/>
                </w:tcPr>
                <w:p>
                  <w:pPr>
                    <w:adjustRightInd w:val="0"/>
                    <w:snapToGrid w:val="0"/>
                    <w:jc w:val="center"/>
                    <w:rPr>
                      <w:bCs/>
                      <w:color w:val="auto"/>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4" w:type="dxa"/>
                  <w:vMerge w:val="continue"/>
                  <w:noWrap w:val="0"/>
                  <w:vAlign w:val="center"/>
                </w:tcPr>
                <w:p>
                  <w:pPr>
                    <w:adjustRightInd w:val="0"/>
                    <w:snapToGrid w:val="0"/>
                    <w:jc w:val="center"/>
                    <w:rPr>
                      <w:bCs/>
                      <w:color w:val="auto"/>
                      <w:spacing w:val="-10"/>
                      <w:szCs w:val="21"/>
                    </w:rPr>
                  </w:pPr>
                </w:p>
              </w:tc>
              <w:tc>
                <w:tcPr>
                  <w:tcW w:w="1541" w:type="dxa"/>
                  <w:noWrap w:val="0"/>
                  <w:vAlign w:val="center"/>
                </w:tcPr>
                <w:p>
                  <w:pPr>
                    <w:spacing w:line="20" w:lineRule="atLeast"/>
                    <w:jc w:val="center"/>
                    <w:rPr>
                      <w:bCs/>
                      <w:color w:val="auto"/>
                      <w:spacing w:val="-10"/>
                      <w:szCs w:val="21"/>
                    </w:rPr>
                  </w:pPr>
                  <w:r>
                    <w:rPr>
                      <w:bCs/>
                      <w:color w:val="auto"/>
                      <w:spacing w:val="-10"/>
                      <w:szCs w:val="21"/>
                    </w:rPr>
                    <w:t>非甲烷总烃</w:t>
                  </w:r>
                </w:p>
              </w:tc>
              <w:tc>
                <w:tcPr>
                  <w:tcW w:w="1194" w:type="dxa"/>
                  <w:vMerge w:val="continue"/>
                  <w:noWrap w:val="0"/>
                  <w:vAlign w:val="center"/>
                </w:tcPr>
                <w:p>
                  <w:pPr>
                    <w:adjustRightInd w:val="0"/>
                    <w:snapToGrid w:val="0"/>
                    <w:jc w:val="center"/>
                    <w:rPr>
                      <w:bCs/>
                      <w:color w:val="auto"/>
                      <w:spacing w:val="-10"/>
                      <w:szCs w:val="21"/>
                    </w:rPr>
                  </w:pPr>
                </w:p>
              </w:tc>
              <w:tc>
                <w:tcPr>
                  <w:tcW w:w="4860" w:type="dxa"/>
                  <w:vMerge w:val="continue"/>
                  <w:noWrap w:val="0"/>
                  <w:vAlign w:val="center"/>
                </w:tcPr>
                <w:p>
                  <w:pPr>
                    <w:adjustRightInd w:val="0"/>
                    <w:snapToGrid w:val="0"/>
                    <w:jc w:val="center"/>
                    <w:rPr>
                      <w:bCs/>
                      <w:color w:val="auto"/>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4" w:type="dxa"/>
                  <w:vMerge w:val="restart"/>
                  <w:noWrap w:val="0"/>
                  <w:vAlign w:val="center"/>
                </w:tcPr>
                <w:p>
                  <w:pPr>
                    <w:adjustRightInd w:val="0"/>
                    <w:snapToGrid w:val="0"/>
                    <w:jc w:val="center"/>
                    <w:rPr>
                      <w:bCs/>
                      <w:color w:val="auto"/>
                      <w:spacing w:val="-10"/>
                      <w:szCs w:val="21"/>
                    </w:rPr>
                  </w:pPr>
                  <w:r>
                    <w:rPr>
                      <w:bCs/>
                      <w:color w:val="auto"/>
                      <w:spacing w:val="-10"/>
                      <w:szCs w:val="21"/>
                    </w:rPr>
                    <w:t>DA00</w:t>
                  </w:r>
                  <w:r>
                    <w:rPr>
                      <w:rFonts w:hint="eastAsia"/>
                      <w:bCs/>
                      <w:color w:val="auto"/>
                      <w:spacing w:val="-10"/>
                      <w:szCs w:val="21"/>
                    </w:rPr>
                    <w:t>3、</w:t>
                  </w:r>
                  <w:r>
                    <w:rPr>
                      <w:rFonts w:hint="eastAsia"/>
                      <w:color w:val="auto"/>
                      <w:szCs w:val="21"/>
                    </w:rPr>
                    <w:t>3#废气排放口</w:t>
                  </w:r>
                </w:p>
              </w:tc>
              <w:tc>
                <w:tcPr>
                  <w:tcW w:w="1541" w:type="dxa"/>
                  <w:noWrap w:val="0"/>
                  <w:vAlign w:val="center"/>
                </w:tcPr>
                <w:p>
                  <w:pPr>
                    <w:spacing w:line="20" w:lineRule="atLeast"/>
                    <w:jc w:val="center"/>
                    <w:rPr>
                      <w:bCs/>
                      <w:color w:val="auto"/>
                      <w:spacing w:val="-10"/>
                      <w:szCs w:val="21"/>
                    </w:rPr>
                  </w:pPr>
                  <w:r>
                    <w:rPr>
                      <w:rFonts w:hint="eastAsia"/>
                      <w:snapToGrid w:val="0"/>
                      <w:color w:val="auto"/>
                      <w:kern w:val="0"/>
                      <w:szCs w:val="21"/>
                    </w:rPr>
                    <w:t>烟气黑度</w:t>
                  </w:r>
                </w:p>
              </w:tc>
              <w:tc>
                <w:tcPr>
                  <w:tcW w:w="1194" w:type="dxa"/>
                  <w:vMerge w:val="restart"/>
                  <w:noWrap w:val="0"/>
                  <w:vAlign w:val="center"/>
                </w:tcPr>
                <w:p>
                  <w:pPr>
                    <w:adjustRightInd w:val="0"/>
                    <w:snapToGrid w:val="0"/>
                    <w:jc w:val="center"/>
                    <w:rPr>
                      <w:bCs/>
                      <w:color w:val="auto"/>
                      <w:spacing w:val="-10"/>
                      <w:szCs w:val="21"/>
                    </w:rPr>
                  </w:pPr>
                  <w:r>
                    <w:rPr>
                      <w:bCs/>
                      <w:color w:val="auto"/>
                      <w:spacing w:val="-10"/>
                      <w:szCs w:val="21"/>
                    </w:rPr>
                    <w:t>1次/年</w:t>
                  </w:r>
                </w:p>
              </w:tc>
              <w:tc>
                <w:tcPr>
                  <w:tcW w:w="4860" w:type="dxa"/>
                  <w:vMerge w:val="restart"/>
                  <w:noWrap w:val="0"/>
                  <w:vAlign w:val="center"/>
                </w:tcPr>
                <w:p>
                  <w:pPr>
                    <w:snapToGrid w:val="0"/>
                    <w:jc w:val="center"/>
                    <w:rPr>
                      <w:bCs/>
                      <w:color w:val="auto"/>
                      <w:spacing w:val="-10"/>
                      <w:szCs w:val="21"/>
                    </w:rPr>
                  </w:pPr>
                  <w:r>
                    <w:rPr>
                      <w:snapToGrid w:val="0"/>
                      <w:color w:val="auto"/>
                      <w:kern w:val="0"/>
                      <w:szCs w:val="21"/>
                    </w:rPr>
                    <w:t>《大气污染物综合排放标准》（GB16297-1996）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4" w:type="dxa"/>
                  <w:vMerge w:val="continue"/>
                  <w:noWrap w:val="0"/>
                  <w:vAlign w:val="center"/>
                </w:tcPr>
                <w:p>
                  <w:pPr>
                    <w:adjustRightInd w:val="0"/>
                    <w:snapToGrid w:val="0"/>
                    <w:jc w:val="center"/>
                    <w:rPr>
                      <w:bCs/>
                      <w:color w:val="auto"/>
                      <w:spacing w:val="-10"/>
                      <w:szCs w:val="21"/>
                    </w:rPr>
                  </w:pPr>
                </w:p>
              </w:tc>
              <w:tc>
                <w:tcPr>
                  <w:tcW w:w="1541" w:type="dxa"/>
                  <w:noWrap w:val="0"/>
                  <w:vAlign w:val="center"/>
                </w:tcPr>
                <w:p>
                  <w:pPr>
                    <w:spacing w:line="20" w:lineRule="atLeast"/>
                    <w:jc w:val="center"/>
                    <w:rPr>
                      <w:color w:val="auto"/>
                      <w:kern w:val="0"/>
                      <w:szCs w:val="21"/>
                    </w:rPr>
                  </w:pPr>
                  <w:r>
                    <w:rPr>
                      <w:bCs/>
                      <w:color w:val="auto"/>
                      <w:spacing w:val="-10"/>
                      <w:szCs w:val="21"/>
                    </w:rPr>
                    <w:t>颗粒物</w:t>
                  </w:r>
                </w:p>
              </w:tc>
              <w:tc>
                <w:tcPr>
                  <w:tcW w:w="1194" w:type="dxa"/>
                  <w:vMerge w:val="continue"/>
                  <w:noWrap w:val="0"/>
                  <w:vAlign w:val="center"/>
                </w:tcPr>
                <w:p>
                  <w:pPr>
                    <w:adjustRightInd w:val="0"/>
                    <w:snapToGrid w:val="0"/>
                    <w:jc w:val="center"/>
                    <w:rPr>
                      <w:bCs/>
                      <w:color w:val="auto"/>
                      <w:spacing w:val="-10"/>
                      <w:szCs w:val="21"/>
                    </w:rPr>
                  </w:pPr>
                </w:p>
              </w:tc>
              <w:tc>
                <w:tcPr>
                  <w:tcW w:w="4860" w:type="dxa"/>
                  <w:vMerge w:val="continue"/>
                  <w:noWrap w:val="0"/>
                  <w:vAlign w:val="center"/>
                </w:tcPr>
                <w:p>
                  <w:pPr>
                    <w:adjustRightInd w:val="0"/>
                    <w:snapToGrid w:val="0"/>
                    <w:jc w:val="center"/>
                    <w:rPr>
                      <w:bCs/>
                      <w:color w:val="auto"/>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4" w:type="dxa"/>
                  <w:vMerge w:val="continue"/>
                  <w:noWrap w:val="0"/>
                  <w:vAlign w:val="center"/>
                </w:tcPr>
                <w:p>
                  <w:pPr>
                    <w:adjustRightInd w:val="0"/>
                    <w:snapToGrid w:val="0"/>
                    <w:jc w:val="center"/>
                    <w:rPr>
                      <w:bCs/>
                      <w:color w:val="auto"/>
                      <w:spacing w:val="-10"/>
                      <w:szCs w:val="21"/>
                    </w:rPr>
                  </w:pPr>
                </w:p>
              </w:tc>
              <w:tc>
                <w:tcPr>
                  <w:tcW w:w="1541" w:type="dxa"/>
                  <w:noWrap w:val="0"/>
                  <w:vAlign w:val="center"/>
                </w:tcPr>
                <w:p>
                  <w:pPr>
                    <w:spacing w:line="20" w:lineRule="atLeast"/>
                    <w:jc w:val="center"/>
                    <w:rPr>
                      <w:bCs/>
                      <w:color w:val="auto"/>
                      <w:spacing w:val="-10"/>
                      <w:szCs w:val="21"/>
                    </w:rPr>
                  </w:pPr>
                  <w:r>
                    <w:rPr>
                      <w:bCs/>
                      <w:color w:val="auto"/>
                      <w:spacing w:val="-10"/>
                      <w:szCs w:val="21"/>
                    </w:rPr>
                    <w:t>SO</w:t>
                  </w:r>
                  <w:r>
                    <w:rPr>
                      <w:bCs/>
                      <w:color w:val="auto"/>
                      <w:spacing w:val="-10"/>
                      <w:szCs w:val="21"/>
                      <w:vertAlign w:val="subscript"/>
                    </w:rPr>
                    <w:t>2</w:t>
                  </w:r>
                </w:p>
              </w:tc>
              <w:tc>
                <w:tcPr>
                  <w:tcW w:w="1194" w:type="dxa"/>
                  <w:vMerge w:val="continue"/>
                  <w:noWrap w:val="0"/>
                  <w:vAlign w:val="center"/>
                </w:tcPr>
                <w:p>
                  <w:pPr>
                    <w:adjustRightInd w:val="0"/>
                    <w:snapToGrid w:val="0"/>
                    <w:jc w:val="center"/>
                    <w:rPr>
                      <w:bCs/>
                      <w:color w:val="auto"/>
                      <w:spacing w:val="-10"/>
                      <w:szCs w:val="21"/>
                    </w:rPr>
                  </w:pPr>
                </w:p>
              </w:tc>
              <w:tc>
                <w:tcPr>
                  <w:tcW w:w="4860" w:type="dxa"/>
                  <w:noWrap w:val="0"/>
                  <w:vAlign w:val="center"/>
                </w:tcPr>
                <w:p>
                  <w:pPr>
                    <w:snapToGrid w:val="0"/>
                    <w:jc w:val="center"/>
                    <w:rPr>
                      <w:bCs/>
                      <w:color w:val="auto"/>
                      <w:spacing w:val="-10"/>
                      <w:szCs w:val="21"/>
                    </w:rPr>
                  </w:pPr>
                  <w:r>
                    <w:rPr>
                      <w:snapToGrid w:val="0"/>
                      <w:color w:val="auto"/>
                      <w:kern w:val="0"/>
                      <w:szCs w:val="21"/>
                    </w:rPr>
                    <w:t>《工业炉窑大气污染物排放标准》（GB9078-1996）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4" w:type="dxa"/>
                  <w:vMerge w:val="restart"/>
                  <w:noWrap w:val="0"/>
                  <w:vAlign w:val="center"/>
                </w:tcPr>
                <w:p>
                  <w:pPr>
                    <w:adjustRightInd w:val="0"/>
                    <w:snapToGrid w:val="0"/>
                    <w:jc w:val="center"/>
                    <w:rPr>
                      <w:bCs/>
                      <w:color w:val="auto"/>
                      <w:spacing w:val="-10"/>
                      <w:szCs w:val="21"/>
                    </w:rPr>
                  </w:pPr>
                  <w:r>
                    <w:rPr>
                      <w:bCs/>
                      <w:color w:val="auto"/>
                      <w:spacing w:val="-10"/>
                      <w:szCs w:val="21"/>
                    </w:rPr>
                    <w:t>厂界外</w:t>
                  </w:r>
                </w:p>
              </w:tc>
              <w:tc>
                <w:tcPr>
                  <w:tcW w:w="1541" w:type="dxa"/>
                  <w:noWrap w:val="0"/>
                  <w:vAlign w:val="center"/>
                </w:tcPr>
                <w:p>
                  <w:pPr>
                    <w:spacing w:line="20" w:lineRule="atLeast"/>
                    <w:jc w:val="center"/>
                    <w:rPr>
                      <w:bCs/>
                      <w:color w:val="auto"/>
                      <w:spacing w:val="-10"/>
                      <w:szCs w:val="21"/>
                    </w:rPr>
                  </w:pPr>
                  <w:r>
                    <w:rPr>
                      <w:bCs/>
                      <w:color w:val="auto"/>
                      <w:spacing w:val="-10"/>
                      <w:szCs w:val="21"/>
                    </w:rPr>
                    <w:t>颗粒物</w:t>
                  </w:r>
                </w:p>
              </w:tc>
              <w:tc>
                <w:tcPr>
                  <w:tcW w:w="1194" w:type="dxa"/>
                  <w:vMerge w:val="restart"/>
                  <w:noWrap w:val="0"/>
                  <w:vAlign w:val="center"/>
                </w:tcPr>
                <w:p>
                  <w:pPr>
                    <w:adjustRightInd w:val="0"/>
                    <w:snapToGrid w:val="0"/>
                    <w:jc w:val="center"/>
                    <w:rPr>
                      <w:bCs/>
                      <w:color w:val="auto"/>
                      <w:spacing w:val="-10"/>
                      <w:szCs w:val="21"/>
                    </w:rPr>
                  </w:pPr>
                  <w:r>
                    <w:rPr>
                      <w:bCs/>
                      <w:color w:val="auto"/>
                      <w:spacing w:val="-10"/>
                      <w:szCs w:val="21"/>
                    </w:rPr>
                    <w:t>1次/年</w:t>
                  </w:r>
                </w:p>
              </w:tc>
              <w:tc>
                <w:tcPr>
                  <w:tcW w:w="4860" w:type="dxa"/>
                  <w:vMerge w:val="restart"/>
                  <w:noWrap w:val="0"/>
                  <w:vAlign w:val="center"/>
                </w:tcPr>
                <w:p>
                  <w:pPr>
                    <w:snapToGrid w:val="0"/>
                    <w:jc w:val="center"/>
                    <w:rPr>
                      <w:bCs/>
                      <w:color w:val="auto"/>
                      <w:spacing w:val="-10"/>
                      <w:szCs w:val="21"/>
                    </w:rPr>
                  </w:pPr>
                  <w:r>
                    <w:rPr>
                      <w:snapToGrid w:val="0"/>
                      <w:color w:val="auto"/>
                      <w:kern w:val="0"/>
                      <w:szCs w:val="21"/>
                    </w:rPr>
                    <w:t>《大气污染物综合排放标准》（GB16297-1996）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4" w:type="dxa"/>
                  <w:vMerge w:val="continue"/>
                  <w:noWrap w:val="0"/>
                  <w:vAlign w:val="center"/>
                </w:tcPr>
                <w:p>
                  <w:pPr>
                    <w:adjustRightInd w:val="0"/>
                    <w:snapToGrid w:val="0"/>
                    <w:jc w:val="center"/>
                    <w:rPr>
                      <w:bCs/>
                      <w:color w:val="auto"/>
                      <w:spacing w:val="-10"/>
                      <w:szCs w:val="21"/>
                    </w:rPr>
                  </w:pPr>
                </w:p>
              </w:tc>
              <w:tc>
                <w:tcPr>
                  <w:tcW w:w="1541" w:type="dxa"/>
                  <w:noWrap w:val="0"/>
                  <w:vAlign w:val="center"/>
                </w:tcPr>
                <w:p>
                  <w:pPr>
                    <w:spacing w:line="20" w:lineRule="atLeast"/>
                    <w:jc w:val="center"/>
                    <w:rPr>
                      <w:color w:val="auto"/>
                      <w:kern w:val="0"/>
                      <w:szCs w:val="21"/>
                    </w:rPr>
                  </w:pPr>
                  <w:r>
                    <w:rPr>
                      <w:bCs/>
                      <w:color w:val="auto"/>
                      <w:spacing w:val="-10"/>
                      <w:szCs w:val="21"/>
                    </w:rPr>
                    <w:t>沥青烟</w:t>
                  </w:r>
                </w:p>
              </w:tc>
              <w:tc>
                <w:tcPr>
                  <w:tcW w:w="1194" w:type="dxa"/>
                  <w:vMerge w:val="continue"/>
                  <w:noWrap w:val="0"/>
                  <w:vAlign w:val="center"/>
                </w:tcPr>
                <w:p>
                  <w:pPr>
                    <w:adjustRightInd w:val="0"/>
                    <w:snapToGrid w:val="0"/>
                    <w:jc w:val="center"/>
                    <w:rPr>
                      <w:bCs/>
                      <w:color w:val="auto"/>
                      <w:spacing w:val="-10"/>
                      <w:szCs w:val="21"/>
                    </w:rPr>
                  </w:pPr>
                </w:p>
              </w:tc>
              <w:tc>
                <w:tcPr>
                  <w:tcW w:w="4860" w:type="dxa"/>
                  <w:vMerge w:val="continue"/>
                  <w:noWrap w:val="0"/>
                  <w:vAlign w:val="center"/>
                </w:tcPr>
                <w:p>
                  <w:pPr>
                    <w:adjustRightInd w:val="0"/>
                    <w:snapToGrid w:val="0"/>
                    <w:jc w:val="center"/>
                    <w:rPr>
                      <w:bCs/>
                      <w:color w:val="auto"/>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4" w:type="dxa"/>
                  <w:vMerge w:val="continue"/>
                  <w:noWrap w:val="0"/>
                  <w:vAlign w:val="center"/>
                </w:tcPr>
                <w:p>
                  <w:pPr>
                    <w:adjustRightInd w:val="0"/>
                    <w:snapToGrid w:val="0"/>
                    <w:jc w:val="center"/>
                    <w:rPr>
                      <w:bCs/>
                      <w:color w:val="auto"/>
                      <w:spacing w:val="-10"/>
                      <w:szCs w:val="21"/>
                    </w:rPr>
                  </w:pPr>
                </w:p>
              </w:tc>
              <w:tc>
                <w:tcPr>
                  <w:tcW w:w="1541" w:type="dxa"/>
                  <w:noWrap w:val="0"/>
                  <w:vAlign w:val="center"/>
                </w:tcPr>
                <w:p>
                  <w:pPr>
                    <w:spacing w:line="20" w:lineRule="atLeast"/>
                    <w:jc w:val="center"/>
                    <w:rPr>
                      <w:color w:val="auto"/>
                      <w:kern w:val="0"/>
                      <w:szCs w:val="21"/>
                    </w:rPr>
                  </w:pPr>
                  <w:r>
                    <w:rPr>
                      <w:bCs/>
                      <w:color w:val="auto"/>
                      <w:spacing w:val="-10"/>
                      <w:szCs w:val="21"/>
                    </w:rPr>
                    <w:t>苯并[a]芘</w:t>
                  </w:r>
                </w:p>
              </w:tc>
              <w:tc>
                <w:tcPr>
                  <w:tcW w:w="1194" w:type="dxa"/>
                  <w:vMerge w:val="continue"/>
                  <w:noWrap w:val="0"/>
                  <w:vAlign w:val="center"/>
                </w:tcPr>
                <w:p>
                  <w:pPr>
                    <w:adjustRightInd w:val="0"/>
                    <w:snapToGrid w:val="0"/>
                    <w:jc w:val="center"/>
                    <w:rPr>
                      <w:bCs/>
                      <w:color w:val="auto"/>
                      <w:spacing w:val="-10"/>
                      <w:szCs w:val="21"/>
                    </w:rPr>
                  </w:pPr>
                </w:p>
              </w:tc>
              <w:tc>
                <w:tcPr>
                  <w:tcW w:w="4860" w:type="dxa"/>
                  <w:vMerge w:val="continue"/>
                  <w:noWrap w:val="0"/>
                  <w:vAlign w:val="center"/>
                </w:tcPr>
                <w:p>
                  <w:pPr>
                    <w:adjustRightInd w:val="0"/>
                    <w:snapToGrid w:val="0"/>
                    <w:jc w:val="center"/>
                    <w:rPr>
                      <w:bCs/>
                      <w:color w:val="auto"/>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4" w:type="dxa"/>
                  <w:vMerge w:val="continue"/>
                  <w:noWrap w:val="0"/>
                  <w:vAlign w:val="center"/>
                </w:tcPr>
                <w:p>
                  <w:pPr>
                    <w:adjustRightInd w:val="0"/>
                    <w:snapToGrid w:val="0"/>
                    <w:jc w:val="center"/>
                    <w:rPr>
                      <w:bCs/>
                      <w:color w:val="auto"/>
                      <w:spacing w:val="-10"/>
                      <w:szCs w:val="21"/>
                    </w:rPr>
                  </w:pPr>
                </w:p>
              </w:tc>
              <w:tc>
                <w:tcPr>
                  <w:tcW w:w="1541" w:type="dxa"/>
                  <w:noWrap w:val="0"/>
                  <w:vAlign w:val="center"/>
                </w:tcPr>
                <w:p>
                  <w:pPr>
                    <w:spacing w:line="20" w:lineRule="atLeast"/>
                    <w:jc w:val="center"/>
                    <w:rPr>
                      <w:bCs/>
                      <w:color w:val="auto"/>
                      <w:spacing w:val="-10"/>
                      <w:szCs w:val="21"/>
                    </w:rPr>
                  </w:pPr>
                  <w:r>
                    <w:rPr>
                      <w:bCs/>
                      <w:color w:val="auto"/>
                      <w:spacing w:val="-10"/>
                      <w:szCs w:val="21"/>
                    </w:rPr>
                    <w:t>非甲烷总烃</w:t>
                  </w:r>
                </w:p>
              </w:tc>
              <w:tc>
                <w:tcPr>
                  <w:tcW w:w="1194" w:type="dxa"/>
                  <w:vMerge w:val="continue"/>
                  <w:noWrap w:val="0"/>
                  <w:vAlign w:val="center"/>
                </w:tcPr>
                <w:p>
                  <w:pPr>
                    <w:adjustRightInd w:val="0"/>
                    <w:snapToGrid w:val="0"/>
                    <w:jc w:val="center"/>
                    <w:rPr>
                      <w:bCs/>
                      <w:color w:val="auto"/>
                      <w:spacing w:val="-10"/>
                      <w:szCs w:val="21"/>
                    </w:rPr>
                  </w:pPr>
                </w:p>
              </w:tc>
              <w:tc>
                <w:tcPr>
                  <w:tcW w:w="4860" w:type="dxa"/>
                  <w:vMerge w:val="continue"/>
                  <w:noWrap w:val="0"/>
                  <w:vAlign w:val="center"/>
                </w:tcPr>
                <w:p>
                  <w:pPr>
                    <w:adjustRightInd w:val="0"/>
                    <w:snapToGrid w:val="0"/>
                    <w:jc w:val="center"/>
                    <w:rPr>
                      <w:bCs/>
                      <w:color w:val="auto"/>
                      <w:spacing w:val="-10"/>
                      <w:szCs w:val="21"/>
                    </w:rPr>
                  </w:pPr>
                </w:p>
              </w:tc>
            </w:tr>
          </w:tbl>
          <w:p>
            <w:pPr>
              <w:adjustRightInd w:val="0"/>
              <w:snapToGrid w:val="0"/>
              <w:jc w:val="center"/>
              <w:rPr>
                <w:bCs/>
                <w:color w:val="auto"/>
                <w:spacing w:val="-10"/>
                <w:sz w:val="24"/>
              </w:rPr>
            </w:pPr>
          </w:p>
          <w:p>
            <w:pPr>
              <w:adjustRightInd w:val="0"/>
              <w:snapToGrid w:val="0"/>
              <w:spacing w:line="360" w:lineRule="auto"/>
              <w:ind w:firstLine="442" w:firstLineChars="200"/>
              <w:rPr>
                <w:b/>
                <w:color w:val="auto"/>
                <w:spacing w:val="-10"/>
                <w:sz w:val="24"/>
              </w:rPr>
            </w:pPr>
            <w:r>
              <w:rPr>
                <w:b/>
                <w:color w:val="auto"/>
                <w:spacing w:val="-10"/>
                <w:sz w:val="24"/>
              </w:rPr>
              <w:t>（二）废水</w:t>
            </w:r>
          </w:p>
          <w:p>
            <w:pPr>
              <w:adjustRightInd w:val="0"/>
              <w:snapToGrid w:val="0"/>
              <w:spacing w:line="360" w:lineRule="auto"/>
              <w:ind w:firstLine="440" w:firstLineChars="200"/>
              <w:rPr>
                <w:bCs/>
                <w:color w:val="auto"/>
                <w:spacing w:val="-10"/>
                <w:sz w:val="24"/>
              </w:rPr>
            </w:pPr>
            <w:r>
              <w:rPr>
                <w:bCs/>
                <w:color w:val="auto"/>
                <w:spacing w:val="-10"/>
                <w:sz w:val="24"/>
              </w:rPr>
              <w:t>本项目运营过程中设备均保持干燥状态，不需要对设备进行清洗；运输车辆不在厂内清洗，因此本项目的用水环节包括生活用水</w:t>
            </w:r>
            <w:r>
              <w:rPr>
                <w:rFonts w:hint="eastAsia"/>
                <w:bCs/>
                <w:color w:val="auto"/>
                <w:spacing w:val="-10"/>
                <w:sz w:val="24"/>
              </w:rPr>
              <w:t>、</w:t>
            </w:r>
            <w:r>
              <w:rPr>
                <w:bCs/>
                <w:color w:val="auto"/>
                <w:spacing w:val="-10"/>
                <w:sz w:val="24"/>
              </w:rPr>
              <w:t>喷淋</w:t>
            </w:r>
            <w:r>
              <w:rPr>
                <w:rFonts w:hint="eastAsia"/>
                <w:bCs/>
                <w:color w:val="auto"/>
                <w:spacing w:val="-10"/>
                <w:sz w:val="24"/>
              </w:rPr>
              <w:t>装置</w:t>
            </w:r>
            <w:r>
              <w:rPr>
                <w:bCs/>
                <w:color w:val="auto"/>
                <w:spacing w:val="-10"/>
                <w:sz w:val="24"/>
              </w:rPr>
              <w:t>用水</w:t>
            </w:r>
            <w:r>
              <w:rPr>
                <w:rFonts w:hint="eastAsia"/>
                <w:bCs/>
                <w:color w:val="auto"/>
                <w:spacing w:val="-10"/>
                <w:sz w:val="24"/>
              </w:rPr>
              <w:t>、初期雨水</w:t>
            </w:r>
            <w:r>
              <w:rPr>
                <w:bCs/>
                <w:color w:val="auto"/>
                <w:spacing w:val="-10"/>
                <w:sz w:val="24"/>
              </w:rPr>
              <w:t>。</w:t>
            </w:r>
          </w:p>
          <w:p>
            <w:pPr>
              <w:adjustRightInd w:val="0"/>
              <w:snapToGrid w:val="0"/>
              <w:spacing w:line="360" w:lineRule="auto"/>
              <w:ind w:firstLine="442" w:firstLineChars="200"/>
              <w:rPr>
                <w:b/>
                <w:color w:val="auto"/>
                <w:spacing w:val="-10"/>
                <w:sz w:val="24"/>
              </w:rPr>
            </w:pPr>
            <w:r>
              <w:rPr>
                <w:b/>
                <w:color w:val="auto"/>
                <w:spacing w:val="-10"/>
                <w:sz w:val="24"/>
              </w:rPr>
              <w:t>1.源强核算</w:t>
            </w:r>
          </w:p>
          <w:p>
            <w:pPr>
              <w:adjustRightInd w:val="0"/>
              <w:snapToGrid w:val="0"/>
              <w:spacing w:line="360" w:lineRule="auto"/>
              <w:ind w:firstLine="442" w:firstLineChars="200"/>
              <w:rPr>
                <w:b/>
                <w:color w:val="auto"/>
                <w:spacing w:val="-10"/>
                <w:sz w:val="24"/>
              </w:rPr>
            </w:pPr>
            <w:r>
              <w:rPr>
                <w:b/>
                <w:color w:val="auto"/>
                <w:spacing w:val="-10"/>
                <w:sz w:val="24"/>
              </w:rPr>
              <w:t>（1）生活污水</w:t>
            </w:r>
          </w:p>
          <w:p>
            <w:pPr>
              <w:adjustRightInd w:val="0"/>
              <w:snapToGrid w:val="0"/>
              <w:spacing w:line="360" w:lineRule="auto"/>
              <w:ind w:firstLine="440" w:firstLineChars="200"/>
              <w:rPr>
                <w:bCs/>
                <w:color w:val="auto"/>
                <w:spacing w:val="-10"/>
                <w:sz w:val="24"/>
              </w:rPr>
            </w:pPr>
            <w:r>
              <w:rPr>
                <w:bCs/>
                <w:color w:val="auto"/>
                <w:spacing w:val="-10"/>
                <w:sz w:val="24"/>
              </w:rPr>
              <w:t>①产生情况</w:t>
            </w:r>
          </w:p>
          <w:p>
            <w:pPr>
              <w:adjustRightInd w:val="0"/>
              <w:snapToGrid w:val="0"/>
              <w:spacing w:line="360" w:lineRule="auto"/>
              <w:ind w:firstLine="440" w:firstLineChars="200"/>
              <w:rPr>
                <w:bCs/>
                <w:color w:val="auto"/>
                <w:spacing w:val="-10"/>
                <w:sz w:val="24"/>
              </w:rPr>
            </w:pPr>
            <w:r>
              <w:rPr>
                <w:bCs/>
                <w:color w:val="auto"/>
                <w:spacing w:val="-10"/>
                <w:sz w:val="24"/>
              </w:rPr>
              <w:t>本项目职工日常办公职工在洗漱、</w:t>
            </w:r>
            <w:r>
              <w:rPr>
                <w:bCs/>
                <w:color w:val="auto"/>
                <w:spacing w:val="-10"/>
                <w:sz w:val="24"/>
                <w:lang w:val="zh-CN"/>
              </w:rPr>
              <w:t>饮用、洗涤、冲厕等日常</w:t>
            </w:r>
            <w:r>
              <w:rPr>
                <w:bCs/>
                <w:color w:val="auto"/>
                <w:spacing w:val="-10"/>
                <w:sz w:val="24"/>
              </w:rPr>
              <w:t>办公用水</w:t>
            </w:r>
            <w:r>
              <w:rPr>
                <w:bCs/>
                <w:color w:val="auto"/>
                <w:spacing w:val="-10"/>
                <w:sz w:val="24"/>
                <w:lang w:val="zh-CN"/>
              </w:rPr>
              <w:t>过程中</w:t>
            </w:r>
            <w:r>
              <w:rPr>
                <w:bCs/>
                <w:color w:val="auto"/>
                <w:spacing w:val="-10"/>
                <w:sz w:val="24"/>
              </w:rPr>
              <w:t>会</w:t>
            </w:r>
            <w:r>
              <w:rPr>
                <w:bCs/>
                <w:color w:val="auto"/>
                <w:spacing w:val="-10"/>
                <w:sz w:val="24"/>
                <w:lang w:val="zh-CN"/>
              </w:rPr>
              <w:t>排放</w:t>
            </w:r>
            <w:r>
              <w:rPr>
                <w:bCs/>
                <w:color w:val="auto"/>
                <w:spacing w:val="-10"/>
                <w:sz w:val="24"/>
              </w:rPr>
              <w:t>一定量的生活污水。本项目劳动定员为</w:t>
            </w:r>
            <w:r>
              <w:rPr>
                <w:rFonts w:hint="eastAsia"/>
                <w:bCs/>
                <w:color w:val="auto"/>
                <w:spacing w:val="-10"/>
                <w:sz w:val="24"/>
              </w:rPr>
              <w:t>4</w:t>
            </w:r>
            <w:r>
              <w:rPr>
                <w:bCs/>
                <w:color w:val="auto"/>
                <w:spacing w:val="-10"/>
                <w:sz w:val="24"/>
              </w:rPr>
              <w:t>人，</w:t>
            </w:r>
            <w:r>
              <w:rPr>
                <w:rFonts w:hint="eastAsia"/>
                <w:bCs/>
                <w:color w:val="auto"/>
                <w:spacing w:val="-10"/>
                <w:sz w:val="24"/>
              </w:rPr>
              <w:t>均不在厂区内食宿，</w:t>
            </w:r>
            <w:r>
              <w:rPr>
                <w:bCs/>
                <w:color w:val="auto"/>
                <w:spacing w:val="-10"/>
                <w:sz w:val="24"/>
              </w:rPr>
              <w:t>根据</w:t>
            </w:r>
            <w:r>
              <w:rPr>
                <w:rFonts w:hint="eastAsia"/>
                <w:bCs/>
                <w:color w:val="auto"/>
                <w:spacing w:val="-10"/>
                <w:sz w:val="24"/>
              </w:rPr>
              <w:t>《江西省生活用水定额》（DB36T419-2017）及赣州市实际用水情况，非食宿职工用水量按</w:t>
            </w:r>
            <w:r>
              <w:rPr>
                <w:bCs/>
                <w:color w:val="auto"/>
                <w:spacing w:val="-10"/>
                <w:sz w:val="24"/>
              </w:rPr>
              <w:t>5</w:t>
            </w:r>
            <w:r>
              <w:rPr>
                <w:rFonts w:hint="eastAsia"/>
                <w:bCs/>
                <w:color w:val="auto"/>
                <w:spacing w:val="-10"/>
                <w:sz w:val="24"/>
              </w:rPr>
              <w:t>0</w:t>
            </w:r>
            <w:r>
              <w:rPr>
                <w:bCs/>
                <w:color w:val="auto"/>
                <w:spacing w:val="-10"/>
                <w:sz w:val="24"/>
              </w:rPr>
              <w:t>L/（人·d）计</w:t>
            </w:r>
            <w:r>
              <w:rPr>
                <w:rFonts w:hint="eastAsia"/>
                <w:bCs/>
                <w:color w:val="auto"/>
                <w:spacing w:val="-10"/>
                <w:sz w:val="24"/>
              </w:rPr>
              <w:t>，则本项目的生活用水量为0.2m</w:t>
            </w:r>
            <w:r>
              <w:rPr>
                <w:rFonts w:hint="eastAsia"/>
                <w:bCs/>
                <w:color w:val="auto"/>
                <w:spacing w:val="-10"/>
                <w:sz w:val="24"/>
                <w:vertAlign w:val="superscript"/>
              </w:rPr>
              <w:t>3</w:t>
            </w:r>
            <w:r>
              <w:rPr>
                <w:rFonts w:hint="eastAsia"/>
                <w:bCs/>
                <w:color w:val="auto"/>
                <w:spacing w:val="-10"/>
                <w:sz w:val="24"/>
              </w:rPr>
              <w:t>/d、60m</w:t>
            </w:r>
            <w:r>
              <w:rPr>
                <w:rFonts w:hint="eastAsia"/>
                <w:bCs/>
                <w:color w:val="auto"/>
                <w:spacing w:val="-10"/>
                <w:sz w:val="24"/>
                <w:vertAlign w:val="superscript"/>
              </w:rPr>
              <w:t>3</w:t>
            </w:r>
            <w:r>
              <w:rPr>
                <w:rFonts w:hint="eastAsia"/>
                <w:bCs/>
                <w:color w:val="auto"/>
                <w:spacing w:val="-10"/>
                <w:sz w:val="24"/>
              </w:rPr>
              <w:t>/a</w:t>
            </w:r>
            <w:r>
              <w:rPr>
                <w:bCs/>
                <w:color w:val="auto"/>
                <w:spacing w:val="-10"/>
                <w:sz w:val="24"/>
              </w:rPr>
              <w:t>；本项目生活污水折污系数按0.</w:t>
            </w:r>
            <w:r>
              <w:rPr>
                <w:rFonts w:hint="eastAsia"/>
                <w:bCs/>
                <w:color w:val="auto"/>
                <w:spacing w:val="-10"/>
                <w:sz w:val="24"/>
              </w:rPr>
              <w:t>8</w:t>
            </w:r>
            <w:r>
              <w:rPr>
                <w:bCs/>
                <w:color w:val="auto"/>
                <w:spacing w:val="-10"/>
                <w:sz w:val="24"/>
              </w:rPr>
              <w:t>计，则本项目的生活污水量为</w:t>
            </w:r>
            <w:r>
              <w:rPr>
                <w:rFonts w:hint="eastAsia"/>
                <w:bCs/>
                <w:color w:val="auto"/>
                <w:spacing w:val="-10"/>
                <w:sz w:val="24"/>
              </w:rPr>
              <w:t>1.6</w:t>
            </w:r>
            <w:r>
              <w:rPr>
                <w:bCs/>
                <w:color w:val="auto"/>
                <w:spacing w:val="-10"/>
                <w:sz w:val="24"/>
              </w:rPr>
              <w:t>m</w:t>
            </w:r>
            <w:r>
              <w:rPr>
                <w:bCs/>
                <w:color w:val="auto"/>
                <w:spacing w:val="-10"/>
                <w:sz w:val="24"/>
                <w:vertAlign w:val="superscript"/>
              </w:rPr>
              <w:t>3</w:t>
            </w:r>
            <w:r>
              <w:rPr>
                <w:bCs/>
                <w:color w:val="auto"/>
                <w:spacing w:val="-10"/>
                <w:sz w:val="24"/>
              </w:rPr>
              <w:t>/a、</w:t>
            </w:r>
            <w:r>
              <w:rPr>
                <w:rFonts w:hint="eastAsia"/>
                <w:bCs/>
                <w:color w:val="auto"/>
                <w:spacing w:val="-10"/>
                <w:sz w:val="24"/>
              </w:rPr>
              <w:t>48</w:t>
            </w:r>
            <w:r>
              <w:rPr>
                <w:bCs/>
                <w:color w:val="auto"/>
                <w:spacing w:val="-10"/>
                <w:sz w:val="24"/>
              </w:rPr>
              <w:t>m</w:t>
            </w:r>
            <w:r>
              <w:rPr>
                <w:bCs/>
                <w:color w:val="auto"/>
                <w:spacing w:val="-10"/>
                <w:sz w:val="24"/>
                <w:vertAlign w:val="superscript"/>
              </w:rPr>
              <w:t>3</w:t>
            </w:r>
            <w:r>
              <w:rPr>
                <w:bCs/>
                <w:color w:val="auto"/>
                <w:spacing w:val="-10"/>
                <w:sz w:val="24"/>
              </w:rPr>
              <w:t>/d。</w:t>
            </w:r>
          </w:p>
          <w:p>
            <w:pPr>
              <w:adjustRightInd w:val="0"/>
              <w:snapToGrid w:val="0"/>
              <w:spacing w:line="360" w:lineRule="auto"/>
              <w:ind w:firstLine="440" w:firstLineChars="200"/>
              <w:rPr>
                <w:bCs/>
                <w:snapToGrid w:val="0"/>
                <w:color w:val="auto"/>
                <w:kern w:val="0"/>
                <w:sz w:val="24"/>
              </w:rPr>
            </w:pPr>
            <w:r>
              <w:rPr>
                <w:bCs/>
                <w:color w:val="auto"/>
                <w:spacing w:val="-10"/>
                <w:sz w:val="24"/>
              </w:rPr>
              <w:t>根据城市生活污水水质状况，生活污水中</w:t>
            </w:r>
            <w:r>
              <w:rPr>
                <w:rFonts w:hint="eastAsia"/>
                <w:bCs/>
                <w:color w:val="auto"/>
                <w:spacing w:val="-10"/>
                <w:sz w:val="24"/>
              </w:rPr>
              <w:t>主要</w:t>
            </w:r>
            <w:r>
              <w:rPr>
                <w:bCs/>
                <w:color w:val="auto"/>
                <w:spacing w:val="-10"/>
                <w:sz w:val="24"/>
              </w:rPr>
              <w:t>污染物</w:t>
            </w:r>
            <w:r>
              <w:rPr>
                <w:rFonts w:hint="eastAsia"/>
                <w:bCs/>
                <w:color w:val="auto"/>
                <w:spacing w:val="-10"/>
                <w:sz w:val="24"/>
              </w:rPr>
              <w:t>为COD、BOD</w:t>
            </w:r>
            <w:r>
              <w:rPr>
                <w:rFonts w:hint="eastAsia"/>
                <w:bCs/>
                <w:color w:val="auto"/>
                <w:spacing w:val="-10"/>
                <w:sz w:val="24"/>
                <w:vertAlign w:val="subscript"/>
              </w:rPr>
              <w:t>5</w:t>
            </w:r>
            <w:r>
              <w:rPr>
                <w:rFonts w:hint="eastAsia"/>
                <w:bCs/>
                <w:color w:val="auto"/>
                <w:spacing w:val="-10"/>
                <w:sz w:val="24"/>
              </w:rPr>
              <w:t>、SS、NH</w:t>
            </w:r>
            <w:r>
              <w:rPr>
                <w:rFonts w:hint="eastAsia"/>
                <w:bCs/>
                <w:color w:val="auto"/>
                <w:spacing w:val="-10"/>
                <w:sz w:val="24"/>
                <w:vertAlign w:val="subscript"/>
              </w:rPr>
              <w:t>3</w:t>
            </w:r>
            <w:r>
              <w:rPr>
                <w:rFonts w:hint="eastAsia"/>
                <w:bCs/>
                <w:color w:val="auto"/>
                <w:spacing w:val="-10"/>
                <w:sz w:val="24"/>
              </w:rPr>
              <w:t>-N、TP，</w:t>
            </w:r>
            <w:r>
              <w:rPr>
                <w:bCs/>
                <w:color w:val="auto"/>
                <w:spacing w:val="-10"/>
                <w:sz w:val="24"/>
              </w:rPr>
              <w:t>分别按</w:t>
            </w:r>
            <w:r>
              <w:rPr>
                <w:rFonts w:hint="eastAsia"/>
                <w:bCs/>
                <w:color w:val="auto"/>
                <w:spacing w:val="-10"/>
                <w:sz w:val="24"/>
              </w:rPr>
              <w:t>250</w:t>
            </w:r>
            <w:r>
              <w:rPr>
                <w:bCs/>
                <w:color w:val="auto"/>
                <w:spacing w:val="-10"/>
                <w:sz w:val="24"/>
              </w:rPr>
              <w:t>mg/L、</w:t>
            </w:r>
            <w:r>
              <w:rPr>
                <w:rFonts w:hint="eastAsia"/>
                <w:bCs/>
                <w:color w:val="auto"/>
                <w:spacing w:val="-10"/>
                <w:sz w:val="24"/>
              </w:rPr>
              <w:t>120mg/L、140mg/L、30mg/L、4.</w:t>
            </w:r>
            <w:r>
              <w:rPr>
                <w:bCs/>
                <w:color w:val="auto"/>
                <w:spacing w:val="-10"/>
                <w:sz w:val="24"/>
              </w:rPr>
              <w:t>0mg/L计。</w:t>
            </w:r>
          </w:p>
          <w:p>
            <w:pPr>
              <w:adjustRightInd w:val="0"/>
              <w:snapToGrid w:val="0"/>
              <w:spacing w:line="360" w:lineRule="auto"/>
              <w:ind w:firstLine="440" w:firstLineChars="200"/>
              <w:rPr>
                <w:bCs/>
                <w:color w:val="auto"/>
                <w:spacing w:val="-10"/>
                <w:sz w:val="24"/>
              </w:rPr>
            </w:pPr>
            <w:r>
              <w:rPr>
                <w:bCs/>
                <w:color w:val="auto"/>
                <w:spacing w:val="-10"/>
                <w:sz w:val="24"/>
              </w:rPr>
              <w:t>②治理措施</w:t>
            </w:r>
          </w:p>
          <w:p>
            <w:pPr>
              <w:adjustRightInd w:val="0"/>
              <w:snapToGrid w:val="0"/>
              <w:spacing w:line="360" w:lineRule="auto"/>
              <w:ind w:firstLine="440" w:firstLineChars="200"/>
              <w:rPr>
                <w:bCs/>
                <w:color w:val="auto"/>
                <w:spacing w:val="-10"/>
                <w:sz w:val="24"/>
              </w:rPr>
            </w:pPr>
            <w:r>
              <w:rPr>
                <w:bCs/>
                <w:color w:val="auto"/>
                <w:spacing w:val="-10"/>
                <w:sz w:val="24"/>
              </w:rPr>
              <w:t>本项目生活污水</w:t>
            </w:r>
            <w:r>
              <w:rPr>
                <w:rFonts w:hint="eastAsia"/>
                <w:bCs/>
                <w:color w:val="auto"/>
                <w:spacing w:val="-10"/>
                <w:sz w:val="24"/>
              </w:rPr>
              <w:t>设置临时</w:t>
            </w:r>
            <w:r>
              <w:rPr>
                <w:bCs/>
                <w:color w:val="auto"/>
                <w:spacing w:val="-10"/>
                <w:sz w:val="24"/>
              </w:rPr>
              <w:t>化粪池处理，处理后暂存，</w:t>
            </w:r>
            <w:r>
              <w:rPr>
                <w:color w:val="auto"/>
                <w:kern w:val="0"/>
                <w:sz w:val="24"/>
              </w:rPr>
              <w:t>定期清掏，用于附近农用地浇灌</w:t>
            </w:r>
            <w:r>
              <w:rPr>
                <w:bCs/>
                <w:color w:val="auto"/>
                <w:spacing w:val="-10"/>
                <w:sz w:val="24"/>
              </w:rPr>
              <w:t>。根据原环境保护部发布的《村镇生活污染防治最佳可行技术指南（试行）》（HJ-BAT-9），化粪池属于生活污水处理可行性技术。</w:t>
            </w:r>
          </w:p>
          <w:p>
            <w:pPr>
              <w:adjustRightInd w:val="0"/>
              <w:snapToGrid w:val="0"/>
              <w:spacing w:line="360" w:lineRule="auto"/>
              <w:ind w:firstLine="440" w:firstLineChars="200"/>
              <w:rPr>
                <w:bCs/>
                <w:color w:val="auto"/>
                <w:spacing w:val="-10"/>
                <w:sz w:val="24"/>
              </w:rPr>
            </w:pPr>
            <w:r>
              <w:rPr>
                <w:bCs/>
                <w:color w:val="auto"/>
                <w:spacing w:val="-10"/>
                <w:sz w:val="24"/>
              </w:rPr>
              <w:t>③</w:t>
            </w:r>
            <w:r>
              <w:rPr>
                <w:rFonts w:hint="eastAsia"/>
                <w:bCs/>
                <w:color w:val="auto"/>
                <w:spacing w:val="-10"/>
                <w:sz w:val="24"/>
              </w:rPr>
              <w:t>出水</w:t>
            </w:r>
            <w:r>
              <w:rPr>
                <w:bCs/>
                <w:color w:val="auto"/>
                <w:spacing w:val="-10"/>
                <w:sz w:val="24"/>
              </w:rPr>
              <w:t>情况</w:t>
            </w:r>
          </w:p>
          <w:p>
            <w:pPr>
              <w:adjustRightInd w:val="0"/>
              <w:snapToGrid w:val="0"/>
              <w:spacing w:line="360" w:lineRule="auto"/>
              <w:ind w:firstLine="440" w:firstLineChars="200"/>
              <w:rPr>
                <w:bCs/>
                <w:color w:val="auto"/>
                <w:spacing w:val="-10"/>
                <w:sz w:val="24"/>
              </w:rPr>
            </w:pPr>
            <w:r>
              <w:rPr>
                <w:bCs/>
                <w:color w:val="auto"/>
                <w:spacing w:val="-10"/>
                <w:sz w:val="24"/>
              </w:rPr>
              <w:t>根据《第一次全国污染普查城镇生活源产排污系数手册》（2008年3月），可计算出化粪池的去除效率分别为：CODcr 20.25%、NH</w:t>
            </w:r>
            <w:r>
              <w:rPr>
                <w:bCs/>
                <w:color w:val="auto"/>
                <w:spacing w:val="-10"/>
                <w:sz w:val="24"/>
                <w:vertAlign w:val="subscript"/>
              </w:rPr>
              <w:t>3</w:t>
            </w:r>
            <w:r>
              <w:rPr>
                <w:bCs/>
                <w:color w:val="auto"/>
                <w:spacing w:val="-10"/>
                <w:sz w:val="24"/>
              </w:rPr>
              <w:t>-N 3.09%、TP 15.52%、BOD</w:t>
            </w:r>
            <w:r>
              <w:rPr>
                <w:bCs/>
                <w:color w:val="auto"/>
                <w:spacing w:val="-10"/>
                <w:sz w:val="24"/>
                <w:vertAlign w:val="subscript"/>
              </w:rPr>
              <w:t>5</w:t>
            </w:r>
            <w:r>
              <w:rPr>
                <w:bCs/>
                <w:color w:val="auto"/>
                <w:spacing w:val="-10"/>
                <w:sz w:val="24"/>
              </w:rPr>
              <w:t xml:space="preserve"> 21.21%，保守起见，CODcr、NH</w:t>
            </w:r>
            <w:r>
              <w:rPr>
                <w:bCs/>
                <w:color w:val="auto"/>
                <w:spacing w:val="-10"/>
                <w:sz w:val="24"/>
                <w:vertAlign w:val="subscript"/>
              </w:rPr>
              <w:t>3</w:t>
            </w:r>
            <w:r>
              <w:rPr>
                <w:bCs/>
                <w:color w:val="auto"/>
                <w:spacing w:val="-10"/>
                <w:sz w:val="24"/>
              </w:rPr>
              <w:t>-N、TP、BOD</w:t>
            </w:r>
            <w:r>
              <w:rPr>
                <w:bCs/>
                <w:color w:val="auto"/>
                <w:spacing w:val="-10"/>
                <w:sz w:val="24"/>
                <w:vertAlign w:val="subscript"/>
              </w:rPr>
              <w:t>5</w:t>
            </w:r>
            <w:r>
              <w:rPr>
                <w:bCs/>
                <w:color w:val="auto"/>
                <w:spacing w:val="-10"/>
                <w:sz w:val="24"/>
              </w:rPr>
              <w:t>的去除效率本次评价分别按：20%、3%、15%、20%计。此外，SS的去除效率本次评价按30%计。</w:t>
            </w:r>
          </w:p>
          <w:p>
            <w:pPr>
              <w:adjustRightInd w:val="0"/>
              <w:snapToGrid w:val="0"/>
              <w:spacing w:line="360" w:lineRule="auto"/>
              <w:ind w:firstLine="440" w:firstLineChars="200"/>
              <w:rPr>
                <w:bCs/>
                <w:color w:val="auto"/>
                <w:spacing w:val="-10"/>
                <w:sz w:val="24"/>
              </w:rPr>
            </w:pPr>
            <w:r>
              <w:rPr>
                <w:bCs/>
                <w:color w:val="auto"/>
                <w:spacing w:val="-10"/>
                <w:sz w:val="24"/>
              </w:rPr>
              <w:t>本项目生活污水中主要污染物的产生量、</w:t>
            </w:r>
            <w:r>
              <w:rPr>
                <w:rFonts w:hint="eastAsia"/>
                <w:bCs/>
                <w:color w:val="auto"/>
                <w:spacing w:val="-10"/>
                <w:sz w:val="24"/>
              </w:rPr>
              <w:t>出水情况</w:t>
            </w:r>
            <w:r>
              <w:rPr>
                <w:bCs/>
                <w:color w:val="auto"/>
                <w:spacing w:val="-10"/>
                <w:sz w:val="24"/>
              </w:rPr>
              <w:t>如下表所示：</w:t>
            </w:r>
          </w:p>
          <w:p>
            <w:pPr>
              <w:adjustRightInd w:val="0"/>
              <w:snapToGrid w:val="0"/>
              <w:ind w:firstLine="442" w:firstLineChars="200"/>
              <w:jc w:val="center"/>
              <w:rPr>
                <w:b/>
                <w:color w:val="auto"/>
                <w:spacing w:val="-10"/>
                <w:sz w:val="24"/>
              </w:rPr>
            </w:pPr>
            <w:r>
              <w:rPr>
                <w:b/>
                <w:color w:val="auto"/>
                <w:spacing w:val="-10"/>
                <w:sz w:val="24"/>
              </w:rPr>
              <w:t>表4-7 本项目生活污水污染物产生</w:t>
            </w:r>
            <w:r>
              <w:rPr>
                <w:rFonts w:hint="eastAsia"/>
                <w:b/>
                <w:color w:val="auto"/>
                <w:spacing w:val="-10"/>
                <w:sz w:val="24"/>
              </w:rPr>
              <w:t>情况及出水情况</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996"/>
              <w:gridCol w:w="1184"/>
              <w:gridCol w:w="1184"/>
              <w:gridCol w:w="1183"/>
              <w:gridCol w:w="118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797" w:type="pct"/>
                  <w:gridSpan w:val="2"/>
                  <w:noWrap w:val="0"/>
                  <w:vAlign w:val="center"/>
                </w:tcPr>
                <w:p>
                  <w:pPr>
                    <w:snapToGrid w:val="0"/>
                    <w:jc w:val="center"/>
                    <w:rPr>
                      <w:b/>
                      <w:color w:val="auto"/>
                      <w:spacing w:val="-10"/>
                      <w:szCs w:val="21"/>
                    </w:rPr>
                  </w:pPr>
                  <w:r>
                    <w:rPr>
                      <w:b/>
                      <w:color w:val="auto"/>
                      <w:spacing w:val="-10"/>
                      <w:szCs w:val="21"/>
                    </w:rPr>
                    <w:t>项目</w:t>
                  </w:r>
                </w:p>
              </w:tc>
              <w:tc>
                <w:tcPr>
                  <w:tcW w:w="640" w:type="pct"/>
                  <w:noWrap w:val="0"/>
                  <w:vAlign w:val="center"/>
                </w:tcPr>
                <w:p>
                  <w:pPr>
                    <w:snapToGrid w:val="0"/>
                    <w:jc w:val="center"/>
                    <w:rPr>
                      <w:b/>
                      <w:color w:val="auto"/>
                      <w:spacing w:val="-10"/>
                      <w:szCs w:val="21"/>
                    </w:rPr>
                  </w:pPr>
                  <w:r>
                    <w:rPr>
                      <w:b/>
                      <w:color w:val="auto"/>
                      <w:spacing w:val="-10"/>
                      <w:szCs w:val="21"/>
                    </w:rPr>
                    <w:t>CODcr</w:t>
                  </w:r>
                </w:p>
              </w:tc>
              <w:tc>
                <w:tcPr>
                  <w:tcW w:w="640" w:type="pct"/>
                  <w:noWrap w:val="0"/>
                  <w:vAlign w:val="center"/>
                </w:tcPr>
                <w:p>
                  <w:pPr>
                    <w:snapToGrid w:val="0"/>
                    <w:jc w:val="center"/>
                    <w:rPr>
                      <w:b/>
                      <w:color w:val="auto"/>
                      <w:spacing w:val="-10"/>
                      <w:szCs w:val="21"/>
                    </w:rPr>
                  </w:pPr>
                  <w:r>
                    <w:rPr>
                      <w:b/>
                      <w:color w:val="auto"/>
                      <w:spacing w:val="-10"/>
                      <w:szCs w:val="21"/>
                    </w:rPr>
                    <w:t>BOD</w:t>
                  </w:r>
                  <w:r>
                    <w:rPr>
                      <w:b/>
                      <w:color w:val="auto"/>
                      <w:spacing w:val="-10"/>
                      <w:szCs w:val="21"/>
                      <w:vertAlign w:val="subscript"/>
                    </w:rPr>
                    <w:t>5</w:t>
                  </w:r>
                </w:p>
              </w:tc>
              <w:tc>
                <w:tcPr>
                  <w:tcW w:w="640" w:type="pct"/>
                  <w:noWrap w:val="0"/>
                  <w:vAlign w:val="center"/>
                </w:tcPr>
                <w:p>
                  <w:pPr>
                    <w:snapToGrid w:val="0"/>
                    <w:jc w:val="center"/>
                    <w:rPr>
                      <w:b/>
                      <w:color w:val="auto"/>
                      <w:spacing w:val="-10"/>
                      <w:szCs w:val="21"/>
                    </w:rPr>
                  </w:pPr>
                  <w:r>
                    <w:rPr>
                      <w:b/>
                      <w:color w:val="auto"/>
                      <w:spacing w:val="-10"/>
                      <w:szCs w:val="21"/>
                    </w:rPr>
                    <w:t>SS</w:t>
                  </w:r>
                </w:p>
              </w:tc>
              <w:tc>
                <w:tcPr>
                  <w:tcW w:w="640" w:type="pct"/>
                  <w:noWrap w:val="0"/>
                  <w:vAlign w:val="center"/>
                </w:tcPr>
                <w:p>
                  <w:pPr>
                    <w:snapToGrid w:val="0"/>
                    <w:jc w:val="center"/>
                    <w:rPr>
                      <w:b/>
                      <w:color w:val="auto"/>
                      <w:spacing w:val="-10"/>
                      <w:szCs w:val="21"/>
                      <w:vertAlign w:val="subscript"/>
                    </w:rPr>
                  </w:pPr>
                  <w:r>
                    <w:rPr>
                      <w:b/>
                      <w:color w:val="auto"/>
                      <w:spacing w:val="-10"/>
                      <w:szCs w:val="21"/>
                    </w:rPr>
                    <w:t>NH</w:t>
                  </w:r>
                  <w:r>
                    <w:rPr>
                      <w:b/>
                      <w:color w:val="auto"/>
                      <w:spacing w:val="-10"/>
                      <w:szCs w:val="21"/>
                      <w:vertAlign w:val="subscript"/>
                    </w:rPr>
                    <w:t>3</w:t>
                  </w:r>
                  <w:r>
                    <w:rPr>
                      <w:b/>
                      <w:color w:val="auto"/>
                      <w:spacing w:val="-10"/>
                      <w:szCs w:val="21"/>
                    </w:rPr>
                    <w:t>-N</w:t>
                  </w:r>
                </w:p>
              </w:tc>
              <w:tc>
                <w:tcPr>
                  <w:tcW w:w="640" w:type="pct"/>
                  <w:noWrap w:val="0"/>
                  <w:vAlign w:val="center"/>
                </w:tcPr>
                <w:p>
                  <w:pPr>
                    <w:snapToGrid w:val="0"/>
                    <w:jc w:val="center"/>
                    <w:rPr>
                      <w:bCs/>
                      <w:color w:val="auto"/>
                      <w:spacing w:val="-10"/>
                      <w:szCs w:val="21"/>
                    </w:rPr>
                  </w:pPr>
                  <w:r>
                    <w:rPr>
                      <w:b/>
                      <w:color w:val="auto"/>
                      <w:spacing w:val="-10"/>
                      <w:szCs w:val="21"/>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9" w:type="pct"/>
                  <w:vMerge w:val="restart"/>
                  <w:noWrap w:val="0"/>
                  <w:vAlign w:val="center"/>
                </w:tcPr>
                <w:p>
                  <w:pPr>
                    <w:snapToGrid w:val="0"/>
                    <w:jc w:val="center"/>
                    <w:rPr>
                      <w:bCs/>
                      <w:color w:val="auto"/>
                      <w:spacing w:val="-10"/>
                      <w:szCs w:val="21"/>
                    </w:rPr>
                  </w:pPr>
                  <w:r>
                    <w:rPr>
                      <w:bCs/>
                      <w:color w:val="auto"/>
                      <w:spacing w:val="-10"/>
                      <w:szCs w:val="21"/>
                    </w:rPr>
                    <w:t>污水产生量</w:t>
                  </w:r>
                </w:p>
                <w:p>
                  <w:pPr>
                    <w:snapToGrid w:val="0"/>
                    <w:jc w:val="center"/>
                    <w:rPr>
                      <w:bCs/>
                      <w:color w:val="auto"/>
                      <w:spacing w:val="-10"/>
                      <w:szCs w:val="21"/>
                    </w:rPr>
                  </w:pPr>
                  <w:r>
                    <w:rPr>
                      <w:rFonts w:hint="eastAsia"/>
                      <w:bCs/>
                      <w:color w:val="auto"/>
                      <w:spacing w:val="-10"/>
                      <w:szCs w:val="21"/>
                    </w:rPr>
                    <w:t>48</w:t>
                  </w:r>
                  <w:r>
                    <w:rPr>
                      <w:bCs/>
                      <w:color w:val="auto"/>
                      <w:spacing w:val="-10"/>
                      <w:szCs w:val="21"/>
                    </w:rPr>
                    <w:t>m</w:t>
                  </w:r>
                  <w:r>
                    <w:rPr>
                      <w:bCs/>
                      <w:color w:val="auto"/>
                      <w:spacing w:val="-10"/>
                      <w:szCs w:val="21"/>
                      <w:vertAlign w:val="superscript"/>
                    </w:rPr>
                    <w:t>3</w:t>
                  </w:r>
                  <w:r>
                    <w:rPr>
                      <w:bCs/>
                      <w:color w:val="auto"/>
                      <w:spacing w:val="-10"/>
                      <w:szCs w:val="21"/>
                    </w:rPr>
                    <w:t>/a</w:t>
                  </w:r>
                </w:p>
              </w:tc>
              <w:tc>
                <w:tcPr>
                  <w:tcW w:w="1078" w:type="pct"/>
                  <w:noWrap w:val="0"/>
                  <w:vAlign w:val="center"/>
                </w:tcPr>
                <w:p>
                  <w:pPr>
                    <w:snapToGrid w:val="0"/>
                    <w:jc w:val="center"/>
                    <w:rPr>
                      <w:bCs/>
                      <w:color w:val="auto"/>
                      <w:spacing w:val="-10"/>
                      <w:szCs w:val="21"/>
                    </w:rPr>
                  </w:pPr>
                  <w:r>
                    <w:rPr>
                      <w:bCs/>
                      <w:color w:val="auto"/>
                      <w:spacing w:val="-10"/>
                      <w:szCs w:val="21"/>
                    </w:rPr>
                    <w:t>产生浓度mg/L</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250</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120</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140</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30</w:t>
                  </w:r>
                </w:p>
              </w:tc>
              <w:tc>
                <w:tcPr>
                  <w:tcW w:w="1184" w:type="dxa"/>
                  <w:noWrap w:val="0"/>
                  <w:vAlign w:val="center"/>
                </w:tcPr>
                <w:p>
                  <w:pPr>
                    <w:widowControl/>
                    <w:jc w:val="center"/>
                    <w:textAlignment w:val="center"/>
                    <w:rPr>
                      <w:bCs/>
                      <w:color w:val="auto"/>
                      <w:spacing w:val="-10"/>
                      <w:szCs w:val="21"/>
                    </w:rPr>
                  </w:pPr>
                  <w:r>
                    <w:rPr>
                      <w:color w:val="auto"/>
                      <w:kern w:val="0"/>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9" w:type="pct"/>
                  <w:vMerge w:val="continue"/>
                  <w:noWrap w:val="0"/>
                  <w:vAlign w:val="center"/>
                </w:tcPr>
                <w:p>
                  <w:pPr>
                    <w:snapToGrid w:val="0"/>
                    <w:jc w:val="center"/>
                    <w:rPr>
                      <w:bCs/>
                      <w:color w:val="auto"/>
                      <w:spacing w:val="-10"/>
                      <w:szCs w:val="21"/>
                    </w:rPr>
                  </w:pPr>
                </w:p>
              </w:tc>
              <w:tc>
                <w:tcPr>
                  <w:tcW w:w="1078" w:type="pct"/>
                  <w:noWrap w:val="0"/>
                  <w:vAlign w:val="center"/>
                </w:tcPr>
                <w:p>
                  <w:pPr>
                    <w:snapToGrid w:val="0"/>
                    <w:jc w:val="center"/>
                    <w:rPr>
                      <w:bCs/>
                      <w:color w:val="auto"/>
                      <w:spacing w:val="-10"/>
                      <w:szCs w:val="21"/>
                    </w:rPr>
                  </w:pPr>
                  <w:r>
                    <w:rPr>
                      <w:bCs/>
                      <w:color w:val="auto"/>
                      <w:spacing w:val="-10"/>
                      <w:szCs w:val="21"/>
                    </w:rPr>
                    <w:t>产生量t/a</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 xml:space="preserve">0.0120 </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 xml:space="preserve">0.0058 </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 xml:space="preserve">0.0067 </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 xml:space="preserve">0.0014 </w:t>
                  </w:r>
                </w:p>
              </w:tc>
              <w:tc>
                <w:tcPr>
                  <w:tcW w:w="1184" w:type="dxa"/>
                  <w:noWrap w:val="0"/>
                  <w:vAlign w:val="center"/>
                </w:tcPr>
                <w:p>
                  <w:pPr>
                    <w:widowControl/>
                    <w:jc w:val="center"/>
                    <w:textAlignment w:val="center"/>
                    <w:rPr>
                      <w:bCs/>
                      <w:color w:val="auto"/>
                      <w:spacing w:val="-10"/>
                      <w:szCs w:val="21"/>
                    </w:rPr>
                  </w:pPr>
                  <w:r>
                    <w:rPr>
                      <w:color w:val="auto"/>
                      <w:kern w:val="0"/>
                      <w:szCs w:val="21"/>
                      <w:lang w:bidi="ar"/>
                    </w:rPr>
                    <w:t xml:space="preserve">0.0002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9" w:type="pct"/>
                  <w:vMerge w:val="continue"/>
                  <w:noWrap w:val="0"/>
                  <w:vAlign w:val="center"/>
                </w:tcPr>
                <w:p>
                  <w:pPr>
                    <w:snapToGrid w:val="0"/>
                    <w:jc w:val="center"/>
                    <w:rPr>
                      <w:bCs/>
                      <w:color w:val="auto"/>
                      <w:spacing w:val="-10"/>
                      <w:szCs w:val="21"/>
                    </w:rPr>
                  </w:pPr>
                </w:p>
              </w:tc>
              <w:tc>
                <w:tcPr>
                  <w:tcW w:w="1078" w:type="pct"/>
                  <w:noWrap w:val="0"/>
                  <w:vAlign w:val="center"/>
                </w:tcPr>
                <w:p>
                  <w:pPr>
                    <w:snapToGrid w:val="0"/>
                    <w:jc w:val="center"/>
                    <w:rPr>
                      <w:bCs/>
                      <w:color w:val="auto"/>
                      <w:spacing w:val="-10"/>
                      <w:szCs w:val="21"/>
                    </w:rPr>
                  </w:pPr>
                  <w:r>
                    <w:rPr>
                      <w:bCs/>
                      <w:color w:val="auto"/>
                      <w:spacing w:val="-10"/>
                      <w:szCs w:val="21"/>
                    </w:rPr>
                    <w:t>处理设施</w:t>
                  </w:r>
                </w:p>
              </w:tc>
              <w:tc>
                <w:tcPr>
                  <w:tcW w:w="5904" w:type="dxa"/>
                  <w:gridSpan w:val="5"/>
                  <w:noWrap w:val="0"/>
                  <w:vAlign w:val="center"/>
                </w:tcPr>
                <w:p>
                  <w:pPr>
                    <w:widowControl/>
                    <w:jc w:val="center"/>
                    <w:textAlignment w:val="center"/>
                    <w:rPr>
                      <w:bCs/>
                      <w:color w:val="auto"/>
                      <w:spacing w:val="-10"/>
                      <w:szCs w:val="21"/>
                    </w:rPr>
                  </w:pPr>
                  <w:r>
                    <w:rPr>
                      <w:color w:val="auto"/>
                      <w:lang w:bidi="ar"/>
                    </w:rPr>
                    <w:t>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9" w:type="pct"/>
                  <w:vMerge w:val="continue"/>
                  <w:noWrap w:val="0"/>
                  <w:vAlign w:val="center"/>
                </w:tcPr>
                <w:p>
                  <w:pPr>
                    <w:snapToGrid w:val="0"/>
                    <w:jc w:val="center"/>
                    <w:rPr>
                      <w:bCs/>
                      <w:color w:val="auto"/>
                      <w:spacing w:val="-10"/>
                      <w:szCs w:val="21"/>
                    </w:rPr>
                  </w:pPr>
                </w:p>
              </w:tc>
              <w:tc>
                <w:tcPr>
                  <w:tcW w:w="1078" w:type="pct"/>
                  <w:noWrap w:val="0"/>
                  <w:vAlign w:val="center"/>
                </w:tcPr>
                <w:p>
                  <w:pPr>
                    <w:snapToGrid w:val="0"/>
                    <w:jc w:val="center"/>
                    <w:rPr>
                      <w:bCs/>
                      <w:color w:val="auto"/>
                      <w:spacing w:val="-10"/>
                      <w:szCs w:val="21"/>
                    </w:rPr>
                  </w:pPr>
                  <w:r>
                    <w:rPr>
                      <w:bCs/>
                      <w:color w:val="auto"/>
                      <w:spacing w:val="-10"/>
                      <w:szCs w:val="21"/>
                    </w:rPr>
                    <w:t>处理效率</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20%</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3%</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15%</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20%</w:t>
                  </w:r>
                </w:p>
              </w:tc>
              <w:tc>
                <w:tcPr>
                  <w:tcW w:w="1184" w:type="dxa"/>
                  <w:noWrap w:val="0"/>
                  <w:vAlign w:val="center"/>
                </w:tcPr>
                <w:p>
                  <w:pPr>
                    <w:widowControl/>
                    <w:jc w:val="center"/>
                    <w:textAlignment w:val="center"/>
                    <w:rPr>
                      <w:bCs/>
                      <w:color w:val="auto"/>
                      <w:spacing w:val="-10"/>
                      <w:szCs w:val="21"/>
                    </w:rPr>
                  </w:pPr>
                  <w:r>
                    <w:rPr>
                      <w:color w:val="auto"/>
                      <w:kern w:val="0"/>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9" w:type="pct"/>
                  <w:vMerge w:val="continue"/>
                  <w:noWrap w:val="0"/>
                  <w:vAlign w:val="center"/>
                </w:tcPr>
                <w:p>
                  <w:pPr>
                    <w:snapToGrid w:val="0"/>
                    <w:jc w:val="center"/>
                    <w:rPr>
                      <w:bCs/>
                      <w:color w:val="auto"/>
                      <w:spacing w:val="-10"/>
                      <w:szCs w:val="21"/>
                    </w:rPr>
                  </w:pPr>
                </w:p>
              </w:tc>
              <w:tc>
                <w:tcPr>
                  <w:tcW w:w="1078" w:type="pct"/>
                  <w:noWrap w:val="0"/>
                  <w:vAlign w:val="center"/>
                </w:tcPr>
                <w:p>
                  <w:pPr>
                    <w:snapToGrid w:val="0"/>
                    <w:jc w:val="center"/>
                    <w:rPr>
                      <w:bCs/>
                      <w:color w:val="auto"/>
                      <w:spacing w:val="-10"/>
                      <w:szCs w:val="21"/>
                    </w:rPr>
                  </w:pPr>
                  <w:r>
                    <w:rPr>
                      <w:rFonts w:hint="eastAsia"/>
                      <w:bCs/>
                      <w:color w:val="auto"/>
                      <w:spacing w:val="-10"/>
                      <w:szCs w:val="21"/>
                    </w:rPr>
                    <w:t>出水</w:t>
                  </w:r>
                  <w:r>
                    <w:rPr>
                      <w:bCs/>
                      <w:color w:val="auto"/>
                      <w:spacing w:val="-10"/>
                      <w:szCs w:val="21"/>
                    </w:rPr>
                    <w:t>浓度mg/L</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200</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 xml:space="preserve">116.40 </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 xml:space="preserve">119.00 </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 xml:space="preserve">24.00 </w:t>
                  </w:r>
                </w:p>
              </w:tc>
              <w:tc>
                <w:tcPr>
                  <w:tcW w:w="1184" w:type="dxa"/>
                  <w:noWrap w:val="0"/>
                  <w:vAlign w:val="center"/>
                </w:tcPr>
                <w:p>
                  <w:pPr>
                    <w:widowControl/>
                    <w:jc w:val="center"/>
                    <w:textAlignment w:val="center"/>
                    <w:rPr>
                      <w:bCs/>
                      <w:color w:val="auto"/>
                      <w:spacing w:val="-10"/>
                      <w:szCs w:val="21"/>
                    </w:rPr>
                  </w:pPr>
                  <w:r>
                    <w:rPr>
                      <w:color w:val="auto"/>
                      <w:kern w:val="0"/>
                      <w:szCs w:val="21"/>
                      <w:lang w:bidi="ar"/>
                    </w:rPr>
                    <w:t xml:space="preserve">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9" w:type="pct"/>
                  <w:vMerge w:val="continue"/>
                  <w:noWrap w:val="0"/>
                  <w:vAlign w:val="center"/>
                </w:tcPr>
                <w:p>
                  <w:pPr>
                    <w:snapToGrid w:val="0"/>
                    <w:jc w:val="center"/>
                    <w:rPr>
                      <w:bCs/>
                      <w:color w:val="auto"/>
                      <w:spacing w:val="-10"/>
                      <w:szCs w:val="21"/>
                    </w:rPr>
                  </w:pPr>
                </w:p>
              </w:tc>
              <w:tc>
                <w:tcPr>
                  <w:tcW w:w="1078" w:type="pct"/>
                  <w:noWrap w:val="0"/>
                  <w:vAlign w:val="center"/>
                </w:tcPr>
                <w:p>
                  <w:pPr>
                    <w:snapToGrid w:val="0"/>
                    <w:jc w:val="center"/>
                    <w:rPr>
                      <w:bCs/>
                      <w:color w:val="auto"/>
                      <w:spacing w:val="-10"/>
                      <w:szCs w:val="21"/>
                    </w:rPr>
                  </w:pPr>
                  <w:r>
                    <w:rPr>
                      <w:rFonts w:hint="eastAsia"/>
                      <w:bCs/>
                      <w:color w:val="auto"/>
                      <w:spacing w:val="-10"/>
                      <w:szCs w:val="21"/>
                    </w:rPr>
                    <w:t>出水</w:t>
                  </w:r>
                  <w:r>
                    <w:rPr>
                      <w:bCs/>
                      <w:color w:val="auto"/>
                      <w:spacing w:val="-10"/>
                      <w:szCs w:val="21"/>
                    </w:rPr>
                    <w:t>量t/a</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 xml:space="preserve">0.0096 </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 xml:space="preserve">0.0056 </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 xml:space="preserve">0.0057 </w:t>
                  </w:r>
                </w:p>
              </w:tc>
              <w:tc>
                <w:tcPr>
                  <w:tcW w:w="1180" w:type="dxa"/>
                  <w:noWrap w:val="0"/>
                  <w:vAlign w:val="center"/>
                </w:tcPr>
                <w:p>
                  <w:pPr>
                    <w:widowControl/>
                    <w:jc w:val="center"/>
                    <w:textAlignment w:val="center"/>
                    <w:rPr>
                      <w:bCs/>
                      <w:color w:val="auto"/>
                      <w:spacing w:val="-10"/>
                      <w:szCs w:val="21"/>
                    </w:rPr>
                  </w:pPr>
                  <w:r>
                    <w:rPr>
                      <w:color w:val="auto"/>
                      <w:kern w:val="0"/>
                      <w:szCs w:val="21"/>
                      <w:lang w:bidi="ar"/>
                    </w:rPr>
                    <w:t xml:space="preserve">0.0012 </w:t>
                  </w:r>
                </w:p>
              </w:tc>
              <w:tc>
                <w:tcPr>
                  <w:tcW w:w="1184" w:type="dxa"/>
                  <w:noWrap w:val="0"/>
                  <w:vAlign w:val="center"/>
                </w:tcPr>
                <w:p>
                  <w:pPr>
                    <w:widowControl/>
                    <w:jc w:val="center"/>
                    <w:textAlignment w:val="center"/>
                    <w:rPr>
                      <w:bCs/>
                      <w:color w:val="auto"/>
                      <w:spacing w:val="-10"/>
                      <w:szCs w:val="21"/>
                    </w:rPr>
                  </w:pPr>
                  <w:r>
                    <w:rPr>
                      <w:color w:val="auto"/>
                      <w:kern w:val="0"/>
                      <w:szCs w:val="21"/>
                      <w:lang w:bidi="ar"/>
                    </w:rPr>
                    <w:t xml:space="preserve">0.0001 </w:t>
                  </w:r>
                </w:p>
              </w:tc>
            </w:tr>
          </w:tbl>
          <w:p>
            <w:pPr>
              <w:adjustRightInd w:val="0"/>
              <w:snapToGrid w:val="0"/>
              <w:ind w:firstLine="440" w:firstLineChars="200"/>
              <w:rPr>
                <w:bCs/>
                <w:color w:val="auto"/>
                <w:spacing w:val="-10"/>
                <w:sz w:val="24"/>
              </w:rPr>
            </w:pPr>
          </w:p>
          <w:p>
            <w:pPr>
              <w:adjustRightInd w:val="0"/>
              <w:snapToGrid w:val="0"/>
              <w:spacing w:line="360" w:lineRule="auto"/>
              <w:ind w:firstLine="440" w:firstLineChars="200"/>
              <w:rPr>
                <w:bCs/>
                <w:color w:val="auto"/>
                <w:spacing w:val="-10"/>
                <w:sz w:val="24"/>
              </w:rPr>
            </w:pPr>
            <w:r>
              <w:rPr>
                <w:bCs/>
                <w:color w:val="auto"/>
                <w:spacing w:val="-10"/>
                <w:sz w:val="24"/>
              </w:rPr>
              <w:t>根据上表可知，本项目生活污水经处理后，各污染物及其排放浓度为分别为CODcr 2</w:t>
            </w:r>
            <w:r>
              <w:rPr>
                <w:rFonts w:hint="eastAsia"/>
                <w:bCs/>
                <w:color w:val="auto"/>
                <w:spacing w:val="-10"/>
                <w:sz w:val="24"/>
              </w:rPr>
              <w:t>00</w:t>
            </w:r>
            <w:r>
              <w:rPr>
                <w:bCs/>
                <w:color w:val="auto"/>
                <w:spacing w:val="-10"/>
                <w:sz w:val="24"/>
              </w:rPr>
              <w:t>mg/L、BOD</w:t>
            </w:r>
            <w:r>
              <w:rPr>
                <w:bCs/>
                <w:color w:val="auto"/>
                <w:spacing w:val="-10"/>
                <w:sz w:val="24"/>
                <w:vertAlign w:val="subscript"/>
              </w:rPr>
              <w:t>5</w:t>
            </w:r>
            <w:r>
              <w:rPr>
                <w:bCs/>
                <w:color w:val="auto"/>
                <w:spacing w:val="-10"/>
                <w:sz w:val="24"/>
              </w:rPr>
              <w:t xml:space="preserve"> 1</w:t>
            </w:r>
            <w:r>
              <w:rPr>
                <w:rFonts w:hint="eastAsia"/>
                <w:bCs/>
                <w:color w:val="auto"/>
                <w:spacing w:val="-10"/>
                <w:sz w:val="24"/>
              </w:rPr>
              <w:t>16.4</w:t>
            </w:r>
            <w:r>
              <w:rPr>
                <w:bCs/>
                <w:color w:val="auto"/>
                <w:spacing w:val="-10"/>
                <w:sz w:val="24"/>
              </w:rPr>
              <w:t>mg/L、SS 1</w:t>
            </w:r>
            <w:r>
              <w:rPr>
                <w:rFonts w:hint="eastAsia"/>
                <w:bCs/>
                <w:color w:val="auto"/>
                <w:spacing w:val="-10"/>
                <w:sz w:val="24"/>
              </w:rPr>
              <w:t>19</w:t>
            </w:r>
            <w:r>
              <w:rPr>
                <w:bCs/>
                <w:color w:val="auto"/>
                <w:spacing w:val="-10"/>
                <w:sz w:val="24"/>
              </w:rPr>
              <w:t>mg/L</w:t>
            </w:r>
            <w:r>
              <w:rPr>
                <w:rFonts w:hint="eastAsia"/>
                <w:bCs/>
                <w:color w:val="auto"/>
                <w:spacing w:val="-10"/>
                <w:sz w:val="24"/>
              </w:rPr>
              <w:t>、</w:t>
            </w:r>
            <w:r>
              <w:rPr>
                <w:bCs/>
                <w:color w:val="auto"/>
                <w:spacing w:val="-10"/>
                <w:sz w:val="24"/>
              </w:rPr>
              <w:t>NH</w:t>
            </w:r>
            <w:r>
              <w:rPr>
                <w:bCs/>
                <w:color w:val="auto"/>
                <w:spacing w:val="-10"/>
                <w:sz w:val="24"/>
                <w:vertAlign w:val="subscript"/>
              </w:rPr>
              <w:t>3</w:t>
            </w:r>
            <w:r>
              <w:rPr>
                <w:bCs/>
                <w:color w:val="auto"/>
                <w:spacing w:val="-10"/>
                <w:sz w:val="24"/>
              </w:rPr>
              <w:t xml:space="preserve">-N </w:t>
            </w:r>
            <w:r>
              <w:rPr>
                <w:rFonts w:hint="eastAsia"/>
                <w:bCs/>
                <w:color w:val="auto"/>
                <w:spacing w:val="-10"/>
                <w:sz w:val="24"/>
              </w:rPr>
              <w:t>24</w:t>
            </w:r>
            <w:r>
              <w:rPr>
                <w:bCs/>
                <w:color w:val="auto"/>
                <w:spacing w:val="-10"/>
                <w:sz w:val="24"/>
              </w:rPr>
              <w:t xml:space="preserve">mg/L、TP </w:t>
            </w:r>
            <w:r>
              <w:rPr>
                <w:rFonts w:hint="eastAsia"/>
                <w:bCs/>
                <w:color w:val="auto"/>
                <w:spacing w:val="-10"/>
                <w:sz w:val="24"/>
              </w:rPr>
              <w:t>2.8</w:t>
            </w:r>
            <w:r>
              <w:rPr>
                <w:bCs/>
                <w:color w:val="auto"/>
                <w:spacing w:val="-10"/>
                <w:sz w:val="24"/>
              </w:rPr>
              <w:t>mg/L，均可满足</w:t>
            </w:r>
            <w:r>
              <w:rPr>
                <w:color w:val="auto"/>
                <w:kern w:val="0"/>
                <w:sz w:val="24"/>
              </w:rPr>
              <w:t>《农田灌溉水质标准》（GB5084-2021）中的“旱地作物”限值</w:t>
            </w:r>
            <w:r>
              <w:rPr>
                <w:bCs/>
                <w:color w:val="auto"/>
                <w:spacing w:val="-10"/>
                <w:sz w:val="24"/>
              </w:rPr>
              <w:t>。</w:t>
            </w:r>
            <w:r>
              <w:rPr>
                <w:rFonts w:hint="eastAsia"/>
                <w:bCs/>
                <w:color w:val="auto"/>
                <w:spacing w:val="-10"/>
                <w:sz w:val="24"/>
              </w:rPr>
              <w:t>因此，本项目生活污水可</w:t>
            </w:r>
            <w:r>
              <w:rPr>
                <w:color w:val="auto"/>
                <w:kern w:val="0"/>
                <w:sz w:val="24"/>
              </w:rPr>
              <w:t>用于附近农用地浇灌</w:t>
            </w:r>
            <w:r>
              <w:rPr>
                <w:rFonts w:hint="eastAsia"/>
                <w:color w:val="auto"/>
                <w:kern w:val="0"/>
                <w:sz w:val="24"/>
              </w:rPr>
              <w:t>。</w:t>
            </w:r>
          </w:p>
          <w:p>
            <w:pPr>
              <w:adjustRightInd w:val="0"/>
              <w:snapToGrid w:val="0"/>
              <w:spacing w:line="360" w:lineRule="auto"/>
              <w:ind w:firstLine="442" w:firstLineChars="200"/>
              <w:rPr>
                <w:b/>
                <w:color w:val="auto"/>
                <w:spacing w:val="-10"/>
                <w:sz w:val="24"/>
              </w:rPr>
            </w:pPr>
            <w:r>
              <w:rPr>
                <w:b/>
                <w:color w:val="auto"/>
                <w:spacing w:val="-10"/>
                <w:sz w:val="24"/>
              </w:rPr>
              <w:t>（2）生产废水</w:t>
            </w:r>
          </w:p>
          <w:p>
            <w:pPr>
              <w:adjustRightInd w:val="0"/>
              <w:snapToGrid w:val="0"/>
              <w:spacing w:line="360" w:lineRule="auto"/>
              <w:ind w:firstLine="440" w:firstLineChars="200"/>
              <w:rPr>
                <w:bCs/>
                <w:color w:val="auto"/>
                <w:spacing w:val="-10"/>
                <w:sz w:val="24"/>
              </w:rPr>
            </w:pPr>
            <w:r>
              <w:rPr>
                <w:bCs/>
                <w:color w:val="auto"/>
                <w:spacing w:val="-10"/>
                <w:sz w:val="24"/>
              </w:rPr>
              <w:t>本项目生产用水</w:t>
            </w:r>
            <w:r>
              <w:rPr>
                <w:rFonts w:hint="eastAsia"/>
                <w:bCs/>
                <w:color w:val="auto"/>
                <w:spacing w:val="-10"/>
                <w:sz w:val="24"/>
              </w:rPr>
              <w:t>主要为</w:t>
            </w:r>
            <w:r>
              <w:rPr>
                <w:bCs/>
                <w:color w:val="auto"/>
                <w:spacing w:val="-10"/>
                <w:sz w:val="24"/>
              </w:rPr>
              <w:t>喷淋装置用水。</w:t>
            </w:r>
          </w:p>
          <w:p>
            <w:pPr>
              <w:adjustRightInd w:val="0"/>
              <w:snapToGrid w:val="0"/>
              <w:spacing w:line="360" w:lineRule="auto"/>
              <w:ind w:firstLine="440" w:firstLineChars="200"/>
              <w:rPr>
                <w:bCs/>
                <w:color w:val="auto"/>
                <w:spacing w:val="-10"/>
                <w:sz w:val="24"/>
                <w:lang w:val="zh-CN"/>
              </w:rPr>
            </w:pPr>
            <w:r>
              <w:rPr>
                <w:bCs/>
                <w:color w:val="auto"/>
                <w:spacing w:val="-10"/>
                <w:sz w:val="24"/>
              </w:rPr>
              <w:t>根据建设单位提供的资料，本项目全厂拟设置</w:t>
            </w:r>
            <w:r>
              <w:rPr>
                <w:rFonts w:hint="eastAsia"/>
                <w:bCs/>
                <w:color w:val="auto"/>
                <w:spacing w:val="-10"/>
                <w:sz w:val="24"/>
              </w:rPr>
              <w:t>12</w:t>
            </w:r>
            <w:r>
              <w:rPr>
                <w:bCs/>
                <w:color w:val="auto"/>
                <w:spacing w:val="-10"/>
                <w:sz w:val="24"/>
              </w:rPr>
              <w:t>个喷淋装置，拟选用流量为30L/min的喷淋装置进行抑尘降尘。根据本项目的实际生产情况，喷淋装置每15min运行1次，每次运行1min，则本项目喷淋装置用水量为</w:t>
            </w:r>
            <w:r>
              <w:rPr>
                <w:rFonts w:hint="eastAsia"/>
                <w:bCs/>
                <w:color w:val="auto"/>
                <w:spacing w:val="-10"/>
                <w:sz w:val="24"/>
              </w:rPr>
              <w:t>23.04</w:t>
            </w:r>
            <w:r>
              <w:rPr>
                <w:bCs/>
                <w:color w:val="auto"/>
                <w:spacing w:val="-10"/>
                <w:sz w:val="24"/>
              </w:rPr>
              <w:t>m</w:t>
            </w:r>
            <w:r>
              <w:rPr>
                <w:bCs/>
                <w:color w:val="auto"/>
                <w:spacing w:val="-10"/>
                <w:sz w:val="24"/>
                <w:vertAlign w:val="superscript"/>
              </w:rPr>
              <w:t>3</w:t>
            </w:r>
            <w:r>
              <w:rPr>
                <w:bCs/>
                <w:color w:val="auto"/>
                <w:spacing w:val="-10"/>
                <w:sz w:val="24"/>
              </w:rPr>
              <w:t>/d、</w:t>
            </w:r>
            <w:r>
              <w:rPr>
                <w:rFonts w:hint="eastAsia"/>
                <w:bCs/>
                <w:color w:val="auto"/>
                <w:spacing w:val="-10"/>
                <w:sz w:val="24"/>
              </w:rPr>
              <w:t>6912</w:t>
            </w:r>
            <w:r>
              <w:rPr>
                <w:bCs/>
                <w:color w:val="auto"/>
                <w:spacing w:val="-10"/>
                <w:sz w:val="24"/>
              </w:rPr>
              <w:t>m</w:t>
            </w:r>
            <w:r>
              <w:rPr>
                <w:bCs/>
                <w:color w:val="auto"/>
                <w:spacing w:val="-10"/>
                <w:sz w:val="24"/>
                <w:vertAlign w:val="superscript"/>
              </w:rPr>
              <w:t>3</w:t>
            </w:r>
            <w:r>
              <w:rPr>
                <w:bCs/>
                <w:color w:val="auto"/>
                <w:spacing w:val="-10"/>
                <w:sz w:val="24"/>
              </w:rPr>
              <w:t>/a。本项目喷淋装置</w:t>
            </w:r>
            <w:r>
              <w:rPr>
                <w:bCs/>
                <w:color w:val="auto"/>
                <w:spacing w:val="-10"/>
                <w:sz w:val="24"/>
                <w:lang w:val="zh-CN"/>
              </w:rPr>
              <w:t>用水</w:t>
            </w:r>
            <w:r>
              <w:rPr>
                <w:bCs/>
                <w:color w:val="auto"/>
                <w:spacing w:val="-10"/>
                <w:sz w:val="24"/>
              </w:rPr>
              <w:t>少</w:t>
            </w:r>
            <w:r>
              <w:rPr>
                <w:bCs/>
                <w:color w:val="auto"/>
                <w:spacing w:val="-10"/>
                <w:sz w:val="24"/>
                <w:lang w:val="zh-CN"/>
              </w:rPr>
              <w:t>部分</w:t>
            </w:r>
            <w:r>
              <w:rPr>
                <w:bCs/>
                <w:color w:val="auto"/>
                <w:spacing w:val="-10"/>
                <w:sz w:val="24"/>
              </w:rPr>
              <w:t>附着在</w:t>
            </w:r>
            <w:r>
              <w:rPr>
                <w:bCs/>
                <w:color w:val="auto"/>
                <w:spacing w:val="-10"/>
                <w:sz w:val="24"/>
                <w:lang w:val="zh-CN"/>
              </w:rPr>
              <w:t>原料</w:t>
            </w:r>
            <w:r>
              <w:rPr>
                <w:bCs/>
                <w:color w:val="auto"/>
                <w:spacing w:val="-10"/>
                <w:sz w:val="24"/>
              </w:rPr>
              <w:t>表面</w:t>
            </w:r>
            <w:r>
              <w:rPr>
                <w:bCs/>
                <w:color w:val="auto"/>
                <w:spacing w:val="-10"/>
                <w:sz w:val="24"/>
                <w:lang w:val="zh-CN"/>
              </w:rPr>
              <w:t>，</w:t>
            </w:r>
            <w:r>
              <w:rPr>
                <w:bCs/>
                <w:color w:val="auto"/>
                <w:spacing w:val="-10"/>
                <w:sz w:val="24"/>
              </w:rPr>
              <w:t>其余部分均</w:t>
            </w:r>
            <w:r>
              <w:rPr>
                <w:bCs/>
                <w:color w:val="auto"/>
                <w:spacing w:val="-10"/>
                <w:sz w:val="24"/>
                <w:lang w:val="zh-CN"/>
              </w:rPr>
              <w:t>蒸发</w:t>
            </w:r>
            <w:r>
              <w:rPr>
                <w:bCs/>
                <w:color w:val="auto"/>
                <w:spacing w:val="-10"/>
                <w:sz w:val="24"/>
              </w:rPr>
              <w:t>消耗</w:t>
            </w:r>
            <w:r>
              <w:rPr>
                <w:bCs/>
                <w:color w:val="auto"/>
                <w:spacing w:val="-10"/>
                <w:sz w:val="24"/>
                <w:lang w:val="zh-CN"/>
              </w:rPr>
              <w:t>，无废水产生。</w:t>
            </w:r>
          </w:p>
          <w:p>
            <w:pPr>
              <w:adjustRightInd w:val="0"/>
              <w:snapToGrid w:val="0"/>
              <w:spacing w:line="360" w:lineRule="auto"/>
              <w:ind w:firstLine="442" w:firstLineChars="200"/>
              <w:rPr>
                <w:b/>
                <w:color w:val="auto"/>
                <w:spacing w:val="-10"/>
                <w:sz w:val="24"/>
              </w:rPr>
            </w:pPr>
            <w:r>
              <w:rPr>
                <w:b/>
                <w:color w:val="auto"/>
                <w:spacing w:val="-10"/>
                <w:sz w:val="24"/>
              </w:rPr>
              <w:t>（3）初期雨水</w:t>
            </w:r>
          </w:p>
          <w:p>
            <w:pPr>
              <w:adjustRightInd w:val="0"/>
              <w:snapToGrid w:val="0"/>
              <w:spacing w:line="360" w:lineRule="auto"/>
              <w:ind w:firstLine="440" w:firstLineChars="200"/>
              <w:rPr>
                <w:bCs/>
                <w:color w:val="auto"/>
                <w:spacing w:val="-10"/>
                <w:sz w:val="24"/>
              </w:rPr>
            </w:pPr>
            <w:r>
              <w:rPr>
                <w:bCs/>
                <w:color w:val="auto"/>
                <w:spacing w:val="-10"/>
                <w:sz w:val="24"/>
              </w:rPr>
              <w:t>初期雨水主要污染物为</w:t>
            </w:r>
            <w:r>
              <w:rPr>
                <w:rFonts w:hint="eastAsia"/>
                <w:bCs/>
                <w:color w:val="auto"/>
                <w:spacing w:val="-10"/>
                <w:sz w:val="24"/>
              </w:rPr>
              <w:t>pH值、</w:t>
            </w:r>
            <w:r>
              <w:rPr>
                <w:bCs/>
                <w:color w:val="auto"/>
                <w:spacing w:val="-10"/>
                <w:sz w:val="24"/>
              </w:rPr>
              <w:t>SS</w:t>
            </w:r>
            <w:r>
              <w:rPr>
                <w:rFonts w:hint="eastAsia"/>
                <w:bCs/>
                <w:color w:val="auto"/>
                <w:spacing w:val="-10"/>
                <w:sz w:val="24"/>
              </w:rPr>
              <w:t>、石油类</w:t>
            </w:r>
            <w:r>
              <w:rPr>
                <w:bCs/>
                <w:color w:val="auto"/>
                <w:spacing w:val="-10"/>
                <w:sz w:val="24"/>
              </w:rPr>
              <w:t>，经</w:t>
            </w:r>
            <w:r>
              <w:rPr>
                <w:rFonts w:hint="eastAsia"/>
                <w:bCs/>
                <w:color w:val="auto"/>
                <w:spacing w:val="-10"/>
                <w:sz w:val="24"/>
              </w:rPr>
              <w:t>隔油池隔油处理、</w:t>
            </w:r>
            <w:r>
              <w:rPr>
                <w:bCs/>
                <w:color w:val="auto"/>
                <w:spacing w:val="-10"/>
                <w:sz w:val="24"/>
              </w:rPr>
              <w:t>沉淀池沉淀处理后</w:t>
            </w:r>
            <w:r>
              <w:rPr>
                <w:rFonts w:hint="eastAsia"/>
                <w:bCs/>
                <w:color w:val="auto"/>
                <w:spacing w:val="-10"/>
                <w:sz w:val="24"/>
              </w:rPr>
              <w:t>部分</w:t>
            </w:r>
            <w:r>
              <w:rPr>
                <w:bCs/>
                <w:color w:val="auto"/>
                <w:spacing w:val="-10"/>
                <w:sz w:val="24"/>
              </w:rPr>
              <w:t>作为喷淋装置洒水抑尘用水，不外排。</w:t>
            </w:r>
          </w:p>
          <w:p>
            <w:pPr>
              <w:spacing w:line="360" w:lineRule="auto"/>
              <w:ind w:firstLine="480" w:firstLineChars="200"/>
              <w:rPr>
                <w:color w:val="auto"/>
                <w:sz w:val="24"/>
              </w:rPr>
            </w:pPr>
            <w:r>
              <w:rPr>
                <w:color w:val="auto"/>
                <w:sz w:val="24"/>
              </w:rPr>
              <w:t>本项目全年雨水量计算公式如下：</w:t>
            </w:r>
          </w:p>
          <w:p>
            <w:pPr>
              <w:spacing w:line="360" w:lineRule="auto"/>
              <w:ind w:firstLine="480" w:firstLineChars="200"/>
              <w:jc w:val="center"/>
              <w:rPr>
                <w:color w:val="auto"/>
                <w:sz w:val="24"/>
              </w:rPr>
            </w:pPr>
            <w:r>
              <w:rPr>
                <w:color w:val="auto"/>
                <w:position w:val="-10"/>
                <w:sz w:val="24"/>
              </w:rPr>
              <w:object>
                <v:shape id="_x0000_i1028" o:spt="75" type="#_x0000_t75" style="height:27.05pt;width:159.45pt;" o:ole="t" filled="f" o:preferrelative="t" stroked="f" coordsize="21600,21600">
                  <v:path/>
                  <v:fill on="f" focussize="0,0"/>
                  <v:stroke on="f"/>
                  <v:imagedata r:id="rId15" croptop="5033f" o:title=""/>
                  <o:lock v:ext="edit" aspectratio="t"/>
                  <w10:wrap type="none"/>
                  <w10:anchorlock/>
                </v:shape>
                <o:OLEObject Type="Embed" ProgID="Equation.KSEE3" ShapeID="_x0000_i1028" DrawAspect="Content" ObjectID="_1468075728" r:id="rId14">
                  <o:LockedField>false</o:LockedField>
                </o:OLEObject>
              </w:object>
            </w:r>
          </w:p>
          <w:p>
            <w:pPr>
              <w:spacing w:line="360" w:lineRule="auto"/>
              <w:ind w:firstLine="480" w:firstLineChars="200"/>
              <w:rPr>
                <w:color w:val="auto"/>
                <w:sz w:val="24"/>
              </w:rPr>
            </w:pPr>
            <w:r>
              <w:rPr>
                <w:color w:val="auto"/>
                <w:sz w:val="24"/>
              </w:rPr>
              <w:t>式中：Q--雨水产生量，m</w:t>
            </w:r>
            <w:r>
              <w:rPr>
                <w:color w:val="auto"/>
                <w:sz w:val="24"/>
                <w:vertAlign w:val="superscript"/>
              </w:rPr>
              <w:t>3</w:t>
            </w:r>
            <w:r>
              <w:rPr>
                <w:color w:val="auto"/>
                <w:sz w:val="24"/>
              </w:rPr>
              <w:t>/a；</w:t>
            </w:r>
          </w:p>
          <w:p>
            <w:pPr>
              <w:spacing w:line="360" w:lineRule="auto"/>
              <w:ind w:firstLine="1200" w:firstLineChars="500"/>
              <w:rPr>
                <w:color w:val="auto"/>
                <w:sz w:val="24"/>
              </w:rPr>
            </w:pPr>
            <w:r>
              <w:rPr>
                <w:color w:val="auto"/>
                <w:sz w:val="24"/>
              </w:rPr>
              <w:t>F--年降雨量，mm，取</w:t>
            </w:r>
            <w:r>
              <w:rPr>
                <w:rFonts w:hint="eastAsia"/>
                <w:color w:val="auto"/>
                <w:sz w:val="24"/>
              </w:rPr>
              <w:t>宁都县</w:t>
            </w:r>
            <w:r>
              <w:rPr>
                <w:color w:val="auto"/>
                <w:sz w:val="24"/>
              </w:rPr>
              <w:t>年平均降雨量</w:t>
            </w:r>
            <w:r>
              <w:rPr>
                <w:rFonts w:hint="eastAsia"/>
                <w:color w:val="auto"/>
                <w:sz w:val="24"/>
              </w:rPr>
              <w:t>1706</w:t>
            </w:r>
            <w:r>
              <w:rPr>
                <w:color w:val="auto"/>
                <w:sz w:val="24"/>
              </w:rPr>
              <w:t>mm；</w:t>
            </w:r>
          </w:p>
          <w:p>
            <w:pPr>
              <w:spacing w:line="360" w:lineRule="auto"/>
              <w:ind w:firstLine="1200" w:firstLineChars="500"/>
              <w:rPr>
                <w:color w:val="auto"/>
                <w:sz w:val="24"/>
              </w:rPr>
            </w:pPr>
            <w:r>
              <w:rPr>
                <w:color w:val="auto"/>
                <w:sz w:val="24"/>
              </w:rPr>
              <w:t>S--汇水面积，m</w:t>
            </w:r>
            <w:r>
              <w:rPr>
                <w:color w:val="auto"/>
                <w:sz w:val="24"/>
                <w:vertAlign w:val="superscript"/>
              </w:rPr>
              <w:t>2</w:t>
            </w:r>
            <w:r>
              <w:rPr>
                <w:color w:val="auto"/>
                <w:sz w:val="24"/>
              </w:rPr>
              <w:t>，本次评价汇水面积</w:t>
            </w:r>
            <w:r>
              <w:rPr>
                <w:bCs/>
                <w:color w:val="auto"/>
                <w:spacing w:val="-10"/>
                <w:sz w:val="24"/>
              </w:rPr>
              <w:t>按</w:t>
            </w:r>
            <w:r>
              <w:rPr>
                <w:rFonts w:hint="eastAsia"/>
                <w:bCs/>
                <w:color w:val="auto"/>
                <w:spacing w:val="-10"/>
                <w:sz w:val="24"/>
              </w:rPr>
              <w:t>6666.67</w:t>
            </w:r>
            <w:r>
              <w:rPr>
                <w:bCs/>
                <w:color w:val="auto"/>
                <w:spacing w:val="-10"/>
                <w:sz w:val="24"/>
                <w:lang w:val="zh-CN"/>
              </w:rPr>
              <w:t>m</w:t>
            </w:r>
            <w:r>
              <w:rPr>
                <w:bCs/>
                <w:color w:val="auto"/>
                <w:spacing w:val="-10"/>
                <w:sz w:val="24"/>
                <w:vertAlign w:val="superscript"/>
                <w:lang w:val="zh-CN"/>
              </w:rPr>
              <w:t>2</w:t>
            </w:r>
            <w:r>
              <w:rPr>
                <w:bCs/>
                <w:color w:val="auto"/>
                <w:spacing w:val="-10"/>
                <w:sz w:val="24"/>
              </w:rPr>
              <w:t>计</w:t>
            </w:r>
            <w:r>
              <w:rPr>
                <w:color w:val="auto"/>
                <w:sz w:val="24"/>
              </w:rPr>
              <w:t>；</w:t>
            </w:r>
          </w:p>
          <w:p>
            <w:pPr>
              <w:spacing w:line="360" w:lineRule="auto"/>
              <w:ind w:firstLine="1200" w:firstLineChars="500"/>
              <w:rPr>
                <w:color w:val="auto"/>
                <w:sz w:val="24"/>
              </w:rPr>
            </w:pPr>
            <w:r>
              <w:rPr>
                <w:color w:val="auto"/>
                <w:sz w:val="24"/>
              </w:rPr>
              <w:t>Φ--地表径流系数，无量纲，本项目厂区主要为混凝土地面，取经验值0.</w:t>
            </w:r>
            <w:r>
              <w:rPr>
                <w:rFonts w:hint="eastAsia"/>
                <w:color w:val="auto"/>
                <w:sz w:val="24"/>
              </w:rPr>
              <w:t>6</w:t>
            </w:r>
            <w:r>
              <w:rPr>
                <w:color w:val="auto"/>
                <w:sz w:val="24"/>
              </w:rPr>
              <w:t>。</w:t>
            </w:r>
          </w:p>
          <w:p>
            <w:pPr>
              <w:adjustRightInd w:val="0"/>
              <w:snapToGrid w:val="0"/>
              <w:spacing w:line="360" w:lineRule="auto"/>
              <w:ind w:firstLine="480" w:firstLineChars="200"/>
              <w:rPr>
                <w:color w:val="auto"/>
                <w:sz w:val="24"/>
              </w:rPr>
            </w:pPr>
            <w:r>
              <w:rPr>
                <w:color w:val="auto"/>
                <w:sz w:val="24"/>
              </w:rPr>
              <w:t>经计算，项目全年降水量Q=</w:t>
            </w:r>
            <w:r>
              <w:rPr>
                <w:rFonts w:hint="eastAsia"/>
                <w:color w:val="auto"/>
                <w:sz w:val="24"/>
              </w:rPr>
              <w:t>6824</w:t>
            </w:r>
            <w:r>
              <w:rPr>
                <w:color w:val="auto"/>
                <w:sz w:val="24"/>
              </w:rPr>
              <w:t>m</w:t>
            </w:r>
            <w:r>
              <w:rPr>
                <w:color w:val="auto"/>
                <w:sz w:val="24"/>
                <w:vertAlign w:val="superscript"/>
              </w:rPr>
              <w:t>3</w:t>
            </w:r>
            <w:r>
              <w:rPr>
                <w:color w:val="auto"/>
                <w:sz w:val="24"/>
              </w:rPr>
              <w:t>/a。</w:t>
            </w:r>
          </w:p>
          <w:p>
            <w:pPr>
              <w:adjustRightInd w:val="0"/>
              <w:snapToGrid w:val="0"/>
              <w:spacing w:line="360" w:lineRule="auto"/>
              <w:ind w:firstLine="482" w:firstLineChars="200"/>
              <w:rPr>
                <w:b/>
                <w:bCs/>
                <w:color w:val="auto"/>
                <w:spacing w:val="-10"/>
                <w:sz w:val="24"/>
                <w:u w:val="single"/>
              </w:rPr>
            </w:pPr>
            <w:r>
              <w:rPr>
                <w:b/>
                <w:bCs/>
                <w:color w:val="auto"/>
                <w:sz w:val="24"/>
                <w:u w:val="single"/>
              </w:rPr>
              <w:t>项目初期雨水收集沉淀后回用的可行性：</w:t>
            </w:r>
          </w:p>
          <w:p>
            <w:pPr>
              <w:adjustRightInd w:val="0"/>
              <w:snapToGrid w:val="0"/>
              <w:spacing w:line="360" w:lineRule="auto"/>
              <w:ind w:firstLine="440" w:firstLineChars="200"/>
              <w:rPr>
                <w:bCs/>
                <w:color w:val="auto"/>
                <w:spacing w:val="-10"/>
                <w:sz w:val="24"/>
              </w:rPr>
            </w:pPr>
            <w:r>
              <w:rPr>
                <w:bCs/>
                <w:color w:val="auto"/>
                <w:spacing w:val="-10"/>
                <w:sz w:val="24"/>
              </w:rPr>
              <w:t>根据前文核算可知，初期雨水产生量为</w:t>
            </w:r>
            <w:r>
              <w:rPr>
                <w:rFonts w:hint="eastAsia"/>
                <w:bCs/>
                <w:color w:val="auto"/>
                <w:spacing w:val="-10"/>
                <w:sz w:val="24"/>
              </w:rPr>
              <w:t>6824</w:t>
            </w:r>
            <w:r>
              <w:rPr>
                <w:bCs/>
                <w:color w:val="auto"/>
                <w:spacing w:val="-10"/>
                <w:sz w:val="24"/>
              </w:rPr>
              <w:t>m</w:t>
            </w:r>
            <w:r>
              <w:rPr>
                <w:bCs/>
                <w:color w:val="auto"/>
                <w:spacing w:val="-10"/>
                <w:sz w:val="24"/>
                <w:vertAlign w:val="superscript"/>
              </w:rPr>
              <w:t>3</w:t>
            </w:r>
            <w:r>
              <w:rPr>
                <w:bCs/>
                <w:color w:val="auto"/>
                <w:spacing w:val="-10"/>
                <w:sz w:val="24"/>
              </w:rPr>
              <w:t>/a，喷淋装置洒水抑尘用水为</w:t>
            </w:r>
            <w:r>
              <w:rPr>
                <w:rFonts w:hint="eastAsia"/>
                <w:bCs/>
                <w:color w:val="auto"/>
                <w:spacing w:val="-10"/>
                <w:sz w:val="24"/>
              </w:rPr>
              <w:t>6912</w:t>
            </w:r>
            <w:r>
              <w:rPr>
                <w:color w:val="auto"/>
              </w:rPr>
              <w:t>m</w:t>
            </w:r>
            <w:r>
              <w:rPr>
                <w:color w:val="auto"/>
                <w:vertAlign w:val="superscript"/>
              </w:rPr>
              <w:t>3</w:t>
            </w:r>
            <w:r>
              <w:rPr>
                <w:bCs/>
                <w:color w:val="auto"/>
                <w:spacing w:val="-10"/>
                <w:sz w:val="24"/>
              </w:rPr>
              <w:t>/a，</w:t>
            </w:r>
            <w:r>
              <w:rPr>
                <w:rFonts w:hint="eastAsia"/>
                <w:bCs/>
                <w:color w:val="auto"/>
                <w:spacing w:val="-10"/>
                <w:sz w:val="24"/>
              </w:rPr>
              <w:t>即喷淋装置用水量大于</w:t>
            </w:r>
            <w:r>
              <w:rPr>
                <w:bCs/>
                <w:color w:val="auto"/>
                <w:spacing w:val="-10"/>
                <w:sz w:val="24"/>
              </w:rPr>
              <w:t>初期雨水产生量，因此，从水量角度看，回用也是可行的。</w:t>
            </w:r>
          </w:p>
          <w:p>
            <w:pPr>
              <w:adjustRightInd w:val="0"/>
              <w:snapToGrid w:val="0"/>
              <w:spacing w:line="360" w:lineRule="auto"/>
              <w:ind w:firstLine="442" w:firstLineChars="200"/>
              <w:rPr>
                <w:b/>
                <w:color w:val="auto"/>
                <w:spacing w:val="-10"/>
                <w:sz w:val="24"/>
              </w:rPr>
            </w:pPr>
            <w:r>
              <w:rPr>
                <w:b/>
                <w:color w:val="auto"/>
                <w:spacing w:val="-10"/>
                <w:sz w:val="24"/>
              </w:rPr>
              <w:t>4.排放口基本情况</w:t>
            </w:r>
          </w:p>
          <w:p>
            <w:pPr>
              <w:adjustRightInd w:val="0"/>
              <w:snapToGrid w:val="0"/>
              <w:spacing w:line="360" w:lineRule="auto"/>
              <w:ind w:firstLine="440" w:firstLineChars="200"/>
              <w:rPr>
                <w:bCs/>
                <w:color w:val="auto"/>
                <w:spacing w:val="-10"/>
                <w:sz w:val="24"/>
              </w:rPr>
            </w:pPr>
            <w:r>
              <w:rPr>
                <w:bCs/>
                <w:color w:val="auto"/>
                <w:spacing w:val="-10"/>
                <w:sz w:val="24"/>
              </w:rPr>
              <w:t>本项目不设废水排放口。</w:t>
            </w:r>
          </w:p>
          <w:p>
            <w:pPr>
              <w:adjustRightInd w:val="0"/>
              <w:snapToGrid w:val="0"/>
              <w:spacing w:line="360" w:lineRule="auto"/>
              <w:ind w:firstLine="442" w:firstLineChars="200"/>
              <w:rPr>
                <w:b/>
                <w:color w:val="auto"/>
                <w:spacing w:val="-10"/>
                <w:sz w:val="24"/>
              </w:rPr>
            </w:pPr>
            <w:r>
              <w:rPr>
                <w:b/>
                <w:color w:val="auto"/>
                <w:spacing w:val="-10"/>
                <w:sz w:val="24"/>
              </w:rPr>
              <w:t>5.废水监测要求</w:t>
            </w:r>
          </w:p>
          <w:p>
            <w:pPr>
              <w:adjustRightInd w:val="0"/>
              <w:snapToGrid w:val="0"/>
              <w:spacing w:line="360" w:lineRule="auto"/>
              <w:ind w:firstLine="440" w:firstLineChars="200"/>
              <w:rPr>
                <w:bCs/>
                <w:color w:val="auto"/>
                <w:spacing w:val="-10"/>
                <w:sz w:val="24"/>
              </w:rPr>
            </w:pPr>
            <w:r>
              <w:rPr>
                <w:bCs/>
                <w:color w:val="auto"/>
                <w:spacing w:val="-10"/>
                <w:sz w:val="24"/>
              </w:rPr>
              <w:t>根据</w:t>
            </w:r>
            <w:r>
              <w:rPr>
                <w:rFonts w:hint="eastAsia"/>
                <w:bCs/>
                <w:color w:val="auto"/>
                <w:spacing w:val="-10"/>
                <w:sz w:val="24"/>
              </w:rPr>
              <w:t>本</w:t>
            </w:r>
            <w:r>
              <w:rPr>
                <w:bCs/>
                <w:color w:val="auto"/>
                <w:spacing w:val="-10"/>
                <w:sz w:val="24"/>
              </w:rPr>
              <w:t>项目所属行业、所采用的生产工艺及所使用的原辅材料和设备设施，对照《固定污染源排污许可分类管理名录》（2019年版），进行</w:t>
            </w:r>
            <w:r>
              <w:rPr>
                <w:rFonts w:hint="eastAsia"/>
                <w:bCs/>
                <w:color w:val="auto"/>
                <w:spacing w:val="-10"/>
                <w:sz w:val="24"/>
              </w:rPr>
              <w:t>简化</w:t>
            </w:r>
            <w:r>
              <w:rPr>
                <w:bCs/>
                <w:color w:val="auto"/>
                <w:spacing w:val="-10"/>
                <w:sz w:val="24"/>
              </w:rPr>
              <w:t>管理申报</w:t>
            </w:r>
            <w:r>
              <w:rPr>
                <w:rFonts w:hint="eastAsia"/>
                <w:bCs/>
                <w:color w:val="auto"/>
                <w:spacing w:val="-10"/>
                <w:sz w:val="24"/>
              </w:rPr>
              <w:t>；对照《排污许可证申请与核发技术规范 石墨及其他非金属矿物制品制造》（HJ1119-2020），</w:t>
            </w:r>
            <w:r>
              <w:rPr>
                <w:bCs/>
                <w:color w:val="auto"/>
                <w:spacing w:val="-10"/>
                <w:sz w:val="24"/>
              </w:rPr>
              <w:t>本项目不设废水排放口</w:t>
            </w:r>
            <w:r>
              <w:rPr>
                <w:rFonts w:hint="eastAsia"/>
                <w:bCs/>
                <w:color w:val="auto"/>
                <w:spacing w:val="-10"/>
                <w:sz w:val="24"/>
              </w:rPr>
              <w:t>，</w:t>
            </w:r>
            <w:r>
              <w:rPr>
                <w:bCs/>
                <w:color w:val="auto"/>
                <w:spacing w:val="-10"/>
                <w:sz w:val="24"/>
              </w:rPr>
              <w:t>无需开展</w:t>
            </w:r>
            <w:r>
              <w:rPr>
                <w:rFonts w:hint="eastAsia"/>
                <w:bCs/>
                <w:color w:val="auto"/>
                <w:spacing w:val="-10"/>
                <w:sz w:val="24"/>
              </w:rPr>
              <w:t>废水</w:t>
            </w:r>
            <w:r>
              <w:rPr>
                <w:bCs/>
                <w:color w:val="auto"/>
                <w:spacing w:val="-10"/>
                <w:sz w:val="24"/>
              </w:rPr>
              <w:t>自行监测。</w:t>
            </w:r>
          </w:p>
          <w:p>
            <w:pPr>
              <w:adjustRightInd w:val="0"/>
              <w:snapToGrid w:val="0"/>
              <w:spacing w:line="360" w:lineRule="auto"/>
              <w:ind w:firstLine="442" w:firstLineChars="200"/>
              <w:rPr>
                <w:b/>
                <w:color w:val="auto"/>
                <w:spacing w:val="-10"/>
                <w:sz w:val="24"/>
              </w:rPr>
            </w:pPr>
            <w:r>
              <w:rPr>
                <w:b/>
                <w:color w:val="auto"/>
                <w:spacing w:val="-10"/>
                <w:sz w:val="24"/>
              </w:rPr>
              <w:t>（三）噪声</w:t>
            </w:r>
          </w:p>
          <w:p>
            <w:pPr>
              <w:topLinePunct/>
              <w:snapToGrid w:val="0"/>
              <w:spacing w:line="360" w:lineRule="auto"/>
              <w:ind w:firstLine="482" w:firstLineChars="200"/>
              <w:rPr>
                <w:b/>
                <w:bCs/>
                <w:color w:val="auto"/>
                <w:kern w:val="0"/>
                <w:sz w:val="24"/>
              </w:rPr>
            </w:pPr>
            <w:r>
              <w:rPr>
                <w:b/>
                <w:bCs/>
                <w:color w:val="auto"/>
                <w:kern w:val="0"/>
                <w:sz w:val="24"/>
              </w:rPr>
              <w:t>1.噪声排放源情况</w:t>
            </w:r>
          </w:p>
          <w:p>
            <w:pPr>
              <w:topLinePunct/>
              <w:snapToGrid w:val="0"/>
              <w:jc w:val="center"/>
              <w:rPr>
                <w:b/>
                <w:bCs/>
                <w:color w:val="auto"/>
                <w:kern w:val="0"/>
                <w:sz w:val="24"/>
              </w:rPr>
            </w:pPr>
            <w:r>
              <w:rPr>
                <w:b/>
                <w:bCs/>
                <w:color w:val="auto"/>
                <w:kern w:val="0"/>
                <w:sz w:val="24"/>
              </w:rPr>
              <w:t>表4-8 本项目噪声排放源情况表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168"/>
              <w:gridCol w:w="1594"/>
              <w:gridCol w:w="2359"/>
              <w:gridCol w:w="887"/>
              <w:gridCol w:w="887"/>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noWrap w:val="0"/>
                  <w:vAlign w:val="center"/>
                </w:tcPr>
                <w:p>
                  <w:pPr>
                    <w:topLinePunct/>
                    <w:snapToGrid w:val="0"/>
                    <w:jc w:val="center"/>
                    <w:rPr>
                      <w:b/>
                      <w:bCs/>
                      <w:color w:val="auto"/>
                      <w:szCs w:val="21"/>
                    </w:rPr>
                  </w:pPr>
                  <w:r>
                    <w:rPr>
                      <w:b/>
                      <w:bCs/>
                      <w:color w:val="auto"/>
                      <w:szCs w:val="21"/>
                    </w:rPr>
                    <w:t>噪声源</w:t>
                  </w:r>
                </w:p>
              </w:tc>
              <w:tc>
                <w:tcPr>
                  <w:tcW w:w="2162" w:type="dxa"/>
                  <w:noWrap w:val="0"/>
                  <w:vAlign w:val="center"/>
                </w:tcPr>
                <w:p>
                  <w:pPr>
                    <w:topLinePunct/>
                    <w:snapToGrid w:val="0"/>
                    <w:jc w:val="center"/>
                    <w:rPr>
                      <w:b/>
                      <w:bCs/>
                      <w:color w:val="auto"/>
                      <w:szCs w:val="21"/>
                    </w:rPr>
                  </w:pPr>
                  <w:r>
                    <w:rPr>
                      <w:b/>
                      <w:bCs/>
                      <w:color w:val="auto"/>
                      <w:szCs w:val="21"/>
                    </w:rPr>
                    <w:t>噪声设备</w:t>
                  </w:r>
                </w:p>
              </w:tc>
              <w:tc>
                <w:tcPr>
                  <w:tcW w:w="1590" w:type="dxa"/>
                  <w:noWrap w:val="0"/>
                  <w:vAlign w:val="center"/>
                </w:tcPr>
                <w:p>
                  <w:pPr>
                    <w:topLinePunct/>
                    <w:snapToGrid w:val="0"/>
                    <w:jc w:val="center"/>
                    <w:rPr>
                      <w:b/>
                      <w:bCs/>
                      <w:color w:val="auto"/>
                      <w:szCs w:val="21"/>
                    </w:rPr>
                  </w:pPr>
                  <w:r>
                    <w:rPr>
                      <w:b/>
                      <w:bCs/>
                      <w:color w:val="auto"/>
                      <w:szCs w:val="21"/>
                    </w:rPr>
                    <w:t>距声源1m处声压级/dB(A)</w:t>
                  </w:r>
                </w:p>
              </w:tc>
              <w:tc>
                <w:tcPr>
                  <w:tcW w:w="2353" w:type="dxa"/>
                  <w:noWrap w:val="0"/>
                  <w:vAlign w:val="center"/>
                </w:tcPr>
                <w:p>
                  <w:pPr>
                    <w:topLinePunct/>
                    <w:snapToGrid w:val="0"/>
                    <w:jc w:val="center"/>
                    <w:rPr>
                      <w:b/>
                      <w:bCs/>
                      <w:color w:val="auto"/>
                      <w:szCs w:val="21"/>
                    </w:rPr>
                  </w:pPr>
                  <w:r>
                    <w:rPr>
                      <w:b/>
                      <w:bCs/>
                      <w:color w:val="auto"/>
                      <w:szCs w:val="21"/>
                    </w:rPr>
                    <w:t>降噪措施</w:t>
                  </w:r>
                </w:p>
              </w:tc>
              <w:tc>
                <w:tcPr>
                  <w:tcW w:w="885" w:type="dxa"/>
                  <w:noWrap w:val="0"/>
                  <w:vAlign w:val="center"/>
                </w:tcPr>
                <w:p>
                  <w:pPr>
                    <w:topLinePunct/>
                    <w:snapToGrid w:val="0"/>
                    <w:jc w:val="center"/>
                    <w:rPr>
                      <w:b/>
                      <w:bCs/>
                      <w:color w:val="auto"/>
                      <w:szCs w:val="21"/>
                    </w:rPr>
                  </w:pPr>
                  <w:r>
                    <w:rPr>
                      <w:b/>
                      <w:bCs/>
                      <w:color w:val="auto"/>
                      <w:szCs w:val="21"/>
                    </w:rPr>
                    <w:t>降噪</w:t>
                  </w:r>
                </w:p>
                <w:p>
                  <w:pPr>
                    <w:topLinePunct/>
                    <w:snapToGrid w:val="0"/>
                    <w:jc w:val="center"/>
                    <w:rPr>
                      <w:b/>
                      <w:bCs/>
                      <w:color w:val="auto"/>
                      <w:szCs w:val="21"/>
                    </w:rPr>
                  </w:pPr>
                  <w:r>
                    <w:rPr>
                      <w:b/>
                      <w:bCs/>
                      <w:color w:val="auto"/>
                      <w:szCs w:val="21"/>
                    </w:rPr>
                    <w:t>效果</w:t>
                  </w:r>
                </w:p>
                <w:p>
                  <w:pPr>
                    <w:topLinePunct/>
                    <w:snapToGrid w:val="0"/>
                    <w:jc w:val="center"/>
                    <w:rPr>
                      <w:b/>
                      <w:bCs/>
                      <w:color w:val="auto"/>
                      <w:szCs w:val="21"/>
                    </w:rPr>
                  </w:pPr>
                  <w:r>
                    <w:rPr>
                      <w:b/>
                      <w:bCs/>
                      <w:color w:val="auto"/>
                      <w:szCs w:val="21"/>
                    </w:rPr>
                    <w:t>/dB(A)</w:t>
                  </w:r>
                </w:p>
              </w:tc>
              <w:tc>
                <w:tcPr>
                  <w:tcW w:w="885" w:type="dxa"/>
                  <w:noWrap w:val="0"/>
                  <w:vAlign w:val="center"/>
                </w:tcPr>
                <w:p>
                  <w:pPr>
                    <w:topLinePunct/>
                    <w:snapToGrid w:val="0"/>
                    <w:jc w:val="center"/>
                    <w:rPr>
                      <w:b/>
                      <w:bCs/>
                      <w:color w:val="auto"/>
                      <w:szCs w:val="21"/>
                    </w:rPr>
                  </w:pPr>
                  <w:r>
                    <w:rPr>
                      <w:b/>
                      <w:bCs/>
                      <w:color w:val="auto"/>
                      <w:szCs w:val="21"/>
                    </w:rPr>
                    <w:t>排放</w:t>
                  </w:r>
                </w:p>
                <w:p>
                  <w:pPr>
                    <w:topLinePunct/>
                    <w:snapToGrid w:val="0"/>
                    <w:jc w:val="center"/>
                    <w:rPr>
                      <w:b/>
                      <w:bCs/>
                      <w:color w:val="auto"/>
                      <w:szCs w:val="21"/>
                    </w:rPr>
                  </w:pPr>
                  <w:r>
                    <w:rPr>
                      <w:b/>
                      <w:bCs/>
                      <w:color w:val="auto"/>
                      <w:szCs w:val="21"/>
                    </w:rPr>
                    <w:t>强度/dB(A)</w:t>
                  </w:r>
                </w:p>
              </w:tc>
              <w:tc>
                <w:tcPr>
                  <w:tcW w:w="662" w:type="dxa"/>
                  <w:noWrap w:val="0"/>
                  <w:vAlign w:val="center"/>
                </w:tcPr>
                <w:p>
                  <w:pPr>
                    <w:topLinePunct/>
                    <w:snapToGrid w:val="0"/>
                    <w:jc w:val="center"/>
                    <w:rPr>
                      <w:b/>
                      <w:bCs/>
                      <w:color w:val="auto"/>
                      <w:szCs w:val="21"/>
                    </w:rPr>
                  </w:pPr>
                  <w:r>
                    <w:rPr>
                      <w:b/>
                      <w:bCs/>
                      <w:color w:val="auto"/>
                      <w:szCs w:val="21"/>
                    </w:rPr>
                    <w:t>持续时间/h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restart"/>
                  <w:noWrap w:val="0"/>
                  <w:vAlign w:val="center"/>
                </w:tcPr>
                <w:p>
                  <w:pPr>
                    <w:topLinePunct/>
                    <w:snapToGrid w:val="0"/>
                    <w:jc w:val="center"/>
                    <w:rPr>
                      <w:color w:val="auto"/>
                      <w:szCs w:val="21"/>
                    </w:rPr>
                  </w:pPr>
                  <w:r>
                    <w:rPr>
                      <w:color w:val="auto"/>
                      <w:szCs w:val="21"/>
                    </w:rPr>
                    <w:t>生产区</w:t>
                  </w:r>
                </w:p>
              </w:tc>
              <w:tc>
                <w:tcPr>
                  <w:tcW w:w="2162" w:type="dxa"/>
                  <w:noWrap w:val="0"/>
                  <w:vAlign w:val="center"/>
                </w:tcPr>
                <w:p>
                  <w:pPr>
                    <w:snapToGrid w:val="0"/>
                    <w:spacing w:line="20" w:lineRule="atLeast"/>
                    <w:jc w:val="center"/>
                    <w:rPr>
                      <w:color w:val="auto"/>
                      <w:szCs w:val="21"/>
                    </w:rPr>
                  </w:pPr>
                  <w:r>
                    <w:rPr>
                      <w:color w:val="auto"/>
                      <w:szCs w:val="21"/>
                    </w:rPr>
                    <w:t>原生料冷料系统</w:t>
                  </w:r>
                </w:p>
              </w:tc>
              <w:tc>
                <w:tcPr>
                  <w:tcW w:w="1590" w:type="dxa"/>
                  <w:noWrap w:val="0"/>
                  <w:vAlign w:val="center"/>
                </w:tcPr>
                <w:p>
                  <w:pPr>
                    <w:topLinePunct/>
                    <w:snapToGrid w:val="0"/>
                    <w:jc w:val="center"/>
                    <w:rPr>
                      <w:color w:val="auto"/>
                      <w:szCs w:val="21"/>
                    </w:rPr>
                  </w:pPr>
                  <w:r>
                    <w:rPr>
                      <w:rFonts w:hint="eastAsia"/>
                      <w:color w:val="auto"/>
                      <w:szCs w:val="21"/>
                    </w:rPr>
                    <w:t>70</w:t>
                  </w:r>
                </w:p>
              </w:tc>
              <w:tc>
                <w:tcPr>
                  <w:tcW w:w="2353" w:type="dxa"/>
                  <w:vMerge w:val="restart"/>
                  <w:noWrap w:val="0"/>
                  <w:vAlign w:val="center"/>
                </w:tcPr>
                <w:p>
                  <w:pPr>
                    <w:topLinePunct/>
                    <w:snapToGrid w:val="0"/>
                    <w:jc w:val="center"/>
                    <w:rPr>
                      <w:color w:val="auto"/>
                      <w:szCs w:val="21"/>
                    </w:rPr>
                  </w:pPr>
                  <w:r>
                    <w:rPr>
                      <w:color w:val="auto"/>
                      <w:szCs w:val="21"/>
                    </w:rPr>
                    <w:t>选用精度高、装配质量好、噪声低的设备；合理布局，利用构筑物、建筑物等来阻隔噪声的传播；高噪声车间考虑使用隔声、吸声材料；加强设备管理，设备定期维护、保养；合理安排生产时间。</w:t>
                  </w:r>
                </w:p>
              </w:tc>
              <w:tc>
                <w:tcPr>
                  <w:tcW w:w="885" w:type="dxa"/>
                  <w:vMerge w:val="restart"/>
                  <w:noWrap w:val="0"/>
                  <w:vAlign w:val="center"/>
                </w:tcPr>
                <w:p>
                  <w:pPr>
                    <w:topLinePunct/>
                    <w:snapToGrid w:val="0"/>
                    <w:jc w:val="center"/>
                    <w:rPr>
                      <w:color w:val="auto"/>
                      <w:szCs w:val="21"/>
                    </w:rPr>
                  </w:pPr>
                  <w:r>
                    <w:rPr>
                      <w:color w:val="auto"/>
                      <w:szCs w:val="21"/>
                    </w:rPr>
                    <w:t>25</w:t>
                  </w:r>
                </w:p>
              </w:tc>
              <w:tc>
                <w:tcPr>
                  <w:tcW w:w="885" w:type="dxa"/>
                  <w:vMerge w:val="restart"/>
                  <w:noWrap w:val="0"/>
                  <w:vAlign w:val="center"/>
                </w:tcPr>
                <w:p>
                  <w:pPr>
                    <w:topLinePunct/>
                    <w:snapToGrid w:val="0"/>
                    <w:jc w:val="center"/>
                    <w:rPr>
                      <w:color w:val="auto"/>
                      <w:szCs w:val="21"/>
                    </w:rPr>
                  </w:pPr>
                  <w:r>
                    <w:rPr>
                      <w:rFonts w:hint="eastAsia"/>
                      <w:color w:val="auto"/>
                      <w:szCs w:val="21"/>
                    </w:rPr>
                    <w:t>64</w:t>
                  </w:r>
                </w:p>
              </w:tc>
              <w:tc>
                <w:tcPr>
                  <w:tcW w:w="662" w:type="dxa"/>
                  <w:noWrap w:val="0"/>
                  <w:vAlign w:val="center"/>
                </w:tcPr>
                <w:p>
                  <w:pPr>
                    <w:topLinePunct/>
                    <w:snapToGrid w:val="0"/>
                    <w:jc w:val="center"/>
                    <w:rPr>
                      <w:color w:val="auto"/>
                      <w:szCs w:val="21"/>
                    </w:rPr>
                  </w:pPr>
                  <w:r>
                    <w:rPr>
                      <w:rFonts w:hint="eastAsia"/>
                      <w:color w:val="auto"/>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noWrap w:val="0"/>
                  <w:vAlign w:val="center"/>
                </w:tcPr>
                <w:p>
                  <w:pPr>
                    <w:topLinePunct/>
                    <w:snapToGrid w:val="0"/>
                    <w:jc w:val="center"/>
                    <w:rPr>
                      <w:color w:val="auto"/>
                      <w:szCs w:val="21"/>
                    </w:rPr>
                  </w:pPr>
                </w:p>
              </w:tc>
              <w:tc>
                <w:tcPr>
                  <w:tcW w:w="2162" w:type="dxa"/>
                  <w:noWrap w:val="0"/>
                  <w:vAlign w:val="center"/>
                </w:tcPr>
                <w:p>
                  <w:pPr>
                    <w:snapToGrid w:val="0"/>
                    <w:spacing w:line="20" w:lineRule="atLeast"/>
                    <w:jc w:val="center"/>
                    <w:rPr>
                      <w:color w:val="auto"/>
                      <w:szCs w:val="21"/>
                    </w:rPr>
                  </w:pPr>
                  <w:r>
                    <w:rPr>
                      <w:color w:val="auto"/>
                      <w:szCs w:val="21"/>
                    </w:rPr>
                    <w:t>原生料烘干系统</w:t>
                  </w:r>
                </w:p>
              </w:tc>
              <w:tc>
                <w:tcPr>
                  <w:tcW w:w="1590" w:type="dxa"/>
                  <w:noWrap w:val="0"/>
                  <w:vAlign w:val="center"/>
                </w:tcPr>
                <w:p>
                  <w:pPr>
                    <w:topLinePunct/>
                    <w:snapToGrid w:val="0"/>
                    <w:jc w:val="center"/>
                    <w:rPr>
                      <w:color w:val="auto"/>
                      <w:szCs w:val="21"/>
                    </w:rPr>
                  </w:pPr>
                  <w:r>
                    <w:rPr>
                      <w:color w:val="auto"/>
                      <w:szCs w:val="21"/>
                    </w:rPr>
                    <w:t>75</w:t>
                  </w:r>
                </w:p>
              </w:tc>
              <w:tc>
                <w:tcPr>
                  <w:tcW w:w="2353"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662" w:type="dxa"/>
                  <w:noWrap w:val="0"/>
                  <w:vAlign w:val="center"/>
                </w:tcPr>
                <w:p>
                  <w:pPr>
                    <w:topLinePunct/>
                    <w:snapToGrid w:val="0"/>
                    <w:jc w:val="center"/>
                    <w:rPr>
                      <w:color w:val="auto"/>
                      <w:szCs w:val="21"/>
                    </w:rPr>
                  </w:pPr>
                  <w:r>
                    <w:rPr>
                      <w:rFonts w:hint="eastAsia"/>
                      <w:color w:val="auto"/>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noWrap w:val="0"/>
                  <w:vAlign w:val="center"/>
                </w:tcPr>
                <w:p>
                  <w:pPr>
                    <w:topLinePunct/>
                    <w:snapToGrid w:val="0"/>
                    <w:jc w:val="center"/>
                    <w:rPr>
                      <w:color w:val="auto"/>
                      <w:szCs w:val="21"/>
                    </w:rPr>
                  </w:pPr>
                </w:p>
              </w:tc>
              <w:tc>
                <w:tcPr>
                  <w:tcW w:w="2162" w:type="dxa"/>
                  <w:noWrap w:val="0"/>
                  <w:vAlign w:val="center"/>
                </w:tcPr>
                <w:p>
                  <w:pPr>
                    <w:snapToGrid w:val="0"/>
                    <w:spacing w:line="20" w:lineRule="atLeast"/>
                    <w:jc w:val="center"/>
                    <w:rPr>
                      <w:color w:val="auto"/>
                      <w:szCs w:val="21"/>
                    </w:rPr>
                  </w:pPr>
                  <w:r>
                    <w:rPr>
                      <w:color w:val="auto"/>
                      <w:szCs w:val="21"/>
                    </w:rPr>
                    <w:t>除尘系统</w:t>
                  </w:r>
                </w:p>
              </w:tc>
              <w:tc>
                <w:tcPr>
                  <w:tcW w:w="1590" w:type="dxa"/>
                  <w:noWrap w:val="0"/>
                  <w:vAlign w:val="center"/>
                </w:tcPr>
                <w:p>
                  <w:pPr>
                    <w:topLinePunct/>
                    <w:snapToGrid w:val="0"/>
                    <w:jc w:val="center"/>
                    <w:rPr>
                      <w:color w:val="auto"/>
                      <w:szCs w:val="21"/>
                    </w:rPr>
                  </w:pPr>
                  <w:r>
                    <w:rPr>
                      <w:rFonts w:hint="eastAsia"/>
                      <w:color w:val="auto"/>
                      <w:szCs w:val="21"/>
                    </w:rPr>
                    <w:t>65</w:t>
                  </w:r>
                </w:p>
              </w:tc>
              <w:tc>
                <w:tcPr>
                  <w:tcW w:w="2353"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662" w:type="dxa"/>
                  <w:noWrap w:val="0"/>
                  <w:vAlign w:val="center"/>
                </w:tcPr>
                <w:p>
                  <w:pPr>
                    <w:topLinePunct/>
                    <w:snapToGrid w:val="0"/>
                    <w:jc w:val="center"/>
                    <w:rPr>
                      <w:color w:val="auto"/>
                      <w:szCs w:val="21"/>
                    </w:rPr>
                  </w:pPr>
                  <w:r>
                    <w:rPr>
                      <w:rFonts w:hint="eastAsia"/>
                      <w:color w:val="auto"/>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noWrap w:val="0"/>
                  <w:vAlign w:val="center"/>
                </w:tcPr>
                <w:p>
                  <w:pPr>
                    <w:topLinePunct/>
                    <w:snapToGrid w:val="0"/>
                    <w:jc w:val="center"/>
                    <w:rPr>
                      <w:color w:val="auto"/>
                      <w:szCs w:val="21"/>
                    </w:rPr>
                  </w:pPr>
                </w:p>
              </w:tc>
              <w:tc>
                <w:tcPr>
                  <w:tcW w:w="2162" w:type="dxa"/>
                  <w:noWrap w:val="0"/>
                  <w:vAlign w:val="center"/>
                </w:tcPr>
                <w:p>
                  <w:pPr>
                    <w:snapToGrid w:val="0"/>
                    <w:spacing w:line="20" w:lineRule="atLeast"/>
                    <w:jc w:val="center"/>
                    <w:rPr>
                      <w:color w:val="auto"/>
                      <w:szCs w:val="21"/>
                    </w:rPr>
                  </w:pPr>
                  <w:r>
                    <w:rPr>
                      <w:color w:val="auto"/>
                      <w:szCs w:val="21"/>
                    </w:rPr>
                    <w:t>粉料系统</w:t>
                  </w:r>
                </w:p>
              </w:tc>
              <w:tc>
                <w:tcPr>
                  <w:tcW w:w="1590" w:type="dxa"/>
                  <w:noWrap w:val="0"/>
                  <w:vAlign w:val="center"/>
                </w:tcPr>
                <w:p>
                  <w:pPr>
                    <w:topLinePunct/>
                    <w:snapToGrid w:val="0"/>
                    <w:jc w:val="center"/>
                    <w:rPr>
                      <w:color w:val="auto"/>
                      <w:szCs w:val="21"/>
                    </w:rPr>
                  </w:pPr>
                  <w:r>
                    <w:rPr>
                      <w:rFonts w:hint="eastAsia"/>
                      <w:color w:val="auto"/>
                      <w:szCs w:val="21"/>
                    </w:rPr>
                    <w:t>65</w:t>
                  </w:r>
                </w:p>
              </w:tc>
              <w:tc>
                <w:tcPr>
                  <w:tcW w:w="2353"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662" w:type="dxa"/>
                  <w:noWrap w:val="0"/>
                  <w:vAlign w:val="center"/>
                </w:tcPr>
                <w:p>
                  <w:pPr>
                    <w:topLinePunct/>
                    <w:snapToGrid w:val="0"/>
                    <w:jc w:val="center"/>
                    <w:rPr>
                      <w:color w:val="auto"/>
                      <w:szCs w:val="21"/>
                    </w:rPr>
                  </w:pPr>
                  <w:r>
                    <w:rPr>
                      <w:rFonts w:hint="eastAsia"/>
                      <w:color w:val="auto"/>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noWrap w:val="0"/>
                  <w:vAlign w:val="center"/>
                </w:tcPr>
                <w:p>
                  <w:pPr>
                    <w:topLinePunct/>
                    <w:snapToGrid w:val="0"/>
                    <w:jc w:val="center"/>
                    <w:rPr>
                      <w:color w:val="auto"/>
                      <w:szCs w:val="21"/>
                    </w:rPr>
                  </w:pPr>
                </w:p>
              </w:tc>
              <w:tc>
                <w:tcPr>
                  <w:tcW w:w="2162" w:type="dxa"/>
                  <w:noWrap w:val="0"/>
                  <w:vAlign w:val="center"/>
                </w:tcPr>
                <w:p>
                  <w:pPr>
                    <w:snapToGrid w:val="0"/>
                    <w:spacing w:line="20" w:lineRule="atLeast"/>
                    <w:jc w:val="center"/>
                    <w:rPr>
                      <w:color w:val="auto"/>
                      <w:kern w:val="0"/>
                      <w:szCs w:val="21"/>
                    </w:rPr>
                  </w:pPr>
                  <w:r>
                    <w:rPr>
                      <w:color w:val="auto"/>
                      <w:szCs w:val="21"/>
                    </w:rPr>
                    <w:t>提升机</w:t>
                  </w:r>
                </w:p>
              </w:tc>
              <w:tc>
                <w:tcPr>
                  <w:tcW w:w="1590" w:type="dxa"/>
                  <w:noWrap w:val="0"/>
                  <w:vAlign w:val="center"/>
                </w:tcPr>
                <w:p>
                  <w:pPr>
                    <w:topLinePunct/>
                    <w:snapToGrid w:val="0"/>
                    <w:jc w:val="center"/>
                    <w:rPr>
                      <w:color w:val="auto"/>
                      <w:szCs w:val="21"/>
                    </w:rPr>
                  </w:pPr>
                  <w:r>
                    <w:rPr>
                      <w:rFonts w:hint="eastAsia"/>
                      <w:color w:val="auto"/>
                      <w:szCs w:val="21"/>
                    </w:rPr>
                    <w:t>60</w:t>
                  </w:r>
                </w:p>
              </w:tc>
              <w:tc>
                <w:tcPr>
                  <w:tcW w:w="2353"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662" w:type="dxa"/>
                  <w:noWrap w:val="0"/>
                  <w:vAlign w:val="center"/>
                </w:tcPr>
                <w:p>
                  <w:pPr>
                    <w:topLinePunct/>
                    <w:snapToGrid w:val="0"/>
                    <w:jc w:val="center"/>
                    <w:rPr>
                      <w:color w:val="auto"/>
                      <w:szCs w:val="21"/>
                    </w:rPr>
                  </w:pPr>
                  <w:r>
                    <w:rPr>
                      <w:rFonts w:hint="eastAsia"/>
                      <w:color w:val="auto"/>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noWrap w:val="0"/>
                  <w:vAlign w:val="center"/>
                </w:tcPr>
                <w:p>
                  <w:pPr>
                    <w:topLinePunct/>
                    <w:snapToGrid w:val="0"/>
                    <w:jc w:val="center"/>
                    <w:rPr>
                      <w:color w:val="auto"/>
                      <w:szCs w:val="21"/>
                    </w:rPr>
                  </w:pPr>
                </w:p>
              </w:tc>
              <w:tc>
                <w:tcPr>
                  <w:tcW w:w="2162" w:type="dxa"/>
                  <w:noWrap w:val="0"/>
                  <w:vAlign w:val="center"/>
                </w:tcPr>
                <w:p>
                  <w:pPr>
                    <w:snapToGrid w:val="0"/>
                    <w:spacing w:line="20" w:lineRule="atLeast"/>
                    <w:jc w:val="center"/>
                    <w:rPr>
                      <w:color w:val="auto"/>
                      <w:kern w:val="0"/>
                      <w:szCs w:val="21"/>
                    </w:rPr>
                  </w:pPr>
                  <w:r>
                    <w:rPr>
                      <w:color w:val="auto"/>
                      <w:szCs w:val="21"/>
                    </w:rPr>
                    <w:t>振动筛</w:t>
                  </w:r>
                </w:p>
              </w:tc>
              <w:tc>
                <w:tcPr>
                  <w:tcW w:w="1590" w:type="dxa"/>
                  <w:noWrap w:val="0"/>
                  <w:vAlign w:val="center"/>
                </w:tcPr>
                <w:p>
                  <w:pPr>
                    <w:topLinePunct/>
                    <w:snapToGrid w:val="0"/>
                    <w:jc w:val="center"/>
                    <w:rPr>
                      <w:color w:val="auto"/>
                      <w:szCs w:val="21"/>
                    </w:rPr>
                  </w:pPr>
                  <w:r>
                    <w:rPr>
                      <w:rFonts w:hint="eastAsia"/>
                      <w:color w:val="auto"/>
                      <w:szCs w:val="21"/>
                    </w:rPr>
                    <w:t>80</w:t>
                  </w:r>
                </w:p>
              </w:tc>
              <w:tc>
                <w:tcPr>
                  <w:tcW w:w="2353"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662" w:type="dxa"/>
                  <w:noWrap w:val="0"/>
                  <w:vAlign w:val="center"/>
                </w:tcPr>
                <w:p>
                  <w:pPr>
                    <w:topLinePunct/>
                    <w:snapToGrid w:val="0"/>
                    <w:jc w:val="center"/>
                    <w:rPr>
                      <w:color w:val="auto"/>
                      <w:szCs w:val="21"/>
                    </w:rPr>
                  </w:pPr>
                  <w:r>
                    <w:rPr>
                      <w:rFonts w:hint="eastAsia"/>
                      <w:color w:val="auto"/>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noWrap w:val="0"/>
                  <w:vAlign w:val="center"/>
                </w:tcPr>
                <w:p>
                  <w:pPr>
                    <w:topLinePunct/>
                    <w:snapToGrid w:val="0"/>
                    <w:jc w:val="center"/>
                    <w:rPr>
                      <w:color w:val="auto"/>
                      <w:szCs w:val="21"/>
                    </w:rPr>
                  </w:pPr>
                </w:p>
              </w:tc>
              <w:tc>
                <w:tcPr>
                  <w:tcW w:w="2162" w:type="dxa"/>
                  <w:noWrap w:val="0"/>
                  <w:vAlign w:val="center"/>
                </w:tcPr>
                <w:p>
                  <w:pPr>
                    <w:snapToGrid w:val="0"/>
                    <w:spacing w:line="20" w:lineRule="atLeast"/>
                    <w:jc w:val="center"/>
                    <w:rPr>
                      <w:color w:val="auto"/>
                      <w:kern w:val="0"/>
                      <w:szCs w:val="21"/>
                    </w:rPr>
                  </w:pPr>
                  <w:r>
                    <w:rPr>
                      <w:color w:val="auto"/>
                      <w:szCs w:val="21"/>
                    </w:rPr>
                    <w:t>热骨料仓</w:t>
                  </w:r>
                </w:p>
              </w:tc>
              <w:tc>
                <w:tcPr>
                  <w:tcW w:w="1590" w:type="dxa"/>
                  <w:noWrap w:val="0"/>
                  <w:vAlign w:val="center"/>
                </w:tcPr>
                <w:p>
                  <w:pPr>
                    <w:topLinePunct/>
                    <w:snapToGrid w:val="0"/>
                    <w:jc w:val="center"/>
                    <w:rPr>
                      <w:color w:val="auto"/>
                      <w:szCs w:val="21"/>
                    </w:rPr>
                  </w:pPr>
                  <w:r>
                    <w:rPr>
                      <w:rFonts w:hint="eastAsia"/>
                      <w:color w:val="auto"/>
                      <w:szCs w:val="21"/>
                    </w:rPr>
                    <w:t>60</w:t>
                  </w:r>
                </w:p>
              </w:tc>
              <w:tc>
                <w:tcPr>
                  <w:tcW w:w="2353"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662" w:type="dxa"/>
                  <w:noWrap w:val="0"/>
                  <w:vAlign w:val="center"/>
                </w:tcPr>
                <w:p>
                  <w:pPr>
                    <w:topLinePunct/>
                    <w:snapToGrid w:val="0"/>
                    <w:jc w:val="center"/>
                    <w:rPr>
                      <w:color w:val="auto"/>
                      <w:szCs w:val="21"/>
                    </w:rPr>
                  </w:pPr>
                  <w:r>
                    <w:rPr>
                      <w:rFonts w:hint="eastAsia"/>
                      <w:color w:val="auto"/>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noWrap w:val="0"/>
                  <w:vAlign w:val="center"/>
                </w:tcPr>
                <w:p>
                  <w:pPr>
                    <w:topLinePunct/>
                    <w:snapToGrid w:val="0"/>
                    <w:jc w:val="center"/>
                    <w:rPr>
                      <w:color w:val="auto"/>
                      <w:szCs w:val="21"/>
                    </w:rPr>
                  </w:pPr>
                </w:p>
              </w:tc>
              <w:tc>
                <w:tcPr>
                  <w:tcW w:w="2162" w:type="dxa"/>
                  <w:noWrap w:val="0"/>
                  <w:vAlign w:val="center"/>
                </w:tcPr>
                <w:p>
                  <w:pPr>
                    <w:snapToGrid w:val="0"/>
                    <w:spacing w:line="20" w:lineRule="atLeast"/>
                    <w:jc w:val="center"/>
                    <w:rPr>
                      <w:color w:val="auto"/>
                      <w:kern w:val="0"/>
                      <w:szCs w:val="21"/>
                    </w:rPr>
                  </w:pPr>
                  <w:r>
                    <w:rPr>
                      <w:color w:val="auto"/>
                      <w:szCs w:val="21"/>
                    </w:rPr>
                    <w:t>计量系统</w:t>
                  </w:r>
                </w:p>
              </w:tc>
              <w:tc>
                <w:tcPr>
                  <w:tcW w:w="1590" w:type="dxa"/>
                  <w:noWrap w:val="0"/>
                  <w:vAlign w:val="center"/>
                </w:tcPr>
                <w:p>
                  <w:pPr>
                    <w:topLinePunct/>
                    <w:snapToGrid w:val="0"/>
                    <w:jc w:val="center"/>
                    <w:rPr>
                      <w:color w:val="auto"/>
                      <w:szCs w:val="21"/>
                    </w:rPr>
                  </w:pPr>
                  <w:r>
                    <w:rPr>
                      <w:rFonts w:hint="eastAsia"/>
                      <w:color w:val="auto"/>
                      <w:szCs w:val="21"/>
                    </w:rPr>
                    <w:t>65</w:t>
                  </w:r>
                </w:p>
              </w:tc>
              <w:tc>
                <w:tcPr>
                  <w:tcW w:w="2353"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662" w:type="dxa"/>
                  <w:noWrap w:val="0"/>
                  <w:vAlign w:val="center"/>
                </w:tcPr>
                <w:p>
                  <w:pPr>
                    <w:topLinePunct/>
                    <w:snapToGrid w:val="0"/>
                    <w:jc w:val="center"/>
                    <w:rPr>
                      <w:color w:val="auto"/>
                      <w:szCs w:val="21"/>
                    </w:rPr>
                  </w:pPr>
                  <w:r>
                    <w:rPr>
                      <w:rFonts w:hint="eastAsia"/>
                      <w:color w:val="auto"/>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noWrap w:val="0"/>
                  <w:vAlign w:val="center"/>
                </w:tcPr>
                <w:p>
                  <w:pPr>
                    <w:topLinePunct/>
                    <w:snapToGrid w:val="0"/>
                    <w:jc w:val="center"/>
                    <w:rPr>
                      <w:color w:val="auto"/>
                      <w:szCs w:val="21"/>
                    </w:rPr>
                  </w:pPr>
                </w:p>
              </w:tc>
              <w:tc>
                <w:tcPr>
                  <w:tcW w:w="2162" w:type="dxa"/>
                  <w:noWrap w:val="0"/>
                  <w:vAlign w:val="center"/>
                </w:tcPr>
                <w:p>
                  <w:pPr>
                    <w:snapToGrid w:val="0"/>
                    <w:spacing w:line="20" w:lineRule="atLeast"/>
                    <w:jc w:val="center"/>
                    <w:rPr>
                      <w:color w:val="auto"/>
                      <w:kern w:val="0"/>
                      <w:szCs w:val="21"/>
                    </w:rPr>
                  </w:pPr>
                  <w:r>
                    <w:rPr>
                      <w:color w:val="auto"/>
                      <w:szCs w:val="21"/>
                    </w:rPr>
                    <w:t>搅拌系统</w:t>
                  </w:r>
                </w:p>
              </w:tc>
              <w:tc>
                <w:tcPr>
                  <w:tcW w:w="1590" w:type="dxa"/>
                  <w:noWrap w:val="0"/>
                  <w:vAlign w:val="center"/>
                </w:tcPr>
                <w:p>
                  <w:pPr>
                    <w:topLinePunct/>
                    <w:snapToGrid w:val="0"/>
                    <w:jc w:val="center"/>
                    <w:rPr>
                      <w:color w:val="auto"/>
                      <w:szCs w:val="21"/>
                    </w:rPr>
                  </w:pPr>
                  <w:r>
                    <w:rPr>
                      <w:rFonts w:hint="eastAsia"/>
                      <w:color w:val="auto"/>
                      <w:szCs w:val="21"/>
                    </w:rPr>
                    <w:t>70</w:t>
                  </w:r>
                </w:p>
              </w:tc>
              <w:tc>
                <w:tcPr>
                  <w:tcW w:w="2353"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662" w:type="dxa"/>
                  <w:noWrap w:val="0"/>
                  <w:vAlign w:val="center"/>
                </w:tcPr>
                <w:p>
                  <w:pPr>
                    <w:topLinePunct/>
                    <w:snapToGrid w:val="0"/>
                    <w:jc w:val="center"/>
                    <w:rPr>
                      <w:color w:val="auto"/>
                      <w:szCs w:val="21"/>
                    </w:rPr>
                  </w:pPr>
                  <w:r>
                    <w:rPr>
                      <w:rFonts w:hint="eastAsia"/>
                      <w:color w:val="auto"/>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noWrap w:val="0"/>
                  <w:vAlign w:val="center"/>
                </w:tcPr>
                <w:p>
                  <w:pPr>
                    <w:topLinePunct/>
                    <w:snapToGrid w:val="0"/>
                    <w:jc w:val="center"/>
                    <w:rPr>
                      <w:color w:val="auto"/>
                      <w:szCs w:val="21"/>
                    </w:rPr>
                  </w:pPr>
                </w:p>
              </w:tc>
              <w:tc>
                <w:tcPr>
                  <w:tcW w:w="2162" w:type="dxa"/>
                  <w:noWrap w:val="0"/>
                  <w:vAlign w:val="center"/>
                </w:tcPr>
                <w:p>
                  <w:pPr>
                    <w:snapToGrid w:val="0"/>
                    <w:spacing w:line="20" w:lineRule="atLeast"/>
                    <w:jc w:val="center"/>
                    <w:rPr>
                      <w:color w:val="auto"/>
                      <w:kern w:val="0"/>
                      <w:szCs w:val="21"/>
                    </w:rPr>
                  </w:pPr>
                  <w:r>
                    <w:rPr>
                      <w:color w:val="auto"/>
                      <w:szCs w:val="21"/>
                    </w:rPr>
                    <w:t>气动系统</w:t>
                  </w:r>
                </w:p>
              </w:tc>
              <w:tc>
                <w:tcPr>
                  <w:tcW w:w="1590" w:type="dxa"/>
                  <w:noWrap w:val="0"/>
                  <w:vAlign w:val="center"/>
                </w:tcPr>
                <w:p>
                  <w:pPr>
                    <w:topLinePunct/>
                    <w:snapToGrid w:val="0"/>
                    <w:jc w:val="center"/>
                    <w:rPr>
                      <w:color w:val="auto"/>
                      <w:szCs w:val="21"/>
                    </w:rPr>
                  </w:pPr>
                  <w:r>
                    <w:rPr>
                      <w:rFonts w:hint="eastAsia"/>
                      <w:color w:val="auto"/>
                      <w:szCs w:val="21"/>
                    </w:rPr>
                    <w:t>70</w:t>
                  </w:r>
                </w:p>
              </w:tc>
              <w:tc>
                <w:tcPr>
                  <w:tcW w:w="2353"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662" w:type="dxa"/>
                  <w:noWrap w:val="0"/>
                  <w:vAlign w:val="center"/>
                </w:tcPr>
                <w:p>
                  <w:pPr>
                    <w:topLinePunct/>
                    <w:snapToGrid w:val="0"/>
                    <w:jc w:val="center"/>
                    <w:rPr>
                      <w:color w:val="auto"/>
                      <w:szCs w:val="21"/>
                    </w:rPr>
                  </w:pPr>
                  <w:r>
                    <w:rPr>
                      <w:rFonts w:hint="eastAsia"/>
                      <w:color w:val="auto"/>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noWrap w:val="0"/>
                  <w:vAlign w:val="center"/>
                </w:tcPr>
                <w:p>
                  <w:pPr>
                    <w:topLinePunct/>
                    <w:snapToGrid w:val="0"/>
                    <w:jc w:val="center"/>
                    <w:rPr>
                      <w:color w:val="auto"/>
                      <w:szCs w:val="21"/>
                    </w:rPr>
                  </w:pPr>
                </w:p>
              </w:tc>
              <w:tc>
                <w:tcPr>
                  <w:tcW w:w="2162" w:type="dxa"/>
                  <w:noWrap w:val="0"/>
                  <w:vAlign w:val="center"/>
                </w:tcPr>
                <w:p>
                  <w:pPr>
                    <w:snapToGrid w:val="0"/>
                    <w:spacing w:line="20" w:lineRule="atLeast"/>
                    <w:jc w:val="center"/>
                    <w:rPr>
                      <w:color w:val="auto"/>
                      <w:kern w:val="0"/>
                      <w:szCs w:val="21"/>
                    </w:rPr>
                  </w:pPr>
                  <w:r>
                    <w:rPr>
                      <w:color w:val="auto"/>
                      <w:szCs w:val="21"/>
                    </w:rPr>
                    <w:t>沥青加热系统</w:t>
                  </w:r>
                </w:p>
              </w:tc>
              <w:tc>
                <w:tcPr>
                  <w:tcW w:w="1590" w:type="dxa"/>
                  <w:noWrap w:val="0"/>
                  <w:vAlign w:val="center"/>
                </w:tcPr>
                <w:p>
                  <w:pPr>
                    <w:topLinePunct/>
                    <w:snapToGrid w:val="0"/>
                    <w:jc w:val="center"/>
                    <w:rPr>
                      <w:color w:val="auto"/>
                      <w:szCs w:val="21"/>
                    </w:rPr>
                  </w:pPr>
                  <w:r>
                    <w:rPr>
                      <w:rFonts w:hint="eastAsia"/>
                      <w:color w:val="auto"/>
                      <w:szCs w:val="21"/>
                    </w:rPr>
                    <w:t>65</w:t>
                  </w:r>
                </w:p>
              </w:tc>
              <w:tc>
                <w:tcPr>
                  <w:tcW w:w="2353"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662" w:type="dxa"/>
                  <w:noWrap w:val="0"/>
                  <w:vAlign w:val="center"/>
                </w:tcPr>
                <w:p>
                  <w:pPr>
                    <w:topLinePunct/>
                    <w:snapToGrid w:val="0"/>
                    <w:jc w:val="center"/>
                    <w:rPr>
                      <w:color w:val="auto"/>
                      <w:szCs w:val="21"/>
                    </w:rPr>
                  </w:pPr>
                  <w:r>
                    <w:rPr>
                      <w:rFonts w:hint="eastAsia"/>
                      <w:color w:val="auto"/>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noWrap w:val="0"/>
                  <w:vAlign w:val="center"/>
                </w:tcPr>
                <w:p>
                  <w:pPr>
                    <w:topLinePunct/>
                    <w:snapToGrid w:val="0"/>
                    <w:jc w:val="center"/>
                    <w:rPr>
                      <w:color w:val="auto"/>
                      <w:szCs w:val="21"/>
                    </w:rPr>
                  </w:pPr>
                </w:p>
              </w:tc>
              <w:tc>
                <w:tcPr>
                  <w:tcW w:w="2162" w:type="dxa"/>
                  <w:noWrap w:val="0"/>
                  <w:vAlign w:val="center"/>
                </w:tcPr>
                <w:p>
                  <w:pPr>
                    <w:snapToGrid w:val="0"/>
                    <w:spacing w:line="20" w:lineRule="atLeast"/>
                    <w:jc w:val="center"/>
                    <w:rPr>
                      <w:color w:val="auto"/>
                      <w:kern w:val="0"/>
                      <w:szCs w:val="21"/>
                    </w:rPr>
                  </w:pPr>
                  <w:r>
                    <w:rPr>
                      <w:color w:val="auto"/>
                      <w:szCs w:val="21"/>
                    </w:rPr>
                    <w:t>控制系统</w:t>
                  </w:r>
                </w:p>
              </w:tc>
              <w:tc>
                <w:tcPr>
                  <w:tcW w:w="1590" w:type="dxa"/>
                  <w:noWrap w:val="0"/>
                  <w:vAlign w:val="center"/>
                </w:tcPr>
                <w:p>
                  <w:pPr>
                    <w:topLinePunct/>
                    <w:snapToGrid w:val="0"/>
                    <w:jc w:val="center"/>
                    <w:rPr>
                      <w:color w:val="auto"/>
                      <w:szCs w:val="21"/>
                    </w:rPr>
                  </w:pPr>
                  <w:r>
                    <w:rPr>
                      <w:rFonts w:hint="eastAsia"/>
                      <w:color w:val="auto"/>
                      <w:szCs w:val="21"/>
                    </w:rPr>
                    <w:t>60</w:t>
                  </w:r>
                </w:p>
              </w:tc>
              <w:tc>
                <w:tcPr>
                  <w:tcW w:w="2353"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662" w:type="dxa"/>
                  <w:noWrap w:val="0"/>
                  <w:vAlign w:val="center"/>
                </w:tcPr>
                <w:p>
                  <w:pPr>
                    <w:topLinePunct/>
                    <w:snapToGrid w:val="0"/>
                    <w:jc w:val="center"/>
                    <w:rPr>
                      <w:color w:val="auto"/>
                      <w:szCs w:val="21"/>
                    </w:rPr>
                  </w:pPr>
                  <w:r>
                    <w:rPr>
                      <w:rFonts w:hint="eastAsia"/>
                      <w:color w:val="auto"/>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noWrap w:val="0"/>
                  <w:vAlign w:val="center"/>
                </w:tcPr>
                <w:p>
                  <w:pPr>
                    <w:topLinePunct/>
                    <w:snapToGrid w:val="0"/>
                    <w:jc w:val="center"/>
                    <w:rPr>
                      <w:color w:val="auto"/>
                      <w:szCs w:val="21"/>
                    </w:rPr>
                  </w:pPr>
                </w:p>
              </w:tc>
              <w:tc>
                <w:tcPr>
                  <w:tcW w:w="2162" w:type="dxa"/>
                  <w:noWrap w:val="0"/>
                  <w:vAlign w:val="center"/>
                </w:tcPr>
                <w:p>
                  <w:pPr>
                    <w:snapToGrid w:val="0"/>
                    <w:spacing w:line="20" w:lineRule="atLeast"/>
                    <w:jc w:val="center"/>
                    <w:rPr>
                      <w:color w:val="auto"/>
                      <w:kern w:val="0"/>
                      <w:szCs w:val="21"/>
                    </w:rPr>
                  </w:pPr>
                  <w:r>
                    <w:rPr>
                      <w:color w:val="auto"/>
                      <w:szCs w:val="21"/>
                    </w:rPr>
                    <w:t>再生料冷料系统</w:t>
                  </w:r>
                </w:p>
              </w:tc>
              <w:tc>
                <w:tcPr>
                  <w:tcW w:w="1590" w:type="dxa"/>
                  <w:noWrap w:val="0"/>
                  <w:vAlign w:val="center"/>
                </w:tcPr>
                <w:p>
                  <w:pPr>
                    <w:topLinePunct/>
                    <w:snapToGrid w:val="0"/>
                    <w:jc w:val="center"/>
                    <w:rPr>
                      <w:color w:val="auto"/>
                      <w:szCs w:val="21"/>
                    </w:rPr>
                  </w:pPr>
                  <w:r>
                    <w:rPr>
                      <w:rFonts w:hint="eastAsia"/>
                      <w:color w:val="auto"/>
                      <w:szCs w:val="21"/>
                    </w:rPr>
                    <w:t>70</w:t>
                  </w:r>
                </w:p>
              </w:tc>
              <w:tc>
                <w:tcPr>
                  <w:tcW w:w="2353"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662" w:type="dxa"/>
                  <w:noWrap w:val="0"/>
                  <w:vAlign w:val="center"/>
                </w:tcPr>
                <w:p>
                  <w:pPr>
                    <w:topLinePunct/>
                    <w:snapToGrid w:val="0"/>
                    <w:jc w:val="center"/>
                    <w:rPr>
                      <w:color w:val="auto"/>
                      <w:szCs w:val="21"/>
                    </w:rPr>
                  </w:pPr>
                  <w:r>
                    <w:rPr>
                      <w:rFonts w:hint="eastAsia"/>
                      <w:color w:val="auto"/>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noWrap w:val="0"/>
                  <w:vAlign w:val="center"/>
                </w:tcPr>
                <w:p>
                  <w:pPr>
                    <w:topLinePunct/>
                    <w:snapToGrid w:val="0"/>
                    <w:jc w:val="center"/>
                    <w:rPr>
                      <w:color w:val="auto"/>
                      <w:szCs w:val="21"/>
                    </w:rPr>
                  </w:pPr>
                </w:p>
              </w:tc>
              <w:tc>
                <w:tcPr>
                  <w:tcW w:w="2162" w:type="dxa"/>
                  <w:noWrap w:val="0"/>
                  <w:vAlign w:val="center"/>
                </w:tcPr>
                <w:p>
                  <w:pPr>
                    <w:snapToGrid w:val="0"/>
                    <w:spacing w:line="20" w:lineRule="atLeast"/>
                    <w:jc w:val="center"/>
                    <w:rPr>
                      <w:color w:val="auto"/>
                      <w:kern w:val="0"/>
                      <w:szCs w:val="21"/>
                    </w:rPr>
                  </w:pPr>
                  <w:r>
                    <w:rPr>
                      <w:color w:val="auto"/>
                      <w:szCs w:val="21"/>
                    </w:rPr>
                    <w:t>再生料热料提升机</w:t>
                  </w:r>
                </w:p>
              </w:tc>
              <w:tc>
                <w:tcPr>
                  <w:tcW w:w="1590" w:type="dxa"/>
                  <w:noWrap w:val="0"/>
                  <w:vAlign w:val="center"/>
                </w:tcPr>
                <w:p>
                  <w:pPr>
                    <w:topLinePunct/>
                    <w:snapToGrid w:val="0"/>
                    <w:jc w:val="center"/>
                    <w:rPr>
                      <w:color w:val="auto"/>
                      <w:szCs w:val="21"/>
                    </w:rPr>
                  </w:pPr>
                  <w:r>
                    <w:rPr>
                      <w:rFonts w:hint="eastAsia"/>
                      <w:color w:val="auto"/>
                      <w:szCs w:val="21"/>
                    </w:rPr>
                    <w:t>75</w:t>
                  </w:r>
                </w:p>
              </w:tc>
              <w:tc>
                <w:tcPr>
                  <w:tcW w:w="2353"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662" w:type="dxa"/>
                  <w:noWrap w:val="0"/>
                  <w:vAlign w:val="center"/>
                </w:tcPr>
                <w:p>
                  <w:pPr>
                    <w:topLinePunct/>
                    <w:snapToGrid w:val="0"/>
                    <w:jc w:val="center"/>
                    <w:rPr>
                      <w:color w:val="auto"/>
                      <w:szCs w:val="21"/>
                    </w:rPr>
                  </w:pPr>
                  <w:r>
                    <w:rPr>
                      <w:rFonts w:hint="eastAsia"/>
                      <w:color w:val="auto"/>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noWrap w:val="0"/>
                  <w:vAlign w:val="center"/>
                </w:tcPr>
                <w:p>
                  <w:pPr>
                    <w:topLinePunct/>
                    <w:snapToGrid w:val="0"/>
                    <w:jc w:val="center"/>
                    <w:rPr>
                      <w:color w:val="auto"/>
                      <w:szCs w:val="21"/>
                    </w:rPr>
                  </w:pPr>
                </w:p>
              </w:tc>
              <w:tc>
                <w:tcPr>
                  <w:tcW w:w="2162" w:type="dxa"/>
                  <w:noWrap w:val="0"/>
                  <w:vAlign w:val="center"/>
                </w:tcPr>
                <w:p>
                  <w:pPr>
                    <w:snapToGrid w:val="0"/>
                    <w:spacing w:line="20" w:lineRule="atLeast"/>
                    <w:jc w:val="center"/>
                    <w:rPr>
                      <w:color w:val="auto"/>
                      <w:kern w:val="0"/>
                      <w:szCs w:val="21"/>
                    </w:rPr>
                  </w:pPr>
                  <w:r>
                    <w:rPr>
                      <w:color w:val="auto"/>
                      <w:szCs w:val="21"/>
                    </w:rPr>
                    <w:t>再生料烘干系统</w:t>
                  </w:r>
                </w:p>
              </w:tc>
              <w:tc>
                <w:tcPr>
                  <w:tcW w:w="1590" w:type="dxa"/>
                  <w:noWrap w:val="0"/>
                  <w:vAlign w:val="center"/>
                </w:tcPr>
                <w:p>
                  <w:pPr>
                    <w:topLinePunct/>
                    <w:snapToGrid w:val="0"/>
                    <w:jc w:val="center"/>
                    <w:rPr>
                      <w:color w:val="auto"/>
                      <w:szCs w:val="21"/>
                    </w:rPr>
                  </w:pPr>
                  <w:r>
                    <w:rPr>
                      <w:rFonts w:hint="eastAsia"/>
                      <w:color w:val="auto"/>
                      <w:szCs w:val="21"/>
                    </w:rPr>
                    <w:t>75</w:t>
                  </w:r>
                </w:p>
              </w:tc>
              <w:tc>
                <w:tcPr>
                  <w:tcW w:w="2353"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662" w:type="dxa"/>
                  <w:noWrap w:val="0"/>
                  <w:vAlign w:val="center"/>
                </w:tcPr>
                <w:p>
                  <w:pPr>
                    <w:topLinePunct/>
                    <w:snapToGrid w:val="0"/>
                    <w:jc w:val="center"/>
                    <w:rPr>
                      <w:color w:val="auto"/>
                      <w:szCs w:val="21"/>
                    </w:rPr>
                  </w:pPr>
                  <w:r>
                    <w:rPr>
                      <w:rFonts w:hint="eastAsia"/>
                      <w:color w:val="auto"/>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noWrap w:val="0"/>
                  <w:vAlign w:val="center"/>
                </w:tcPr>
                <w:p>
                  <w:pPr>
                    <w:topLinePunct/>
                    <w:snapToGrid w:val="0"/>
                    <w:jc w:val="center"/>
                    <w:rPr>
                      <w:color w:val="auto"/>
                      <w:szCs w:val="21"/>
                    </w:rPr>
                  </w:pPr>
                </w:p>
              </w:tc>
              <w:tc>
                <w:tcPr>
                  <w:tcW w:w="2162" w:type="dxa"/>
                  <w:noWrap w:val="0"/>
                  <w:vAlign w:val="center"/>
                </w:tcPr>
                <w:p>
                  <w:pPr>
                    <w:snapToGrid w:val="0"/>
                    <w:spacing w:line="20" w:lineRule="atLeast"/>
                    <w:jc w:val="center"/>
                    <w:rPr>
                      <w:color w:val="auto"/>
                      <w:kern w:val="0"/>
                      <w:szCs w:val="21"/>
                    </w:rPr>
                  </w:pPr>
                  <w:r>
                    <w:rPr>
                      <w:color w:val="auto"/>
                      <w:szCs w:val="21"/>
                    </w:rPr>
                    <w:t>再生料储存计量系统</w:t>
                  </w:r>
                </w:p>
              </w:tc>
              <w:tc>
                <w:tcPr>
                  <w:tcW w:w="1590" w:type="dxa"/>
                  <w:noWrap w:val="0"/>
                  <w:vAlign w:val="center"/>
                </w:tcPr>
                <w:p>
                  <w:pPr>
                    <w:topLinePunct/>
                    <w:snapToGrid w:val="0"/>
                    <w:jc w:val="center"/>
                    <w:rPr>
                      <w:color w:val="auto"/>
                      <w:szCs w:val="21"/>
                    </w:rPr>
                  </w:pPr>
                  <w:r>
                    <w:rPr>
                      <w:rFonts w:hint="eastAsia"/>
                      <w:color w:val="auto"/>
                      <w:szCs w:val="21"/>
                    </w:rPr>
                    <w:t>60</w:t>
                  </w:r>
                </w:p>
              </w:tc>
              <w:tc>
                <w:tcPr>
                  <w:tcW w:w="2353"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885" w:type="dxa"/>
                  <w:vMerge w:val="continue"/>
                  <w:noWrap w:val="0"/>
                  <w:vAlign w:val="center"/>
                </w:tcPr>
                <w:p>
                  <w:pPr>
                    <w:topLinePunct/>
                    <w:snapToGrid w:val="0"/>
                    <w:jc w:val="center"/>
                    <w:rPr>
                      <w:color w:val="auto"/>
                      <w:szCs w:val="21"/>
                    </w:rPr>
                  </w:pPr>
                </w:p>
              </w:tc>
              <w:tc>
                <w:tcPr>
                  <w:tcW w:w="662" w:type="dxa"/>
                  <w:noWrap w:val="0"/>
                  <w:vAlign w:val="center"/>
                </w:tcPr>
                <w:p>
                  <w:pPr>
                    <w:topLinePunct/>
                    <w:snapToGrid w:val="0"/>
                    <w:jc w:val="center"/>
                    <w:rPr>
                      <w:color w:val="auto"/>
                      <w:szCs w:val="21"/>
                    </w:rPr>
                  </w:pPr>
                  <w:r>
                    <w:rPr>
                      <w:rFonts w:hint="eastAsia"/>
                      <w:color w:val="auto"/>
                      <w:szCs w:val="21"/>
                    </w:rPr>
                    <w:t>1200</w:t>
                  </w:r>
                </w:p>
              </w:tc>
            </w:tr>
          </w:tbl>
          <w:p>
            <w:pPr>
              <w:topLinePunct/>
              <w:snapToGrid w:val="0"/>
              <w:jc w:val="center"/>
              <w:rPr>
                <w:b/>
                <w:bCs/>
                <w:color w:val="auto"/>
                <w:kern w:val="0"/>
                <w:sz w:val="24"/>
              </w:rPr>
            </w:pPr>
          </w:p>
          <w:p>
            <w:pPr>
              <w:topLinePunct/>
              <w:snapToGrid w:val="0"/>
              <w:spacing w:line="360" w:lineRule="auto"/>
              <w:ind w:firstLine="482" w:firstLineChars="200"/>
              <w:rPr>
                <w:b/>
                <w:bCs/>
                <w:color w:val="auto"/>
                <w:kern w:val="0"/>
                <w:sz w:val="24"/>
              </w:rPr>
            </w:pPr>
            <w:r>
              <w:rPr>
                <w:b/>
                <w:bCs/>
                <w:color w:val="auto"/>
                <w:kern w:val="0"/>
                <w:sz w:val="24"/>
              </w:rPr>
              <w:t>2.源强核算</w:t>
            </w:r>
          </w:p>
          <w:p>
            <w:pPr>
              <w:topLinePunct/>
              <w:snapToGrid w:val="0"/>
              <w:spacing w:line="360" w:lineRule="auto"/>
              <w:ind w:firstLine="480" w:firstLineChars="200"/>
              <w:rPr>
                <w:color w:val="auto"/>
                <w:kern w:val="0"/>
                <w:sz w:val="24"/>
              </w:rPr>
            </w:pPr>
            <w:r>
              <w:rPr>
                <w:color w:val="auto"/>
                <w:kern w:val="0"/>
                <w:sz w:val="24"/>
              </w:rPr>
              <w:t>本项目主要噪声为：</w:t>
            </w:r>
            <w:r>
              <w:rPr>
                <w:bCs/>
                <w:color w:val="auto"/>
                <w:spacing w:val="-10"/>
                <w:sz w:val="24"/>
              </w:rPr>
              <w:t>生产设备、辅助设备、环保设备等</w:t>
            </w:r>
            <w:r>
              <w:rPr>
                <w:color w:val="auto"/>
                <w:kern w:val="0"/>
                <w:sz w:val="24"/>
              </w:rPr>
              <w:t>运行产生的噪声，项目主要噪声源强核算详见下表：</w:t>
            </w:r>
          </w:p>
          <w:p>
            <w:pPr>
              <w:topLinePunct/>
              <w:snapToGrid w:val="0"/>
              <w:jc w:val="center"/>
              <w:rPr>
                <w:b/>
                <w:bCs/>
                <w:color w:val="auto"/>
                <w:kern w:val="0"/>
                <w:sz w:val="24"/>
              </w:rPr>
            </w:pPr>
            <w:r>
              <w:rPr>
                <w:b/>
                <w:bCs/>
                <w:color w:val="auto"/>
                <w:kern w:val="0"/>
                <w:sz w:val="24"/>
              </w:rPr>
              <w:t>表4-9 本项目噪声源源强核算一览表</w:t>
            </w:r>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280"/>
              <w:gridCol w:w="663"/>
              <w:gridCol w:w="662"/>
              <w:gridCol w:w="1065"/>
              <w:gridCol w:w="930"/>
              <w:gridCol w:w="1593"/>
              <w:gridCol w:w="824"/>
              <w:gridCol w:w="858"/>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restart"/>
                  <w:noWrap w:val="0"/>
                  <w:vAlign w:val="center"/>
                </w:tcPr>
                <w:p>
                  <w:pPr>
                    <w:topLinePunct/>
                    <w:snapToGrid w:val="0"/>
                    <w:jc w:val="center"/>
                    <w:rPr>
                      <w:b/>
                      <w:bCs/>
                      <w:color w:val="auto"/>
                      <w:sz w:val="18"/>
                      <w:szCs w:val="18"/>
                    </w:rPr>
                  </w:pPr>
                  <w:r>
                    <w:rPr>
                      <w:b/>
                      <w:bCs/>
                      <w:color w:val="auto"/>
                      <w:sz w:val="18"/>
                      <w:szCs w:val="18"/>
                    </w:rPr>
                    <w:t>噪声源</w:t>
                  </w:r>
                </w:p>
              </w:tc>
              <w:tc>
                <w:tcPr>
                  <w:tcW w:w="691" w:type="pct"/>
                  <w:vMerge w:val="restart"/>
                  <w:noWrap w:val="0"/>
                  <w:vAlign w:val="center"/>
                </w:tcPr>
                <w:p>
                  <w:pPr>
                    <w:topLinePunct/>
                    <w:snapToGrid w:val="0"/>
                    <w:jc w:val="center"/>
                    <w:rPr>
                      <w:b/>
                      <w:bCs/>
                      <w:color w:val="auto"/>
                      <w:sz w:val="18"/>
                      <w:szCs w:val="18"/>
                    </w:rPr>
                  </w:pPr>
                  <w:r>
                    <w:rPr>
                      <w:b/>
                      <w:bCs/>
                      <w:color w:val="auto"/>
                      <w:sz w:val="18"/>
                      <w:szCs w:val="18"/>
                    </w:rPr>
                    <w:t>设备</w:t>
                  </w:r>
                </w:p>
                <w:p>
                  <w:pPr>
                    <w:topLinePunct/>
                    <w:snapToGrid w:val="0"/>
                    <w:jc w:val="center"/>
                    <w:rPr>
                      <w:b/>
                      <w:bCs/>
                      <w:color w:val="auto"/>
                      <w:sz w:val="18"/>
                      <w:szCs w:val="18"/>
                    </w:rPr>
                  </w:pPr>
                  <w:r>
                    <w:rPr>
                      <w:b/>
                      <w:bCs/>
                      <w:color w:val="auto"/>
                      <w:sz w:val="18"/>
                      <w:szCs w:val="18"/>
                    </w:rPr>
                    <w:t>名称</w:t>
                  </w:r>
                </w:p>
              </w:tc>
              <w:tc>
                <w:tcPr>
                  <w:tcW w:w="358" w:type="pct"/>
                  <w:vMerge w:val="restart"/>
                  <w:noWrap w:val="0"/>
                  <w:vAlign w:val="center"/>
                </w:tcPr>
                <w:p>
                  <w:pPr>
                    <w:topLinePunct/>
                    <w:snapToGrid w:val="0"/>
                    <w:jc w:val="center"/>
                    <w:rPr>
                      <w:b/>
                      <w:bCs/>
                      <w:color w:val="auto"/>
                      <w:sz w:val="18"/>
                      <w:szCs w:val="18"/>
                    </w:rPr>
                  </w:pPr>
                  <w:r>
                    <w:rPr>
                      <w:b/>
                      <w:bCs/>
                      <w:color w:val="auto"/>
                      <w:sz w:val="18"/>
                      <w:szCs w:val="18"/>
                    </w:rPr>
                    <w:t>声源类型</w:t>
                  </w:r>
                </w:p>
              </w:tc>
              <w:tc>
                <w:tcPr>
                  <w:tcW w:w="934" w:type="pct"/>
                  <w:gridSpan w:val="2"/>
                  <w:noWrap w:val="0"/>
                  <w:vAlign w:val="center"/>
                </w:tcPr>
                <w:p>
                  <w:pPr>
                    <w:topLinePunct/>
                    <w:snapToGrid w:val="0"/>
                    <w:jc w:val="center"/>
                    <w:rPr>
                      <w:b/>
                      <w:bCs/>
                      <w:color w:val="auto"/>
                      <w:sz w:val="18"/>
                      <w:szCs w:val="18"/>
                    </w:rPr>
                  </w:pPr>
                  <w:r>
                    <w:rPr>
                      <w:b/>
                      <w:bCs/>
                      <w:color w:val="auto"/>
                      <w:sz w:val="18"/>
                      <w:szCs w:val="18"/>
                    </w:rPr>
                    <w:t>噪声源强</w:t>
                  </w:r>
                </w:p>
              </w:tc>
              <w:tc>
                <w:tcPr>
                  <w:tcW w:w="503" w:type="pct"/>
                  <w:vMerge w:val="restart"/>
                  <w:noWrap w:val="0"/>
                  <w:vAlign w:val="center"/>
                </w:tcPr>
                <w:p>
                  <w:pPr>
                    <w:topLinePunct/>
                    <w:snapToGrid w:val="0"/>
                    <w:jc w:val="center"/>
                    <w:rPr>
                      <w:b/>
                      <w:bCs/>
                      <w:color w:val="auto"/>
                      <w:sz w:val="18"/>
                      <w:szCs w:val="18"/>
                    </w:rPr>
                  </w:pPr>
                  <w:r>
                    <w:rPr>
                      <w:b/>
                      <w:bCs/>
                      <w:color w:val="auto"/>
                      <w:sz w:val="18"/>
                      <w:szCs w:val="18"/>
                    </w:rPr>
                    <w:t>叠加</w:t>
                  </w:r>
                </w:p>
                <w:p>
                  <w:pPr>
                    <w:topLinePunct/>
                    <w:snapToGrid w:val="0"/>
                    <w:jc w:val="center"/>
                    <w:rPr>
                      <w:b/>
                      <w:bCs/>
                      <w:color w:val="auto"/>
                      <w:sz w:val="18"/>
                      <w:szCs w:val="18"/>
                    </w:rPr>
                  </w:pPr>
                  <w:r>
                    <w:rPr>
                      <w:b/>
                      <w:bCs/>
                      <w:color w:val="auto"/>
                      <w:sz w:val="18"/>
                      <w:szCs w:val="18"/>
                    </w:rPr>
                    <w:t>源强/dB(A)</w:t>
                  </w:r>
                </w:p>
              </w:tc>
              <w:tc>
                <w:tcPr>
                  <w:tcW w:w="861" w:type="pct"/>
                  <w:vMerge w:val="restart"/>
                  <w:noWrap w:val="0"/>
                  <w:vAlign w:val="center"/>
                </w:tcPr>
                <w:p>
                  <w:pPr>
                    <w:topLinePunct/>
                    <w:snapToGrid w:val="0"/>
                    <w:jc w:val="center"/>
                    <w:rPr>
                      <w:b/>
                      <w:bCs/>
                      <w:color w:val="auto"/>
                      <w:sz w:val="18"/>
                      <w:szCs w:val="18"/>
                    </w:rPr>
                  </w:pPr>
                  <w:r>
                    <w:rPr>
                      <w:b/>
                      <w:bCs/>
                      <w:color w:val="auto"/>
                      <w:sz w:val="18"/>
                      <w:szCs w:val="18"/>
                    </w:rPr>
                    <w:t>降噪措施</w:t>
                  </w:r>
                </w:p>
              </w:tc>
              <w:tc>
                <w:tcPr>
                  <w:tcW w:w="446" w:type="pct"/>
                  <w:vMerge w:val="restart"/>
                  <w:noWrap w:val="0"/>
                  <w:vAlign w:val="center"/>
                </w:tcPr>
                <w:p>
                  <w:pPr>
                    <w:topLinePunct/>
                    <w:snapToGrid w:val="0"/>
                    <w:jc w:val="center"/>
                    <w:rPr>
                      <w:b/>
                      <w:bCs/>
                      <w:color w:val="auto"/>
                      <w:sz w:val="18"/>
                      <w:szCs w:val="18"/>
                    </w:rPr>
                  </w:pPr>
                  <w:r>
                    <w:rPr>
                      <w:b/>
                      <w:bCs/>
                      <w:color w:val="auto"/>
                      <w:sz w:val="18"/>
                      <w:szCs w:val="18"/>
                    </w:rPr>
                    <w:t>降噪</w:t>
                  </w:r>
                </w:p>
                <w:p>
                  <w:pPr>
                    <w:topLinePunct/>
                    <w:snapToGrid w:val="0"/>
                    <w:jc w:val="center"/>
                    <w:rPr>
                      <w:b/>
                      <w:bCs/>
                      <w:color w:val="auto"/>
                      <w:sz w:val="18"/>
                      <w:szCs w:val="18"/>
                    </w:rPr>
                  </w:pPr>
                  <w:r>
                    <w:rPr>
                      <w:b/>
                      <w:bCs/>
                      <w:color w:val="auto"/>
                      <w:sz w:val="18"/>
                      <w:szCs w:val="18"/>
                    </w:rPr>
                    <w:t>效果</w:t>
                  </w:r>
                </w:p>
                <w:p>
                  <w:pPr>
                    <w:topLinePunct/>
                    <w:snapToGrid w:val="0"/>
                    <w:jc w:val="center"/>
                    <w:rPr>
                      <w:b/>
                      <w:bCs/>
                      <w:color w:val="auto"/>
                      <w:sz w:val="18"/>
                      <w:szCs w:val="18"/>
                    </w:rPr>
                  </w:pPr>
                  <w:r>
                    <w:rPr>
                      <w:b/>
                      <w:bCs/>
                      <w:color w:val="auto"/>
                      <w:sz w:val="18"/>
                      <w:szCs w:val="18"/>
                    </w:rPr>
                    <w:t>/dB(A)</w:t>
                  </w:r>
                </w:p>
              </w:tc>
              <w:tc>
                <w:tcPr>
                  <w:tcW w:w="464" w:type="pct"/>
                  <w:vMerge w:val="restart"/>
                  <w:noWrap w:val="0"/>
                  <w:vAlign w:val="center"/>
                </w:tcPr>
                <w:p>
                  <w:pPr>
                    <w:topLinePunct/>
                    <w:snapToGrid w:val="0"/>
                    <w:jc w:val="center"/>
                    <w:rPr>
                      <w:b/>
                      <w:bCs/>
                      <w:color w:val="auto"/>
                      <w:sz w:val="18"/>
                      <w:szCs w:val="18"/>
                    </w:rPr>
                  </w:pPr>
                  <w:r>
                    <w:rPr>
                      <w:b/>
                      <w:bCs/>
                      <w:color w:val="auto"/>
                      <w:sz w:val="18"/>
                      <w:szCs w:val="18"/>
                    </w:rPr>
                    <w:t>排放</w:t>
                  </w:r>
                </w:p>
                <w:p>
                  <w:pPr>
                    <w:topLinePunct/>
                    <w:snapToGrid w:val="0"/>
                    <w:jc w:val="center"/>
                    <w:rPr>
                      <w:b/>
                      <w:bCs/>
                      <w:color w:val="auto"/>
                      <w:sz w:val="18"/>
                      <w:szCs w:val="18"/>
                    </w:rPr>
                  </w:pPr>
                  <w:r>
                    <w:rPr>
                      <w:b/>
                      <w:bCs/>
                      <w:color w:val="auto"/>
                      <w:sz w:val="18"/>
                      <w:szCs w:val="18"/>
                    </w:rPr>
                    <w:t>强度/dB(A)</w:t>
                  </w:r>
                </w:p>
              </w:tc>
              <w:tc>
                <w:tcPr>
                  <w:tcW w:w="376" w:type="pct"/>
                  <w:vMerge w:val="restart"/>
                  <w:noWrap w:val="0"/>
                  <w:vAlign w:val="center"/>
                </w:tcPr>
                <w:p>
                  <w:pPr>
                    <w:topLinePunct/>
                    <w:snapToGrid w:val="0"/>
                    <w:jc w:val="center"/>
                    <w:rPr>
                      <w:b/>
                      <w:bCs/>
                      <w:color w:val="auto"/>
                      <w:sz w:val="18"/>
                      <w:szCs w:val="18"/>
                    </w:rPr>
                  </w:pPr>
                  <w:r>
                    <w:rPr>
                      <w:b/>
                      <w:bCs/>
                      <w:color w:val="auto"/>
                      <w:sz w:val="18"/>
                      <w:szCs w:val="18"/>
                    </w:rPr>
                    <w:t>持续时间</w:t>
                  </w:r>
                </w:p>
                <w:p>
                  <w:pPr>
                    <w:topLinePunct/>
                    <w:snapToGrid w:val="0"/>
                    <w:jc w:val="center"/>
                    <w:rPr>
                      <w:b/>
                      <w:bCs/>
                      <w:color w:val="auto"/>
                      <w:sz w:val="18"/>
                      <w:szCs w:val="18"/>
                    </w:rPr>
                  </w:pPr>
                  <w:r>
                    <w:rPr>
                      <w:b/>
                      <w:bCs/>
                      <w:color w:val="auto"/>
                      <w:sz w:val="18"/>
                      <w:szCs w:val="18"/>
                    </w:rPr>
                    <w:t>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63" w:type="pct"/>
                  <w:vMerge w:val="continue"/>
                  <w:noWrap w:val="0"/>
                  <w:vAlign w:val="center"/>
                </w:tcPr>
                <w:p>
                  <w:pPr>
                    <w:topLinePunct/>
                    <w:snapToGrid w:val="0"/>
                    <w:jc w:val="center"/>
                    <w:rPr>
                      <w:color w:val="auto"/>
                      <w:sz w:val="18"/>
                      <w:szCs w:val="18"/>
                    </w:rPr>
                  </w:pPr>
                </w:p>
              </w:tc>
              <w:tc>
                <w:tcPr>
                  <w:tcW w:w="691" w:type="pct"/>
                  <w:vMerge w:val="continue"/>
                  <w:noWrap w:val="0"/>
                  <w:vAlign w:val="center"/>
                </w:tcPr>
                <w:p>
                  <w:pPr>
                    <w:topLinePunct/>
                    <w:snapToGrid w:val="0"/>
                    <w:jc w:val="center"/>
                    <w:rPr>
                      <w:color w:val="auto"/>
                      <w:sz w:val="18"/>
                      <w:szCs w:val="18"/>
                    </w:rPr>
                  </w:pPr>
                </w:p>
              </w:tc>
              <w:tc>
                <w:tcPr>
                  <w:tcW w:w="358" w:type="pct"/>
                  <w:vMerge w:val="continue"/>
                  <w:noWrap w:val="0"/>
                  <w:vAlign w:val="center"/>
                </w:tcPr>
                <w:p>
                  <w:pPr>
                    <w:topLinePunct/>
                    <w:snapToGrid w:val="0"/>
                    <w:jc w:val="center"/>
                    <w:rPr>
                      <w:color w:val="auto"/>
                      <w:sz w:val="18"/>
                      <w:szCs w:val="18"/>
                    </w:rPr>
                  </w:pPr>
                </w:p>
              </w:tc>
              <w:tc>
                <w:tcPr>
                  <w:tcW w:w="358" w:type="pct"/>
                  <w:noWrap w:val="0"/>
                  <w:vAlign w:val="center"/>
                </w:tcPr>
                <w:p>
                  <w:pPr>
                    <w:topLinePunct/>
                    <w:snapToGrid w:val="0"/>
                    <w:jc w:val="center"/>
                    <w:rPr>
                      <w:b/>
                      <w:bCs/>
                      <w:color w:val="auto"/>
                      <w:sz w:val="18"/>
                      <w:szCs w:val="18"/>
                    </w:rPr>
                  </w:pPr>
                  <w:r>
                    <w:rPr>
                      <w:b/>
                      <w:bCs/>
                      <w:color w:val="auto"/>
                      <w:sz w:val="18"/>
                      <w:szCs w:val="18"/>
                    </w:rPr>
                    <w:t>核算方法</w:t>
                  </w:r>
                </w:p>
              </w:tc>
              <w:tc>
                <w:tcPr>
                  <w:tcW w:w="576" w:type="pct"/>
                  <w:noWrap w:val="0"/>
                  <w:vAlign w:val="center"/>
                </w:tcPr>
                <w:p>
                  <w:pPr>
                    <w:topLinePunct/>
                    <w:snapToGrid w:val="0"/>
                    <w:jc w:val="center"/>
                    <w:rPr>
                      <w:b/>
                      <w:bCs/>
                      <w:color w:val="auto"/>
                      <w:sz w:val="18"/>
                      <w:szCs w:val="18"/>
                    </w:rPr>
                  </w:pPr>
                  <w:r>
                    <w:rPr>
                      <w:b/>
                      <w:bCs/>
                      <w:color w:val="auto"/>
                      <w:sz w:val="18"/>
                      <w:szCs w:val="18"/>
                    </w:rPr>
                    <w:t>距声源1m处声压级/dB(A)</w:t>
                  </w:r>
                </w:p>
              </w:tc>
              <w:tc>
                <w:tcPr>
                  <w:tcW w:w="503" w:type="pct"/>
                  <w:vMerge w:val="continue"/>
                  <w:noWrap w:val="0"/>
                  <w:vAlign w:val="center"/>
                </w:tcPr>
                <w:p>
                  <w:pPr>
                    <w:topLinePunct/>
                    <w:snapToGrid w:val="0"/>
                    <w:jc w:val="center"/>
                    <w:rPr>
                      <w:b/>
                      <w:bCs/>
                      <w:color w:val="auto"/>
                      <w:sz w:val="18"/>
                      <w:szCs w:val="18"/>
                    </w:rPr>
                  </w:pPr>
                </w:p>
              </w:tc>
              <w:tc>
                <w:tcPr>
                  <w:tcW w:w="861" w:type="pct"/>
                  <w:vMerge w:val="continue"/>
                  <w:noWrap w:val="0"/>
                  <w:vAlign w:val="center"/>
                </w:tcPr>
                <w:p>
                  <w:pPr>
                    <w:topLinePunct/>
                    <w:snapToGrid w:val="0"/>
                    <w:jc w:val="center"/>
                    <w:rPr>
                      <w:b/>
                      <w:bCs/>
                      <w:color w:val="auto"/>
                      <w:sz w:val="18"/>
                      <w:szCs w:val="18"/>
                    </w:rPr>
                  </w:pPr>
                </w:p>
              </w:tc>
              <w:tc>
                <w:tcPr>
                  <w:tcW w:w="446" w:type="pct"/>
                  <w:vMerge w:val="continue"/>
                  <w:noWrap w:val="0"/>
                  <w:vAlign w:val="center"/>
                </w:tcPr>
                <w:p>
                  <w:pPr>
                    <w:topLinePunct/>
                    <w:snapToGrid w:val="0"/>
                    <w:jc w:val="center"/>
                    <w:rPr>
                      <w:b/>
                      <w:bCs/>
                      <w:color w:val="auto"/>
                      <w:sz w:val="18"/>
                      <w:szCs w:val="18"/>
                    </w:rPr>
                  </w:pPr>
                </w:p>
              </w:tc>
              <w:tc>
                <w:tcPr>
                  <w:tcW w:w="464" w:type="pct"/>
                  <w:vMerge w:val="continue"/>
                  <w:noWrap w:val="0"/>
                  <w:vAlign w:val="center"/>
                </w:tcPr>
                <w:p>
                  <w:pPr>
                    <w:topLinePunct/>
                    <w:snapToGrid w:val="0"/>
                    <w:jc w:val="center"/>
                    <w:rPr>
                      <w:b/>
                      <w:bCs/>
                      <w:color w:val="auto"/>
                      <w:sz w:val="18"/>
                      <w:szCs w:val="18"/>
                    </w:rPr>
                  </w:pPr>
                </w:p>
              </w:tc>
              <w:tc>
                <w:tcPr>
                  <w:tcW w:w="376" w:type="pct"/>
                  <w:vMerge w:val="continue"/>
                  <w:noWrap w:val="0"/>
                  <w:vAlign w:val="center"/>
                </w:tcPr>
                <w:p>
                  <w:pPr>
                    <w:topLinePunct/>
                    <w:snapToGrid w:val="0"/>
                    <w:jc w:val="center"/>
                    <w:rPr>
                      <w:b/>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restart"/>
                  <w:noWrap w:val="0"/>
                  <w:vAlign w:val="center"/>
                </w:tcPr>
                <w:p>
                  <w:pPr>
                    <w:topLinePunct/>
                    <w:snapToGrid w:val="0"/>
                    <w:jc w:val="center"/>
                    <w:rPr>
                      <w:color w:val="auto"/>
                      <w:sz w:val="18"/>
                      <w:szCs w:val="18"/>
                    </w:rPr>
                  </w:pPr>
                  <w:r>
                    <w:rPr>
                      <w:color w:val="auto"/>
                      <w:sz w:val="18"/>
                      <w:szCs w:val="18"/>
                    </w:rPr>
                    <w:t>生产区</w:t>
                  </w:r>
                </w:p>
              </w:tc>
              <w:tc>
                <w:tcPr>
                  <w:tcW w:w="1275" w:type="dxa"/>
                  <w:noWrap w:val="0"/>
                  <w:vAlign w:val="center"/>
                </w:tcPr>
                <w:p>
                  <w:pPr>
                    <w:snapToGrid w:val="0"/>
                    <w:spacing w:line="20" w:lineRule="atLeast"/>
                    <w:jc w:val="center"/>
                    <w:rPr>
                      <w:color w:val="auto"/>
                      <w:sz w:val="18"/>
                      <w:szCs w:val="18"/>
                    </w:rPr>
                  </w:pPr>
                  <w:r>
                    <w:rPr>
                      <w:color w:val="auto"/>
                      <w:sz w:val="18"/>
                      <w:szCs w:val="18"/>
                    </w:rPr>
                    <w:t>原生料冷料系统</w:t>
                  </w:r>
                </w:p>
              </w:tc>
              <w:tc>
                <w:tcPr>
                  <w:tcW w:w="358" w:type="pct"/>
                  <w:noWrap w:val="0"/>
                  <w:vAlign w:val="center"/>
                </w:tcPr>
                <w:p>
                  <w:pPr>
                    <w:topLinePunct/>
                    <w:snapToGrid w:val="0"/>
                    <w:jc w:val="center"/>
                    <w:rPr>
                      <w:color w:val="auto"/>
                      <w:sz w:val="18"/>
                      <w:szCs w:val="18"/>
                    </w:rPr>
                  </w:pPr>
                  <w:r>
                    <w:rPr>
                      <w:color w:val="auto"/>
                      <w:sz w:val="18"/>
                      <w:szCs w:val="18"/>
                    </w:rPr>
                    <w:t>频发</w:t>
                  </w:r>
                </w:p>
              </w:tc>
              <w:tc>
                <w:tcPr>
                  <w:tcW w:w="358" w:type="pct"/>
                  <w:noWrap w:val="0"/>
                  <w:vAlign w:val="center"/>
                </w:tcPr>
                <w:p>
                  <w:pPr>
                    <w:topLinePunct/>
                    <w:snapToGrid w:val="0"/>
                    <w:jc w:val="center"/>
                    <w:rPr>
                      <w:color w:val="auto"/>
                      <w:sz w:val="18"/>
                      <w:szCs w:val="18"/>
                    </w:rPr>
                  </w:pPr>
                  <w:r>
                    <w:rPr>
                      <w:color w:val="auto"/>
                      <w:sz w:val="18"/>
                      <w:szCs w:val="18"/>
                    </w:rPr>
                    <w:t>类比</w:t>
                  </w:r>
                </w:p>
              </w:tc>
              <w:tc>
                <w:tcPr>
                  <w:tcW w:w="1063" w:type="dxa"/>
                  <w:noWrap w:val="0"/>
                  <w:vAlign w:val="center"/>
                </w:tcPr>
                <w:p>
                  <w:pPr>
                    <w:topLinePunct/>
                    <w:snapToGrid w:val="0"/>
                    <w:jc w:val="center"/>
                    <w:rPr>
                      <w:color w:val="auto"/>
                      <w:sz w:val="18"/>
                      <w:szCs w:val="18"/>
                    </w:rPr>
                  </w:pPr>
                  <w:r>
                    <w:rPr>
                      <w:rFonts w:hint="eastAsia"/>
                      <w:color w:val="auto"/>
                      <w:sz w:val="18"/>
                      <w:szCs w:val="18"/>
                    </w:rPr>
                    <w:t>75</w:t>
                  </w:r>
                </w:p>
              </w:tc>
              <w:tc>
                <w:tcPr>
                  <w:tcW w:w="503" w:type="pct"/>
                  <w:vMerge w:val="restart"/>
                  <w:noWrap w:val="0"/>
                  <w:vAlign w:val="center"/>
                </w:tcPr>
                <w:p>
                  <w:pPr>
                    <w:widowControl/>
                    <w:jc w:val="center"/>
                    <w:textAlignment w:val="center"/>
                    <w:rPr>
                      <w:color w:val="auto"/>
                      <w:kern w:val="0"/>
                      <w:sz w:val="18"/>
                      <w:szCs w:val="18"/>
                      <w:lang w:bidi="ar"/>
                    </w:rPr>
                  </w:pPr>
                  <w:r>
                    <w:rPr>
                      <w:rFonts w:hint="eastAsia"/>
                      <w:color w:val="auto"/>
                      <w:kern w:val="0"/>
                      <w:sz w:val="18"/>
                      <w:szCs w:val="18"/>
                      <w:lang w:bidi="ar"/>
                    </w:rPr>
                    <w:t>89</w:t>
                  </w:r>
                </w:p>
              </w:tc>
              <w:tc>
                <w:tcPr>
                  <w:tcW w:w="861" w:type="pct"/>
                  <w:vMerge w:val="restart"/>
                  <w:noWrap w:val="0"/>
                  <w:vAlign w:val="center"/>
                </w:tcPr>
                <w:p>
                  <w:pPr>
                    <w:topLinePunct/>
                    <w:snapToGrid w:val="0"/>
                    <w:jc w:val="center"/>
                    <w:rPr>
                      <w:color w:val="auto"/>
                      <w:sz w:val="18"/>
                      <w:szCs w:val="18"/>
                    </w:rPr>
                  </w:pPr>
                  <w:r>
                    <w:rPr>
                      <w:color w:val="auto"/>
                      <w:sz w:val="18"/>
                      <w:szCs w:val="18"/>
                    </w:rPr>
                    <w:t>选用精度高、装配质量好、噪声低的设备；合理布局，利用构筑物、建筑物等来阻隔噪声的传播；高噪声车间考虑使用隔声、吸声材料；加强设备管理；合理安排生产时间。</w:t>
                  </w:r>
                </w:p>
              </w:tc>
              <w:tc>
                <w:tcPr>
                  <w:tcW w:w="446" w:type="pct"/>
                  <w:vMerge w:val="restart"/>
                  <w:noWrap w:val="0"/>
                  <w:vAlign w:val="center"/>
                </w:tcPr>
                <w:p>
                  <w:pPr>
                    <w:topLinePunct/>
                    <w:snapToGrid w:val="0"/>
                    <w:jc w:val="center"/>
                    <w:rPr>
                      <w:color w:val="auto"/>
                      <w:sz w:val="18"/>
                      <w:szCs w:val="18"/>
                    </w:rPr>
                  </w:pPr>
                  <w:r>
                    <w:rPr>
                      <w:color w:val="auto"/>
                      <w:sz w:val="18"/>
                      <w:szCs w:val="18"/>
                    </w:rPr>
                    <w:t>25</w:t>
                  </w:r>
                </w:p>
              </w:tc>
              <w:tc>
                <w:tcPr>
                  <w:tcW w:w="464" w:type="pct"/>
                  <w:vMerge w:val="restart"/>
                  <w:noWrap w:val="0"/>
                  <w:vAlign w:val="center"/>
                </w:tcPr>
                <w:p>
                  <w:pPr>
                    <w:topLinePunct/>
                    <w:snapToGrid w:val="0"/>
                    <w:jc w:val="center"/>
                    <w:rPr>
                      <w:color w:val="auto"/>
                      <w:sz w:val="18"/>
                      <w:szCs w:val="18"/>
                    </w:rPr>
                  </w:pPr>
                  <w:r>
                    <w:rPr>
                      <w:rFonts w:hint="eastAsia"/>
                      <w:color w:val="auto"/>
                      <w:sz w:val="18"/>
                      <w:szCs w:val="18"/>
                    </w:rPr>
                    <w:t>64</w:t>
                  </w:r>
                </w:p>
              </w:tc>
              <w:tc>
                <w:tcPr>
                  <w:tcW w:w="376" w:type="pct"/>
                  <w:noWrap w:val="0"/>
                  <w:vAlign w:val="center"/>
                </w:tcPr>
                <w:p>
                  <w:pPr>
                    <w:topLinePunct/>
                    <w:snapToGrid w:val="0"/>
                    <w:jc w:val="center"/>
                    <w:rPr>
                      <w:rFonts w:hint="eastAsia"/>
                      <w:color w:val="auto"/>
                      <w:sz w:val="18"/>
                      <w:szCs w:val="18"/>
                    </w:rPr>
                  </w:pPr>
                  <w:r>
                    <w:rPr>
                      <w:rFonts w:hint="eastAsia"/>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noWrap w:val="0"/>
                  <w:vAlign w:val="center"/>
                </w:tcPr>
                <w:p>
                  <w:pPr>
                    <w:topLinePunct/>
                    <w:snapToGrid w:val="0"/>
                    <w:jc w:val="center"/>
                    <w:rPr>
                      <w:color w:val="auto"/>
                      <w:sz w:val="18"/>
                      <w:szCs w:val="18"/>
                    </w:rPr>
                  </w:pPr>
                </w:p>
              </w:tc>
              <w:tc>
                <w:tcPr>
                  <w:tcW w:w="1275" w:type="dxa"/>
                  <w:noWrap w:val="0"/>
                  <w:vAlign w:val="center"/>
                </w:tcPr>
                <w:p>
                  <w:pPr>
                    <w:snapToGrid w:val="0"/>
                    <w:spacing w:line="20" w:lineRule="atLeast"/>
                    <w:jc w:val="center"/>
                    <w:rPr>
                      <w:color w:val="auto"/>
                      <w:sz w:val="18"/>
                      <w:szCs w:val="18"/>
                    </w:rPr>
                  </w:pPr>
                  <w:r>
                    <w:rPr>
                      <w:color w:val="auto"/>
                      <w:sz w:val="18"/>
                      <w:szCs w:val="18"/>
                    </w:rPr>
                    <w:t>原生料烘干系统</w:t>
                  </w:r>
                </w:p>
              </w:tc>
              <w:tc>
                <w:tcPr>
                  <w:tcW w:w="358" w:type="pct"/>
                  <w:noWrap w:val="0"/>
                  <w:vAlign w:val="center"/>
                </w:tcPr>
                <w:p>
                  <w:pPr>
                    <w:topLinePunct/>
                    <w:snapToGrid w:val="0"/>
                    <w:jc w:val="center"/>
                    <w:rPr>
                      <w:color w:val="auto"/>
                      <w:sz w:val="18"/>
                      <w:szCs w:val="18"/>
                    </w:rPr>
                  </w:pPr>
                  <w:r>
                    <w:rPr>
                      <w:color w:val="auto"/>
                      <w:sz w:val="18"/>
                      <w:szCs w:val="18"/>
                    </w:rPr>
                    <w:t>频发</w:t>
                  </w:r>
                </w:p>
              </w:tc>
              <w:tc>
                <w:tcPr>
                  <w:tcW w:w="358" w:type="pct"/>
                  <w:noWrap w:val="0"/>
                  <w:vAlign w:val="center"/>
                </w:tcPr>
                <w:p>
                  <w:pPr>
                    <w:topLinePunct/>
                    <w:snapToGrid w:val="0"/>
                    <w:jc w:val="center"/>
                    <w:rPr>
                      <w:color w:val="auto"/>
                      <w:sz w:val="18"/>
                      <w:szCs w:val="18"/>
                    </w:rPr>
                  </w:pPr>
                  <w:r>
                    <w:rPr>
                      <w:color w:val="auto"/>
                      <w:sz w:val="18"/>
                      <w:szCs w:val="18"/>
                    </w:rPr>
                    <w:t>类比</w:t>
                  </w:r>
                </w:p>
              </w:tc>
              <w:tc>
                <w:tcPr>
                  <w:tcW w:w="1063" w:type="dxa"/>
                  <w:noWrap w:val="0"/>
                  <w:vAlign w:val="center"/>
                </w:tcPr>
                <w:p>
                  <w:pPr>
                    <w:topLinePunct/>
                    <w:snapToGrid w:val="0"/>
                    <w:jc w:val="center"/>
                    <w:rPr>
                      <w:color w:val="auto"/>
                      <w:sz w:val="18"/>
                      <w:szCs w:val="18"/>
                    </w:rPr>
                  </w:pPr>
                  <w:r>
                    <w:rPr>
                      <w:color w:val="auto"/>
                      <w:sz w:val="18"/>
                      <w:szCs w:val="18"/>
                    </w:rPr>
                    <w:t>75</w:t>
                  </w:r>
                </w:p>
              </w:tc>
              <w:tc>
                <w:tcPr>
                  <w:tcW w:w="503" w:type="pct"/>
                  <w:vMerge w:val="continue"/>
                  <w:noWrap w:val="0"/>
                  <w:vAlign w:val="center"/>
                </w:tcPr>
                <w:p>
                  <w:pPr>
                    <w:widowControl/>
                    <w:jc w:val="center"/>
                    <w:textAlignment w:val="center"/>
                    <w:rPr>
                      <w:color w:val="auto"/>
                      <w:kern w:val="0"/>
                      <w:sz w:val="18"/>
                      <w:szCs w:val="18"/>
                      <w:lang w:bidi="ar"/>
                    </w:rPr>
                  </w:pPr>
                </w:p>
              </w:tc>
              <w:tc>
                <w:tcPr>
                  <w:tcW w:w="861" w:type="pct"/>
                  <w:vMerge w:val="continue"/>
                  <w:noWrap w:val="0"/>
                  <w:vAlign w:val="center"/>
                </w:tcPr>
                <w:p>
                  <w:pPr>
                    <w:topLinePunct/>
                    <w:snapToGrid w:val="0"/>
                    <w:jc w:val="center"/>
                    <w:rPr>
                      <w:color w:val="auto"/>
                      <w:sz w:val="18"/>
                      <w:szCs w:val="18"/>
                    </w:rPr>
                  </w:pPr>
                </w:p>
              </w:tc>
              <w:tc>
                <w:tcPr>
                  <w:tcW w:w="446" w:type="pct"/>
                  <w:vMerge w:val="continue"/>
                  <w:noWrap w:val="0"/>
                  <w:vAlign w:val="center"/>
                </w:tcPr>
                <w:p>
                  <w:pPr>
                    <w:topLinePunct/>
                    <w:snapToGrid w:val="0"/>
                    <w:jc w:val="center"/>
                    <w:rPr>
                      <w:color w:val="auto"/>
                      <w:sz w:val="18"/>
                      <w:szCs w:val="18"/>
                    </w:rPr>
                  </w:pPr>
                </w:p>
              </w:tc>
              <w:tc>
                <w:tcPr>
                  <w:tcW w:w="464" w:type="pct"/>
                  <w:vMerge w:val="continue"/>
                  <w:noWrap w:val="0"/>
                  <w:vAlign w:val="center"/>
                </w:tcPr>
                <w:p>
                  <w:pPr>
                    <w:topLinePunct/>
                    <w:snapToGrid w:val="0"/>
                    <w:jc w:val="center"/>
                    <w:rPr>
                      <w:color w:val="auto"/>
                      <w:sz w:val="18"/>
                      <w:szCs w:val="18"/>
                    </w:rPr>
                  </w:pPr>
                </w:p>
              </w:tc>
              <w:tc>
                <w:tcPr>
                  <w:tcW w:w="697" w:type="dxa"/>
                  <w:noWrap w:val="0"/>
                  <w:vAlign w:val="center"/>
                </w:tcPr>
                <w:p>
                  <w:pPr>
                    <w:topLinePunct/>
                    <w:snapToGrid w:val="0"/>
                    <w:jc w:val="center"/>
                    <w:rPr>
                      <w:color w:val="auto"/>
                      <w:sz w:val="18"/>
                      <w:szCs w:val="18"/>
                    </w:rPr>
                  </w:pPr>
                  <w:r>
                    <w:rPr>
                      <w:rFonts w:hint="eastAsia"/>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noWrap w:val="0"/>
                  <w:vAlign w:val="center"/>
                </w:tcPr>
                <w:p>
                  <w:pPr>
                    <w:topLinePunct/>
                    <w:snapToGrid w:val="0"/>
                    <w:jc w:val="center"/>
                    <w:rPr>
                      <w:color w:val="auto"/>
                      <w:sz w:val="18"/>
                      <w:szCs w:val="18"/>
                    </w:rPr>
                  </w:pPr>
                </w:p>
              </w:tc>
              <w:tc>
                <w:tcPr>
                  <w:tcW w:w="1275" w:type="dxa"/>
                  <w:noWrap w:val="0"/>
                  <w:vAlign w:val="center"/>
                </w:tcPr>
                <w:p>
                  <w:pPr>
                    <w:snapToGrid w:val="0"/>
                    <w:spacing w:line="20" w:lineRule="atLeast"/>
                    <w:jc w:val="center"/>
                    <w:rPr>
                      <w:color w:val="auto"/>
                      <w:sz w:val="18"/>
                      <w:szCs w:val="18"/>
                    </w:rPr>
                  </w:pPr>
                  <w:r>
                    <w:rPr>
                      <w:color w:val="auto"/>
                      <w:sz w:val="18"/>
                      <w:szCs w:val="18"/>
                    </w:rPr>
                    <w:t>除尘系统</w:t>
                  </w:r>
                </w:p>
              </w:tc>
              <w:tc>
                <w:tcPr>
                  <w:tcW w:w="358" w:type="pct"/>
                  <w:noWrap w:val="0"/>
                  <w:vAlign w:val="center"/>
                </w:tcPr>
                <w:p>
                  <w:pPr>
                    <w:topLinePunct/>
                    <w:snapToGrid w:val="0"/>
                    <w:jc w:val="center"/>
                    <w:rPr>
                      <w:color w:val="auto"/>
                      <w:sz w:val="18"/>
                      <w:szCs w:val="18"/>
                    </w:rPr>
                  </w:pPr>
                  <w:r>
                    <w:rPr>
                      <w:color w:val="auto"/>
                      <w:sz w:val="18"/>
                      <w:szCs w:val="18"/>
                    </w:rPr>
                    <w:t>频发</w:t>
                  </w:r>
                </w:p>
              </w:tc>
              <w:tc>
                <w:tcPr>
                  <w:tcW w:w="358" w:type="pct"/>
                  <w:noWrap w:val="0"/>
                  <w:vAlign w:val="center"/>
                </w:tcPr>
                <w:p>
                  <w:pPr>
                    <w:topLinePunct/>
                    <w:snapToGrid w:val="0"/>
                    <w:jc w:val="center"/>
                    <w:rPr>
                      <w:color w:val="auto"/>
                      <w:sz w:val="18"/>
                      <w:szCs w:val="18"/>
                    </w:rPr>
                  </w:pPr>
                  <w:r>
                    <w:rPr>
                      <w:color w:val="auto"/>
                      <w:sz w:val="18"/>
                      <w:szCs w:val="18"/>
                    </w:rPr>
                    <w:t>类比</w:t>
                  </w:r>
                </w:p>
              </w:tc>
              <w:tc>
                <w:tcPr>
                  <w:tcW w:w="1063" w:type="dxa"/>
                  <w:noWrap w:val="0"/>
                  <w:vAlign w:val="center"/>
                </w:tcPr>
                <w:p>
                  <w:pPr>
                    <w:topLinePunct/>
                    <w:snapToGrid w:val="0"/>
                    <w:jc w:val="center"/>
                    <w:rPr>
                      <w:color w:val="auto"/>
                      <w:sz w:val="18"/>
                      <w:szCs w:val="18"/>
                    </w:rPr>
                  </w:pPr>
                  <w:r>
                    <w:rPr>
                      <w:rFonts w:hint="eastAsia"/>
                      <w:color w:val="auto"/>
                      <w:sz w:val="18"/>
                      <w:szCs w:val="18"/>
                    </w:rPr>
                    <w:t>70</w:t>
                  </w:r>
                </w:p>
              </w:tc>
              <w:tc>
                <w:tcPr>
                  <w:tcW w:w="503" w:type="pct"/>
                  <w:vMerge w:val="continue"/>
                  <w:noWrap w:val="0"/>
                  <w:vAlign w:val="center"/>
                </w:tcPr>
                <w:p>
                  <w:pPr>
                    <w:widowControl/>
                    <w:jc w:val="center"/>
                    <w:textAlignment w:val="center"/>
                    <w:rPr>
                      <w:color w:val="auto"/>
                      <w:kern w:val="0"/>
                      <w:sz w:val="18"/>
                      <w:szCs w:val="18"/>
                      <w:lang w:bidi="ar"/>
                    </w:rPr>
                  </w:pPr>
                </w:p>
              </w:tc>
              <w:tc>
                <w:tcPr>
                  <w:tcW w:w="861" w:type="pct"/>
                  <w:vMerge w:val="continue"/>
                  <w:noWrap w:val="0"/>
                  <w:vAlign w:val="center"/>
                </w:tcPr>
                <w:p>
                  <w:pPr>
                    <w:topLinePunct/>
                    <w:snapToGrid w:val="0"/>
                    <w:jc w:val="center"/>
                    <w:rPr>
                      <w:color w:val="auto"/>
                      <w:sz w:val="18"/>
                      <w:szCs w:val="18"/>
                    </w:rPr>
                  </w:pPr>
                </w:p>
              </w:tc>
              <w:tc>
                <w:tcPr>
                  <w:tcW w:w="446" w:type="pct"/>
                  <w:vMerge w:val="continue"/>
                  <w:noWrap w:val="0"/>
                  <w:vAlign w:val="center"/>
                </w:tcPr>
                <w:p>
                  <w:pPr>
                    <w:topLinePunct/>
                    <w:snapToGrid w:val="0"/>
                    <w:jc w:val="center"/>
                    <w:rPr>
                      <w:color w:val="auto"/>
                      <w:sz w:val="18"/>
                      <w:szCs w:val="18"/>
                    </w:rPr>
                  </w:pPr>
                </w:p>
              </w:tc>
              <w:tc>
                <w:tcPr>
                  <w:tcW w:w="464" w:type="pct"/>
                  <w:vMerge w:val="continue"/>
                  <w:noWrap w:val="0"/>
                  <w:vAlign w:val="center"/>
                </w:tcPr>
                <w:p>
                  <w:pPr>
                    <w:topLinePunct/>
                    <w:snapToGrid w:val="0"/>
                    <w:jc w:val="center"/>
                    <w:rPr>
                      <w:color w:val="auto"/>
                      <w:sz w:val="18"/>
                      <w:szCs w:val="18"/>
                    </w:rPr>
                  </w:pPr>
                </w:p>
              </w:tc>
              <w:tc>
                <w:tcPr>
                  <w:tcW w:w="697" w:type="dxa"/>
                  <w:noWrap w:val="0"/>
                  <w:vAlign w:val="center"/>
                </w:tcPr>
                <w:p>
                  <w:pPr>
                    <w:topLinePunct/>
                    <w:snapToGrid w:val="0"/>
                    <w:jc w:val="center"/>
                    <w:rPr>
                      <w:color w:val="auto"/>
                      <w:sz w:val="18"/>
                      <w:szCs w:val="18"/>
                    </w:rPr>
                  </w:pPr>
                  <w:r>
                    <w:rPr>
                      <w:rFonts w:hint="eastAsia"/>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noWrap w:val="0"/>
                  <w:vAlign w:val="center"/>
                </w:tcPr>
                <w:p>
                  <w:pPr>
                    <w:topLinePunct/>
                    <w:snapToGrid w:val="0"/>
                    <w:jc w:val="center"/>
                    <w:rPr>
                      <w:color w:val="auto"/>
                      <w:sz w:val="18"/>
                      <w:szCs w:val="18"/>
                    </w:rPr>
                  </w:pPr>
                </w:p>
              </w:tc>
              <w:tc>
                <w:tcPr>
                  <w:tcW w:w="1275" w:type="dxa"/>
                  <w:noWrap w:val="0"/>
                  <w:vAlign w:val="center"/>
                </w:tcPr>
                <w:p>
                  <w:pPr>
                    <w:snapToGrid w:val="0"/>
                    <w:spacing w:line="20" w:lineRule="atLeast"/>
                    <w:jc w:val="center"/>
                    <w:rPr>
                      <w:color w:val="auto"/>
                      <w:sz w:val="18"/>
                      <w:szCs w:val="18"/>
                    </w:rPr>
                  </w:pPr>
                  <w:r>
                    <w:rPr>
                      <w:color w:val="auto"/>
                      <w:sz w:val="18"/>
                      <w:szCs w:val="18"/>
                    </w:rPr>
                    <w:t>粉料系统</w:t>
                  </w:r>
                </w:p>
              </w:tc>
              <w:tc>
                <w:tcPr>
                  <w:tcW w:w="358" w:type="pct"/>
                  <w:noWrap w:val="0"/>
                  <w:vAlign w:val="center"/>
                </w:tcPr>
                <w:p>
                  <w:pPr>
                    <w:topLinePunct/>
                    <w:snapToGrid w:val="0"/>
                    <w:jc w:val="center"/>
                    <w:rPr>
                      <w:color w:val="auto"/>
                      <w:sz w:val="18"/>
                      <w:szCs w:val="18"/>
                    </w:rPr>
                  </w:pPr>
                  <w:r>
                    <w:rPr>
                      <w:color w:val="auto"/>
                      <w:sz w:val="18"/>
                      <w:szCs w:val="18"/>
                    </w:rPr>
                    <w:t>频发</w:t>
                  </w:r>
                </w:p>
              </w:tc>
              <w:tc>
                <w:tcPr>
                  <w:tcW w:w="358" w:type="pct"/>
                  <w:noWrap w:val="0"/>
                  <w:vAlign w:val="center"/>
                </w:tcPr>
                <w:p>
                  <w:pPr>
                    <w:topLinePunct/>
                    <w:snapToGrid w:val="0"/>
                    <w:jc w:val="center"/>
                    <w:rPr>
                      <w:color w:val="auto"/>
                      <w:sz w:val="18"/>
                      <w:szCs w:val="18"/>
                    </w:rPr>
                  </w:pPr>
                  <w:r>
                    <w:rPr>
                      <w:color w:val="auto"/>
                      <w:sz w:val="18"/>
                      <w:szCs w:val="18"/>
                    </w:rPr>
                    <w:t>类比</w:t>
                  </w:r>
                </w:p>
              </w:tc>
              <w:tc>
                <w:tcPr>
                  <w:tcW w:w="1063" w:type="dxa"/>
                  <w:noWrap w:val="0"/>
                  <w:vAlign w:val="center"/>
                </w:tcPr>
                <w:p>
                  <w:pPr>
                    <w:topLinePunct/>
                    <w:snapToGrid w:val="0"/>
                    <w:jc w:val="center"/>
                    <w:rPr>
                      <w:color w:val="auto"/>
                      <w:sz w:val="18"/>
                      <w:szCs w:val="18"/>
                    </w:rPr>
                  </w:pPr>
                  <w:r>
                    <w:rPr>
                      <w:rFonts w:hint="eastAsia"/>
                      <w:color w:val="auto"/>
                      <w:sz w:val="18"/>
                      <w:szCs w:val="18"/>
                    </w:rPr>
                    <w:t>75</w:t>
                  </w:r>
                </w:p>
              </w:tc>
              <w:tc>
                <w:tcPr>
                  <w:tcW w:w="503" w:type="pct"/>
                  <w:vMerge w:val="continue"/>
                  <w:noWrap w:val="0"/>
                  <w:vAlign w:val="center"/>
                </w:tcPr>
                <w:p>
                  <w:pPr>
                    <w:widowControl/>
                    <w:jc w:val="center"/>
                    <w:textAlignment w:val="center"/>
                    <w:rPr>
                      <w:color w:val="auto"/>
                      <w:kern w:val="0"/>
                      <w:sz w:val="18"/>
                      <w:szCs w:val="18"/>
                      <w:lang w:bidi="ar"/>
                    </w:rPr>
                  </w:pPr>
                </w:p>
              </w:tc>
              <w:tc>
                <w:tcPr>
                  <w:tcW w:w="861" w:type="pct"/>
                  <w:vMerge w:val="continue"/>
                  <w:noWrap w:val="0"/>
                  <w:vAlign w:val="center"/>
                </w:tcPr>
                <w:p>
                  <w:pPr>
                    <w:topLinePunct/>
                    <w:snapToGrid w:val="0"/>
                    <w:jc w:val="center"/>
                    <w:rPr>
                      <w:color w:val="auto"/>
                      <w:sz w:val="18"/>
                      <w:szCs w:val="18"/>
                    </w:rPr>
                  </w:pPr>
                </w:p>
              </w:tc>
              <w:tc>
                <w:tcPr>
                  <w:tcW w:w="446" w:type="pct"/>
                  <w:vMerge w:val="continue"/>
                  <w:noWrap w:val="0"/>
                  <w:vAlign w:val="center"/>
                </w:tcPr>
                <w:p>
                  <w:pPr>
                    <w:topLinePunct/>
                    <w:snapToGrid w:val="0"/>
                    <w:jc w:val="center"/>
                    <w:rPr>
                      <w:color w:val="auto"/>
                      <w:sz w:val="18"/>
                      <w:szCs w:val="18"/>
                    </w:rPr>
                  </w:pPr>
                </w:p>
              </w:tc>
              <w:tc>
                <w:tcPr>
                  <w:tcW w:w="464" w:type="pct"/>
                  <w:vMerge w:val="continue"/>
                  <w:noWrap w:val="0"/>
                  <w:vAlign w:val="center"/>
                </w:tcPr>
                <w:p>
                  <w:pPr>
                    <w:topLinePunct/>
                    <w:snapToGrid w:val="0"/>
                    <w:jc w:val="center"/>
                    <w:rPr>
                      <w:color w:val="auto"/>
                      <w:sz w:val="18"/>
                      <w:szCs w:val="18"/>
                    </w:rPr>
                  </w:pPr>
                </w:p>
              </w:tc>
              <w:tc>
                <w:tcPr>
                  <w:tcW w:w="697" w:type="dxa"/>
                  <w:noWrap w:val="0"/>
                  <w:vAlign w:val="center"/>
                </w:tcPr>
                <w:p>
                  <w:pPr>
                    <w:topLinePunct/>
                    <w:snapToGrid w:val="0"/>
                    <w:jc w:val="center"/>
                    <w:rPr>
                      <w:color w:val="auto"/>
                      <w:sz w:val="18"/>
                      <w:szCs w:val="18"/>
                    </w:rPr>
                  </w:pPr>
                  <w:r>
                    <w:rPr>
                      <w:rFonts w:hint="eastAsia"/>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noWrap w:val="0"/>
                  <w:vAlign w:val="center"/>
                </w:tcPr>
                <w:p>
                  <w:pPr>
                    <w:topLinePunct/>
                    <w:snapToGrid w:val="0"/>
                    <w:jc w:val="center"/>
                    <w:rPr>
                      <w:color w:val="auto"/>
                      <w:sz w:val="18"/>
                      <w:szCs w:val="18"/>
                    </w:rPr>
                  </w:pPr>
                </w:p>
              </w:tc>
              <w:tc>
                <w:tcPr>
                  <w:tcW w:w="1275" w:type="dxa"/>
                  <w:noWrap w:val="0"/>
                  <w:vAlign w:val="center"/>
                </w:tcPr>
                <w:p>
                  <w:pPr>
                    <w:snapToGrid w:val="0"/>
                    <w:spacing w:line="20" w:lineRule="atLeast"/>
                    <w:jc w:val="center"/>
                    <w:rPr>
                      <w:color w:val="auto"/>
                      <w:sz w:val="18"/>
                      <w:szCs w:val="18"/>
                    </w:rPr>
                  </w:pPr>
                  <w:r>
                    <w:rPr>
                      <w:color w:val="auto"/>
                      <w:sz w:val="18"/>
                      <w:szCs w:val="18"/>
                    </w:rPr>
                    <w:t>提升机</w:t>
                  </w:r>
                </w:p>
              </w:tc>
              <w:tc>
                <w:tcPr>
                  <w:tcW w:w="358" w:type="pct"/>
                  <w:noWrap w:val="0"/>
                  <w:vAlign w:val="center"/>
                </w:tcPr>
                <w:p>
                  <w:pPr>
                    <w:topLinePunct/>
                    <w:snapToGrid w:val="0"/>
                    <w:jc w:val="center"/>
                    <w:rPr>
                      <w:color w:val="auto"/>
                      <w:sz w:val="18"/>
                      <w:szCs w:val="18"/>
                    </w:rPr>
                  </w:pPr>
                  <w:r>
                    <w:rPr>
                      <w:color w:val="auto"/>
                      <w:sz w:val="18"/>
                      <w:szCs w:val="18"/>
                    </w:rPr>
                    <w:t>频发</w:t>
                  </w:r>
                </w:p>
              </w:tc>
              <w:tc>
                <w:tcPr>
                  <w:tcW w:w="358" w:type="pct"/>
                  <w:noWrap w:val="0"/>
                  <w:vAlign w:val="center"/>
                </w:tcPr>
                <w:p>
                  <w:pPr>
                    <w:topLinePunct/>
                    <w:snapToGrid w:val="0"/>
                    <w:jc w:val="center"/>
                    <w:rPr>
                      <w:color w:val="auto"/>
                      <w:sz w:val="18"/>
                      <w:szCs w:val="18"/>
                    </w:rPr>
                  </w:pPr>
                  <w:r>
                    <w:rPr>
                      <w:color w:val="auto"/>
                      <w:sz w:val="18"/>
                      <w:szCs w:val="18"/>
                    </w:rPr>
                    <w:t>类比</w:t>
                  </w:r>
                </w:p>
              </w:tc>
              <w:tc>
                <w:tcPr>
                  <w:tcW w:w="1063" w:type="dxa"/>
                  <w:noWrap w:val="0"/>
                  <w:vAlign w:val="center"/>
                </w:tcPr>
                <w:p>
                  <w:pPr>
                    <w:topLinePunct/>
                    <w:snapToGrid w:val="0"/>
                    <w:jc w:val="center"/>
                    <w:rPr>
                      <w:color w:val="auto"/>
                      <w:sz w:val="18"/>
                      <w:szCs w:val="18"/>
                    </w:rPr>
                  </w:pPr>
                  <w:r>
                    <w:rPr>
                      <w:rFonts w:hint="eastAsia"/>
                      <w:color w:val="auto"/>
                      <w:sz w:val="18"/>
                      <w:szCs w:val="18"/>
                    </w:rPr>
                    <w:t>70</w:t>
                  </w:r>
                </w:p>
              </w:tc>
              <w:tc>
                <w:tcPr>
                  <w:tcW w:w="503" w:type="pct"/>
                  <w:vMerge w:val="continue"/>
                  <w:noWrap w:val="0"/>
                  <w:vAlign w:val="center"/>
                </w:tcPr>
                <w:p>
                  <w:pPr>
                    <w:widowControl/>
                    <w:jc w:val="center"/>
                    <w:textAlignment w:val="center"/>
                    <w:rPr>
                      <w:color w:val="auto"/>
                      <w:kern w:val="0"/>
                      <w:sz w:val="18"/>
                      <w:szCs w:val="18"/>
                      <w:lang w:bidi="ar"/>
                    </w:rPr>
                  </w:pPr>
                </w:p>
              </w:tc>
              <w:tc>
                <w:tcPr>
                  <w:tcW w:w="861" w:type="pct"/>
                  <w:vMerge w:val="continue"/>
                  <w:noWrap w:val="0"/>
                  <w:vAlign w:val="center"/>
                </w:tcPr>
                <w:p>
                  <w:pPr>
                    <w:topLinePunct/>
                    <w:snapToGrid w:val="0"/>
                    <w:jc w:val="center"/>
                    <w:rPr>
                      <w:color w:val="auto"/>
                      <w:sz w:val="18"/>
                      <w:szCs w:val="18"/>
                    </w:rPr>
                  </w:pPr>
                </w:p>
              </w:tc>
              <w:tc>
                <w:tcPr>
                  <w:tcW w:w="446" w:type="pct"/>
                  <w:vMerge w:val="continue"/>
                  <w:noWrap w:val="0"/>
                  <w:vAlign w:val="center"/>
                </w:tcPr>
                <w:p>
                  <w:pPr>
                    <w:topLinePunct/>
                    <w:snapToGrid w:val="0"/>
                    <w:jc w:val="center"/>
                    <w:rPr>
                      <w:color w:val="auto"/>
                      <w:sz w:val="18"/>
                      <w:szCs w:val="18"/>
                    </w:rPr>
                  </w:pPr>
                </w:p>
              </w:tc>
              <w:tc>
                <w:tcPr>
                  <w:tcW w:w="464" w:type="pct"/>
                  <w:vMerge w:val="continue"/>
                  <w:noWrap w:val="0"/>
                  <w:vAlign w:val="center"/>
                </w:tcPr>
                <w:p>
                  <w:pPr>
                    <w:topLinePunct/>
                    <w:snapToGrid w:val="0"/>
                    <w:jc w:val="center"/>
                    <w:rPr>
                      <w:color w:val="auto"/>
                      <w:sz w:val="18"/>
                      <w:szCs w:val="18"/>
                    </w:rPr>
                  </w:pPr>
                </w:p>
              </w:tc>
              <w:tc>
                <w:tcPr>
                  <w:tcW w:w="697" w:type="dxa"/>
                  <w:noWrap w:val="0"/>
                  <w:vAlign w:val="center"/>
                </w:tcPr>
                <w:p>
                  <w:pPr>
                    <w:topLinePunct/>
                    <w:snapToGrid w:val="0"/>
                    <w:jc w:val="center"/>
                    <w:rPr>
                      <w:color w:val="auto"/>
                      <w:sz w:val="18"/>
                      <w:szCs w:val="18"/>
                    </w:rPr>
                  </w:pPr>
                  <w:r>
                    <w:rPr>
                      <w:rFonts w:hint="eastAsia"/>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noWrap w:val="0"/>
                  <w:vAlign w:val="center"/>
                </w:tcPr>
                <w:p>
                  <w:pPr>
                    <w:topLinePunct/>
                    <w:snapToGrid w:val="0"/>
                    <w:jc w:val="center"/>
                    <w:rPr>
                      <w:color w:val="auto"/>
                      <w:sz w:val="18"/>
                      <w:szCs w:val="18"/>
                    </w:rPr>
                  </w:pPr>
                </w:p>
              </w:tc>
              <w:tc>
                <w:tcPr>
                  <w:tcW w:w="1275" w:type="dxa"/>
                  <w:noWrap w:val="0"/>
                  <w:vAlign w:val="center"/>
                </w:tcPr>
                <w:p>
                  <w:pPr>
                    <w:snapToGrid w:val="0"/>
                    <w:spacing w:line="20" w:lineRule="atLeast"/>
                    <w:jc w:val="center"/>
                    <w:rPr>
                      <w:color w:val="auto"/>
                      <w:sz w:val="18"/>
                      <w:szCs w:val="18"/>
                    </w:rPr>
                  </w:pPr>
                  <w:r>
                    <w:rPr>
                      <w:color w:val="auto"/>
                      <w:sz w:val="18"/>
                      <w:szCs w:val="18"/>
                    </w:rPr>
                    <w:t>振动筛</w:t>
                  </w:r>
                </w:p>
              </w:tc>
              <w:tc>
                <w:tcPr>
                  <w:tcW w:w="358" w:type="pct"/>
                  <w:noWrap w:val="0"/>
                  <w:vAlign w:val="center"/>
                </w:tcPr>
                <w:p>
                  <w:pPr>
                    <w:topLinePunct/>
                    <w:snapToGrid w:val="0"/>
                    <w:jc w:val="center"/>
                    <w:rPr>
                      <w:color w:val="auto"/>
                      <w:sz w:val="18"/>
                      <w:szCs w:val="18"/>
                    </w:rPr>
                  </w:pPr>
                  <w:r>
                    <w:rPr>
                      <w:color w:val="auto"/>
                      <w:sz w:val="18"/>
                      <w:szCs w:val="18"/>
                    </w:rPr>
                    <w:t>频发</w:t>
                  </w:r>
                </w:p>
              </w:tc>
              <w:tc>
                <w:tcPr>
                  <w:tcW w:w="358" w:type="pct"/>
                  <w:noWrap w:val="0"/>
                  <w:vAlign w:val="center"/>
                </w:tcPr>
                <w:p>
                  <w:pPr>
                    <w:topLinePunct/>
                    <w:snapToGrid w:val="0"/>
                    <w:jc w:val="center"/>
                    <w:rPr>
                      <w:color w:val="auto"/>
                      <w:sz w:val="18"/>
                      <w:szCs w:val="18"/>
                    </w:rPr>
                  </w:pPr>
                  <w:r>
                    <w:rPr>
                      <w:color w:val="auto"/>
                      <w:sz w:val="18"/>
                      <w:szCs w:val="18"/>
                    </w:rPr>
                    <w:t>类比</w:t>
                  </w:r>
                </w:p>
              </w:tc>
              <w:tc>
                <w:tcPr>
                  <w:tcW w:w="1063" w:type="dxa"/>
                  <w:noWrap w:val="0"/>
                  <w:vAlign w:val="center"/>
                </w:tcPr>
                <w:p>
                  <w:pPr>
                    <w:topLinePunct/>
                    <w:snapToGrid w:val="0"/>
                    <w:jc w:val="center"/>
                    <w:rPr>
                      <w:color w:val="auto"/>
                      <w:sz w:val="18"/>
                      <w:szCs w:val="18"/>
                    </w:rPr>
                  </w:pPr>
                  <w:r>
                    <w:rPr>
                      <w:rFonts w:hint="eastAsia"/>
                      <w:color w:val="auto"/>
                      <w:sz w:val="18"/>
                      <w:szCs w:val="18"/>
                    </w:rPr>
                    <w:t>85</w:t>
                  </w:r>
                </w:p>
              </w:tc>
              <w:tc>
                <w:tcPr>
                  <w:tcW w:w="503" w:type="pct"/>
                  <w:vMerge w:val="continue"/>
                  <w:noWrap w:val="0"/>
                  <w:vAlign w:val="center"/>
                </w:tcPr>
                <w:p>
                  <w:pPr>
                    <w:widowControl/>
                    <w:jc w:val="center"/>
                    <w:textAlignment w:val="center"/>
                    <w:rPr>
                      <w:color w:val="auto"/>
                      <w:kern w:val="0"/>
                      <w:sz w:val="18"/>
                      <w:szCs w:val="18"/>
                      <w:lang w:bidi="ar"/>
                    </w:rPr>
                  </w:pPr>
                </w:p>
              </w:tc>
              <w:tc>
                <w:tcPr>
                  <w:tcW w:w="861" w:type="pct"/>
                  <w:vMerge w:val="continue"/>
                  <w:noWrap w:val="0"/>
                  <w:vAlign w:val="center"/>
                </w:tcPr>
                <w:p>
                  <w:pPr>
                    <w:topLinePunct/>
                    <w:snapToGrid w:val="0"/>
                    <w:jc w:val="center"/>
                    <w:rPr>
                      <w:color w:val="auto"/>
                      <w:sz w:val="18"/>
                      <w:szCs w:val="18"/>
                    </w:rPr>
                  </w:pPr>
                </w:p>
              </w:tc>
              <w:tc>
                <w:tcPr>
                  <w:tcW w:w="446" w:type="pct"/>
                  <w:vMerge w:val="continue"/>
                  <w:noWrap w:val="0"/>
                  <w:vAlign w:val="center"/>
                </w:tcPr>
                <w:p>
                  <w:pPr>
                    <w:topLinePunct/>
                    <w:snapToGrid w:val="0"/>
                    <w:jc w:val="center"/>
                    <w:rPr>
                      <w:color w:val="auto"/>
                      <w:sz w:val="18"/>
                      <w:szCs w:val="18"/>
                    </w:rPr>
                  </w:pPr>
                </w:p>
              </w:tc>
              <w:tc>
                <w:tcPr>
                  <w:tcW w:w="464" w:type="pct"/>
                  <w:vMerge w:val="continue"/>
                  <w:noWrap w:val="0"/>
                  <w:vAlign w:val="center"/>
                </w:tcPr>
                <w:p>
                  <w:pPr>
                    <w:topLinePunct/>
                    <w:snapToGrid w:val="0"/>
                    <w:jc w:val="center"/>
                    <w:rPr>
                      <w:color w:val="auto"/>
                      <w:sz w:val="18"/>
                      <w:szCs w:val="18"/>
                    </w:rPr>
                  </w:pPr>
                </w:p>
              </w:tc>
              <w:tc>
                <w:tcPr>
                  <w:tcW w:w="697" w:type="dxa"/>
                  <w:noWrap w:val="0"/>
                  <w:vAlign w:val="center"/>
                </w:tcPr>
                <w:p>
                  <w:pPr>
                    <w:topLinePunct/>
                    <w:snapToGrid w:val="0"/>
                    <w:jc w:val="center"/>
                    <w:rPr>
                      <w:color w:val="auto"/>
                      <w:sz w:val="18"/>
                      <w:szCs w:val="18"/>
                    </w:rPr>
                  </w:pPr>
                  <w:r>
                    <w:rPr>
                      <w:rFonts w:hint="eastAsia"/>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noWrap w:val="0"/>
                  <w:vAlign w:val="center"/>
                </w:tcPr>
                <w:p>
                  <w:pPr>
                    <w:topLinePunct/>
                    <w:snapToGrid w:val="0"/>
                    <w:jc w:val="center"/>
                    <w:rPr>
                      <w:color w:val="auto"/>
                      <w:sz w:val="18"/>
                      <w:szCs w:val="18"/>
                    </w:rPr>
                  </w:pPr>
                </w:p>
              </w:tc>
              <w:tc>
                <w:tcPr>
                  <w:tcW w:w="1275" w:type="dxa"/>
                  <w:noWrap w:val="0"/>
                  <w:vAlign w:val="center"/>
                </w:tcPr>
                <w:p>
                  <w:pPr>
                    <w:snapToGrid w:val="0"/>
                    <w:spacing w:line="20" w:lineRule="atLeast"/>
                    <w:jc w:val="center"/>
                    <w:rPr>
                      <w:color w:val="auto"/>
                      <w:kern w:val="0"/>
                      <w:sz w:val="18"/>
                      <w:szCs w:val="18"/>
                    </w:rPr>
                  </w:pPr>
                  <w:r>
                    <w:rPr>
                      <w:color w:val="auto"/>
                      <w:sz w:val="18"/>
                      <w:szCs w:val="18"/>
                    </w:rPr>
                    <w:t>热骨料仓</w:t>
                  </w:r>
                </w:p>
              </w:tc>
              <w:tc>
                <w:tcPr>
                  <w:tcW w:w="660" w:type="dxa"/>
                  <w:noWrap w:val="0"/>
                  <w:vAlign w:val="center"/>
                </w:tcPr>
                <w:p>
                  <w:pPr>
                    <w:topLinePunct/>
                    <w:snapToGrid w:val="0"/>
                    <w:jc w:val="center"/>
                    <w:rPr>
                      <w:color w:val="auto"/>
                      <w:sz w:val="18"/>
                      <w:szCs w:val="18"/>
                    </w:rPr>
                  </w:pPr>
                  <w:r>
                    <w:rPr>
                      <w:color w:val="auto"/>
                      <w:sz w:val="18"/>
                      <w:szCs w:val="18"/>
                    </w:rPr>
                    <w:t>频发</w:t>
                  </w:r>
                </w:p>
              </w:tc>
              <w:tc>
                <w:tcPr>
                  <w:tcW w:w="660" w:type="dxa"/>
                  <w:noWrap w:val="0"/>
                  <w:vAlign w:val="center"/>
                </w:tcPr>
                <w:p>
                  <w:pPr>
                    <w:topLinePunct/>
                    <w:snapToGrid w:val="0"/>
                    <w:jc w:val="center"/>
                    <w:rPr>
                      <w:color w:val="auto"/>
                      <w:sz w:val="18"/>
                      <w:szCs w:val="18"/>
                    </w:rPr>
                  </w:pPr>
                  <w:r>
                    <w:rPr>
                      <w:color w:val="auto"/>
                      <w:sz w:val="18"/>
                      <w:szCs w:val="18"/>
                    </w:rPr>
                    <w:t>类比</w:t>
                  </w:r>
                </w:p>
              </w:tc>
              <w:tc>
                <w:tcPr>
                  <w:tcW w:w="1063" w:type="dxa"/>
                  <w:noWrap w:val="0"/>
                  <w:vAlign w:val="center"/>
                </w:tcPr>
                <w:p>
                  <w:pPr>
                    <w:topLinePunct/>
                    <w:snapToGrid w:val="0"/>
                    <w:jc w:val="center"/>
                    <w:rPr>
                      <w:color w:val="auto"/>
                      <w:sz w:val="18"/>
                      <w:szCs w:val="18"/>
                    </w:rPr>
                  </w:pPr>
                  <w:r>
                    <w:rPr>
                      <w:rFonts w:hint="eastAsia"/>
                      <w:color w:val="auto"/>
                      <w:sz w:val="18"/>
                      <w:szCs w:val="18"/>
                    </w:rPr>
                    <w:t>60</w:t>
                  </w:r>
                </w:p>
              </w:tc>
              <w:tc>
                <w:tcPr>
                  <w:tcW w:w="503" w:type="pct"/>
                  <w:vMerge w:val="continue"/>
                  <w:noWrap w:val="0"/>
                  <w:vAlign w:val="center"/>
                </w:tcPr>
                <w:p>
                  <w:pPr>
                    <w:widowControl/>
                    <w:jc w:val="center"/>
                    <w:textAlignment w:val="center"/>
                    <w:rPr>
                      <w:color w:val="auto"/>
                      <w:kern w:val="0"/>
                      <w:sz w:val="18"/>
                      <w:szCs w:val="18"/>
                      <w:lang w:bidi="ar"/>
                    </w:rPr>
                  </w:pPr>
                </w:p>
              </w:tc>
              <w:tc>
                <w:tcPr>
                  <w:tcW w:w="861" w:type="pct"/>
                  <w:vMerge w:val="continue"/>
                  <w:noWrap w:val="0"/>
                  <w:vAlign w:val="center"/>
                </w:tcPr>
                <w:p>
                  <w:pPr>
                    <w:topLinePunct/>
                    <w:snapToGrid w:val="0"/>
                    <w:jc w:val="center"/>
                    <w:rPr>
                      <w:color w:val="auto"/>
                      <w:sz w:val="18"/>
                      <w:szCs w:val="18"/>
                    </w:rPr>
                  </w:pPr>
                </w:p>
              </w:tc>
              <w:tc>
                <w:tcPr>
                  <w:tcW w:w="446" w:type="pct"/>
                  <w:vMerge w:val="continue"/>
                  <w:noWrap w:val="0"/>
                  <w:vAlign w:val="center"/>
                </w:tcPr>
                <w:p>
                  <w:pPr>
                    <w:topLinePunct/>
                    <w:snapToGrid w:val="0"/>
                    <w:jc w:val="center"/>
                    <w:rPr>
                      <w:color w:val="auto"/>
                      <w:sz w:val="18"/>
                      <w:szCs w:val="18"/>
                    </w:rPr>
                  </w:pPr>
                </w:p>
              </w:tc>
              <w:tc>
                <w:tcPr>
                  <w:tcW w:w="464" w:type="pct"/>
                  <w:vMerge w:val="continue"/>
                  <w:noWrap w:val="0"/>
                  <w:vAlign w:val="center"/>
                </w:tcPr>
                <w:p>
                  <w:pPr>
                    <w:topLinePunct/>
                    <w:snapToGrid w:val="0"/>
                    <w:jc w:val="center"/>
                    <w:rPr>
                      <w:color w:val="auto"/>
                      <w:sz w:val="18"/>
                      <w:szCs w:val="18"/>
                    </w:rPr>
                  </w:pPr>
                </w:p>
              </w:tc>
              <w:tc>
                <w:tcPr>
                  <w:tcW w:w="694" w:type="dxa"/>
                  <w:noWrap w:val="0"/>
                  <w:vAlign w:val="center"/>
                </w:tcPr>
                <w:p>
                  <w:pPr>
                    <w:topLinePunct/>
                    <w:snapToGrid w:val="0"/>
                    <w:jc w:val="center"/>
                    <w:rPr>
                      <w:color w:val="auto"/>
                      <w:sz w:val="18"/>
                      <w:szCs w:val="18"/>
                    </w:rPr>
                  </w:pPr>
                  <w:r>
                    <w:rPr>
                      <w:rFonts w:hint="eastAsia"/>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63" w:type="pct"/>
                  <w:vMerge w:val="continue"/>
                  <w:noWrap w:val="0"/>
                  <w:vAlign w:val="center"/>
                </w:tcPr>
                <w:p>
                  <w:pPr>
                    <w:topLinePunct/>
                    <w:snapToGrid w:val="0"/>
                    <w:jc w:val="center"/>
                    <w:rPr>
                      <w:color w:val="auto"/>
                      <w:sz w:val="18"/>
                      <w:szCs w:val="18"/>
                    </w:rPr>
                  </w:pPr>
                </w:p>
              </w:tc>
              <w:tc>
                <w:tcPr>
                  <w:tcW w:w="1275" w:type="dxa"/>
                  <w:noWrap w:val="0"/>
                  <w:vAlign w:val="center"/>
                </w:tcPr>
                <w:p>
                  <w:pPr>
                    <w:snapToGrid w:val="0"/>
                    <w:spacing w:line="20" w:lineRule="atLeast"/>
                    <w:jc w:val="center"/>
                    <w:rPr>
                      <w:color w:val="auto"/>
                      <w:kern w:val="0"/>
                      <w:sz w:val="18"/>
                      <w:szCs w:val="18"/>
                    </w:rPr>
                  </w:pPr>
                  <w:r>
                    <w:rPr>
                      <w:color w:val="auto"/>
                      <w:sz w:val="18"/>
                      <w:szCs w:val="18"/>
                    </w:rPr>
                    <w:t>计量系统</w:t>
                  </w:r>
                </w:p>
              </w:tc>
              <w:tc>
                <w:tcPr>
                  <w:tcW w:w="660" w:type="dxa"/>
                  <w:noWrap w:val="0"/>
                  <w:vAlign w:val="center"/>
                </w:tcPr>
                <w:p>
                  <w:pPr>
                    <w:topLinePunct/>
                    <w:snapToGrid w:val="0"/>
                    <w:jc w:val="center"/>
                    <w:rPr>
                      <w:color w:val="auto"/>
                      <w:sz w:val="18"/>
                      <w:szCs w:val="18"/>
                    </w:rPr>
                  </w:pPr>
                  <w:r>
                    <w:rPr>
                      <w:color w:val="auto"/>
                      <w:sz w:val="18"/>
                      <w:szCs w:val="18"/>
                    </w:rPr>
                    <w:t>频发</w:t>
                  </w:r>
                </w:p>
              </w:tc>
              <w:tc>
                <w:tcPr>
                  <w:tcW w:w="660" w:type="dxa"/>
                  <w:noWrap w:val="0"/>
                  <w:vAlign w:val="center"/>
                </w:tcPr>
                <w:p>
                  <w:pPr>
                    <w:topLinePunct/>
                    <w:snapToGrid w:val="0"/>
                    <w:jc w:val="center"/>
                    <w:rPr>
                      <w:color w:val="auto"/>
                      <w:sz w:val="18"/>
                      <w:szCs w:val="18"/>
                    </w:rPr>
                  </w:pPr>
                  <w:r>
                    <w:rPr>
                      <w:color w:val="auto"/>
                      <w:sz w:val="18"/>
                      <w:szCs w:val="18"/>
                    </w:rPr>
                    <w:t>类比</w:t>
                  </w:r>
                </w:p>
              </w:tc>
              <w:tc>
                <w:tcPr>
                  <w:tcW w:w="1063" w:type="dxa"/>
                  <w:noWrap w:val="0"/>
                  <w:vAlign w:val="center"/>
                </w:tcPr>
                <w:p>
                  <w:pPr>
                    <w:topLinePunct/>
                    <w:snapToGrid w:val="0"/>
                    <w:jc w:val="center"/>
                    <w:rPr>
                      <w:color w:val="auto"/>
                      <w:sz w:val="18"/>
                      <w:szCs w:val="18"/>
                    </w:rPr>
                  </w:pPr>
                  <w:r>
                    <w:rPr>
                      <w:rFonts w:hint="eastAsia"/>
                      <w:color w:val="auto"/>
                      <w:sz w:val="18"/>
                      <w:szCs w:val="18"/>
                    </w:rPr>
                    <w:t>65</w:t>
                  </w:r>
                </w:p>
              </w:tc>
              <w:tc>
                <w:tcPr>
                  <w:tcW w:w="503" w:type="pct"/>
                  <w:vMerge w:val="continue"/>
                  <w:noWrap w:val="0"/>
                  <w:vAlign w:val="center"/>
                </w:tcPr>
                <w:p>
                  <w:pPr>
                    <w:widowControl/>
                    <w:jc w:val="center"/>
                    <w:textAlignment w:val="center"/>
                    <w:rPr>
                      <w:color w:val="auto"/>
                      <w:kern w:val="0"/>
                      <w:sz w:val="18"/>
                      <w:szCs w:val="18"/>
                      <w:lang w:bidi="ar"/>
                    </w:rPr>
                  </w:pPr>
                </w:p>
              </w:tc>
              <w:tc>
                <w:tcPr>
                  <w:tcW w:w="861" w:type="pct"/>
                  <w:vMerge w:val="continue"/>
                  <w:noWrap w:val="0"/>
                  <w:vAlign w:val="center"/>
                </w:tcPr>
                <w:p>
                  <w:pPr>
                    <w:topLinePunct/>
                    <w:snapToGrid w:val="0"/>
                    <w:jc w:val="center"/>
                    <w:rPr>
                      <w:color w:val="auto"/>
                      <w:sz w:val="18"/>
                      <w:szCs w:val="18"/>
                    </w:rPr>
                  </w:pPr>
                </w:p>
              </w:tc>
              <w:tc>
                <w:tcPr>
                  <w:tcW w:w="446" w:type="pct"/>
                  <w:vMerge w:val="continue"/>
                  <w:noWrap w:val="0"/>
                  <w:vAlign w:val="center"/>
                </w:tcPr>
                <w:p>
                  <w:pPr>
                    <w:topLinePunct/>
                    <w:snapToGrid w:val="0"/>
                    <w:jc w:val="center"/>
                    <w:rPr>
                      <w:color w:val="auto"/>
                      <w:sz w:val="18"/>
                      <w:szCs w:val="18"/>
                    </w:rPr>
                  </w:pPr>
                </w:p>
              </w:tc>
              <w:tc>
                <w:tcPr>
                  <w:tcW w:w="464" w:type="pct"/>
                  <w:vMerge w:val="continue"/>
                  <w:noWrap w:val="0"/>
                  <w:vAlign w:val="center"/>
                </w:tcPr>
                <w:p>
                  <w:pPr>
                    <w:topLinePunct/>
                    <w:snapToGrid w:val="0"/>
                    <w:jc w:val="center"/>
                    <w:rPr>
                      <w:color w:val="auto"/>
                      <w:sz w:val="18"/>
                      <w:szCs w:val="18"/>
                    </w:rPr>
                  </w:pPr>
                </w:p>
              </w:tc>
              <w:tc>
                <w:tcPr>
                  <w:tcW w:w="694" w:type="dxa"/>
                  <w:noWrap w:val="0"/>
                  <w:vAlign w:val="center"/>
                </w:tcPr>
                <w:p>
                  <w:pPr>
                    <w:topLinePunct/>
                    <w:snapToGrid w:val="0"/>
                    <w:jc w:val="center"/>
                    <w:rPr>
                      <w:color w:val="auto"/>
                      <w:sz w:val="18"/>
                      <w:szCs w:val="18"/>
                    </w:rPr>
                  </w:pPr>
                  <w:r>
                    <w:rPr>
                      <w:rFonts w:hint="eastAsia"/>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noWrap w:val="0"/>
                  <w:vAlign w:val="center"/>
                </w:tcPr>
                <w:p>
                  <w:pPr>
                    <w:topLinePunct/>
                    <w:snapToGrid w:val="0"/>
                    <w:jc w:val="center"/>
                    <w:rPr>
                      <w:color w:val="auto"/>
                      <w:sz w:val="18"/>
                      <w:szCs w:val="18"/>
                    </w:rPr>
                  </w:pPr>
                </w:p>
              </w:tc>
              <w:tc>
                <w:tcPr>
                  <w:tcW w:w="1275" w:type="dxa"/>
                  <w:noWrap w:val="0"/>
                  <w:vAlign w:val="center"/>
                </w:tcPr>
                <w:p>
                  <w:pPr>
                    <w:snapToGrid w:val="0"/>
                    <w:spacing w:line="20" w:lineRule="atLeast"/>
                    <w:jc w:val="center"/>
                    <w:rPr>
                      <w:color w:val="auto"/>
                      <w:kern w:val="0"/>
                      <w:sz w:val="18"/>
                      <w:szCs w:val="18"/>
                    </w:rPr>
                  </w:pPr>
                  <w:r>
                    <w:rPr>
                      <w:color w:val="auto"/>
                      <w:sz w:val="18"/>
                      <w:szCs w:val="18"/>
                    </w:rPr>
                    <w:t>搅拌系统</w:t>
                  </w:r>
                </w:p>
              </w:tc>
              <w:tc>
                <w:tcPr>
                  <w:tcW w:w="660" w:type="dxa"/>
                  <w:noWrap w:val="0"/>
                  <w:vAlign w:val="center"/>
                </w:tcPr>
                <w:p>
                  <w:pPr>
                    <w:topLinePunct/>
                    <w:snapToGrid w:val="0"/>
                    <w:jc w:val="center"/>
                    <w:rPr>
                      <w:color w:val="auto"/>
                      <w:sz w:val="18"/>
                      <w:szCs w:val="18"/>
                    </w:rPr>
                  </w:pPr>
                  <w:r>
                    <w:rPr>
                      <w:color w:val="auto"/>
                      <w:sz w:val="18"/>
                      <w:szCs w:val="18"/>
                    </w:rPr>
                    <w:t>频发</w:t>
                  </w:r>
                </w:p>
              </w:tc>
              <w:tc>
                <w:tcPr>
                  <w:tcW w:w="660" w:type="dxa"/>
                  <w:noWrap w:val="0"/>
                  <w:vAlign w:val="center"/>
                </w:tcPr>
                <w:p>
                  <w:pPr>
                    <w:topLinePunct/>
                    <w:snapToGrid w:val="0"/>
                    <w:jc w:val="center"/>
                    <w:rPr>
                      <w:color w:val="auto"/>
                      <w:sz w:val="18"/>
                      <w:szCs w:val="18"/>
                    </w:rPr>
                  </w:pPr>
                  <w:r>
                    <w:rPr>
                      <w:color w:val="auto"/>
                      <w:sz w:val="18"/>
                      <w:szCs w:val="18"/>
                    </w:rPr>
                    <w:t>类比</w:t>
                  </w:r>
                </w:p>
              </w:tc>
              <w:tc>
                <w:tcPr>
                  <w:tcW w:w="1063" w:type="dxa"/>
                  <w:noWrap w:val="0"/>
                  <w:vAlign w:val="center"/>
                </w:tcPr>
                <w:p>
                  <w:pPr>
                    <w:topLinePunct/>
                    <w:snapToGrid w:val="0"/>
                    <w:jc w:val="center"/>
                    <w:rPr>
                      <w:color w:val="auto"/>
                      <w:sz w:val="18"/>
                      <w:szCs w:val="18"/>
                    </w:rPr>
                  </w:pPr>
                  <w:r>
                    <w:rPr>
                      <w:rFonts w:hint="eastAsia"/>
                      <w:color w:val="auto"/>
                      <w:sz w:val="18"/>
                      <w:szCs w:val="18"/>
                    </w:rPr>
                    <w:t>80</w:t>
                  </w:r>
                </w:p>
              </w:tc>
              <w:tc>
                <w:tcPr>
                  <w:tcW w:w="503" w:type="pct"/>
                  <w:vMerge w:val="continue"/>
                  <w:noWrap w:val="0"/>
                  <w:vAlign w:val="center"/>
                </w:tcPr>
                <w:p>
                  <w:pPr>
                    <w:widowControl/>
                    <w:jc w:val="center"/>
                    <w:textAlignment w:val="center"/>
                    <w:rPr>
                      <w:color w:val="auto"/>
                      <w:kern w:val="0"/>
                      <w:sz w:val="18"/>
                      <w:szCs w:val="18"/>
                      <w:lang w:bidi="ar"/>
                    </w:rPr>
                  </w:pPr>
                </w:p>
              </w:tc>
              <w:tc>
                <w:tcPr>
                  <w:tcW w:w="861" w:type="pct"/>
                  <w:vMerge w:val="continue"/>
                  <w:noWrap w:val="0"/>
                  <w:vAlign w:val="center"/>
                </w:tcPr>
                <w:p>
                  <w:pPr>
                    <w:topLinePunct/>
                    <w:snapToGrid w:val="0"/>
                    <w:jc w:val="center"/>
                    <w:rPr>
                      <w:color w:val="auto"/>
                      <w:sz w:val="18"/>
                      <w:szCs w:val="18"/>
                    </w:rPr>
                  </w:pPr>
                </w:p>
              </w:tc>
              <w:tc>
                <w:tcPr>
                  <w:tcW w:w="446" w:type="pct"/>
                  <w:vMerge w:val="continue"/>
                  <w:noWrap w:val="0"/>
                  <w:vAlign w:val="center"/>
                </w:tcPr>
                <w:p>
                  <w:pPr>
                    <w:topLinePunct/>
                    <w:snapToGrid w:val="0"/>
                    <w:jc w:val="center"/>
                    <w:rPr>
                      <w:color w:val="auto"/>
                      <w:sz w:val="18"/>
                      <w:szCs w:val="18"/>
                    </w:rPr>
                  </w:pPr>
                </w:p>
              </w:tc>
              <w:tc>
                <w:tcPr>
                  <w:tcW w:w="464" w:type="pct"/>
                  <w:vMerge w:val="continue"/>
                  <w:noWrap w:val="0"/>
                  <w:vAlign w:val="center"/>
                </w:tcPr>
                <w:p>
                  <w:pPr>
                    <w:topLinePunct/>
                    <w:snapToGrid w:val="0"/>
                    <w:jc w:val="center"/>
                    <w:rPr>
                      <w:color w:val="auto"/>
                      <w:sz w:val="18"/>
                      <w:szCs w:val="18"/>
                    </w:rPr>
                  </w:pPr>
                </w:p>
              </w:tc>
              <w:tc>
                <w:tcPr>
                  <w:tcW w:w="694" w:type="dxa"/>
                  <w:noWrap w:val="0"/>
                  <w:vAlign w:val="center"/>
                </w:tcPr>
                <w:p>
                  <w:pPr>
                    <w:topLinePunct/>
                    <w:snapToGrid w:val="0"/>
                    <w:jc w:val="center"/>
                    <w:rPr>
                      <w:color w:val="auto"/>
                      <w:sz w:val="18"/>
                      <w:szCs w:val="18"/>
                    </w:rPr>
                  </w:pPr>
                  <w:r>
                    <w:rPr>
                      <w:rFonts w:hint="eastAsia"/>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noWrap w:val="0"/>
                  <w:vAlign w:val="center"/>
                </w:tcPr>
                <w:p>
                  <w:pPr>
                    <w:topLinePunct/>
                    <w:snapToGrid w:val="0"/>
                    <w:jc w:val="center"/>
                    <w:rPr>
                      <w:color w:val="auto"/>
                      <w:sz w:val="18"/>
                      <w:szCs w:val="18"/>
                    </w:rPr>
                  </w:pPr>
                </w:p>
              </w:tc>
              <w:tc>
                <w:tcPr>
                  <w:tcW w:w="1275" w:type="dxa"/>
                  <w:noWrap w:val="0"/>
                  <w:vAlign w:val="center"/>
                </w:tcPr>
                <w:p>
                  <w:pPr>
                    <w:snapToGrid w:val="0"/>
                    <w:spacing w:line="20" w:lineRule="atLeast"/>
                    <w:jc w:val="center"/>
                    <w:rPr>
                      <w:color w:val="auto"/>
                      <w:kern w:val="0"/>
                      <w:sz w:val="18"/>
                      <w:szCs w:val="18"/>
                    </w:rPr>
                  </w:pPr>
                  <w:r>
                    <w:rPr>
                      <w:color w:val="auto"/>
                      <w:sz w:val="18"/>
                      <w:szCs w:val="18"/>
                    </w:rPr>
                    <w:t>气动系统</w:t>
                  </w:r>
                </w:p>
              </w:tc>
              <w:tc>
                <w:tcPr>
                  <w:tcW w:w="660" w:type="dxa"/>
                  <w:noWrap w:val="0"/>
                  <w:vAlign w:val="center"/>
                </w:tcPr>
                <w:p>
                  <w:pPr>
                    <w:topLinePunct/>
                    <w:snapToGrid w:val="0"/>
                    <w:jc w:val="center"/>
                    <w:rPr>
                      <w:color w:val="auto"/>
                      <w:sz w:val="18"/>
                      <w:szCs w:val="18"/>
                    </w:rPr>
                  </w:pPr>
                  <w:r>
                    <w:rPr>
                      <w:color w:val="auto"/>
                      <w:sz w:val="18"/>
                      <w:szCs w:val="18"/>
                    </w:rPr>
                    <w:t>频发</w:t>
                  </w:r>
                </w:p>
              </w:tc>
              <w:tc>
                <w:tcPr>
                  <w:tcW w:w="660" w:type="dxa"/>
                  <w:noWrap w:val="0"/>
                  <w:vAlign w:val="center"/>
                </w:tcPr>
                <w:p>
                  <w:pPr>
                    <w:topLinePunct/>
                    <w:snapToGrid w:val="0"/>
                    <w:jc w:val="center"/>
                    <w:rPr>
                      <w:color w:val="auto"/>
                      <w:sz w:val="18"/>
                      <w:szCs w:val="18"/>
                    </w:rPr>
                  </w:pPr>
                  <w:r>
                    <w:rPr>
                      <w:color w:val="auto"/>
                      <w:sz w:val="18"/>
                      <w:szCs w:val="18"/>
                    </w:rPr>
                    <w:t>类比</w:t>
                  </w:r>
                </w:p>
              </w:tc>
              <w:tc>
                <w:tcPr>
                  <w:tcW w:w="1063" w:type="dxa"/>
                  <w:noWrap w:val="0"/>
                  <w:vAlign w:val="center"/>
                </w:tcPr>
                <w:p>
                  <w:pPr>
                    <w:topLinePunct/>
                    <w:snapToGrid w:val="0"/>
                    <w:jc w:val="center"/>
                    <w:rPr>
                      <w:color w:val="auto"/>
                      <w:sz w:val="18"/>
                      <w:szCs w:val="18"/>
                    </w:rPr>
                  </w:pPr>
                  <w:r>
                    <w:rPr>
                      <w:rFonts w:hint="eastAsia"/>
                      <w:color w:val="auto"/>
                      <w:sz w:val="18"/>
                      <w:szCs w:val="18"/>
                    </w:rPr>
                    <w:t>80</w:t>
                  </w:r>
                </w:p>
              </w:tc>
              <w:tc>
                <w:tcPr>
                  <w:tcW w:w="503" w:type="pct"/>
                  <w:vMerge w:val="continue"/>
                  <w:noWrap w:val="0"/>
                  <w:vAlign w:val="center"/>
                </w:tcPr>
                <w:p>
                  <w:pPr>
                    <w:widowControl/>
                    <w:jc w:val="center"/>
                    <w:textAlignment w:val="center"/>
                    <w:rPr>
                      <w:color w:val="auto"/>
                      <w:kern w:val="0"/>
                      <w:sz w:val="18"/>
                      <w:szCs w:val="18"/>
                      <w:lang w:bidi="ar"/>
                    </w:rPr>
                  </w:pPr>
                </w:p>
              </w:tc>
              <w:tc>
                <w:tcPr>
                  <w:tcW w:w="861" w:type="pct"/>
                  <w:vMerge w:val="continue"/>
                  <w:noWrap w:val="0"/>
                  <w:vAlign w:val="center"/>
                </w:tcPr>
                <w:p>
                  <w:pPr>
                    <w:topLinePunct/>
                    <w:snapToGrid w:val="0"/>
                    <w:jc w:val="center"/>
                    <w:rPr>
                      <w:color w:val="auto"/>
                      <w:sz w:val="18"/>
                      <w:szCs w:val="18"/>
                    </w:rPr>
                  </w:pPr>
                </w:p>
              </w:tc>
              <w:tc>
                <w:tcPr>
                  <w:tcW w:w="446" w:type="pct"/>
                  <w:vMerge w:val="continue"/>
                  <w:noWrap w:val="0"/>
                  <w:vAlign w:val="center"/>
                </w:tcPr>
                <w:p>
                  <w:pPr>
                    <w:topLinePunct/>
                    <w:snapToGrid w:val="0"/>
                    <w:jc w:val="center"/>
                    <w:rPr>
                      <w:color w:val="auto"/>
                      <w:sz w:val="18"/>
                      <w:szCs w:val="18"/>
                    </w:rPr>
                  </w:pPr>
                </w:p>
              </w:tc>
              <w:tc>
                <w:tcPr>
                  <w:tcW w:w="464" w:type="pct"/>
                  <w:vMerge w:val="continue"/>
                  <w:noWrap w:val="0"/>
                  <w:vAlign w:val="center"/>
                </w:tcPr>
                <w:p>
                  <w:pPr>
                    <w:topLinePunct/>
                    <w:snapToGrid w:val="0"/>
                    <w:jc w:val="center"/>
                    <w:rPr>
                      <w:color w:val="auto"/>
                      <w:sz w:val="18"/>
                      <w:szCs w:val="18"/>
                    </w:rPr>
                  </w:pPr>
                </w:p>
              </w:tc>
              <w:tc>
                <w:tcPr>
                  <w:tcW w:w="694" w:type="dxa"/>
                  <w:noWrap w:val="0"/>
                  <w:vAlign w:val="center"/>
                </w:tcPr>
                <w:p>
                  <w:pPr>
                    <w:topLinePunct/>
                    <w:snapToGrid w:val="0"/>
                    <w:jc w:val="center"/>
                    <w:rPr>
                      <w:color w:val="auto"/>
                      <w:sz w:val="18"/>
                      <w:szCs w:val="18"/>
                    </w:rPr>
                  </w:pPr>
                  <w:r>
                    <w:rPr>
                      <w:rFonts w:hint="eastAsia"/>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noWrap w:val="0"/>
                  <w:vAlign w:val="center"/>
                </w:tcPr>
                <w:p>
                  <w:pPr>
                    <w:topLinePunct/>
                    <w:snapToGrid w:val="0"/>
                    <w:jc w:val="center"/>
                    <w:rPr>
                      <w:color w:val="auto"/>
                      <w:sz w:val="18"/>
                      <w:szCs w:val="18"/>
                    </w:rPr>
                  </w:pPr>
                </w:p>
              </w:tc>
              <w:tc>
                <w:tcPr>
                  <w:tcW w:w="1275" w:type="dxa"/>
                  <w:noWrap w:val="0"/>
                  <w:vAlign w:val="center"/>
                </w:tcPr>
                <w:p>
                  <w:pPr>
                    <w:snapToGrid w:val="0"/>
                    <w:spacing w:line="20" w:lineRule="atLeast"/>
                    <w:jc w:val="center"/>
                    <w:rPr>
                      <w:color w:val="auto"/>
                      <w:kern w:val="0"/>
                      <w:sz w:val="18"/>
                      <w:szCs w:val="18"/>
                    </w:rPr>
                  </w:pPr>
                  <w:r>
                    <w:rPr>
                      <w:color w:val="auto"/>
                      <w:sz w:val="18"/>
                      <w:szCs w:val="18"/>
                    </w:rPr>
                    <w:t>沥青加热系统</w:t>
                  </w:r>
                </w:p>
              </w:tc>
              <w:tc>
                <w:tcPr>
                  <w:tcW w:w="660" w:type="dxa"/>
                  <w:noWrap w:val="0"/>
                  <w:vAlign w:val="center"/>
                </w:tcPr>
                <w:p>
                  <w:pPr>
                    <w:topLinePunct/>
                    <w:snapToGrid w:val="0"/>
                    <w:jc w:val="center"/>
                    <w:rPr>
                      <w:color w:val="auto"/>
                      <w:sz w:val="18"/>
                      <w:szCs w:val="18"/>
                    </w:rPr>
                  </w:pPr>
                  <w:r>
                    <w:rPr>
                      <w:color w:val="auto"/>
                      <w:sz w:val="18"/>
                      <w:szCs w:val="18"/>
                    </w:rPr>
                    <w:t>频发</w:t>
                  </w:r>
                </w:p>
              </w:tc>
              <w:tc>
                <w:tcPr>
                  <w:tcW w:w="660" w:type="dxa"/>
                  <w:noWrap w:val="0"/>
                  <w:vAlign w:val="center"/>
                </w:tcPr>
                <w:p>
                  <w:pPr>
                    <w:topLinePunct/>
                    <w:snapToGrid w:val="0"/>
                    <w:jc w:val="center"/>
                    <w:rPr>
                      <w:color w:val="auto"/>
                      <w:sz w:val="18"/>
                      <w:szCs w:val="18"/>
                    </w:rPr>
                  </w:pPr>
                  <w:r>
                    <w:rPr>
                      <w:color w:val="auto"/>
                      <w:sz w:val="18"/>
                      <w:szCs w:val="18"/>
                    </w:rPr>
                    <w:t>类比</w:t>
                  </w:r>
                </w:p>
              </w:tc>
              <w:tc>
                <w:tcPr>
                  <w:tcW w:w="1063" w:type="dxa"/>
                  <w:noWrap w:val="0"/>
                  <w:vAlign w:val="center"/>
                </w:tcPr>
                <w:p>
                  <w:pPr>
                    <w:topLinePunct/>
                    <w:snapToGrid w:val="0"/>
                    <w:jc w:val="center"/>
                    <w:rPr>
                      <w:color w:val="auto"/>
                      <w:sz w:val="18"/>
                      <w:szCs w:val="18"/>
                    </w:rPr>
                  </w:pPr>
                  <w:r>
                    <w:rPr>
                      <w:rFonts w:hint="eastAsia"/>
                      <w:color w:val="auto"/>
                      <w:sz w:val="18"/>
                      <w:szCs w:val="18"/>
                    </w:rPr>
                    <w:t>65</w:t>
                  </w:r>
                </w:p>
              </w:tc>
              <w:tc>
                <w:tcPr>
                  <w:tcW w:w="503" w:type="pct"/>
                  <w:vMerge w:val="continue"/>
                  <w:noWrap w:val="0"/>
                  <w:vAlign w:val="center"/>
                </w:tcPr>
                <w:p>
                  <w:pPr>
                    <w:widowControl/>
                    <w:jc w:val="center"/>
                    <w:textAlignment w:val="center"/>
                    <w:rPr>
                      <w:color w:val="auto"/>
                      <w:kern w:val="0"/>
                      <w:sz w:val="18"/>
                      <w:szCs w:val="18"/>
                      <w:lang w:bidi="ar"/>
                    </w:rPr>
                  </w:pPr>
                </w:p>
              </w:tc>
              <w:tc>
                <w:tcPr>
                  <w:tcW w:w="861" w:type="pct"/>
                  <w:vMerge w:val="continue"/>
                  <w:noWrap w:val="0"/>
                  <w:vAlign w:val="center"/>
                </w:tcPr>
                <w:p>
                  <w:pPr>
                    <w:topLinePunct/>
                    <w:snapToGrid w:val="0"/>
                    <w:jc w:val="center"/>
                    <w:rPr>
                      <w:color w:val="auto"/>
                      <w:sz w:val="18"/>
                      <w:szCs w:val="18"/>
                    </w:rPr>
                  </w:pPr>
                </w:p>
              </w:tc>
              <w:tc>
                <w:tcPr>
                  <w:tcW w:w="446" w:type="pct"/>
                  <w:vMerge w:val="continue"/>
                  <w:noWrap w:val="0"/>
                  <w:vAlign w:val="center"/>
                </w:tcPr>
                <w:p>
                  <w:pPr>
                    <w:topLinePunct/>
                    <w:snapToGrid w:val="0"/>
                    <w:jc w:val="center"/>
                    <w:rPr>
                      <w:color w:val="auto"/>
                      <w:sz w:val="18"/>
                      <w:szCs w:val="18"/>
                    </w:rPr>
                  </w:pPr>
                </w:p>
              </w:tc>
              <w:tc>
                <w:tcPr>
                  <w:tcW w:w="464" w:type="pct"/>
                  <w:vMerge w:val="continue"/>
                  <w:noWrap w:val="0"/>
                  <w:vAlign w:val="center"/>
                </w:tcPr>
                <w:p>
                  <w:pPr>
                    <w:topLinePunct/>
                    <w:snapToGrid w:val="0"/>
                    <w:jc w:val="center"/>
                    <w:rPr>
                      <w:color w:val="auto"/>
                      <w:sz w:val="18"/>
                      <w:szCs w:val="18"/>
                    </w:rPr>
                  </w:pPr>
                </w:p>
              </w:tc>
              <w:tc>
                <w:tcPr>
                  <w:tcW w:w="694" w:type="dxa"/>
                  <w:noWrap w:val="0"/>
                  <w:vAlign w:val="center"/>
                </w:tcPr>
                <w:p>
                  <w:pPr>
                    <w:topLinePunct/>
                    <w:snapToGrid w:val="0"/>
                    <w:jc w:val="center"/>
                    <w:rPr>
                      <w:color w:val="auto"/>
                      <w:sz w:val="18"/>
                      <w:szCs w:val="18"/>
                    </w:rPr>
                  </w:pPr>
                  <w:r>
                    <w:rPr>
                      <w:rFonts w:hint="eastAsia"/>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noWrap w:val="0"/>
                  <w:vAlign w:val="center"/>
                </w:tcPr>
                <w:p>
                  <w:pPr>
                    <w:topLinePunct/>
                    <w:snapToGrid w:val="0"/>
                    <w:jc w:val="center"/>
                    <w:rPr>
                      <w:color w:val="auto"/>
                      <w:sz w:val="18"/>
                      <w:szCs w:val="18"/>
                    </w:rPr>
                  </w:pPr>
                </w:p>
              </w:tc>
              <w:tc>
                <w:tcPr>
                  <w:tcW w:w="1275" w:type="dxa"/>
                  <w:noWrap w:val="0"/>
                  <w:vAlign w:val="center"/>
                </w:tcPr>
                <w:p>
                  <w:pPr>
                    <w:snapToGrid w:val="0"/>
                    <w:spacing w:line="20" w:lineRule="atLeast"/>
                    <w:jc w:val="center"/>
                    <w:rPr>
                      <w:color w:val="auto"/>
                      <w:kern w:val="0"/>
                      <w:sz w:val="18"/>
                      <w:szCs w:val="18"/>
                    </w:rPr>
                  </w:pPr>
                  <w:r>
                    <w:rPr>
                      <w:color w:val="auto"/>
                      <w:sz w:val="18"/>
                      <w:szCs w:val="18"/>
                    </w:rPr>
                    <w:t>控制系统</w:t>
                  </w:r>
                </w:p>
              </w:tc>
              <w:tc>
                <w:tcPr>
                  <w:tcW w:w="660" w:type="dxa"/>
                  <w:noWrap w:val="0"/>
                  <w:vAlign w:val="center"/>
                </w:tcPr>
                <w:p>
                  <w:pPr>
                    <w:topLinePunct/>
                    <w:snapToGrid w:val="0"/>
                    <w:jc w:val="center"/>
                    <w:rPr>
                      <w:color w:val="auto"/>
                      <w:sz w:val="18"/>
                      <w:szCs w:val="18"/>
                    </w:rPr>
                  </w:pPr>
                  <w:r>
                    <w:rPr>
                      <w:color w:val="auto"/>
                      <w:sz w:val="18"/>
                      <w:szCs w:val="18"/>
                    </w:rPr>
                    <w:t>频发</w:t>
                  </w:r>
                </w:p>
              </w:tc>
              <w:tc>
                <w:tcPr>
                  <w:tcW w:w="660" w:type="dxa"/>
                  <w:noWrap w:val="0"/>
                  <w:vAlign w:val="center"/>
                </w:tcPr>
                <w:p>
                  <w:pPr>
                    <w:topLinePunct/>
                    <w:snapToGrid w:val="0"/>
                    <w:jc w:val="center"/>
                    <w:rPr>
                      <w:color w:val="auto"/>
                      <w:sz w:val="18"/>
                      <w:szCs w:val="18"/>
                    </w:rPr>
                  </w:pPr>
                  <w:r>
                    <w:rPr>
                      <w:color w:val="auto"/>
                      <w:sz w:val="18"/>
                      <w:szCs w:val="18"/>
                    </w:rPr>
                    <w:t>类比</w:t>
                  </w:r>
                </w:p>
              </w:tc>
              <w:tc>
                <w:tcPr>
                  <w:tcW w:w="1063" w:type="dxa"/>
                  <w:noWrap w:val="0"/>
                  <w:vAlign w:val="center"/>
                </w:tcPr>
                <w:p>
                  <w:pPr>
                    <w:topLinePunct/>
                    <w:snapToGrid w:val="0"/>
                    <w:jc w:val="center"/>
                    <w:rPr>
                      <w:color w:val="auto"/>
                      <w:sz w:val="18"/>
                      <w:szCs w:val="18"/>
                    </w:rPr>
                  </w:pPr>
                  <w:r>
                    <w:rPr>
                      <w:rFonts w:hint="eastAsia"/>
                      <w:color w:val="auto"/>
                      <w:sz w:val="18"/>
                      <w:szCs w:val="18"/>
                    </w:rPr>
                    <w:t>60</w:t>
                  </w:r>
                </w:p>
              </w:tc>
              <w:tc>
                <w:tcPr>
                  <w:tcW w:w="503" w:type="pct"/>
                  <w:vMerge w:val="continue"/>
                  <w:noWrap w:val="0"/>
                  <w:vAlign w:val="center"/>
                </w:tcPr>
                <w:p>
                  <w:pPr>
                    <w:widowControl/>
                    <w:jc w:val="center"/>
                    <w:textAlignment w:val="center"/>
                    <w:rPr>
                      <w:color w:val="auto"/>
                      <w:kern w:val="0"/>
                      <w:sz w:val="18"/>
                      <w:szCs w:val="18"/>
                      <w:lang w:bidi="ar"/>
                    </w:rPr>
                  </w:pPr>
                </w:p>
              </w:tc>
              <w:tc>
                <w:tcPr>
                  <w:tcW w:w="861" w:type="pct"/>
                  <w:vMerge w:val="continue"/>
                  <w:noWrap w:val="0"/>
                  <w:vAlign w:val="center"/>
                </w:tcPr>
                <w:p>
                  <w:pPr>
                    <w:topLinePunct/>
                    <w:snapToGrid w:val="0"/>
                    <w:jc w:val="center"/>
                    <w:rPr>
                      <w:color w:val="auto"/>
                      <w:sz w:val="18"/>
                      <w:szCs w:val="18"/>
                    </w:rPr>
                  </w:pPr>
                </w:p>
              </w:tc>
              <w:tc>
                <w:tcPr>
                  <w:tcW w:w="446" w:type="pct"/>
                  <w:vMerge w:val="continue"/>
                  <w:noWrap w:val="0"/>
                  <w:vAlign w:val="center"/>
                </w:tcPr>
                <w:p>
                  <w:pPr>
                    <w:topLinePunct/>
                    <w:snapToGrid w:val="0"/>
                    <w:jc w:val="center"/>
                    <w:rPr>
                      <w:color w:val="auto"/>
                      <w:sz w:val="18"/>
                      <w:szCs w:val="18"/>
                    </w:rPr>
                  </w:pPr>
                </w:p>
              </w:tc>
              <w:tc>
                <w:tcPr>
                  <w:tcW w:w="464" w:type="pct"/>
                  <w:vMerge w:val="continue"/>
                  <w:noWrap w:val="0"/>
                  <w:vAlign w:val="center"/>
                </w:tcPr>
                <w:p>
                  <w:pPr>
                    <w:topLinePunct/>
                    <w:snapToGrid w:val="0"/>
                    <w:jc w:val="center"/>
                    <w:rPr>
                      <w:color w:val="auto"/>
                      <w:sz w:val="18"/>
                      <w:szCs w:val="18"/>
                    </w:rPr>
                  </w:pPr>
                </w:p>
              </w:tc>
              <w:tc>
                <w:tcPr>
                  <w:tcW w:w="694" w:type="dxa"/>
                  <w:noWrap w:val="0"/>
                  <w:vAlign w:val="center"/>
                </w:tcPr>
                <w:p>
                  <w:pPr>
                    <w:topLinePunct/>
                    <w:snapToGrid w:val="0"/>
                    <w:jc w:val="center"/>
                    <w:rPr>
                      <w:color w:val="auto"/>
                      <w:sz w:val="18"/>
                      <w:szCs w:val="18"/>
                    </w:rPr>
                  </w:pPr>
                  <w:r>
                    <w:rPr>
                      <w:rFonts w:hint="eastAsia"/>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noWrap w:val="0"/>
                  <w:vAlign w:val="center"/>
                </w:tcPr>
                <w:p>
                  <w:pPr>
                    <w:topLinePunct/>
                    <w:snapToGrid w:val="0"/>
                    <w:jc w:val="center"/>
                    <w:rPr>
                      <w:color w:val="auto"/>
                      <w:sz w:val="18"/>
                      <w:szCs w:val="18"/>
                    </w:rPr>
                  </w:pPr>
                </w:p>
              </w:tc>
              <w:tc>
                <w:tcPr>
                  <w:tcW w:w="1275" w:type="dxa"/>
                  <w:noWrap w:val="0"/>
                  <w:vAlign w:val="center"/>
                </w:tcPr>
                <w:p>
                  <w:pPr>
                    <w:snapToGrid w:val="0"/>
                    <w:spacing w:line="20" w:lineRule="atLeast"/>
                    <w:jc w:val="center"/>
                    <w:rPr>
                      <w:color w:val="auto"/>
                      <w:kern w:val="0"/>
                      <w:sz w:val="18"/>
                      <w:szCs w:val="18"/>
                    </w:rPr>
                  </w:pPr>
                  <w:r>
                    <w:rPr>
                      <w:color w:val="auto"/>
                      <w:sz w:val="18"/>
                      <w:szCs w:val="18"/>
                    </w:rPr>
                    <w:t>再生料冷料系统</w:t>
                  </w:r>
                </w:p>
              </w:tc>
              <w:tc>
                <w:tcPr>
                  <w:tcW w:w="660" w:type="dxa"/>
                  <w:noWrap w:val="0"/>
                  <w:vAlign w:val="center"/>
                </w:tcPr>
                <w:p>
                  <w:pPr>
                    <w:topLinePunct/>
                    <w:snapToGrid w:val="0"/>
                    <w:jc w:val="center"/>
                    <w:rPr>
                      <w:color w:val="auto"/>
                      <w:sz w:val="18"/>
                      <w:szCs w:val="18"/>
                    </w:rPr>
                  </w:pPr>
                  <w:r>
                    <w:rPr>
                      <w:color w:val="auto"/>
                      <w:sz w:val="18"/>
                      <w:szCs w:val="18"/>
                    </w:rPr>
                    <w:t>频发</w:t>
                  </w:r>
                </w:p>
              </w:tc>
              <w:tc>
                <w:tcPr>
                  <w:tcW w:w="660" w:type="dxa"/>
                  <w:noWrap w:val="0"/>
                  <w:vAlign w:val="center"/>
                </w:tcPr>
                <w:p>
                  <w:pPr>
                    <w:topLinePunct/>
                    <w:snapToGrid w:val="0"/>
                    <w:jc w:val="center"/>
                    <w:rPr>
                      <w:color w:val="auto"/>
                      <w:sz w:val="18"/>
                      <w:szCs w:val="18"/>
                    </w:rPr>
                  </w:pPr>
                  <w:r>
                    <w:rPr>
                      <w:color w:val="auto"/>
                      <w:sz w:val="18"/>
                      <w:szCs w:val="18"/>
                    </w:rPr>
                    <w:t>类比</w:t>
                  </w:r>
                </w:p>
              </w:tc>
              <w:tc>
                <w:tcPr>
                  <w:tcW w:w="1063" w:type="dxa"/>
                  <w:noWrap w:val="0"/>
                  <w:vAlign w:val="center"/>
                </w:tcPr>
                <w:p>
                  <w:pPr>
                    <w:topLinePunct/>
                    <w:snapToGrid w:val="0"/>
                    <w:jc w:val="center"/>
                    <w:rPr>
                      <w:color w:val="auto"/>
                      <w:sz w:val="18"/>
                      <w:szCs w:val="18"/>
                    </w:rPr>
                  </w:pPr>
                  <w:r>
                    <w:rPr>
                      <w:rFonts w:hint="eastAsia"/>
                      <w:color w:val="auto"/>
                      <w:sz w:val="18"/>
                      <w:szCs w:val="18"/>
                    </w:rPr>
                    <w:t>75</w:t>
                  </w:r>
                </w:p>
              </w:tc>
              <w:tc>
                <w:tcPr>
                  <w:tcW w:w="503" w:type="pct"/>
                  <w:vMerge w:val="continue"/>
                  <w:noWrap w:val="0"/>
                  <w:vAlign w:val="center"/>
                </w:tcPr>
                <w:p>
                  <w:pPr>
                    <w:widowControl/>
                    <w:jc w:val="center"/>
                    <w:textAlignment w:val="center"/>
                    <w:rPr>
                      <w:color w:val="auto"/>
                      <w:kern w:val="0"/>
                      <w:sz w:val="18"/>
                      <w:szCs w:val="18"/>
                      <w:lang w:bidi="ar"/>
                    </w:rPr>
                  </w:pPr>
                </w:p>
              </w:tc>
              <w:tc>
                <w:tcPr>
                  <w:tcW w:w="861" w:type="pct"/>
                  <w:vMerge w:val="continue"/>
                  <w:noWrap w:val="0"/>
                  <w:vAlign w:val="center"/>
                </w:tcPr>
                <w:p>
                  <w:pPr>
                    <w:topLinePunct/>
                    <w:snapToGrid w:val="0"/>
                    <w:jc w:val="center"/>
                    <w:rPr>
                      <w:color w:val="auto"/>
                      <w:sz w:val="18"/>
                      <w:szCs w:val="18"/>
                    </w:rPr>
                  </w:pPr>
                </w:p>
              </w:tc>
              <w:tc>
                <w:tcPr>
                  <w:tcW w:w="446" w:type="pct"/>
                  <w:vMerge w:val="continue"/>
                  <w:noWrap w:val="0"/>
                  <w:vAlign w:val="center"/>
                </w:tcPr>
                <w:p>
                  <w:pPr>
                    <w:topLinePunct/>
                    <w:snapToGrid w:val="0"/>
                    <w:jc w:val="center"/>
                    <w:rPr>
                      <w:color w:val="auto"/>
                      <w:sz w:val="18"/>
                      <w:szCs w:val="18"/>
                    </w:rPr>
                  </w:pPr>
                </w:p>
              </w:tc>
              <w:tc>
                <w:tcPr>
                  <w:tcW w:w="464" w:type="pct"/>
                  <w:vMerge w:val="continue"/>
                  <w:noWrap w:val="0"/>
                  <w:vAlign w:val="center"/>
                </w:tcPr>
                <w:p>
                  <w:pPr>
                    <w:topLinePunct/>
                    <w:snapToGrid w:val="0"/>
                    <w:jc w:val="center"/>
                    <w:rPr>
                      <w:color w:val="auto"/>
                      <w:sz w:val="18"/>
                      <w:szCs w:val="18"/>
                    </w:rPr>
                  </w:pPr>
                </w:p>
              </w:tc>
              <w:tc>
                <w:tcPr>
                  <w:tcW w:w="694" w:type="dxa"/>
                  <w:noWrap w:val="0"/>
                  <w:vAlign w:val="center"/>
                </w:tcPr>
                <w:p>
                  <w:pPr>
                    <w:topLinePunct/>
                    <w:snapToGrid w:val="0"/>
                    <w:jc w:val="center"/>
                    <w:rPr>
                      <w:color w:val="auto"/>
                      <w:sz w:val="18"/>
                      <w:szCs w:val="18"/>
                    </w:rPr>
                  </w:pPr>
                  <w:r>
                    <w:rPr>
                      <w:rFonts w:hint="eastAsia"/>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noWrap w:val="0"/>
                  <w:vAlign w:val="center"/>
                </w:tcPr>
                <w:p>
                  <w:pPr>
                    <w:topLinePunct/>
                    <w:snapToGrid w:val="0"/>
                    <w:jc w:val="center"/>
                    <w:rPr>
                      <w:color w:val="auto"/>
                      <w:sz w:val="18"/>
                      <w:szCs w:val="18"/>
                    </w:rPr>
                  </w:pPr>
                </w:p>
              </w:tc>
              <w:tc>
                <w:tcPr>
                  <w:tcW w:w="1275" w:type="dxa"/>
                  <w:noWrap w:val="0"/>
                  <w:vAlign w:val="center"/>
                </w:tcPr>
                <w:p>
                  <w:pPr>
                    <w:snapToGrid w:val="0"/>
                    <w:spacing w:line="20" w:lineRule="atLeast"/>
                    <w:jc w:val="center"/>
                    <w:rPr>
                      <w:color w:val="auto"/>
                      <w:kern w:val="0"/>
                      <w:sz w:val="18"/>
                      <w:szCs w:val="18"/>
                    </w:rPr>
                  </w:pPr>
                  <w:r>
                    <w:rPr>
                      <w:color w:val="auto"/>
                      <w:sz w:val="18"/>
                      <w:szCs w:val="18"/>
                    </w:rPr>
                    <w:t>再生料热料提升机</w:t>
                  </w:r>
                </w:p>
              </w:tc>
              <w:tc>
                <w:tcPr>
                  <w:tcW w:w="660" w:type="dxa"/>
                  <w:noWrap w:val="0"/>
                  <w:vAlign w:val="center"/>
                </w:tcPr>
                <w:p>
                  <w:pPr>
                    <w:topLinePunct/>
                    <w:snapToGrid w:val="0"/>
                    <w:jc w:val="center"/>
                    <w:rPr>
                      <w:color w:val="auto"/>
                      <w:sz w:val="18"/>
                      <w:szCs w:val="18"/>
                    </w:rPr>
                  </w:pPr>
                  <w:r>
                    <w:rPr>
                      <w:color w:val="auto"/>
                      <w:sz w:val="18"/>
                      <w:szCs w:val="18"/>
                    </w:rPr>
                    <w:t>频发</w:t>
                  </w:r>
                </w:p>
              </w:tc>
              <w:tc>
                <w:tcPr>
                  <w:tcW w:w="660" w:type="dxa"/>
                  <w:noWrap w:val="0"/>
                  <w:vAlign w:val="center"/>
                </w:tcPr>
                <w:p>
                  <w:pPr>
                    <w:topLinePunct/>
                    <w:snapToGrid w:val="0"/>
                    <w:jc w:val="center"/>
                    <w:rPr>
                      <w:color w:val="auto"/>
                      <w:sz w:val="18"/>
                      <w:szCs w:val="18"/>
                    </w:rPr>
                  </w:pPr>
                  <w:r>
                    <w:rPr>
                      <w:color w:val="auto"/>
                      <w:sz w:val="18"/>
                      <w:szCs w:val="18"/>
                    </w:rPr>
                    <w:t>类比</w:t>
                  </w:r>
                </w:p>
              </w:tc>
              <w:tc>
                <w:tcPr>
                  <w:tcW w:w="1063" w:type="dxa"/>
                  <w:noWrap w:val="0"/>
                  <w:vAlign w:val="center"/>
                </w:tcPr>
                <w:p>
                  <w:pPr>
                    <w:topLinePunct/>
                    <w:snapToGrid w:val="0"/>
                    <w:jc w:val="center"/>
                    <w:rPr>
                      <w:color w:val="auto"/>
                      <w:sz w:val="18"/>
                      <w:szCs w:val="18"/>
                    </w:rPr>
                  </w:pPr>
                  <w:r>
                    <w:rPr>
                      <w:rFonts w:hint="eastAsia"/>
                      <w:color w:val="auto"/>
                      <w:sz w:val="18"/>
                      <w:szCs w:val="18"/>
                    </w:rPr>
                    <w:t>80</w:t>
                  </w:r>
                </w:p>
              </w:tc>
              <w:tc>
                <w:tcPr>
                  <w:tcW w:w="503" w:type="pct"/>
                  <w:vMerge w:val="continue"/>
                  <w:noWrap w:val="0"/>
                  <w:vAlign w:val="center"/>
                </w:tcPr>
                <w:p>
                  <w:pPr>
                    <w:widowControl/>
                    <w:jc w:val="center"/>
                    <w:textAlignment w:val="center"/>
                    <w:rPr>
                      <w:color w:val="auto"/>
                      <w:kern w:val="0"/>
                      <w:sz w:val="18"/>
                      <w:szCs w:val="18"/>
                      <w:lang w:bidi="ar"/>
                    </w:rPr>
                  </w:pPr>
                </w:p>
              </w:tc>
              <w:tc>
                <w:tcPr>
                  <w:tcW w:w="861" w:type="pct"/>
                  <w:vMerge w:val="continue"/>
                  <w:noWrap w:val="0"/>
                  <w:vAlign w:val="center"/>
                </w:tcPr>
                <w:p>
                  <w:pPr>
                    <w:topLinePunct/>
                    <w:snapToGrid w:val="0"/>
                    <w:jc w:val="center"/>
                    <w:rPr>
                      <w:color w:val="auto"/>
                      <w:sz w:val="18"/>
                      <w:szCs w:val="18"/>
                    </w:rPr>
                  </w:pPr>
                </w:p>
              </w:tc>
              <w:tc>
                <w:tcPr>
                  <w:tcW w:w="446" w:type="pct"/>
                  <w:vMerge w:val="continue"/>
                  <w:noWrap w:val="0"/>
                  <w:vAlign w:val="center"/>
                </w:tcPr>
                <w:p>
                  <w:pPr>
                    <w:topLinePunct/>
                    <w:snapToGrid w:val="0"/>
                    <w:jc w:val="center"/>
                    <w:rPr>
                      <w:color w:val="auto"/>
                      <w:sz w:val="18"/>
                      <w:szCs w:val="18"/>
                    </w:rPr>
                  </w:pPr>
                </w:p>
              </w:tc>
              <w:tc>
                <w:tcPr>
                  <w:tcW w:w="464" w:type="pct"/>
                  <w:vMerge w:val="continue"/>
                  <w:noWrap w:val="0"/>
                  <w:vAlign w:val="center"/>
                </w:tcPr>
                <w:p>
                  <w:pPr>
                    <w:topLinePunct/>
                    <w:snapToGrid w:val="0"/>
                    <w:jc w:val="center"/>
                    <w:rPr>
                      <w:color w:val="auto"/>
                      <w:sz w:val="18"/>
                      <w:szCs w:val="18"/>
                    </w:rPr>
                  </w:pPr>
                </w:p>
              </w:tc>
              <w:tc>
                <w:tcPr>
                  <w:tcW w:w="694" w:type="dxa"/>
                  <w:noWrap w:val="0"/>
                  <w:vAlign w:val="center"/>
                </w:tcPr>
                <w:p>
                  <w:pPr>
                    <w:topLinePunct/>
                    <w:snapToGrid w:val="0"/>
                    <w:jc w:val="center"/>
                    <w:rPr>
                      <w:color w:val="auto"/>
                      <w:sz w:val="18"/>
                      <w:szCs w:val="18"/>
                    </w:rPr>
                  </w:pPr>
                  <w:r>
                    <w:rPr>
                      <w:rFonts w:hint="eastAsia"/>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noWrap w:val="0"/>
                  <w:vAlign w:val="center"/>
                </w:tcPr>
                <w:p>
                  <w:pPr>
                    <w:topLinePunct/>
                    <w:snapToGrid w:val="0"/>
                    <w:jc w:val="center"/>
                    <w:rPr>
                      <w:color w:val="auto"/>
                      <w:sz w:val="18"/>
                      <w:szCs w:val="18"/>
                    </w:rPr>
                  </w:pPr>
                </w:p>
              </w:tc>
              <w:tc>
                <w:tcPr>
                  <w:tcW w:w="1275" w:type="dxa"/>
                  <w:noWrap w:val="0"/>
                  <w:vAlign w:val="center"/>
                </w:tcPr>
                <w:p>
                  <w:pPr>
                    <w:snapToGrid w:val="0"/>
                    <w:spacing w:line="20" w:lineRule="atLeast"/>
                    <w:jc w:val="center"/>
                    <w:rPr>
                      <w:color w:val="auto"/>
                      <w:kern w:val="0"/>
                      <w:sz w:val="18"/>
                      <w:szCs w:val="18"/>
                    </w:rPr>
                  </w:pPr>
                  <w:r>
                    <w:rPr>
                      <w:color w:val="auto"/>
                      <w:sz w:val="18"/>
                      <w:szCs w:val="18"/>
                    </w:rPr>
                    <w:t>再生料烘干系统</w:t>
                  </w:r>
                </w:p>
              </w:tc>
              <w:tc>
                <w:tcPr>
                  <w:tcW w:w="660" w:type="dxa"/>
                  <w:noWrap w:val="0"/>
                  <w:vAlign w:val="center"/>
                </w:tcPr>
                <w:p>
                  <w:pPr>
                    <w:topLinePunct/>
                    <w:snapToGrid w:val="0"/>
                    <w:jc w:val="center"/>
                    <w:rPr>
                      <w:color w:val="auto"/>
                      <w:sz w:val="18"/>
                      <w:szCs w:val="18"/>
                    </w:rPr>
                  </w:pPr>
                  <w:r>
                    <w:rPr>
                      <w:color w:val="auto"/>
                      <w:sz w:val="18"/>
                      <w:szCs w:val="18"/>
                    </w:rPr>
                    <w:t>频发</w:t>
                  </w:r>
                </w:p>
              </w:tc>
              <w:tc>
                <w:tcPr>
                  <w:tcW w:w="660" w:type="dxa"/>
                  <w:noWrap w:val="0"/>
                  <w:vAlign w:val="center"/>
                </w:tcPr>
                <w:p>
                  <w:pPr>
                    <w:topLinePunct/>
                    <w:snapToGrid w:val="0"/>
                    <w:jc w:val="center"/>
                    <w:rPr>
                      <w:color w:val="auto"/>
                      <w:sz w:val="18"/>
                      <w:szCs w:val="18"/>
                    </w:rPr>
                  </w:pPr>
                  <w:r>
                    <w:rPr>
                      <w:color w:val="auto"/>
                      <w:sz w:val="18"/>
                      <w:szCs w:val="18"/>
                    </w:rPr>
                    <w:t>类比</w:t>
                  </w:r>
                </w:p>
              </w:tc>
              <w:tc>
                <w:tcPr>
                  <w:tcW w:w="1063" w:type="dxa"/>
                  <w:noWrap w:val="0"/>
                  <w:vAlign w:val="center"/>
                </w:tcPr>
                <w:p>
                  <w:pPr>
                    <w:topLinePunct/>
                    <w:snapToGrid w:val="0"/>
                    <w:jc w:val="center"/>
                    <w:rPr>
                      <w:color w:val="auto"/>
                      <w:sz w:val="18"/>
                      <w:szCs w:val="18"/>
                    </w:rPr>
                  </w:pPr>
                  <w:r>
                    <w:rPr>
                      <w:rFonts w:hint="eastAsia"/>
                      <w:color w:val="auto"/>
                      <w:sz w:val="18"/>
                      <w:szCs w:val="18"/>
                    </w:rPr>
                    <w:t>75</w:t>
                  </w:r>
                </w:p>
              </w:tc>
              <w:tc>
                <w:tcPr>
                  <w:tcW w:w="503" w:type="pct"/>
                  <w:vMerge w:val="continue"/>
                  <w:noWrap w:val="0"/>
                  <w:vAlign w:val="center"/>
                </w:tcPr>
                <w:p>
                  <w:pPr>
                    <w:widowControl/>
                    <w:jc w:val="center"/>
                    <w:textAlignment w:val="center"/>
                    <w:rPr>
                      <w:color w:val="auto"/>
                      <w:kern w:val="0"/>
                      <w:sz w:val="18"/>
                      <w:szCs w:val="18"/>
                      <w:lang w:bidi="ar"/>
                    </w:rPr>
                  </w:pPr>
                </w:p>
              </w:tc>
              <w:tc>
                <w:tcPr>
                  <w:tcW w:w="861" w:type="pct"/>
                  <w:vMerge w:val="continue"/>
                  <w:noWrap w:val="0"/>
                  <w:vAlign w:val="center"/>
                </w:tcPr>
                <w:p>
                  <w:pPr>
                    <w:topLinePunct/>
                    <w:snapToGrid w:val="0"/>
                    <w:jc w:val="center"/>
                    <w:rPr>
                      <w:color w:val="auto"/>
                      <w:sz w:val="18"/>
                      <w:szCs w:val="18"/>
                    </w:rPr>
                  </w:pPr>
                </w:p>
              </w:tc>
              <w:tc>
                <w:tcPr>
                  <w:tcW w:w="446" w:type="pct"/>
                  <w:vMerge w:val="continue"/>
                  <w:noWrap w:val="0"/>
                  <w:vAlign w:val="center"/>
                </w:tcPr>
                <w:p>
                  <w:pPr>
                    <w:topLinePunct/>
                    <w:snapToGrid w:val="0"/>
                    <w:jc w:val="center"/>
                    <w:rPr>
                      <w:color w:val="auto"/>
                      <w:sz w:val="18"/>
                      <w:szCs w:val="18"/>
                    </w:rPr>
                  </w:pPr>
                </w:p>
              </w:tc>
              <w:tc>
                <w:tcPr>
                  <w:tcW w:w="464" w:type="pct"/>
                  <w:vMerge w:val="continue"/>
                  <w:noWrap w:val="0"/>
                  <w:vAlign w:val="center"/>
                </w:tcPr>
                <w:p>
                  <w:pPr>
                    <w:topLinePunct/>
                    <w:snapToGrid w:val="0"/>
                    <w:jc w:val="center"/>
                    <w:rPr>
                      <w:color w:val="auto"/>
                      <w:sz w:val="18"/>
                      <w:szCs w:val="18"/>
                    </w:rPr>
                  </w:pPr>
                </w:p>
              </w:tc>
              <w:tc>
                <w:tcPr>
                  <w:tcW w:w="694" w:type="dxa"/>
                  <w:noWrap w:val="0"/>
                  <w:vAlign w:val="center"/>
                </w:tcPr>
                <w:p>
                  <w:pPr>
                    <w:topLinePunct/>
                    <w:snapToGrid w:val="0"/>
                    <w:jc w:val="center"/>
                    <w:rPr>
                      <w:color w:val="auto"/>
                      <w:sz w:val="18"/>
                      <w:szCs w:val="18"/>
                    </w:rPr>
                  </w:pPr>
                  <w:r>
                    <w:rPr>
                      <w:rFonts w:hint="eastAsia"/>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noWrap w:val="0"/>
                  <w:vAlign w:val="center"/>
                </w:tcPr>
                <w:p>
                  <w:pPr>
                    <w:topLinePunct/>
                    <w:snapToGrid w:val="0"/>
                    <w:jc w:val="center"/>
                    <w:rPr>
                      <w:color w:val="auto"/>
                      <w:sz w:val="18"/>
                      <w:szCs w:val="18"/>
                    </w:rPr>
                  </w:pPr>
                </w:p>
              </w:tc>
              <w:tc>
                <w:tcPr>
                  <w:tcW w:w="1275" w:type="dxa"/>
                  <w:noWrap w:val="0"/>
                  <w:vAlign w:val="center"/>
                </w:tcPr>
                <w:p>
                  <w:pPr>
                    <w:snapToGrid w:val="0"/>
                    <w:spacing w:line="20" w:lineRule="atLeast"/>
                    <w:jc w:val="center"/>
                    <w:rPr>
                      <w:color w:val="auto"/>
                      <w:kern w:val="0"/>
                      <w:sz w:val="18"/>
                      <w:szCs w:val="18"/>
                    </w:rPr>
                  </w:pPr>
                  <w:r>
                    <w:rPr>
                      <w:color w:val="auto"/>
                      <w:sz w:val="18"/>
                      <w:szCs w:val="18"/>
                    </w:rPr>
                    <w:t>再生料储存计量系统</w:t>
                  </w:r>
                </w:p>
              </w:tc>
              <w:tc>
                <w:tcPr>
                  <w:tcW w:w="660" w:type="dxa"/>
                  <w:noWrap w:val="0"/>
                  <w:vAlign w:val="center"/>
                </w:tcPr>
                <w:p>
                  <w:pPr>
                    <w:topLinePunct/>
                    <w:snapToGrid w:val="0"/>
                    <w:jc w:val="center"/>
                    <w:rPr>
                      <w:color w:val="auto"/>
                      <w:sz w:val="18"/>
                      <w:szCs w:val="18"/>
                    </w:rPr>
                  </w:pPr>
                  <w:r>
                    <w:rPr>
                      <w:color w:val="auto"/>
                      <w:sz w:val="18"/>
                      <w:szCs w:val="18"/>
                    </w:rPr>
                    <w:t>频发</w:t>
                  </w:r>
                </w:p>
              </w:tc>
              <w:tc>
                <w:tcPr>
                  <w:tcW w:w="660" w:type="dxa"/>
                  <w:noWrap w:val="0"/>
                  <w:vAlign w:val="center"/>
                </w:tcPr>
                <w:p>
                  <w:pPr>
                    <w:topLinePunct/>
                    <w:snapToGrid w:val="0"/>
                    <w:jc w:val="center"/>
                    <w:rPr>
                      <w:color w:val="auto"/>
                      <w:sz w:val="18"/>
                      <w:szCs w:val="18"/>
                    </w:rPr>
                  </w:pPr>
                  <w:r>
                    <w:rPr>
                      <w:color w:val="auto"/>
                      <w:sz w:val="18"/>
                      <w:szCs w:val="18"/>
                    </w:rPr>
                    <w:t>类比</w:t>
                  </w:r>
                </w:p>
              </w:tc>
              <w:tc>
                <w:tcPr>
                  <w:tcW w:w="1063" w:type="dxa"/>
                  <w:noWrap w:val="0"/>
                  <w:vAlign w:val="center"/>
                </w:tcPr>
                <w:p>
                  <w:pPr>
                    <w:topLinePunct/>
                    <w:snapToGrid w:val="0"/>
                    <w:jc w:val="center"/>
                    <w:rPr>
                      <w:color w:val="auto"/>
                      <w:sz w:val="18"/>
                      <w:szCs w:val="18"/>
                    </w:rPr>
                  </w:pPr>
                  <w:r>
                    <w:rPr>
                      <w:rFonts w:hint="eastAsia"/>
                      <w:color w:val="auto"/>
                      <w:sz w:val="18"/>
                      <w:szCs w:val="18"/>
                    </w:rPr>
                    <w:t>65</w:t>
                  </w:r>
                </w:p>
              </w:tc>
              <w:tc>
                <w:tcPr>
                  <w:tcW w:w="503" w:type="pct"/>
                  <w:vMerge w:val="continue"/>
                  <w:noWrap w:val="0"/>
                  <w:vAlign w:val="center"/>
                </w:tcPr>
                <w:p>
                  <w:pPr>
                    <w:widowControl/>
                    <w:jc w:val="center"/>
                    <w:textAlignment w:val="center"/>
                    <w:rPr>
                      <w:color w:val="auto"/>
                      <w:kern w:val="0"/>
                      <w:sz w:val="18"/>
                      <w:szCs w:val="18"/>
                      <w:lang w:bidi="ar"/>
                    </w:rPr>
                  </w:pPr>
                </w:p>
              </w:tc>
              <w:tc>
                <w:tcPr>
                  <w:tcW w:w="861" w:type="pct"/>
                  <w:vMerge w:val="continue"/>
                  <w:noWrap w:val="0"/>
                  <w:vAlign w:val="center"/>
                </w:tcPr>
                <w:p>
                  <w:pPr>
                    <w:topLinePunct/>
                    <w:snapToGrid w:val="0"/>
                    <w:jc w:val="center"/>
                    <w:rPr>
                      <w:color w:val="auto"/>
                      <w:sz w:val="18"/>
                      <w:szCs w:val="18"/>
                    </w:rPr>
                  </w:pPr>
                </w:p>
              </w:tc>
              <w:tc>
                <w:tcPr>
                  <w:tcW w:w="446" w:type="pct"/>
                  <w:vMerge w:val="continue"/>
                  <w:noWrap w:val="0"/>
                  <w:vAlign w:val="center"/>
                </w:tcPr>
                <w:p>
                  <w:pPr>
                    <w:topLinePunct/>
                    <w:snapToGrid w:val="0"/>
                    <w:jc w:val="center"/>
                    <w:rPr>
                      <w:color w:val="auto"/>
                      <w:sz w:val="18"/>
                      <w:szCs w:val="18"/>
                    </w:rPr>
                  </w:pPr>
                </w:p>
              </w:tc>
              <w:tc>
                <w:tcPr>
                  <w:tcW w:w="464" w:type="pct"/>
                  <w:vMerge w:val="continue"/>
                  <w:noWrap w:val="0"/>
                  <w:vAlign w:val="center"/>
                </w:tcPr>
                <w:p>
                  <w:pPr>
                    <w:topLinePunct/>
                    <w:snapToGrid w:val="0"/>
                    <w:jc w:val="center"/>
                    <w:rPr>
                      <w:color w:val="auto"/>
                      <w:sz w:val="18"/>
                      <w:szCs w:val="18"/>
                    </w:rPr>
                  </w:pPr>
                </w:p>
              </w:tc>
              <w:tc>
                <w:tcPr>
                  <w:tcW w:w="694" w:type="dxa"/>
                  <w:noWrap w:val="0"/>
                  <w:vAlign w:val="center"/>
                </w:tcPr>
                <w:p>
                  <w:pPr>
                    <w:topLinePunct/>
                    <w:snapToGrid w:val="0"/>
                    <w:jc w:val="center"/>
                    <w:rPr>
                      <w:color w:val="auto"/>
                      <w:sz w:val="18"/>
                      <w:szCs w:val="18"/>
                    </w:rPr>
                  </w:pPr>
                  <w:r>
                    <w:rPr>
                      <w:rFonts w:hint="eastAsia"/>
                      <w:color w:val="auto"/>
                      <w:sz w:val="18"/>
                      <w:szCs w:val="18"/>
                    </w:rPr>
                    <w:t>8</w:t>
                  </w:r>
                </w:p>
              </w:tc>
            </w:tr>
          </w:tbl>
          <w:p>
            <w:pPr>
              <w:topLinePunct/>
              <w:snapToGrid w:val="0"/>
              <w:ind w:firstLine="482" w:firstLineChars="200"/>
              <w:rPr>
                <w:b/>
                <w:bCs/>
                <w:color w:val="auto"/>
                <w:kern w:val="0"/>
                <w:sz w:val="24"/>
                <w:u w:val="single"/>
              </w:rPr>
            </w:pPr>
          </w:p>
          <w:p>
            <w:pPr>
              <w:topLinePunct/>
              <w:snapToGrid w:val="0"/>
              <w:spacing w:line="360" w:lineRule="auto"/>
              <w:ind w:firstLine="482" w:firstLineChars="200"/>
              <w:rPr>
                <w:b/>
                <w:bCs/>
                <w:color w:val="auto"/>
                <w:kern w:val="0"/>
                <w:sz w:val="24"/>
                <w:u w:val="single"/>
              </w:rPr>
            </w:pPr>
            <w:r>
              <w:rPr>
                <w:b/>
                <w:bCs/>
                <w:color w:val="auto"/>
                <w:kern w:val="0"/>
                <w:sz w:val="24"/>
                <w:u w:val="single"/>
              </w:rPr>
              <w:t>噪声防治措施：</w:t>
            </w:r>
          </w:p>
          <w:p>
            <w:pPr>
              <w:topLinePunct/>
              <w:snapToGrid w:val="0"/>
              <w:spacing w:line="360" w:lineRule="auto"/>
              <w:ind w:firstLine="480" w:firstLineChars="200"/>
              <w:rPr>
                <w:color w:val="auto"/>
                <w:kern w:val="0"/>
                <w:sz w:val="24"/>
              </w:rPr>
            </w:pPr>
            <w:r>
              <w:rPr>
                <w:color w:val="auto"/>
                <w:kern w:val="0"/>
                <w:sz w:val="24"/>
              </w:rPr>
              <w:t>为了确保本项目厂界环境噪声排放可达到《工业企业厂界环境噪声排放标准》（GB12348-2008）中的要求，本次评价建议建设单位采取以下噪声防治措施：</w:t>
            </w:r>
          </w:p>
          <w:p>
            <w:pPr>
              <w:topLinePunct/>
              <w:snapToGrid w:val="0"/>
              <w:spacing w:line="360" w:lineRule="auto"/>
              <w:ind w:firstLine="480" w:firstLineChars="200"/>
              <w:rPr>
                <w:color w:val="auto"/>
                <w:kern w:val="0"/>
                <w:sz w:val="24"/>
              </w:rPr>
            </w:pPr>
            <w:r>
              <w:rPr>
                <w:color w:val="auto"/>
                <w:kern w:val="0"/>
                <w:sz w:val="24"/>
              </w:rPr>
              <w:t>①在设备选型方面，在满足工艺生产的前提下，选用精度高、装配质量好、噪声低的设备；对于某些高噪声设备，可考虑对其基础进行隔振、减震，以此减少噪声的产生。</w:t>
            </w:r>
          </w:p>
          <w:p>
            <w:pPr>
              <w:topLinePunct/>
              <w:snapToGrid w:val="0"/>
              <w:spacing w:line="360" w:lineRule="auto"/>
              <w:ind w:firstLine="480" w:firstLineChars="200"/>
              <w:rPr>
                <w:color w:val="auto"/>
                <w:kern w:val="0"/>
                <w:sz w:val="24"/>
              </w:rPr>
            </w:pPr>
            <w:r>
              <w:rPr>
                <w:color w:val="auto"/>
                <w:kern w:val="0"/>
                <w:sz w:val="24"/>
              </w:rPr>
              <w:t>②合理布局，尽量将设备布置在远离厂区边界的位置，尽量将高噪声设备布置在厂房中间位置，同时考虑利用构筑物、建筑物等来阻隔车间噪声的传播，减小对声环境的影响。</w:t>
            </w:r>
          </w:p>
          <w:p>
            <w:pPr>
              <w:topLinePunct/>
              <w:snapToGrid w:val="0"/>
              <w:spacing w:line="360" w:lineRule="auto"/>
              <w:ind w:firstLine="480" w:firstLineChars="200"/>
              <w:rPr>
                <w:color w:val="auto"/>
                <w:kern w:val="0"/>
                <w:sz w:val="24"/>
              </w:rPr>
            </w:pPr>
            <w:r>
              <w:rPr>
                <w:color w:val="auto"/>
                <w:kern w:val="0"/>
                <w:sz w:val="24"/>
              </w:rPr>
              <w:t>③加强设备管理，生产设备定期维护、保养，防止设备出现故障，产生的非生产噪声。</w:t>
            </w:r>
          </w:p>
          <w:p>
            <w:pPr>
              <w:topLinePunct/>
              <w:snapToGrid w:val="0"/>
              <w:spacing w:line="360" w:lineRule="auto"/>
              <w:ind w:firstLine="480" w:firstLineChars="200"/>
              <w:rPr>
                <w:color w:val="auto"/>
                <w:kern w:val="0"/>
                <w:sz w:val="24"/>
              </w:rPr>
            </w:pPr>
            <w:r>
              <w:rPr>
                <w:color w:val="auto"/>
                <w:kern w:val="0"/>
                <w:sz w:val="24"/>
              </w:rPr>
              <w:t>④合理安排生产时间，高噪声设备尽量错峰运行，尽量避免高噪声设备同时运行，同时严禁在中午休息时间（12:00～14:00）运行高噪声设备，以此降低对声环境影响。</w:t>
            </w:r>
          </w:p>
          <w:p>
            <w:pPr>
              <w:topLinePunct/>
              <w:snapToGrid w:val="0"/>
              <w:spacing w:line="360" w:lineRule="auto"/>
              <w:ind w:firstLine="480" w:firstLineChars="200"/>
              <w:rPr>
                <w:color w:val="auto"/>
                <w:kern w:val="0"/>
                <w:sz w:val="24"/>
              </w:rPr>
            </w:pPr>
            <w:r>
              <w:rPr>
                <w:color w:val="auto"/>
                <w:kern w:val="0"/>
                <w:sz w:val="24"/>
                <w:lang w:val="zh-CN"/>
              </w:rPr>
              <w:t>参考《环境噪声与振动控制工程技术导则》、《环境噪声控制》（刘惠玲主编，2002年10月第一版）、《噪声与振动控制工程手册》等资料，本项目通过采取以上噪声防治措施</w:t>
            </w:r>
            <w:r>
              <w:rPr>
                <w:color w:val="auto"/>
                <w:kern w:val="0"/>
                <w:sz w:val="24"/>
              </w:rPr>
              <w:t>后</w:t>
            </w:r>
            <w:r>
              <w:rPr>
                <w:color w:val="auto"/>
                <w:kern w:val="0"/>
                <w:sz w:val="24"/>
                <w:lang w:val="zh-CN"/>
              </w:rPr>
              <w:t>，</w:t>
            </w:r>
            <w:r>
              <w:rPr>
                <w:color w:val="auto"/>
                <w:kern w:val="0"/>
                <w:sz w:val="24"/>
              </w:rPr>
              <w:t>降噪效果具体见下表：</w:t>
            </w:r>
          </w:p>
          <w:p>
            <w:pPr>
              <w:topLinePunct/>
              <w:snapToGrid w:val="0"/>
              <w:jc w:val="center"/>
              <w:rPr>
                <w:b/>
                <w:bCs/>
                <w:color w:val="auto"/>
                <w:kern w:val="0"/>
                <w:sz w:val="24"/>
              </w:rPr>
            </w:pPr>
            <w:r>
              <w:rPr>
                <w:b/>
                <w:bCs/>
                <w:color w:val="auto"/>
                <w:kern w:val="0"/>
                <w:sz w:val="24"/>
              </w:rPr>
              <w:t>表4-10 噪声防治措施及降噪效果一览表</w:t>
            </w:r>
          </w:p>
          <w:tbl>
            <w:tblPr>
              <w:tblStyle w:val="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3707"/>
              <w:gridCol w:w="2312"/>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topLinePunct/>
                    <w:snapToGrid w:val="0"/>
                    <w:jc w:val="center"/>
                    <w:rPr>
                      <w:b/>
                      <w:bCs/>
                      <w:color w:val="auto"/>
                      <w:szCs w:val="21"/>
                    </w:rPr>
                  </w:pPr>
                  <w:r>
                    <w:rPr>
                      <w:b/>
                      <w:bCs/>
                      <w:color w:val="auto"/>
                      <w:szCs w:val="21"/>
                    </w:rPr>
                    <w:t>序号</w:t>
                  </w:r>
                </w:p>
              </w:tc>
              <w:tc>
                <w:tcPr>
                  <w:tcW w:w="3781" w:type="dxa"/>
                  <w:noWrap w:val="0"/>
                  <w:vAlign w:val="center"/>
                </w:tcPr>
                <w:p>
                  <w:pPr>
                    <w:topLinePunct/>
                    <w:snapToGrid w:val="0"/>
                    <w:jc w:val="center"/>
                    <w:rPr>
                      <w:b/>
                      <w:bCs/>
                      <w:color w:val="auto"/>
                      <w:szCs w:val="21"/>
                    </w:rPr>
                  </w:pPr>
                  <w:r>
                    <w:rPr>
                      <w:b/>
                      <w:bCs/>
                      <w:color w:val="auto"/>
                      <w:szCs w:val="21"/>
                    </w:rPr>
                    <w:t>防治措施</w:t>
                  </w:r>
                </w:p>
              </w:tc>
              <w:tc>
                <w:tcPr>
                  <w:tcW w:w="2356" w:type="dxa"/>
                  <w:noWrap w:val="0"/>
                  <w:vAlign w:val="center"/>
                </w:tcPr>
                <w:p>
                  <w:pPr>
                    <w:topLinePunct/>
                    <w:snapToGrid w:val="0"/>
                    <w:jc w:val="center"/>
                    <w:rPr>
                      <w:b/>
                      <w:bCs/>
                      <w:color w:val="auto"/>
                      <w:szCs w:val="21"/>
                    </w:rPr>
                  </w:pPr>
                  <w:r>
                    <w:rPr>
                      <w:b/>
                      <w:bCs/>
                      <w:color w:val="auto"/>
                      <w:szCs w:val="21"/>
                    </w:rPr>
                    <w:t>降噪效果/dB(A)</w:t>
                  </w:r>
                </w:p>
              </w:tc>
              <w:tc>
                <w:tcPr>
                  <w:tcW w:w="2356" w:type="dxa"/>
                  <w:noWrap w:val="0"/>
                  <w:vAlign w:val="center"/>
                </w:tcPr>
                <w:p>
                  <w:pPr>
                    <w:topLinePunct/>
                    <w:snapToGrid w:val="0"/>
                    <w:jc w:val="center"/>
                    <w:rPr>
                      <w:b/>
                      <w:bCs/>
                      <w:color w:val="auto"/>
                      <w:szCs w:val="21"/>
                    </w:rPr>
                  </w:pPr>
                  <w:r>
                    <w:rPr>
                      <w:b/>
                      <w:bCs/>
                      <w:color w:val="auto"/>
                      <w:szCs w:val="21"/>
                    </w:rPr>
                    <w:t>评价取值/dB(A)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topLinePunct/>
                    <w:snapToGrid w:val="0"/>
                    <w:jc w:val="center"/>
                    <w:rPr>
                      <w:color w:val="auto"/>
                      <w:szCs w:val="21"/>
                    </w:rPr>
                  </w:pPr>
                  <w:r>
                    <w:rPr>
                      <w:color w:val="auto"/>
                      <w:szCs w:val="21"/>
                    </w:rPr>
                    <w:t>1</w:t>
                  </w:r>
                </w:p>
              </w:tc>
              <w:tc>
                <w:tcPr>
                  <w:tcW w:w="3781" w:type="dxa"/>
                  <w:noWrap w:val="0"/>
                  <w:vAlign w:val="center"/>
                </w:tcPr>
                <w:p>
                  <w:pPr>
                    <w:topLinePunct/>
                    <w:snapToGrid w:val="0"/>
                    <w:jc w:val="center"/>
                    <w:rPr>
                      <w:color w:val="auto"/>
                      <w:szCs w:val="21"/>
                    </w:rPr>
                  </w:pPr>
                  <w:r>
                    <w:rPr>
                      <w:color w:val="auto"/>
                      <w:szCs w:val="21"/>
                    </w:rPr>
                    <w:t>设备选型，基础隔振、减振</w:t>
                  </w:r>
                </w:p>
              </w:tc>
              <w:tc>
                <w:tcPr>
                  <w:tcW w:w="2356" w:type="dxa"/>
                  <w:noWrap w:val="0"/>
                  <w:vAlign w:val="center"/>
                </w:tcPr>
                <w:p>
                  <w:pPr>
                    <w:topLinePunct/>
                    <w:snapToGrid w:val="0"/>
                    <w:jc w:val="center"/>
                    <w:rPr>
                      <w:color w:val="auto"/>
                      <w:szCs w:val="21"/>
                    </w:rPr>
                  </w:pPr>
                  <w:r>
                    <w:rPr>
                      <w:color w:val="auto"/>
                      <w:szCs w:val="21"/>
                    </w:rPr>
                    <w:t>5</w:t>
                  </w:r>
                </w:p>
              </w:tc>
              <w:tc>
                <w:tcPr>
                  <w:tcW w:w="2356" w:type="dxa"/>
                  <w:noWrap w:val="0"/>
                  <w:vAlign w:val="center"/>
                </w:tcPr>
                <w:p>
                  <w:pPr>
                    <w:topLinePunct/>
                    <w:snapToGrid w:val="0"/>
                    <w:jc w:val="center"/>
                    <w:rPr>
                      <w:color w:val="auto"/>
                      <w:szCs w:val="21"/>
                    </w:rPr>
                  </w:pPr>
                  <w:r>
                    <w:rPr>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topLinePunct/>
                    <w:snapToGrid w:val="0"/>
                    <w:jc w:val="center"/>
                    <w:rPr>
                      <w:color w:val="auto"/>
                      <w:szCs w:val="21"/>
                    </w:rPr>
                  </w:pPr>
                  <w:r>
                    <w:rPr>
                      <w:color w:val="auto"/>
                      <w:szCs w:val="21"/>
                    </w:rPr>
                    <w:t>2</w:t>
                  </w:r>
                </w:p>
              </w:tc>
              <w:tc>
                <w:tcPr>
                  <w:tcW w:w="3781" w:type="dxa"/>
                  <w:noWrap w:val="0"/>
                  <w:vAlign w:val="center"/>
                </w:tcPr>
                <w:p>
                  <w:pPr>
                    <w:topLinePunct/>
                    <w:snapToGrid w:val="0"/>
                    <w:jc w:val="center"/>
                    <w:rPr>
                      <w:color w:val="auto"/>
                      <w:szCs w:val="21"/>
                    </w:rPr>
                  </w:pPr>
                  <w:r>
                    <w:rPr>
                      <w:color w:val="auto"/>
                      <w:szCs w:val="21"/>
                    </w:rPr>
                    <w:t>合理布局，构筑物、建筑物隔声</w:t>
                  </w:r>
                </w:p>
              </w:tc>
              <w:tc>
                <w:tcPr>
                  <w:tcW w:w="2356" w:type="dxa"/>
                  <w:noWrap w:val="0"/>
                  <w:vAlign w:val="center"/>
                </w:tcPr>
                <w:p>
                  <w:pPr>
                    <w:topLinePunct/>
                    <w:snapToGrid w:val="0"/>
                    <w:jc w:val="center"/>
                    <w:rPr>
                      <w:color w:val="auto"/>
                      <w:szCs w:val="21"/>
                    </w:rPr>
                  </w:pPr>
                  <w:r>
                    <w:rPr>
                      <w:color w:val="auto"/>
                      <w:szCs w:val="21"/>
                    </w:rPr>
                    <w:t>10~40</w:t>
                  </w:r>
                </w:p>
              </w:tc>
              <w:tc>
                <w:tcPr>
                  <w:tcW w:w="2356" w:type="dxa"/>
                  <w:noWrap w:val="0"/>
                  <w:vAlign w:val="center"/>
                </w:tcPr>
                <w:p>
                  <w:pPr>
                    <w:topLinePunct/>
                    <w:snapToGrid w:val="0"/>
                    <w:jc w:val="center"/>
                    <w:rPr>
                      <w:color w:val="auto"/>
                      <w:szCs w:val="21"/>
                    </w:rPr>
                  </w:pPr>
                  <w:r>
                    <w:rPr>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topLinePunct/>
                    <w:snapToGrid w:val="0"/>
                    <w:jc w:val="center"/>
                    <w:rPr>
                      <w:color w:val="auto"/>
                      <w:szCs w:val="21"/>
                    </w:rPr>
                  </w:pPr>
                  <w:r>
                    <w:rPr>
                      <w:color w:val="auto"/>
                      <w:szCs w:val="21"/>
                    </w:rPr>
                    <w:t>3</w:t>
                  </w:r>
                </w:p>
              </w:tc>
              <w:tc>
                <w:tcPr>
                  <w:tcW w:w="3781" w:type="dxa"/>
                  <w:noWrap w:val="0"/>
                  <w:vAlign w:val="center"/>
                </w:tcPr>
                <w:p>
                  <w:pPr>
                    <w:topLinePunct/>
                    <w:snapToGrid w:val="0"/>
                    <w:jc w:val="center"/>
                    <w:rPr>
                      <w:color w:val="auto"/>
                      <w:szCs w:val="21"/>
                    </w:rPr>
                  </w:pPr>
                  <w:r>
                    <w:rPr>
                      <w:color w:val="auto"/>
                      <w:szCs w:val="21"/>
                    </w:rPr>
                    <w:t>车间密闭，隔声、吸声材料</w:t>
                  </w:r>
                </w:p>
              </w:tc>
              <w:tc>
                <w:tcPr>
                  <w:tcW w:w="2356" w:type="dxa"/>
                  <w:noWrap w:val="0"/>
                  <w:vAlign w:val="center"/>
                </w:tcPr>
                <w:p>
                  <w:pPr>
                    <w:topLinePunct/>
                    <w:snapToGrid w:val="0"/>
                    <w:jc w:val="center"/>
                    <w:rPr>
                      <w:color w:val="auto"/>
                      <w:szCs w:val="21"/>
                    </w:rPr>
                  </w:pPr>
                  <w:r>
                    <w:rPr>
                      <w:color w:val="auto"/>
                      <w:szCs w:val="21"/>
                    </w:rPr>
                    <w:t>5~25</w:t>
                  </w:r>
                </w:p>
              </w:tc>
              <w:tc>
                <w:tcPr>
                  <w:tcW w:w="2356" w:type="dxa"/>
                  <w:noWrap w:val="0"/>
                  <w:vAlign w:val="center"/>
                </w:tcPr>
                <w:p>
                  <w:pPr>
                    <w:topLinePunct/>
                    <w:snapToGrid w:val="0"/>
                    <w:jc w:val="center"/>
                    <w:rPr>
                      <w:color w:val="auto"/>
                      <w:szCs w:val="21"/>
                    </w:rPr>
                  </w:pPr>
                  <w:r>
                    <w:rPr>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topLinePunct/>
                    <w:snapToGrid w:val="0"/>
                    <w:jc w:val="center"/>
                    <w:rPr>
                      <w:color w:val="auto"/>
                      <w:szCs w:val="21"/>
                    </w:rPr>
                  </w:pPr>
                  <w:r>
                    <w:rPr>
                      <w:color w:val="auto"/>
                      <w:szCs w:val="21"/>
                    </w:rPr>
                    <w:t>4</w:t>
                  </w:r>
                </w:p>
              </w:tc>
              <w:tc>
                <w:tcPr>
                  <w:tcW w:w="6137" w:type="dxa"/>
                  <w:gridSpan w:val="2"/>
                  <w:noWrap w:val="0"/>
                  <w:vAlign w:val="center"/>
                </w:tcPr>
                <w:p>
                  <w:pPr>
                    <w:topLinePunct/>
                    <w:snapToGrid w:val="0"/>
                    <w:jc w:val="center"/>
                    <w:rPr>
                      <w:color w:val="auto"/>
                      <w:szCs w:val="21"/>
                    </w:rPr>
                  </w:pPr>
                  <w:r>
                    <w:rPr>
                      <w:color w:val="auto"/>
                      <w:szCs w:val="21"/>
                    </w:rPr>
                    <w:t>合计</w:t>
                  </w:r>
                </w:p>
              </w:tc>
              <w:tc>
                <w:tcPr>
                  <w:tcW w:w="2356" w:type="dxa"/>
                  <w:noWrap w:val="0"/>
                  <w:vAlign w:val="center"/>
                </w:tcPr>
                <w:p>
                  <w:pPr>
                    <w:topLinePunct/>
                    <w:snapToGrid w:val="0"/>
                    <w:jc w:val="center"/>
                    <w:rPr>
                      <w:color w:val="auto"/>
                      <w:szCs w:val="21"/>
                    </w:rPr>
                  </w:pPr>
                  <w:r>
                    <w:rPr>
                      <w:color w:val="auto"/>
                      <w:szCs w:val="21"/>
                    </w:rPr>
                    <w:t>25</w:t>
                  </w:r>
                </w:p>
              </w:tc>
            </w:tr>
          </w:tbl>
          <w:p>
            <w:pPr>
              <w:topLinePunct/>
              <w:snapToGrid w:val="0"/>
              <w:ind w:firstLine="482" w:firstLineChars="200"/>
              <w:rPr>
                <w:b/>
                <w:bCs/>
                <w:color w:val="auto"/>
                <w:kern w:val="0"/>
                <w:sz w:val="24"/>
              </w:rPr>
            </w:pPr>
          </w:p>
          <w:p>
            <w:pPr>
              <w:topLinePunct/>
              <w:snapToGrid w:val="0"/>
              <w:spacing w:line="360" w:lineRule="auto"/>
              <w:ind w:firstLine="482" w:firstLineChars="200"/>
              <w:rPr>
                <w:b/>
                <w:bCs/>
                <w:color w:val="auto"/>
                <w:kern w:val="0"/>
                <w:sz w:val="24"/>
              </w:rPr>
            </w:pPr>
            <w:r>
              <w:rPr>
                <w:b/>
                <w:bCs/>
                <w:color w:val="auto"/>
                <w:kern w:val="0"/>
                <w:sz w:val="24"/>
              </w:rPr>
              <w:t>3、达标性分析</w:t>
            </w:r>
          </w:p>
          <w:p>
            <w:pPr>
              <w:topLinePunct/>
              <w:snapToGrid w:val="0"/>
              <w:spacing w:line="360" w:lineRule="auto"/>
              <w:ind w:firstLine="480" w:firstLineChars="200"/>
              <w:rPr>
                <w:color w:val="auto"/>
                <w:kern w:val="0"/>
                <w:sz w:val="24"/>
              </w:rPr>
            </w:pPr>
            <w:r>
              <w:rPr>
                <w:color w:val="auto"/>
                <w:kern w:val="0"/>
                <w:sz w:val="24"/>
              </w:rPr>
              <w:t>根据《环境影响评价技术导则 声环境》（HJ2.4-2021），本次评价采用附录B中的B.1工业噪声预测模型来预测本项目的噪声影响。</w:t>
            </w:r>
          </w:p>
          <w:p>
            <w:pPr>
              <w:topLinePunct/>
              <w:snapToGrid w:val="0"/>
              <w:spacing w:line="360" w:lineRule="auto"/>
              <w:ind w:firstLine="480" w:firstLineChars="200"/>
              <w:rPr>
                <w:color w:val="auto"/>
                <w:kern w:val="0"/>
                <w:sz w:val="24"/>
              </w:rPr>
            </w:pPr>
            <w:r>
              <w:rPr>
                <w:color w:val="auto"/>
                <w:kern w:val="0"/>
                <w:sz w:val="24"/>
              </w:rPr>
              <w:t>（1）室内声源等效室外声源声功率级计算方法</w:t>
            </w:r>
          </w:p>
          <w:p>
            <w:pPr>
              <w:topLinePunct/>
              <w:snapToGrid w:val="0"/>
              <w:spacing w:line="360" w:lineRule="auto"/>
              <w:ind w:firstLine="480" w:firstLineChars="200"/>
              <w:rPr>
                <w:color w:val="auto"/>
                <w:kern w:val="0"/>
                <w:sz w:val="24"/>
              </w:rPr>
            </w:pPr>
            <w:r>
              <w:rPr>
                <w:color w:val="auto"/>
                <w:kern w:val="0"/>
                <w:sz w:val="24"/>
              </w:rPr>
              <w:t>①某一室内声源靠近围护结构处产生的倍频带声压级或A声级</w:t>
            </w:r>
          </w:p>
          <w:p>
            <w:pPr>
              <w:topLinePunct/>
              <w:snapToGrid w:val="0"/>
              <w:spacing w:line="360" w:lineRule="auto"/>
              <w:jc w:val="center"/>
              <w:rPr>
                <w:color w:val="auto"/>
                <w:kern w:val="0"/>
                <w:sz w:val="24"/>
              </w:rPr>
            </w:pPr>
            <w:r>
              <w:rPr>
                <w:bCs/>
                <w:color w:val="auto"/>
                <w:spacing w:val="-10"/>
                <w:position w:val="-28"/>
                <w:sz w:val="24"/>
              </w:rPr>
              <w:object>
                <v:shape id="_x0000_i1029" o:spt="75" type="#_x0000_t75" style="height:56.75pt;width:221.7pt;" o:ole="t" filled="f" o:preferrelative="t" stroked="f" coordsize="21600,21600">
                  <v:path/>
                  <v:fill on="f" focussize="0,0"/>
                  <v:stroke on="f"/>
                  <v:imagedata r:id="rId17" o:title=""/>
                  <o:lock v:ext="edit" aspectratio="t"/>
                  <w10:wrap type="none"/>
                  <w10:anchorlock/>
                </v:shape>
                <o:OLEObject Type="Embed" ProgID="Equation.3" ShapeID="_x0000_i1029" DrawAspect="Content" ObjectID="_1468075729" r:id="rId16">
                  <o:LockedField>false</o:LockedField>
                </o:OLEObject>
              </w:object>
            </w:r>
          </w:p>
          <w:p>
            <w:pPr>
              <w:adjustRightInd w:val="0"/>
              <w:snapToGrid w:val="0"/>
              <w:spacing w:line="360" w:lineRule="auto"/>
              <w:ind w:firstLine="440" w:firstLineChars="200"/>
              <w:rPr>
                <w:bCs/>
                <w:color w:val="auto"/>
                <w:spacing w:val="-10"/>
                <w:sz w:val="24"/>
              </w:rPr>
            </w:pPr>
            <w:r>
              <w:rPr>
                <w:bCs/>
                <w:color w:val="auto"/>
                <w:spacing w:val="-10"/>
                <w:sz w:val="24"/>
              </w:rPr>
              <w:t>式中：Lp</w:t>
            </w:r>
            <w:r>
              <w:rPr>
                <w:bCs/>
                <w:color w:val="auto"/>
                <w:spacing w:val="-10"/>
                <w:sz w:val="24"/>
                <w:vertAlign w:val="subscript"/>
              </w:rPr>
              <w:t>1</w:t>
            </w:r>
            <w:r>
              <w:rPr>
                <w:bCs/>
                <w:color w:val="auto"/>
                <w:spacing w:val="-10"/>
                <w:sz w:val="24"/>
              </w:rPr>
              <w:t>--靠近开口处（或窗口）室内某倍频带的声压级或A声级，dB；</w:t>
            </w:r>
          </w:p>
          <w:p>
            <w:pPr>
              <w:adjustRightInd w:val="0"/>
              <w:snapToGrid w:val="0"/>
              <w:spacing w:line="360" w:lineRule="auto"/>
              <w:ind w:firstLine="1100" w:firstLineChars="500"/>
              <w:rPr>
                <w:bCs/>
                <w:color w:val="auto"/>
                <w:spacing w:val="-10"/>
                <w:sz w:val="24"/>
              </w:rPr>
            </w:pPr>
            <w:r>
              <w:rPr>
                <w:bCs/>
                <w:color w:val="auto"/>
                <w:spacing w:val="-10"/>
                <w:sz w:val="24"/>
              </w:rPr>
              <w:t>Lw--点声源声功率级（A计权或倍频带），dB；</w:t>
            </w:r>
          </w:p>
          <w:p>
            <w:pPr>
              <w:adjustRightInd w:val="0"/>
              <w:snapToGrid w:val="0"/>
              <w:spacing w:line="360" w:lineRule="auto"/>
              <w:ind w:firstLine="1100" w:firstLineChars="500"/>
              <w:rPr>
                <w:bCs/>
                <w:color w:val="auto"/>
                <w:spacing w:val="-10"/>
                <w:sz w:val="24"/>
              </w:rPr>
            </w:pPr>
            <w:r>
              <w:rPr>
                <w:bCs/>
                <w:color w:val="auto"/>
                <w:spacing w:val="-10"/>
                <w:sz w:val="24"/>
              </w:rPr>
              <w:t>Q--指向性因数；通常对无指向性声源，当声源放在房间中心时，Q=1；当放在一面墙的中心时，Q=2,；当放在两面墙夹角处时，Q=4；当放在三面墙夹角处时，Q=8；</w:t>
            </w:r>
          </w:p>
          <w:p>
            <w:pPr>
              <w:adjustRightInd w:val="0"/>
              <w:snapToGrid w:val="0"/>
              <w:spacing w:line="360" w:lineRule="auto"/>
              <w:ind w:firstLine="1100" w:firstLineChars="500"/>
              <w:rPr>
                <w:bCs/>
                <w:color w:val="auto"/>
                <w:spacing w:val="-10"/>
                <w:sz w:val="24"/>
              </w:rPr>
            </w:pPr>
            <w:r>
              <w:rPr>
                <w:bCs/>
                <w:color w:val="auto"/>
                <w:spacing w:val="-10"/>
                <w:sz w:val="24"/>
              </w:rPr>
              <w:t>R--房间常数；R=Sα/（1-α），S为房间内表面面积，m</w:t>
            </w:r>
            <w:r>
              <w:rPr>
                <w:bCs/>
                <w:color w:val="auto"/>
                <w:spacing w:val="-10"/>
                <w:sz w:val="24"/>
                <w:vertAlign w:val="superscript"/>
              </w:rPr>
              <w:t>2</w:t>
            </w:r>
            <w:r>
              <w:rPr>
                <w:bCs/>
                <w:color w:val="auto"/>
                <w:spacing w:val="-10"/>
                <w:sz w:val="24"/>
              </w:rPr>
              <w:t>；α为平均吸声系数；；</w:t>
            </w:r>
          </w:p>
          <w:p>
            <w:pPr>
              <w:topLinePunct/>
              <w:snapToGrid w:val="0"/>
              <w:spacing w:line="360" w:lineRule="auto"/>
              <w:ind w:firstLine="1100" w:firstLineChars="500"/>
              <w:rPr>
                <w:color w:val="auto"/>
                <w:kern w:val="0"/>
                <w:sz w:val="24"/>
              </w:rPr>
            </w:pPr>
            <w:r>
              <w:rPr>
                <w:bCs/>
                <w:color w:val="auto"/>
                <w:spacing w:val="-10"/>
                <w:sz w:val="24"/>
              </w:rPr>
              <w:t>r--声源到靠近围护结构某点处的距离，m。</w:t>
            </w:r>
          </w:p>
          <w:p>
            <w:pPr>
              <w:topLinePunct/>
              <w:snapToGrid w:val="0"/>
              <w:spacing w:line="360" w:lineRule="auto"/>
              <w:ind w:firstLine="480" w:firstLineChars="200"/>
              <w:rPr>
                <w:color w:val="auto"/>
                <w:kern w:val="0"/>
                <w:sz w:val="24"/>
              </w:rPr>
            </w:pPr>
            <w:r>
              <w:rPr>
                <w:color w:val="auto"/>
                <w:kern w:val="0"/>
                <w:sz w:val="24"/>
              </w:rPr>
              <w:t>②所有室内声源在围护结构处产生的i倍频带叠加声压级</w:t>
            </w:r>
          </w:p>
          <w:p>
            <w:pPr>
              <w:topLinePunct/>
              <w:snapToGrid w:val="0"/>
              <w:spacing w:line="360" w:lineRule="auto"/>
              <w:jc w:val="center"/>
              <w:rPr>
                <w:color w:val="auto"/>
                <w:kern w:val="0"/>
                <w:sz w:val="24"/>
              </w:rPr>
            </w:pPr>
            <w:r>
              <w:rPr>
                <w:bCs/>
                <w:color w:val="auto"/>
                <w:spacing w:val="-10"/>
                <w:position w:val="-32"/>
                <w:sz w:val="24"/>
              </w:rPr>
              <w:object>
                <v:shape id="_x0000_i1030" o:spt="75" type="#_x0000_t75" style="height:63.4pt;width:216.85pt;" o:ole="t" filled="f" o:preferrelative="t" stroked="f" coordsize="21600,21600">
                  <v:path/>
                  <v:fill on="f" focussize="0,0"/>
                  <v:stroke on="f"/>
                  <v:imagedata r:id="rId19" o:title=""/>
                  <o:lock v:ext="edit" aspectratio="t"/>
                  <w10:wrap type="none"/>
                  <w10:anchorlock/>
                </v:shape>
                <o:OLEObject Type="Embed" ProgID="Equation.3" ShapeID="_x0000_i1030" DrawAspect="Content" ObjectID="_1468075730" r:id="rId18">
                  <o:LockedField>false</o:LockedField>
                </o:OLEObject>
              </w:object>
            </w:r>
          </w:p>
          <w:p>
            <w:pPr>
              <w:topLinePunct/>
              <w:snapToGrid w:val="0"/>
              <w:spacing w:line="360" w:lineRule="auto"/>
              <w:ind w:firstLine="480" w:firstLineChars="200"/>
              <w:rPr>
                <w:color w:val="auto"/>
                <w:kern w:val="0"/>
                <w:sz w:val="24"/>
              </w:rPr>
            </w:pPr>
            <w:r>
              <w:rPr>
                <w:color w:val="auto"/>
                <w:kern w:val="0"/>
                <w:sz w:val="24"/>
              </w:rPr>
              <w:t>式中：Lpli（T）--靠近围护结构处室内N个声源i倍频带的叠加声压级，dB；</w:t>
            </w:r>
          </w:p>
          <w:p>
            <w:pPr>
              <w:topLinePunct/>
              <w:snapToGrid w:val="0"/>
              <w:spacing w:line="360" w:lineRule="auto"/>
              <w:ind w:firstLine="1200" w:firstLineChars="500"/>
              <w:rPr>
                <w:color w:val="auto"/>
                <w:kern w:val="0"/>
                <w:sz w:val="24"/>
              </w:rPr>
            </w:pPr>
            <w:r>
              <w:rPr>
                <w:color w:val="auto"/>
                <w:kern w:val="0"/>
                <w:sz w:val="24"/>
              </w:rPr>
              <w:t>Lplij--室内j声源i倍频带的声压级，dB；</w:t>
            </w:r>
          </w:p>
          <w:p>
            <w:pPr>
              <w:topLinePunct/>
              <w:snapToGrid w:val="0"/>
              <w:spacing w:line="360" w:lineRule="auto"/>
              <w:ind w:firstLine="960" w:firstLineChars="400"/>
              <w:rPr>
                <w:color w:val="auto"/>
                <w:kern w:val="0"/>
                <w:sz w:val="24"/>
              </w:rPr>
            </w:pPr>
            <w:r>
              <w:rPr>
                <w:color w:val="auto"/>
                <w:kern w:val="0"/>
                <w:sz w:val="24"/>
              </w:rPr>
              <w:t>N--</w:t>
            </w:r>
            <w:r>
              <w:rPr>
                <w:bCs/>
                <w:color w:val="auto"/>
                <w:spacing w:val="-10"/>
                <w:sz w:val="24"/>
              </w:rPr>
              <w:t>室内声源总数。</w:t>
            </w:r>
          </w:p>
          <w:p>
            <w:pPr>
              <w:topLinePunct/>
              <w:snapToGrid w:val="0"/>
              <w:spacing w:line="360" w:lineRule="auto"/>
              <w:ind w:firstLine="480" w:firstLineChars="200"/>
              <w:rPr>
                <w:color w:val="auto"/>
                <w:kern w:val="0"/>
                <w:sz w:val="24"/>
              </w:rPr>
            </w:pPr>
            <w:r>
              <w:rPr>
                <w:color w:val="auto"/>
                <w:kern w:val="0"/>
                <w:sz w:val="24"/>
              </w:rPr>
              <w:t>③中心位置位于透声面积（S）处的等效声源的倍频带声功率级</w:t>
            </w:r>
          </w:p>
          <w:p>
            <w:pPr>
              <w:topLinePunct/>
              <w:snapToGrid w:val="0"/>
              <w:spacing w:line="360" w:lineRule="auto"/>
              <w:ind w:firstLine="480" w:firstLineChars="200"/>
              <w:rPr>
                <w:color w:val="auto"/>
                <w:kern w:val="0"/>
                <w:sz w:val="24"/>
              </w:rPr>
            </w:pPr>
            <w:r>
              <w:rPr>
                <w:color w:val="auto"/>
                <w:kern w:val="0"/>
                <w:sz w:val="24"/>
              </w:rPr>
              <w:t>按下式将室外声源的声压级和透过面积换算成等效室外声源：</w:t>
            </w:r>
          </w:p>
          <w:p>
            <w:pPr>
              <w:topLinePunct/>
              <w:snapToGrid w:val="0"/>
              <w:spacing w:line="360" w:lineRule="auto"/>
              <w:jc w:val="center"/>
              <w:rPr>
                <w:color w:val="auto"/>
                <w:kern w:val="0"/>
                <w:sz w:val="24"/>
              </w:rPr>
            </w:pPr>
            <w:r>
              <w:rPr>
                <w:bCs/>
                <w:color w:val="auto"/>
                <w:spacing w:val="-10"/>
                <w:position w:val="-14"/>
                <w:sz w:val="24"/>
              </w:rPr>
              <w:object>
                <v:shape id="_x0000_i1031" o:spt="75" type="#_x0000_t75" style="height:33.9pt;width:188.1pt;" o:ole="t" filled="f" o:preferrelative="t" stroked="f" coordsize="21600,21600">
                  <v:path/>
                  <v:fill on="f" focussize="0,0"/>
                  <v:stroke on="f"/>
                  <v:imagedata r:id="rId21" o:title=""/>
                  <o:lock v:ext="edit" aspectratio="t"/>
                  <w10:wrap type="none"/>
                  <w10:anchorlock/>
                </v:shape>
                <o:OLEObject Type="Embed" ProgID="Equation.3" ShapeID="_x0000_i1031" DrawAspect="Content" ObjectID="_1468075731" r:id="rId20">
                  <o:LockedField>false</o:LockedField>
                </o:OLEObject>
              </w:object>
            </w:r>
          </w:p>
          <w:p>
            <w:pPr>
              <w:topLinePunct/>
              <w:snapToGrid w:val="0"/>
              <w:spacing w:line="360" w:lineRule="auto"/>
              <w:ind w:firstLine="480" w:firstLineChars="200"/>
              <w:rPr>
                <w:color w:val="auto"/>
                <w:kern w:val="0"/>
                <w:sz w:val="24"/>
              </w:rPr>
            </w:pPr>
            <w:r>
              <w:rPr>
                <w:color w:val="auto"/>
                <w:kern w:val="0"/>
                <w:sz w:val="24"/>
              </w:rPr>
              <w:t>式中：L</w:t>
            </w:r>
            <w:r>
              <w:rPr>
                <w:color w:val="auto"/>
                <w:kern w:val="0"/>
                <w:sz w:val="24"/>
                <w:vertAlign w:val="subscript"/>
              </w:rPr>
              <w:t>w</w:t>
            </w:r>
            <w:r>
              <w:rPr>
                <w:color w:val="auto"/>
                <w:kern w:val="0"/>
                <w:sz w:val="24"/>
              </w:rPr>
              <w:t>--中心位置位于透声面积（S）处的等效声源的倍频带声功率级，dB；</w:t>
            </w:r>
          </w:p>
          <w:p>
            <w:pPr>
              <w:topLinePunct/>
              <w:snapToGrid w:val="0"/>
              <w:spacing w:line="360" w:lineRule="auto"/>
              <w:ind w:firstLine="1200" w:firstLineChars="500"/>
              <w:rPr>
                <w:color w:val="auto"/>
                <w:kern w:val="0"/>
                <w:sz w:val="24"/>
              </w:rPr>
            </w:pPr>
            <w:r>
              <w:rPr>
                <w:color w:val="auto"/>
                <w:kern w:val="0"/>
                <w:sz w:val="24"/>
              </w:rPr>
              <w:t>L</w:t>
            </w:r>
            <w:r>
              <w:rPr>
                <w:color w:val="auto"/>
                <w:kern w:val="0"/>
                <w:sz w:val="24"/>
                <w:vertAlign w:val="subscript"/>
              </w:rPr>
              <w:t>p2</w:t>
            </w:r>
            <w:r>
              <w:rPr>
                <w:color w:val="auto"/>
                <w:kern w:val="0"/>
                <w:sz w:val="24"/>
              </w:rPr>
              <w:t>（T）--靠近围护结构处室外声源的声压级，dB；</w:t>
            </w:r>
          </w:p>
          <w:p>
            <w:pPr>
              <w:topLinePunct/>
              <w:snapToGrid w:val="0"/>
              <w:spacing w:line="360" w:lineRule="auto"/>
              <w:ind w:firstLine="1200" w:firstLineChars="500"/>
              <w:rPr>
                <w:color w:val="auto"/>
                <w:kern w:val="0"/>
                <w:sz w:val="24"/>
              </w:rPr>
            </w:pPr>
            <w:r>
              <w:rPr>
                <w:color w:val="auto"/>
                <w:kern w:val="0"/>
                <w:sz w:val="24"/>
              </w:rPr>
              <w:t>S--透声面积，m</w:t>
            </w:r>
            <w:r>
              <w:rPr>
                <w:color w:val="auto"/>
                <w:kern w:val="0"/>
                <w:sz w:val="24"/>
                <w:vertAlign w:val="superscript"/>
              </w:rPr>
              <w:t>2</w:t>
            </w:r>
            <w:r>
              <w:rPr>
                <w:color w:val="auto"/>
                <w:kern w:val="0"/>
                <w:sz w:val="24"/>
              </w:rPr>
              <w:t>。</w:t>
            </w:r>
          </w:p>
          <w:p>
            <w:pPr>
              <w:topLinePunct/>
              <w:snapToGrid w:val="0"/>
              <w:spacing w:line="360" w:lineRule="auto"/>
              <w:ind w:firstLine="480" w:firstLineChars="200"/>
              <w:rPr>
                <w:color w:val="auto"/>
                <w:kern w:val="0"/>
                <w:sz w:val="24"/>
              </w:rPr>
            </w:pPr>
            <w:r>
              <w:rPr>
                <w:color w:val="auto"/>
                <w:kern w:val="0"/>
                <w:sz w:val="24"/>
              </w:rPr>
              <w:t>（2）室外声源预测方法</w:t>
            </w:r>
          </w:p>
          <w:p>
            <w:pPr>
              <w:topLinePunct/>
              <w:snapToGrid w:val="0"/>
              <w:spacing w:line="360" w:lineRule="auto"/>
              <w:ind w:firstLine="480" w:firstLineChars="200"/>
              <w:rPr>
                <w:color w:val="auto"/>
                <w:kern w:val="0"/>
                <w:sz w:val="24"/>
              </w:rPr>
            </w:pPr>
            <w:r>
              <w:rPr>
                <w:color w:val="auto"/>
                <w:kern w:val="0"/>
                <w:sz w:val="24"/>
              </w:rPr>
              <w:t>无指向性点声源几何发散衰减的基本公式如下：</w:t>
            </w:r>
          </w:p>
          <w:p>
            <w:pPr>
              <w:topLinePunct/>
              <w:snapToGrid w:val="0"/>
              <w:spacing w:line="360" w:lineRule="auto"/>
              <w:jc w:val="center"/>
              <w:rPr>
                <w:color w:val="auto"/>
                <w:kern w:val="0"/>
                <w:sz w:val="24"/>
              </w:rPr>
            </w:pPr>
            <w:r>
              <w:rPr>
                <w:bCs/>
                <w:color w:val="auto"/>
                <w:spacing w:val="-10"/>
                <w:position w:val="-14"/>
                <w:sz w:val="24"/>
              </w:rPr>
              <w:object>
                <v:shape id="_x0000_i1032" o:spt="75" type="#_x0000_t75" style="height:35.8pt;width:261pt;" o:ole="t" filled="f" o:preferrelative="t" stroked="f" coordsize="21600,21600">
                  <v:path/>
                  <v:fill on="f" focussize="0,0"/>
                  <v:stroke on="f"/>
                  <v:imagedata r:id="rId23" o:title=""/>
                  <o:lock v:ext="edit" aspectratio="t"/>
                  <w10:wrap type="none"/>
                  <w10:anchorlock/>
                </v:shape>
                <o:OLEObject Type="Embed" ProgID="Equation.3" ShapeID="_x0000_i1032" DrawAspect="Content" ObjectID="_1468075732" r:id="rId22">
                  <o:LockedField>false</o:LockedField>
                </o:OLEObject>
              </w:object>
            </w:r>
          </w:p>
          <w:p>
            <w:pPr>
              <w:topLinePunct/>
              <w:snapToGrid w:val="0"/>
              <w:spacing w:line="360" w:lineRule="auto"/>
              <w:ind w:firstLine="480" w:firstLineChars="200"/>
              <w:rPr>
                <w:color w:val="auto"/>
                <w:kern w:val="0"/>
                <w:sz w:val="24"/>
              </w:rPr>
            </w:pPr>
            <w:r>
              <w:rPr>
                <w:color w:val="auto"/>
                <w:kern w:val="0"/>
                <w:sz w:val="24"/>
              </w:rPr>
              <w:t>式中：L</w:t>
            </w:r>
            <w:r>
              <w:rPr>
                <w:color w:val="auto"/>
                <w:kern w:val="0"/>
                <w:sz w:val="24"/>
                <w:vertAlign w:val="subscript"/>
              </w:rPr>
              <w:t>p</w:t>
            </w:r>
            <w:r>
              <w:rPr>
                <w:color w:val="auto"/>
                <w:kern w:val="0"/>
                <w:sz w:val="24"/>
              </w:rPr>
              <w:t>（r）--预测点处声压级，dB；</w:t>
            </w:r>
          </w:p>
          <w:p>
            <w:pPr>
              <w:topLinePunct/>
              <w:snapToGrid w:val="0"/>
              <w:spacing w:line="360" w:lineRule="auto"/>
              <w:ind w:firstLine="1200" w:firstLineChars="500"/>
              <w:rPr>
                <w:color w:val="auto"/>
                <w:kern w:val="0"/>
                <w:sz w:val="24"/>
              </w:rPr>
            </w:pPr>
            <w:r>
              <w:rPr>
                <w:color w:val="auto"/>
                <w:kern w:val="0"/>
                <w:sz w:val="24"/>
              </w:rPr>
              <w:t>L</w:t>
            </w:r>
            <w:r>
              <w:rPr>
                <w:color w:val="auto"/>
                <w:kern w:val="0"/>
                <w:sz w:val="24"/>
                <w:vertAlign w:val="subscript"/>
              </w:rPr>
              <w:t>p</w:t>
            </w:r>
            <w:r>
              <w:rPr>
                <w:color w:val="auto"/>
                <w:kern w:val="0"/>
                <w:sz w:val="24"/>
              </w:rPr>
              <w:t>（r</w:t>
            </w:r>
            <w:r>
              <w:rPr>
                <w:color w:val="auto"/>
                <w:kern w:val="0"/>
                <w:sz w:val="24"/>
                <w:vertAlign w:val="subscript"/>
              </w:rPr>
              <w:t>0</w:t>
            </w:r>
            <w:r>
              <w:rPr>
                <w:color w:val="auto"/>
                <w:kern w:val="0"/>
                <w:sz w:val="24"/>
              </w:rPr>
              <w:t>）--参考位置r</w:t>
            </w:r>
            <w:r>
              <w:rPr>
                <w:color w:val="auto"/>
                <w:kern w:val="0"/>
                <w:sz w:val="24"/>
                <w:vertAlign w:val="subscript"/>
              </w:rPr>
              <w:t>0</w:t>
            </w:r>
            <w:r>
              <w:rPr>
                <w:color w:val="auto"/>
                <w:kern w:val="0"/>
                <w:sz w:val="24"/>
              </w:rPr>
              <w:t>处的声压级，dB；</w:t>
            </w:r>
          </w:p>
          <w:p>
            <w:pPr>
              <w:topLinePunct/>
              <w:snapToGrid w:val="0"/>
              <w:spacing w:line="360" w:lineRule="auto"/>
              <w:ind w:firstLine="1200" w:firstLineChars="500"/>
              <w:rPr>
                <w:color w:val="auto"/>
                <w:kern w:val="0"/>
                <w:sz w:val="24"/>
              </w:rPr>
            </w:pPr>
            <w:r>
              <w:rPr>
                <w:color w:val="auto"/>
                <w:kern w:val="0"/>
                <w:sz w:val="24"/>
              </w:rPr>
              <w:t>r--预测点距声源的距离；</w:t>
            </w:r>
          </w:p>
          <w:p>
            <w:pPr>
              <w:topLinePunct/>
              <w:snapToGrid w:val="0"/>
              <w:spacing w:line="360" w:lineRule="auto"/>
              <w:ind w:firstLine="1200" w:firstLineChars="500"/>
              <w:rPr>
                <w:color w:val="auto"/>
                <w:kern w:val="0"/>
                <w:sz w:val="24"/>
              </w:rPr>
            </w:pPr>
            <w:r>
              <w:rPr>
                <w:color w:val="auto"/>
                <w:kern w:val="0"/>
                <w:sz w:val="24"/>
              </w:rPr>
              <w:t>r</w:t>
            </w:r>
            <w:r>
              <w:rPr>
                <w:color w:val="auto"/>
                <w:kern w:val="0"/>
                <w:sz w:val="24"/>
                <w:vertAlign w:val="subscript"/>
              </w:rPr>
              <w:t>0</w:t>
            </w:r>
            <w:r>
              <w:rPr>
                <w:color w:val="auto"/>
                <w:kern w:val="0"/>
                <w:sz w:val="24"/>
              </w:rPr>
              <w:t>--参考位置距声源的距离。</w:t>
            </w:r>
          </w:p>
          <w:p>
            <w:pPr>
              <w:topLinePunct/>
              <w:snapToGrid w:val="0"/>
              <w:spacing w:line="360" w:lineRule="auto"/>
              <w:ind w:firstLine="480" w:firstLineChars="200"/>
              <w:rPr>
                <w:color w:val="auto"/>
                <w:kern w:val="0"/>
                <w:sz w:val="24"/>
              </w:rPr>
            </w:pPr>
            <w:r>
              <w:rPr>
                <w:color w:val="auto"/>
                <w:kern w:val="0"/>
                <w:sz w:val="24"/>
              </w:rPr>
              <w:t>（3）工业企业噪声计算</w:t>
            </w:r>
          </w:p>
          <w:p>
            <w:pPr>
              <w:topLinePunct/>
              <w:snapToGrid w:val="0"/>
              <w:spacing w:line="360" w:lineRule="auto"/>
              <w:ind w:firstLine="480" w:firstLineChars="200"/>
              <w:rPr>
                <w:color w:val="auto"/>
                <w:kern w:val="0"/>
                <w:sz w:val="24"/>
              </w:rPr>
            </w:pPr>
            <w:r>
              <w:rPr>
                <w:color w:val="auto"/>
                <w:kern w:val="0"/>
                <w:sz w:val="24"/>
              </w:rPr>
              <w:t>设第i个室外声源在预测点产生的A声级为L</w:t>
            </w:r>
            <w:r>
              <w:rPr>
                <w:color w:val="auto"/>
                <w:kern w:val="0"/>
                <w:sz w:val="24"/>
                <w:vertAlign w:val="subscript"/>
              </w:rPr>
              <w:t>Ai</w:t>
            </w:r>
            <w:r>
              <w:rPr>
                <w:color w:val="auto"/>
                <w:kern w:val="0"/>
                <w:sz w:val="24"/>
              </w:rPr>
              <w:t>，在T时间内该声源工作时间为t</w:t>
            </w:r>
            <w:r>
              <w:rPr>
                <w:color w:val="auto"/>
                <w:kern w:val="0"/>
                <w:sz w:val="24"/>
                <w:vertAlign w:val="subscript"/>
              </w:rPr>
              <w:t>i</w:t>
            </w:r>
            <w:r>
              <w:rPr>
                <w:color w:val="auto"/>
                <w:kern w:val="0"/>
                <w:sz w:val="24"/>
              </w:rPr>
              <w:t>；第j个等效室外声源在预测点产生的A声级为L</w:t>
            </w:r>
            <w:r>
              <w:rPr>
                <w:color w:val="auto"/>
                <w:kern w:val="0"/>
                <w:sz w:val="24"/>
                <w:vertAlign w:val="subscript"/>
              </w:rPr>
              <w:t>Aj</w:t>
            </w:r>
            <w:r>
              <w:rPr>
                <w:color w:val="auto"/>
                <w:kern w:val="0"/>
                <w:sz w:val="24"/>
              </w:rPr>
              <w:t>，在T时间内该声源工作时间为t</w:t>
            </w:r>
            <w:r>
              <w:rPr>
                <w:color w:val="auto"/>
                <w:kern w:val="0"/>
                <w:sz w:val="24"/>
                <w:vertAlign w:val="subscript"/>
              </w:rPr>
              <w:t>j</w:t>
            </w:r>
            <w:r>
              <w:rPr>
                <w:color w:val="auto"/>
                <w:kern w:val="0"/>
                <w:sz w:val="24"/>
              </w:rPr>
              <w:t>，则拟建工程声源对预测点产生的贡献值（Leqg）为：</w:t>
            </w:r>
          </w:p>
          <w:p>
            <w:pPr>
              <w:topLinePunct/>
              <w:snapToGrid w:val="0"/>
              <w:spacing w:line="360" w:lineRule="auto"/>
              <w:jc w:val="center"/>
              <w:rPr>
                <w:color w:val="auto"/>
                <w:kern w:val="0"/>
                <w:sz w:val="24"/>
              </w:rPr>
            </w:pPr>
            <w:r>
              <w:rPr>
                <w:bCs/>
                <w:color w:val="auto"/>
                <w:spacing w:val="-10"/>
                <w:position w:val="-34"/>
                <w:sz w:val="24"/>
              </w:rPr>
              <w:object>
                <v:shape id="_x0000_i1033" o:spt="75" type="#_x0000_t75" style="height:66.7pt;width:340.5pt;" o:ole="t" filled="f" o:preferrelative="t" stroked="f" coordsize="21600,21600">
                  <v:path/>
                  <v:fill on="f" focussize="0,0"/>
                  <v:stroke on="f"/>
                  <v:imagedata r:id="rId25" o:title=""/>
                  <o:lock v:ext="edit" aspectratio="t"/>
                  <w10:wrap type="none"/>
                  <w10:anchorlock/>
                </v:shape>
                <o:OLEObject Type="Embed" ProgID="Equation.3" ShapeID="_x0000_i1033" DrawAspect="Content" ObjectID="_1468075733" r:id="rId24">
                  <o:LockedField>false</o:LockedField>
                </o:OLEObject>
              </w:object>
            </w:r>
          </w:p>
          <w:p>
            <w:pPr>
              <w:topLinePunct/>
              <w:snapToGrid w:val="0"/>
              <w:spacing w:line="360" w:lineRule="auto"/>
              <w:ind w:firstLine="480" w:firstLineChars="200"/>
              <w:rPr>
                <w:color w:val="auto"/>
                <w:kern w:val="0"/>
                <w:sz w:val="24"/>
              </w:rPr>
            </w:pPr>
            <w:r>
              <w:rPr>
                <w:color w:val="auto"/>
                <w:kern w:val="0"/>
                <w:sz w:val="24"/>
              </w:rPr>
              <w:t>式中：L</w:t>
            </w:r>
            <w:r>
              <w:rPr>
                <w:color w:val="auto"/>
                <w:kern w:val="0"/>
                <w:sz w:val="24"/>
                <w:vertAlign w:val="subscript"/>
              </w:rPr>
              <w:t>eqg</w:t>
            </w:r>
            <w:r>
              <w:rPr>
                <w:color w:val="auto"/>
                <w:kern w:val="0"/>
                <w:sz w:val="24"/>
              </w:rPr>
              <w:t>--建设项目声源在预测点产生的噪声贡献值，dB；</w:t>
            </w:r>
          </w:p>
          <w:p>
            <w:pPr>
              <w:topLinePunct/>
              <w:snapToGrid w:val="0"/>
              <w:spacing w:line="360" w:lineRule="auto"/>
              <w:ind w:firstLine="1200" w:firstLineChars="500"/>
              <w:rPr>
                <w:color w:val="auto"/>
                <w:kern w:val="0"/>
                <w:sz w:val="24"/>
              </w:rPr>
            </w:pPr>
            <w:r>
              <w:rPr>
                <w:color w:val="auto"/>
                <w:kern w:val="0"/>
                <w:sz w:val="24"/>
              </w:rPr>
              <w:t>T--用于计算等效声级的时间，s；</w:t>
            </w:r>
          </w:p>
          <w:p>
            <w:pPr>
              <w:topLinePunct/>
              <w:snapToGrid w:val="0"/>
              <w:spacing w:line="360" w:lineRule="auto"/>
              <w:ind w:firstLine="1200" w:firstLineChars="500"/>
              <w:rPr>
                <w:color w:val="auto"/>
                <w:kern w:val="0"/>
                <w:sz w:val="24"/>
              </w:rPr>
            </w:pPr>
            <w:r>
              <w:rPr>
                <w:color w:val="auto"/>
                <w:kern w:val="0"/>
                <w:sz w:val="24"/>
              </w:rPr>
              <w:t>N--室外声源个数；</w:t>
            </w:r>
          </w:p>
          <w:p>
            <w:pPr>
              <w:topLinePunct/>
              <w:snapToGrid w:val="0"/>
              <w:spacing w:line="360" w:lineRule="auto"/>
              <w:ind w:firstLine="1200" w:firstLineChars="500"/>
              <w:rPr>
                <w:color w:val="auto"/>
                <w:kern w:val="0"/>
                <w:sz w:val="24"/>
              </w:rPr>
            </w:pPr>
            <w:r>
              <w:rPr>
                <w:color w:val="auto"/>
                <w:kern w:val="0"/>
                <w:sz w:val="24"/>
              </w:rPr>
              <w:t>t</w:t>
            </w:r>
            <w:r>
              <w:rPr>
                <w:color w:val="auto"/>
                <w:kern w:val="0"/>
                <w:sz w:val="24"/>
                <w:vertAlign w:val="subscript"/>
              </w:rPr>
              <w:t>i</w:t>
            </w:r>
            <w:r>
              <w:rPr>
                <w:color w:val="auto"/>
                <w:kern w:val="0"/>
                <w:sz w:val="24"/>
              </w:rPr>
              <w:t>--在T时间内i声源工作时间，s；</w:t>
            </w:r>
          </w:p>
          <w:p>
            <w:pPr>
              <w:topLinePunct/>
              <w:snapToGrid w:val="0"/>
              <w:spacing w:line="360" w:lineRule="auto"/>
              <w:ind w:firstLine="1200" w:firstLineChars="500"/>
              <w:rPr>
                <w:color w:val="auto"/>
                <w:kern w:val="0"/>
                <w:sz w:val="24"/>
              </w:rPr>
            </w:pPr>
            <w:r>
              <w:rPr>
                <w:color w:val="auto"/>
                <w:kern w:val="0"/>
                <w:sz w:val="24"/>
              </w:rPr>
              <w:t>M--等效室外声源个数；</w:t>
            </w:r>
          </w:p>
          <w:p>
            <w:pPr>
              <w:topLinePunct/>
              <w:snapToGrid w:val="0"/>
              <w:spacing w:line="360" w:lineRule="auto"/>
              <w:ind w:firstLine="1200" w:firstLineChars="500"/>
              <w:rPr>
                <w:color w:val="auto"/>
                <w:kern w:val="0"/>
                <w:sz w:val="24"/>
              </w:rPr>
            </w:pPr>
            <w:r>
              <w:rPr>
                <w:color w:val="auto"/>
                <w:kern w:val="0"/>
                <w:sz w:val="24"/>
              </w:rPr>
              <w:t>t</w:t>
            </w:r>
            <w:r>
              <w:rPr>
                <w:color w:val="auto"/>
                <w:kern w:val="0"/>
                <w:sz w:val="24"/>
                <w:vertAlign w:val="subscript"/>
              </w:rPr>
              <w:t>j</w:t>
            </w:r>
            <w:r>
              <w:rPr>
                <w:color w:val="auto"/>
                <w:kern w:val="0"/>
                <w:sz w:val="24"/>
              </w:rPr>
              <w:t>--在T时间内j声源工作时间，s。</w:t>
            </w:r>
          </w:p>
          <w:p>
            <w:pPr>
              <w:adjustRightInd w:val="0"/>
              <w:snapToGrid w:val="0"/>
              <w:spacing w:line="360" w:lineRule="auto"/>
              <w:ind w:firstLine="440" w:firstLineChars="200"/>
              <w:rPr>
                <w:bCs/>
                <w:color w:val="auto"/>
                <w:spacing w:val="-10"/>
                <w:sz w:val="24"/>
              </w:rPr>
            </w:pPr>
            <w:r>
              <w:rPr>
                <w:bCs/>
                <w:color w:val="auto"/>
                <w:spacing w:val="-10"/>
                <w:sz w:val="24"/>
              </w:rPr>
              <w:t>根据上述方法，本项目的噪声预测结果见下表：</w:t>
            </w:r>
          </w:p>
          <w:p>
            <w:pPr>
              <w:topLinePunct/>
              <w:snapToGrid w:val="0"/>
              <w:ind w:firstLine="482" w:firstLineChars="200"/>
              <w:jc w:val="center"/>
              <w:rPr>
                <w:b/>
                <w:bCs/>
                <w:color w:val="auto"/>
                <w:kern w:val="0"/>
                <w:sz w:val="24"/>
              </w:rPr>
            </w:pPr>
            <w:r>
              <w:rPr>
                <w:b/>
                <w:bCs/>
                <w:color w:val="auto"/>
                <w:kern w:val="0"/>
                <w:sz w:val="24"/>
              </w:rPr>
              <w:t>表4-11 本项目噪声预测结果表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871"/>
              <w:gridCol w:w="938"/>
              <w:gridCol w:w="940"/>
              <w:gridCol w:w="938"/>
              <w:gridCol w:w="940"/>
              <w:gridCol w:w="938"/>
              <w:gridCol w:w="940"/>
              <w:gridCol w:w="93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vMerge w:val="restart"/>
                  <w:tcBorders>
                    <w:top w:val="single" w:color="auto" w:sz="4" w:space="0"/>
                    <w:left w:val="single" w:color="auto" w:sz="4" w:space="0"/>
                    <w:right w:val="single" w:color="auto" w:sz="4" w:space="0"/>
                  </w:tcBorders>
                  <w:noWrap w:val="0"/>
                  <w:vAlign w:val="center"/>
                </w:tcPr>
                <w:p>
                  <w:pPr>
                    <w:topLinePunct/>
                    <w:snapToGrid w:val="0"/>
                    <w:jc w:val="center"/>
                    <w:rPr>
                      <w:b/>
                      <w:bCs/>
                      <w:color w:val="auto"/>
                      <w:szCs w:val="21"/>
                    </w:rPr>
                  </w:pPr>
                  <w:r>
                    <w:rPr>
                      <w:b/>
                      <w:bCs/>
                      <w:color w:val="auto"/>
                      <w:szCs w:val="21"/>
                    </w:rPr>
                    <w:t>噪声源</w:t>
                  </w:r>
                </w:p>
              </w:tc>
              <w:tc>
                <w:tcPr>
                  <w:tcW w:w="470" w:type="pct"/>
                  <w:vMerge w:val="restart"/>
                  <w:tcBorders>
                    <w:top w:val="single" w:color="auto" w:sz="4" w:space="0"/>
                    <w:left w:val="single" w:color="auto" w:sz="4" w:space="0"/>
                    <w:right w:val="single" w:color="auto" w:sz="4" w:space="0"/>
                  </w:tcBorders>
                  <w:noWrap w:val="0"/>
                  <w:vAlign w:val="center"/>
                </w:tcPr>
                <w:p>
                  <w:pPr>
                    <w:topLinePunct/>
                    <w:snapToGrid w:val="0"/>
                    <w:jc w:val="center"/>
                    <w:rPr>
                      <w:b/>
                      <w:bCs/>
                      <w:color w:val="auto"/>
                      <w:szCs w:val="21"/>
                    </w:rPr>
                  </w:pPr>
                  <w:r>
                    <w:rPr>
                      <w:b/>
                      <w:bCs/>
                      <w:color w:val="auto"/>
                      <w:szCs w:val="21"/>
                    </w:rPr>
                    <w:t>排放</w:t>
                  </w:r>
                </w:p>
                <w:p>
                  <w:pPr>
                    <w:topLinePunct/>
                    <w:snapToGrid w:val="0"/>
                    <w:jc w:val="center"/>
                    <w:rPr>
                      <w:b/>
                      <w:bCs/>
                      <w:color w:val="auto"/>
                      <w:szCs w:val="21"/>
                    </w:rPr>
                  </w:pPr>
                  <w:r>
                    <w:rPr>
                      <w:b/>
                      <w:bCs/>
                      <w:color w:val="auto"/>
                      <w:szCs w:val="21"/>
                    </w:rPr>
                    <w:t>强度/dB(A)</w:t>
                  </w:r>
                </w:p>
              </w:tc>
              <w:tc>
                <w:tcPr>
                  <w:tcW w:w="1015" w:type="pct"/>
                  <w:gridSpan w:val="2"/>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b/>
                      <w:bCs/>
                      <w:color w:val="auto"/>
                      <w:szCs w:val="21"/>
                    </w:rPr>
                  </w:pPr>
                  <w:r>
                    <w:rPr>
                      <w:b/>
                      <w:bCs/>
                      <w:color w:val="auto"/>
                      <w:szCs w:val="21"/>
                    </w:rPr>
                    <w:t>东厂界外1m</w:t>
                  </w:r>
                </w:p>
              </w:tc>
              <w:tc>
                <w:tcPr>
                  <w:tcW w:w="1015" w:type="pct"/>
                  <w:gridSpan w:val="2"/>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b/>
                      <w:bCs/>
                      <w:color w:val="auto"/>
                      <w:szCs w:val="21"/>
                    </w:rPr>
                  </w:pPr>
                  <w:r>
                    <w:rPr>
                      <w:b/>
                      <w:bCs/>
                      <w:color w:val="auto"/>
                      <w:szCs w:val="21"/>
                    </w:rPr>
                    <w:t>南厂界外1m</w:t>
                  </w:r>
                </w:p>
              </w:tc>
              <w:tc>
                <w:tcPr>
                  <w:tcW w:w="1015" w:type="pct"/>
                  <w:gridSpan w:val="2"/>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b/>
                      <w:bCs/>
                      <w:color w:val="auto"/>
                      <w:szCs w:val="21"/>
                    </w:rPr>
                  </w:pPr>
                  <w:r>
                    <w:rPr>
                      <w:b/>
                      <w:bCs/>
                      <w:color w:val="auto"/>
                      <w:szCs w:val="21"/>
                    </w:rPr>
                    <w:t>西厂界外1m</w:t>
                  </w:r>
                </w:p>
              </w:tc>
              <w:tc>
                <w:tcPr>
                  <w:tcW w:w="1016" w:type="pct"/>
                  <w:gridSpan w:val="2"/>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b/>
                      <w:bCs/>
                      <w:color w:val="auto"/>
                      <w:szCs w:val="21"/>
                    </w:rPr>
                  </w:pPr>
                  <w:r>
                    <w:rPr>
                      <w:b/>
                      <w:bCs/>
                      <w:color w:val="auto"/>
                      <w:szCs w:val="21"/>
                    </w:rPr>
                    <w:t>北厂界外1m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vMerge w:val="continue"/>
                  <w:tcBorders>
                    <w:left w:val="single" w:color="auto" w:sz="4" w:space="0"/>
                    <w:bottom w:val="single" w:color="auto" w:sz="4" w:space="0"/>
                    <w:right w:val="single" w:color="auto" w:sz="4" w:space="0"/>
                  </w:tcBorders>
                  <w:noWrap w:val="0"/>
                  <w:vAlign w:val="center"/>
                </w:tcPr>
                <w:p>
                  <w:pPr>
                    <w:topLinePunct/>
                    <w:snapToGrid w:val="0"/>
                    <w:jc w:val="center"/>
                    <w:rPr>
                      <w:b/>
                      <w:bCs/>
                      <w:color w:val="auto"/>
                      <w:szCs w:val="21"/>
                    </w:rPr>
                  </w:pPr>
                </w:p>
              </w:tc>
              <w:tc>
                <w:tcPr>
                  <w:tcW w:w="470" w:type="pct"/>
                  <w:vMerge w:val="continue"/>
                  <w:tcBorders>
                    <w:left w:val="single" w:color="auto" w:sz="4" w:space="0"/>
                    <w:bottom w:val="single" w:color="auto" w:sz="4" w:space="0"/>
                    <w:right w:val="single" w:color="auto" w:sz="4" w:space="0"/>
                  </w:tcBorders>
                  <w:noWrap w:val="0"/>
                  <w:vAlign w:val="center"/>
                </w:tcPr>
                <w:p>
                  <w:pPr>
                    <w:topLinePunct/>
                    <w:snapToGrid w:val="0"/>
                    <w:jc w:val="center"/>
                    <w:rPr>
                      <w:b/>
                      <w:bCs/>
                      <w:color w:val="auto"/>
                      <w:szCs w:val="21"/>
                    </w:rPr>
                  </w:pPr>
                </w:p>
              </w:tc>
              <w:tc>
                <w:tcPr>
                  <w:tcW w:w="507" w:type="pct"/>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b/>
                      <w:bCs/>
                      <w:color w:val="auto"/>
                      <w:szCs w:val="21"/>
                    </w:rPr>
                  </w:pPr>
                  <w:r>
                    <w:rPr>
                      <w:b/>
                      <w:bCs/>
                      <w:color w:val="auto"/>
                      <w:szCs w:val="21"/>
                    </w:rPr>
                    <w:t>距离/m</w:t>
                  </w:r>
                </w:p>
              </w:tc>
              <w:tc>
                <w:tcPr>
                  <w:tcW w:w="507" w:type="pct"/>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b/>
                      <w:bCs/>
                      <w:color w:val="auto"/>
                      <w:szCs w:val="21"/>
                    </w:rPr>
                  </w:pPr>
                  <w:r>
                    <w:rPr>
                      <w:b/>
                      <w:bCs/>
                      <w:color w:val="auto"/>
                      <w:szCs w:val="21"/>
                    </w:rPr>
                    <w:t>贡献值/dB(A)</w:t>
                  </w:r>
                </w:p>
              </w:tc>
              <w:tc>
                <w:tcPr>
                  <w:tcW w:w="507" w:type="pct"/>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b/>
                      <w:bCs/>
                      <w:color w:val="auto"/>
                      <w:szCs w:val="21"/>
                    </w:rPr>
                  </w:pPr>
                  <w:r>
                    <w:rPr>
                      <w:b/>
                      <w:bCs/>
                      <w:color w:val="auto"/>
                      <w:szCs w:val="21"/>
                    </w:rPr>
                    <w:t>距离/m</w:t>
                  </w:r>
                </w:p>
              </w:tc>
              <w:tc>
                <w:tcPr>
                  <w:tcW w:w="507" w:type="pct"/>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b/>
                      <w:bCs/>
                      <w:color w:val="auto"/>
                      <w:szCs w:val="21"/>
                    </w:rPr>
                  </w:pPr>
                  <w:r>
                    <w:rPr>
                      <w:b/>
                      <w:bCs/>
                      <w:color w:val="auto"/>
                      <w:szCs w:val="21"/>
                    </w:rPr>
                    <w:t>贡献值/dB(A)</w:t>
                  </w:r>
                </w:p>
              </w:tc>
              <w:tc>
                <w:tcPr>
                  <w:tcW w:w="507" w:type="pct"/>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b/>
                      <w:bCs/>
                      <w:color w:val="auto"/>
                      <w:szCs w:val="21"/>
                    </w:rPr>
                  </w:pPr>
                  <w:r>
                    <w:rPr>
                      <w:b/>
                      <w:bCs/>
                      <w:color w:val="auto"/>
                      <w:szCs w:val="21"/>
                    </w:rPr>
                    <w:t>距离/m</w:t>
                  </w:r>
                </w:p>
              </w:tc>
              <w:tc>
                <w:tcPr>
                  <w:tcW w:w="507" w:type="pct"/>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b/>
                      <w:bCs/>
                      <w:color w:val="auto"/>
                      <w:szCs w:val="21"/>
                    </w:rPr>
                  </w:pPr>
                  <w:r>
                    <w:rPr>
                      <w:b/>
                      <w:bCs/>
                      <w:color w:val="auto"/>
                      <w:szCs w:val="21"/>
                    </w:rPr>
                    <w:t>贡献值/dB(A)</w:t>
                  </w:r>
                </w:p>
              </w:tc>
              <w:tc>
                <w:tcPr>
                  <w:tcW w:w="507" w:type="pct"/>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b/>
                      <w:bCs/>
                      <w:color w:val="auto"/>
                      <w:szCs w:val="21"/>
                    </w:rPr>
                  </w:pPr>
                  <w:r>
                    <w:rPr>
                      <w:b/>
                      <w:bCs/>
                      <w:color w:val="auto"/>
                      <w:szCs w:val="21"/>
                    </w:rPr>
                    <w:t>距离/m</w:t>
                  </w:r>
                </w:p>
              </w:tc>
              <w:tc>
                <w:tcPr>
                  <w:tcW w:w="510" w:type="pct"/>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b/>
                      <w:bCs/>
                      <w:color w:val="auto"/>
                      <w:szCs w:val="21"/>
                    </w:rPr>
                  </w:pPr>
                  <w:r>
                    <w:rPr>
                      <w:b/>
                      <w:bCs/>
                      <w:color w:val="auto"/>
                      <w:szCs w:val="21"/>
                    </w:rPr>
                    <w:t>贡献值/dB(A)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65" w:type="pct"/>
                  <w:tcBorders>
                    <w:top w:val="single" w:color="auto" w:sz="4" w:space="0"/>
                    <w:left w:val="single" w:color="auto" w:sz="4" w:space="0"/>
                    <w:right w:val="single" w:color="auto" w:sz="4" w:space="0"/>
                  </w:tcBorders>
                  <w:noWrap w:val="0"/>
                  <w:vAlign w:val="center"/>
                </w:tcPr>
                <w:p>
                  <w:pPr>
                    <w:topLinePunct/>
                    <w:snapToGrid w:val="0"/>
                    <w:jc w:val="center"/>
                    <w:rPr>
                      <w:color w:val="auto"/>
                      <w:szCs w:val="21"/>
                    </w:rPr>
                  </w:pPr>
                  <w:r>
                    <w:rPr>
                      <w:color w:val="auto"/>
                      <w:szCs w:val="21"/>
                    </w:rPr>
                    <w:t>生产区</w:t>
                  </w:r>
                </w:p>
              </w:tc>
              <w:tc>
                <w:tcPr>
                  <w:tcW w:w="470" w:type="pct"/>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color w:val="auto"/>
                      <w:szCs w:val="21"/>
                    </w:rPr>
                  </w:pPr>
                  <w:r>
                    <w:rPr>
                      <w:color w:val="auto"/>
                      <w:szCs w:val="21"/>
                    </w:rPr>
                    <w:t>64</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auto"/>
                      <w:szCs w:val="21"/>
                    </w:rPr>
                  </w:pPr>
                  <w:r>
                    <w:rPr>
                      <w:color w:val="auto"/>
                      <w:kern w:val="0"/>
                      <w:szCs w:val="21"/>
                      <w:lang w:bidi="ar"/>
                    </w:rPr>
                    <w:t>30</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auto"/>
                      <w:szCs w:val="21"/>
                    </w:rPr>
                  </w:pPr>
                  <w:r>
                    <w:rPr>
                      <w:color w:val="auto"/>
                      <w:kern w:val="0"/>
                      <w:szCs w:val="21"/>
                      <w:lang w:bidi="ar"/>
                    </w:rPr>
                    <w:t xml:space="preserve">34 </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auto"/>
                      <w:szCs w:val="21"/>
                    </w:rPr>
                  </w:pPr>
                  <w:r>
                    <w:rPr>
                      <w:color w:val="auto"/>
                      <w:kern w:val="0"/>
                      <w:szCs w:val="21"/>
                      <w:lang w:bidi="ar"/>
                    </w:rPr>
                    <w:t>15</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auto"/>
                      <w:szCs w:val="21"/>
                    </w:rPr>
                  </w:pPr>
                  <w:r>
                    <w:rPr>
                      <w:color w:val="auto"/>
                      <w:kern w:val="0"/>
                      <w:szCs w:val="21"/>
                      <w:lang w:bidi="ar"/>
                    </w:rPr>
                    <w:t xml:space="preserve">40 </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auto"/>
                      <w:szCs w:val="21"/>
                    </w:rPr>
                  </w:pPr>
                  <w:r>
                    <w:rPr>
                      <w:color w:val="auto"/>
                      <w:kern w:val="0"/>
                      <w:szCs w:val="21"/>
                      <w:lang w:bidi="ar"/>
                    </w:rPr>
                    <w:t>20</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auto"/>
                      <w:szCs w:val="21"/>
                    </w:rPr>
                  </w:pPr>
                  <w:r>
                    <w:rPr>
                      <w:color w:val="auto"/>
                      <w:kern w:val="0"/>
                      <w:szCs w:val="21"/>
                      <w:lang w:bidi="ar"/>
                    </w:rPr>
                    <w:t xml:space="preserve">38 </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auto"/>
                      <w:szCs w:val="21"/>
                    </w:rPr>
                  </w:pPr>
                  <w:r>
                    <w:rPr>
                      <w:color w:val="auto"/>
                      <w:kern w:val="0"/>
                      <w:szCs w:val="21"/>
                      <w:lang w:bidi="ar"/>
                    </w:rPr>
                    <w:t>10</w:t>
                  </w:r>
                </w:p>
              </w:tc>
              <w:tc>
                <w:tcPr>
                  <w:tcW w:w="9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auto"/>
                      <w:szCs w:val="21"/>
                    </w:rPr>
                  </w:pPr>
                  <w:r>
                    <w:rPr>
                      <w:color w:val="auto"/>
                      <w:kern w:val="0"/>
                      <w:szCs w:val="21"/>
                      <w:lang w:bidi="ar"/>
                    </w:rPr>
                    <w:t xml:space="preserve">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36" w:type="pct"/>
                  <w:gridSpan w:val="2"/>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color w:val="auto"/>
                      <w:szCs w:val="21"/>
                    </w:rPr>
                  </w:pPr>
                  <w:r>
                    <w:rPr>
                      <w:color w:val="auto"/>
                      <w:szCs w:val="21"/>
                    </w:rPr>
                    <w:t>标准限值</w:t>
                  </w:r>
                </w:p>
              </w:tc>
              <w:tc>
                <w:tcPr>
                  <w:tcW w:w="507" w:type="pct"/>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color w:val="auto"/>
                      <w:szCs w:val="21"/>
                    </w:rPr>
                  </w:pPr>
                  <w:r>
                    <w:rPr>
                      <w:color w:val="auto"/>
                      <w:szCs w:val="21"/>
                    </w:rPr>
                    <w:t>/</w:t>
                  </w:r>
                </w:p>
              </w:tc>
              <w:tc>
                <w:tcPr>
                  <w:tcW w:w="507" w:type="pct"/>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color w:val="auto"/>
                      <w:szCs w:val="21"/>
                    </w:rPr>
                  </w:pPr>
                  <w:r>
                    <w:rPr>
                      <w:color w:val="auto"/>
                      <w:szCs w:val="21"/>
                    </w:rPr>
                    <w:t>60</w:t>
                  </w:r>
                </w:p>
              </w:tc>
              <w:tc>
                <w:tcPr>
                  <w:tcW w:w="507" w:type="pct"/>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color w:val="auto"/>
                      <w:szCs w:val="21"/>
                    </w:rPr>
                  </w:pPr>
                  <w:r>
                    <w:rPr>
                      <w:color w:val="auto"/>
                      <w:szCs w:val="21"/>
                    </w:rPr>
                    <w:t>/</w:t>
                  </w:r>
                </w:p>
              </w:tc>
              <w:tc>
                <w:tcPr>
                  <w:tcW w:w="507" w:type="pct"/>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color w:val="auto"/>
                      <w:szCs w:val="21"/>
                    </w:rPr>
                  </w:pPr>
                  <w:r>
                    <w:rPr>
                      <w:color w:val="auto"/>
                      <w:szCs w:val="21"/>
                    </w:rPr>
                    <w:t>60</w:t>
                  </w:r>
                </w:p>
              </w:tc>
              <w:tc>
                <w:tcPr>
                  <w:tcW w:w="507" w:type="pct"/>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color w:val="auto"/>
                      <w:szCs w:val="21"/>
                    </w:rPr>
                  </w:pPr>
                  <w:r>
                    <w:rPr>
                      <w:color w:val="auto"/>
                      <w:szCs w:val="21"/>
                    </w:rPr>
                    <w:t>/</w:t>
                  </w:r>
                </w:p>
              </w:tc>
              <w:tc>
                <w:tcPr>
                  <w:tcW w:w="507" w:type="pct"/>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color w:val="auto"/>
                      <w:szCs w:val="21"/>
                    </w:rPr>
                  </w:pPr>
                  <w:r>
                    <w:rPr>
                      <w:color w:val="auto"/>
                      <w:szCs w:val="21"/>
                    </w:rPr>
                    <w:t>60</w:t>
                  </w:r>
                </w:p>
              </w:tc>
              <w:tc>
                <w:tcPr>
                  <w:tcW w:w="507" w:type="pct"/>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color w:val="auto"/>
                      <w:szCs w:val="21"/>
                    </w:rPr>
                  </w:pPr>
                  <w:r>
                    <w:rPr>
                      <w:color w:val="auto"/>
                      <w:szCs w:val="21"/>
                    </w:rPr>
                    <w:t>/</w:t>
                  </w:r>
                </w:p>
              </w:tc>
              <w:tc>
                <w:tcPr>
                  <w:tcW w:w="510" w:type="pct"/>
                  <w:tcBorders>
                    <w:top w:val="single" w:color="auto" w:sz="4" w:space="0"/>
                    <w:left w:val="single" w:color="auto" w:sz="4" w:space="0"/>
                    <w:bottom w:val="single" w:color="auto" w:sz="4" w:space="0"/>
                    <w:right w:val="single" w:color="auto" w:sz="4" w:space="0"/>
                  </w:tcBorders>
                  <w:noWrap w:val="0"/>
                  <w:vAlign w:val="center"/>
                </w:tcPr>
                <w:p>
                  <w:pPr>
                    <w:topLinePunct/>
                    <w:snapToGrid w:val="0"/>
                    <w:jc w:val="center"/>
                    <w:rPr>
                      <w:color w:val="auto"/>
                      <w:szCs w:val="21"/>
                    </w:rPr>
                  </w:pPr>
                  <w:r>
                    <w:rPr>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000" w:type="pct"/>
                  <w:gridSpan w:val="10"/>
                  <w:tcBorders>
                    <w:top w:val="single" w:color="auto" w:sz="4" w:space="0"/>
                    <w:left w:val="single" w:color="auto" w:sz="4" w:space="0"/>
                    <w:bottom w:val="single" w:color="auto" w:sz="4" w:space="0"/>
                    <w:right w:val="single" w:color="auto" w:sz="4" w:space="0"/>
                  </w:tcBorders>
                  <w:noWrap w:val="0"/>
                  <w:vAlign w:val="center"/>
                </w:tcPr>
                <w:p>
                  <w:pPr>
                    <w:topLinePunct/>
                    <w:snapToGrid w:val="0"/>
                    <w:ind w:firstLine="211" w:firstLineChars="100"/>
                    <w:rPr>
                      <w:color w:val="auto"/>
                      <w:szCs w:val="21"/>
                    </w:rPr>
                  </w:pPr>
                  <w:r>
                    <w:rPr>
                      <w:b/>
                      <w:bCs/>
                      <w:color w:val="auto"/>
                      <w:kern w:val="0"/>
                      <w:szCs w:val="21"/>
                    </w:rPr>
                    <w:t>注：</w:t>
                  </w:r>
                  <w:r>
                    <w:rPr>
                      <w:color w:val="auto"/>
                      <w:kern w:val="0"/>
                      <w:szCs w:val="21"/>
                    </w:rPr>
                    <w:t>本项目仅在昼间生产，夜间不生产。</w:t>
                  </w:r>
                </w:p>
              </w:tc>
            </w:tr>
          </w:tbl>
          <w:p>
            <w:pPr>
              <w:topLinePunct/>
              <w:snapToGrid w:val="0"/>
              <w:ind w:firstLine="480" w:firstLineChars="200"/>
              <w:rPr>
                <w:color w:val="auto"/>
                <w:kern w:val="0"/>
                <w:sz w:val="24"/>
              </w:rPr>
            </w:pPr>
          </w:p>
          <w:p>
            <w:pPr>
              <w:adjustRightInd w:val="0"/>
              <w:snapToGrid w:val="0"/>
              <w:spacing w:line="360" w:lineRule="auto"/>
              <w:ind w:firstLine="480" w:firstLineChars="200"/>
              <w:rPr>
                <w:color w:val="auto"/>
                <w:kern w:val="0"/>
                <w:sz w:val="24"/>
              </w:rPr>
            </w:pPr>
            <w:r>
              <w:rPr>
                <w:color w:val="auto"/>
                <w:kern w:val="0"/>
                <w:sz w:val="24"/>
              </w:rPr>
              <w:t>根据上表预测结果可知，本项目</w:t>
            </w:r>
            <w:r>
              <w:rPr>
                <w:bCs/>
                <w:color w:val="auto"/>
                <w:spacing w:val="-10"/>
                <w:sz w:val="24"/>
              </w:rPr>
              <w:t>生产设备、辅助设备、环保设备等</w:t>
            </w:r>
            <w:r>
              <w:rPr>
                <w:color w:val="auto"/>
                <w:kern w:val="0"/>
                <w:sz w:val="24"/>
              </w:rPr>
              <w:t>运行时产生的噪声，在东厂界外、南厂界外1m处、西厂界外1m处、北厂界外1m处的贡献值分别为34dB(A)、40dB(A)、38dB(A)、44dB(A)，均可以满足《工业企业厂界环境噪声排放标准》（GB12348-2008）中的2类区标准（昼间≤60dB(A)），说明本项目的噪声对声环境的影响在可接受范围内。</w:t>
            </w:r>
          </w:p>
          <w:p>
            <w:pPr>
              <w:adjustRightInd w:val="0"/>
              <w:snapToGrid w:val="0"/>
              <w:spacing w:line="360" w:lineRule="auto"/>
              <w:ind w:firstLine="482" w:firstLineChars="200"/>
              <w:rPr>
                <w:b/>
                <w:bCs/>
                <w:color w:val="auto"/>
                <w:spacing w:val="-10"/>
                <w:sz w:val="24"/>
              </w:rPr>
            </w:pPr>
            <w:r>
              <w:rPr>
                <w:b/>
                <w:bCs/>
                <w:color w:val="auto"/>
                <w:kern w:val="0"/>
                <w:sz w:val="24"/>
              </w:rPr>
              <w:t>4</w:t>
            </w:r>
            <w:r>
              <w:rPr>
                <w:b/>
                <w:bCs/>
                <w:color w:val="auto"/>
                <w:spacing w:val="-10"/>
                <w:sz w:val="24"/>
              </w:rPr>
              <w:t>.噪声监测要求</w:t>
            </w:r>
          </w:p>
          <w:p>
            <w:pPr>
              <w:adjustRightInd w:val="0"/>
              <w:snapToGrid w:val="0"/>
              <w:spacing w:line="360" w:lineRule="auto"/>
              <w:ind w:firstLine="440" w:firstLineChars="200"/>
              <w:rPr>
                <w:bCs/>
                <w:color w:val="auto"/>
                <w:spacing w:val="-10"/>
                <w:sz w:val="24"/>
              </w:rPr>
            </w:pPr>
            <w:r>
              <w:rPr>
                <w:bCs/>
                <w:color w:val="auto"/>
                <w:spacing w:val="-10"/>
                <w:sz w:val="24"/>
              </w:rPr>
              <w:t>根据</w:t>
            </w:r>
            <w:r>
              <w:rPr>
                <w:rFonts w:hint="eastAsia"/>
                <w:bCs/>
                <w:color w:val="auto"/>
                <w:spacing w:val="-10"/>
                <w:sz w:val="24"/>
              </w:rPr>
              <w:t>本</w:t>
            </w:r>
            <w:r>
              <w:rPr>
                <w:bCs/>
                <w:color w:val="auto"/>
                <w:spacing w:val="-10"/>
                <w:sz w:val="24"/>
              </w:rPr>
              <w:t>项目所属行业、所采用的生产工艺及所使用的原辅材料和设备设施，对照《固定污染源排污许可分类管理名录》（2019年版），进行</w:t>
            </w:r>
            <w:r>
              <w:rPr>
                <w:rFonts w:hint="eastAsia"/>
                <w:bCs/>
                <w:color w:val="auto"/>
                <w:spacing w:val="-10"/>
                <w:sz w:val="24"/>
              </w:rPr>
              <w:t>简化</w:t>
            </w:r>
            <w:r>
              <w:rPr>
                <w:bCs/>
                <w:color w:val="auto"/>
                <w:spacing w:val="-10"/>
                <w:sz w:val="24"/>
              </w:rPr>
              <w:t>管理申报</w:t>
            </w:r>
            <w:r>
              <w:rPr>
                <w:rFonts w:hint="eastAsia"/>
                <w:bCs/>
                <w:color w:val="auto"/>
                <w:spacing w:val="-10"/>
                <w:sz w:val="24"/>
              </w:rPr>
              <w:t>；对照《排污许可申请与核发技术规范 总则》（HJ942-2018）、《排污许可证申请与核发技术规范 石墨及其他非金属矿物制品制造》（HJ1119-2020），</w:t>
            </w:r>
            <w:r>
              <w:rPr>
                <w:bCs/>
                <w:color w:val="auto"/>
                <w:spacing w:val="-10"/>
                <w:sz w:val="24"/>
              </w:rPr>
              <w:t>本项目噪声监测要求如下：</w:t>
            </w:r>
          </w:p>
          <w:p>
            <w:pPr>
              <w:adjustRightInd w:val="0"/>
              <w:snapToGrid w:val="0"/>
              <w:spacing w:line="360" w:lineRule="auto"/>
              <w:ind w:firstLine="440" w:firstLineChars="200"/>
              <w:rPr>
                <w:bCs/>
                <w:color w:val="auto"/>
                <w:spacing w:val="-10"/>
                <w:sz w:val="24"/>
              </w:rPr>
            </w:pPr>
          </w:p>
          <w:p>
            <w:pPr>
              <w:adjustRightInd w:val="0"/>
              <w:snapToGrid w:val="0"/>
              <w:spacing w:line="360" w:lineRule="auto"/>
              <w:ind w:firstLine="440" w:firstLineChars="200"/>
              <w:rPr>
                <w:bCs/>
                <w:color w:val="auto"/>
                <w:spacing w:val="-10"/>
                <w:sz w:val="24"/>
              </w:rPr>
            </w:pPr>
          </w:p>
          <w:p>
            <w:pPr>
              <w:adjustRightInd w:val="0"/>
              <w:snapToGrid w:val="0"/>
              <w:jc w:val="center"/>
              <w:rPr>
                <w:b/>
                <w:color w:val="auto"/>
                <w:spacing w:val="-10"/>
                <w:sz w:val="24"/>
              </w:rPr>
            </w:pPr>
            <w:r>
              <w:rPr>
                <w:b/>
                <w:color w:val="auto"/>
                <w:spacing w:val="-10"/>
                <w:sz w:val="24"/>
              </w:rPr>
              <w:t>表4-12 本项目噪声监测要求</w:t>
            </w:r>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2004"/>
              <w:gridCol w:w="1721"/>
              <w:gridCol w:w="1242"/>
              <w:gridCol w:w="1251"/>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14" w:type="pct"/>
                  <w:noWrap w:val="0"/>
                  <w:vAlign w:val="center"/>
                </w:tcPr>
                <w:p>
                  <w:pPr>
                    <w:topLinePunct/>
                    <w:jc w:val="center"/>
                    <w:rPr>
                      <w:b/>
                      <w:bCs/>
                      <w:color w:val="auto"/>
                      <w:kern w:val="0"/>
                      <w:szCs w:val="21"/>
                    </w:rPr>
                  </w:pPr>
                  <w:r>
                    <w:rPr>
                      <w:b/>
                      <w:bCs/>
                      <w:color w:val="auto"/>
                      <w:kern w:val="0"/>
                      <w:szCs w:val="21"/>
                    </w:rPr>
                    <w:t>类别</w:t>
                  </w:r>
                </w:p>
              </w:tc>
              <w:tc>
                <w:tcPr>
                  <w:tcW w:w="1083" w:type="pct"/>
                  <w:noWrap w:val="0"/>
                  <w:vAlign w:val="center"/>
                </w:tcPr>
                <w:p>
                  <w:pPr>
                    <w:topLinePunct/>
                    <w:jc w:val="center"/>
                    <w:rPr>
                      <w:b/>
                      <w:bCs/>
                      <w:color w:val="auto"/>
                      <w:kern w:val="0"/>
                      <w:szCs w:val="21"/>
                    </w:rPr>
                  </w:pPr>
                  <w:r>
                    <w:rPr>
                      <w:b/>
                      <w:bCs/>
                      <w:color w:val="auto"/>
                      <w:kern w:val="0"/>
                      <w:szCs w:val="21"/>
                    </w:rPr>
                    <w:t>监测点</w:t>
                  </w:r>
                </w:p>
              </w:tc>
              <w:tc>
                <w:tcPr>
                  <w:tcW w:w="930" w:type="pct"/>
                  <w:noWrap w:val="0"/>
                  <w:vAlign w:val="center"/>
                </w:tcPr>
                <w:p>
                  <w:pPr>
                    <w:topLinePunct/>
                    <w:jc w:val="center"/>
                    <w:rPr>
                      <w:b/>
                      <w:bCs/>
                      <w:color w:val="auto"/>
                      <w:kern w:val="0"/>
                      <w:szCs w:val="21"/>
                    </w:rPr>
                  </w:pPr>
                  <w:r>
                    <w:rPr>
                      <w:b/>
                      <w:bCs/>
                      <w:color w:val="auto"/>
                      <w:kern w:val="0"/>
                      <w:szCs w:val="21"/>
                    </w:rPr>
                    <w:t>监测指标</w:t>
                  </w:r>
                </w:p>
              </w:tc>
              <w:tc>
                <w:tcPr>
                  <w:tcW w:w="672" w:type="pct"/>
                  <w:noWrap w:val="0"/>
                  <w:vAlign w:val="center"/>
                </w:tcPr>
                <w:p>
                  <w:pPr>
                    <w:topLinePunct/>
                    <w:jc w:val="center"/>
                    <w:rPr>
                      <w:b/>
                      <w:bCs/>
                      <w:color w:val="auto"/>
                      <w:kern w:val="0"/>
                      <w:szCs w:val="21"/>
                    </w:rPr>
                  </w:pPr>
                  <w:r>
                    <w:rPr>
                      <w:b/>
                      <w:bCs/>
                      <w:color w:val="auto"/>
                      <w:kern w:val="0"/>
                      <w:szCs w:val="21"/>
                    </w:rPr>
                    <w:t>监测形式</w:t>
                  </w:r>
                </w:p>
              </w:tc>
              <w:tc>
                <w:tcPr>
                  <w:tcW w:w="677" w:type="pct"/>
                  <w:noWrap w:val="0"/>
                  <w:vAlign w:val="center"/>
                </w:tcPr>
                <w:p>
                  <w:pPr>
                    <w:topLinePunct/>
                    <w:jc w:val="center"/>
                    <w:rPr>
                      <w:b/>
                      <w:bCs/>
                      <w:color w:val="auto"/>
                      <w:kern w:val="0"/>
                      <w:szCs w:val="21"/>
                    </w:rPr>
                  </w:pPr>
                  <w:r>
                    <w:rPr>
                      <w:b/>
                      <w:bCs/>
                      <w:color w:val="auto"/>
                      <w:kern w:val="0"/>
                      <w:szCs w:val="21"/>
                    </w:rPr>
                    <w:t>监测频次</w:t>
                  </w:r>
                </w:p>
              </w:tc>
              <w:tc>
                <w:tcPr>
                  <w:tcW w:w="1121" w:type="pct"/>
                  <w:noWrap w:val="0"/>
                  <w:vAlign w:val="center"/>
                </w:tcPr>
                <w:p>
                  <w:pPr>
                    <w:topLinePunct/>
                    <w:jc w:val="center"/>
                    <w:rPr>
                      <w:b/>
                      <w:bCs/>
                      <w:color w:val="auto"/>
                      <w:kern w:val="0"/>
                      <w:szCs w:val="21"/>
                    </w:rPr>
                  </w:pPr>
                  <w:r>
                    <w:rPr>
                      <w:b/>
                      <w:bCs/>
                      <w:color w:val="auto"/>
                      <w:kern w:val="0"/>
                      <w:szCs w:val="21"/>
                    </w:rPr>
                    <w:t>监测方法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14" w:type="pct"/>
                  <w:vMerge w:val="restart"/>
                  <w:noWrap w:val="0"/>
                  <w:vAlign w:val="center"/>
                </w:tcPr>
                <w:p>
                  <w:pPr>
                    <w:topLinePunct/>
                    <w:jc w:val="center"/>
                    <w:rPr>
                      <w:color w:val="auto"/>
                      <w:kern w:val="0"/>
                      <w:szCs w:val="21"/>
                    </w:rPr>
                  </w:pPr>
                  <w:r>
                    <w:rPr>
                      <w:color w:val="auto"/>
                      <w:kern w:val="0"/>
                      <w:szCs w:val="21"/>
                    </w:rPr>
                    <w:t>噪声</w:t>
                  </w:r>
                </w:p>
              </w:tc>
              <w:tc>
                <w:tcPr>
                  <w:tcW w:w="1083" w:type="pct"/>
                  <w:noWrap w:val="0"/>
                  <w:vAlign w:val="center"/>
                </w:tcPr>
                <w:p>
                  <w:pPr>
                    <w:topLinePunct/>
                    <w:jc w:val="center"/>
                    <w:rPr>
                      <w:color w:val="auto"/>
                      <w:kern w:val="0"/>
                      <w:szCs w:val="21"/>
                    </w:rPr>
                  </w:pPr>
                  <w:r>
                    <w:rPr>
                      <w:color w:val="auto"/>
                      <w:kern w:val="0"/>
                      <w:szCs w:val="21"/>
                    </w:rPr>
                    <w:t>东厂界外1m处</w:t>
                  </w:r>
                </w:p>
              </w:tc>
              <w:tc>
                <w:tcPr>
                  <w:tcW w:w="930" w:type="pct"/>
                  <w:vMerge w:val="restart"/>
                  <w:noWrap w:val="0"/>
                  <w:vAlign w:val="center"/>
                </w:tcPr>
                <w:p>
                  <w:pPr>
                    <w:topLinePunct/>
                    <w:jc w:val="center"/>
                    <w:rPr>
                      <w:color w:val="auto"/>
                      <w:kern w:val="0"/>
                      <w:szCs w:val="21"/>
                    </w:rPr>
                  </w:pPr>
                  <w:r>
                    <w:rPr>
                      <w:color w:val="auto"/>
                      <w:kern w:val="0"/>
                      <w:szCs w:val="21"/>
                    </w:rPr>
                    <w:t>等效连续A声级</w:t>
                  </w:r>
                </w:p>
              </w:tc>
              <w:tc>
                <w:tcPr>
                  <w:tcW w:w="672" w:type="pct"/>
                  <w:vMerge w:val="restart"/>
                  <w:noWrap w:val="0"/>
                  <w:vAlign w:val="center"/>
                </w:tcPr>
                <w:p>
                  <w:pPr>
                    <w:topLinePunct/>
                    <w:jc w:val="center"/>
                    <w:rPr>
                      <w:color w:val="auto"/>
                      <w:kern w:val="0"/>
                      <w:szCs w:val="21"/>
                    </w:rPr>
                  </w:pPr>
                  <w:r>
                    <w:rPr>
                      <w:color w:val="auto"/>
                      <w:kern w:val="0"/>
                      <w:szCs w:val="21"/>
                    </w:rPr>
                    <w:t>手工</w:t>
                  </w:r>
                </w:p>
              </w:tc>
              <w:tc>
                <w:tcPr>
                  <w:tcW w:w="677" w:type="pct"/>
                  <w:vMerge w:val="restart"/>
                  <w:noWrap w:val="0"/>
                  <w:vAlign w:val="center"/>
                </w:tcPr>
                <w:p>
                  <w:pPr>
                    <w:topLinePunct/>
                    <w:jc w:val="center"/>
                    <w:rPr>
                      <w:color w:val="auto"/>
                      <w:kern w:val="0"/>
                      <w:szCs w:val="21"/>
                    </w:rPr>
                  </w:pPr>
                  <w:r>
                    <w:rPr>
                      <w:color w:val="auto"/>
                      <w:kern w:val="0"/>
                      <w:szCs w:val="21"/>
                    </w:rPr>
                    <w:t>1次/季度</w:t>
                  </w:r>
                </w:p>
              </w:tc>
              <w:tc>
                <w:tcPr>
                  <w:tcW w:w="1121" w:type="pct"/>
                  <w:vMerge w:val="restart"/>
                  <w:noWrap w:val="0"/>
                  <w:vAlign w:val="center"/>
                </w:tcPr>
                <w:p>
                  <w:pPr>
                    <w:topLinePunct/>
                    <w:jc w:val="center"/>
                    <w:rPr>
                      <w:color w:val="auto"/>
                      <w:kern w:val="0"/>
                      <w:szCs w:val="21"/>
                    </w:rPr>
                  </w:pPr>
                  <w:r>
                    <w:rPr>
                      <w:color w:val="auto"/>
                      <w:kern w:val="0"/>
                      <w:szCs w:val="21"/>
                    </w:rPr>
                    <w:t>《工业企业厂界环境噪声排放标准》（GB12348-2008）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14" w:type="pct"/>
                  <w:vMerge w:val="continue"/>
                  <w:noWrap w:val="0"/>
                  <w:vAlign w:val="center"/>
                </w:tcPr>
                <w:p>
                  <w:pPr>
                    <w:topLinePunct/>
                    <w:jc w:val="center"/>
                    <w:rPr>
                      <w:color w:val="auto"/>
                      <w:kern w:val="0"/>
                      <w:szCs w:val="21"/>
                    </w:rPr>
                  </w:pPr>
                </w:p>
              </w:tc>
              <w:tc>
                <w:tcPr>
                  <w:tcW w:w="1083" w:type="pct"/>
                  <w:noWrap w:val="0"/>
                  <w:vAlign w:val="center"/>
                </w:tcPr>
                <w:p>
                  <w:pPr>
                    <w:topLinePunct/>
                    <w:jc w:val="center"/>
                    <w:rPr>
                      <w:color w:val="auto"/>
                      <w:kern w:val="0"/>
                      <w:szCs w:val="21"/>
                    </w:rPr>
                  </w:pPr>
                  <w:r>
                    <w:rPr>
                      <w:color w:val="auto"/>
                      <w:kern w:val="0"/>
                      <w:szCs w:val="21"/>
                    </w:rPr>
                    <w:t>南厂界外1m处</w:t>
                  </w:r>
                </w:p>
              </w:tc>
              <w:tc>
                <w:tcPr>
                  <w:tcW w:w="930" w:type="pct"/>
                  <w:vMerge w:val="continue"/>
                  <w:noWrap w:val="0"/>
                  <w:vAlign w:val="center"/>
                </w:tcPr>
                <w:p>
                  <w:pPr>
                    <w:topLinePunct/>
                    <w:jc w:val="center"/>
                    <w:rPr>
                      <w:color w:val="auto"/>
                      <w:kern w:val="0"/>
                      <w:szCs w:val="21"/>
                    </w:rPr>
                  </w:pPr>
                </w:p>
              </w:tc>
              <w:tc>
                <w:tcPr>
                  <w:tcW w:w="672" w:type="pct"/>
                  <w:vMerge w:val="continue"/>
                  <w:noWrap w:val="0"/>
                  <w:vAlign w:val="center"/>
                </w:tcPr>
                <w:p>
                  <w:pPr>
                    <w:topLinePunct/>
                    <w:jc w:val="center"/>
                    <w:rPr>
                      <w:color w:val="auto"/>
                      <w:kern w:val="0"/>
                      <w:szCs w:val="21"/>
                    </w:rPr>
                  </w:pPr>
                </w:p>
              </w:tc>
              <w:tc>
                <w:tcPr>
                  <w:tcW w:w="677" w:type="pct"/>
                  <w:vMerge w:val="continue"/>
                  <w:noWrap w:val="0"/>
                  <w:vAlign w:val="center"/>
                </w:tcPr>
                <w:p>
                  <w:pPr>
                    <w:topLinePunct/>
                    <w:jc w:val="center"/>
                    <w:rPr>
                      <w:color w:val="auto"/>
                      <w:kern w:val="0"/>
                      <w:szCs w:val="21"/>
                    </w:rPr>
                  </w:pPr>
                </w:p>
              </w:tc>
              <w:tc>
                <w:tcPr>
                  <w:tcW w:w="1121" w:type="pct"/>
                  <w:vMerge w:val="continue"/>
                  <w:noWrap w:val="0"/>
                  <w:vAlign w:val="center"/>
                </w:tcPr>
                <w:p>
                  <w:pPr>
                    <w:topLinePun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14" w:type="pct"/>
                  <w:vMerge w:val="continue"/>
                  <w:noWrap w:val="0"/>
                  <w:vAlign w:val="center"/>
                </w:tcPr>
                <w:p>
                  <w:pPr>
                    <w:topLinePunct/>
                    <w:jc w:val="center"/>
                    <w:rPr>
                      <w:color w:val="auto"/>
                      <w:kern w:val="0"/>
                      <w:szCs w:val="21"/>
                    </w:rPr>
                  </w:pPr>
                </w:p>
              </w:tc>
              <w:tc>
                <w:tcPr>
                  <w:tcW w:w="1083" w:type="pct"/>
                  <w:noWrap w:val="0"/>
                  <w:vAlign w:val="center"/>
                </w:tcPr>
                <w:p>
                  <w:pPr>
                    <w:topLinePunct/>
                    <w:jc w:val="center"/>
                    <w:rPr>
                      <w:color w:val="auto"/>
                      <w:kern w:val="0"/>
                      <w:szCs w:val="21"/>
                    </w:rPr>
                  </w:pPr>
                  <w:r>
                    <w:rPr>
                      <w:color w:val="auto"/>
                      <w:kern w:val="0"/>
                      <w:szCs w:val="21"/>
                    </w:rPr>
                    <w:t>西厂界外1m处</w:t>
                  </w:r>
                </w:p>
              </w:tc>
              <w:tc>
                <w:tcPr>
                  <w:tcW w:w="930" w:type="pct"/>
                  <w:vMerge w:val="continue"/>
                  <w:noWrap w:val="0"/>
                  <w:vAlign w:val="center"/>
                </w:tcPr>
                <w:p>
                  <w:pPr>
                    <w:topLinePunct/>
                    <w:jc w:val="center"/>
                    <w:rPr>
                      <w:color w:val="auto"/>
                      <w:kern w:val="0"/>
                      <w:szCs w:val="21"/>
                    </w:rPr>
                  </w:pPr>
                </w:p>
              </w:tc>
              <w:tc>
                <w:tcPr>
                  <w:tcW w:w="672" w:type="pct"/>
                  <w:vMerge w:val="continue"/>
                  <w:noWrap w:val="0"/>
                  <w:vAlign w:val="center"/>
                </w:tcPr>
                <w:p>
                  <w:pPr>
                    <w:topLinePunct/>
                    <w:jc w:val="center"/>
                    <w:rPr>
                      <w:color w:val="auto"/>
                      <w:kern w:val="0"/>
                      <w:szCs w:val="21"/>
                    </w:rPr>
                  </w:pPr>
                </w:p>
              </w:tc>
              <w:tc>
                <w:tcPr>
                  <w:tcW w:w="677" w:type="pct"/>
                  <w:vMerge w:val="continue"/>
                  <w:noWrap w:val="0"/>
                  <w:vAlign w:val="center"/>
                </w:tcPr>
                <w:p>
                  <w:pPr>
                    <w:topLinePunct/>
                    <w:jc w:val="center"/>
                    <w:rPr>
                      <w:color w:val="auto"/>
                      <w:kern w:val="0"/>
                      <w:szCs w:val="21"/>
                    </w:rPr>
                  </w:pPr>
                </w:p>
              </w:tc>
              <w:tc>
                <w:tcPr>
                  <w:tcW w:w="1121" w:type="pct"/>
                  <w:vMerge w:val="continue"/>
                  <w:noWrap w:val="0"/>
                  <w:vAlign w:val="center"/>
                </w:tcPr>
                <w:p>
                  <w:pPr>
                    <w:topLinePun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14" w:type="pct"/>
                  <w:vMerge w:val="continue"/>
                  <w:noWrap w:val="0"/>
                  <w:vAlign w:val="center"/>
                </w:tcPr>
                <w:p>
                  <w:pPr>
                    <w:topLinePunct/>
                    <w:jc w:val="center"/>
                    <w:rPr>
                      <w:color w:val="auto"/>
                      <w:kern w:val="0"/>
                      <w:szCs w:val="21"/>
                    </w:rPr>
                  </w:pPr>
                </w:p>
              </w:tc>
              <w:tc>
                <w:tcPr>
                  <w:tcW w:w="1083" w:type="pct"/>
                  <w:noWrap w:val="0"/>
                  <w:vAlign w:val="center"/>
                </w:tcPr>
                <w:p>
                  <w:pPr>
                    <w:topLinePunct/>
                    <w:jc w:val="center"/>
                    <w:rPr>
                      <w:color w:val="auto"/>
                      <w:kern w:val="0"/>
                      <w:szCs w:val="21"/>
                    </w:rPr>
                  </w:pPr>
                  <w:r>
                    <w:rPr>
                      <w:color w:val="auto"/>
                      <w:kern w:val="0"/>
                      <w:szCs w:val="21"/>
                    </w:rPr>
                    <w:t>北厂界外1m处</w:t>
                  </w:r>
                </w:p>
              </w:tc>
              <w:tc>
                <w:tcPr>
                  <w:tcW w:w="930" w:type="pct"/>
                  <w:vMerge w:val="continue"/>
                  <w:noWrap w:val="0"/>
                  <w:vAlign w:val="center"/>
                </w:tcPr>
                <w:p>
                  <w:pPr>
                    <w:topLinePunct/>
                    <w:jc w:val="center"/>
                    <w:rPr>
                      <w:color w:val="auto"/>
                      <w:kern w:val="0"/>
                      <w:szCs w:val="21"/>
                    </w:rPr>
                  </w:pPr>
                </w:p>
              </w:tc>
              <w:tc>
                <w:tcPr>
                  <w:tcW w:w="672" w:type="pct"/>
                  <w:vMerge w:val="continue"/>
                  <w:noWrap w:val="0"/>
                  <w:vAlign w:val="center"/>
                </w:tcPr>
                <w:p>
                  <w:pPr>
                    <w:topLinePunct/>
                    <w:jc w:val="center"/>
                    <w:rPr>
                      <w:color w:val="auto"/>
                      <w:kern w:val="0"/>
                      <w:szCs w:val="21"/>
                    </w:rPr>
                  </w:pPr>
                </w:p>
              </w:tc>
              <w:tc>
                <w:tcPr>
                  <w:tcW w:w="677" w:type="pct"/>
                  <w:vMerge w:val="continue"/>
                  <w:noWrap w:val="0"/>
                  <w:vAlign w:val="center"/>
                </w:tcPr>
                <w:p>
                  <w:pPr>
                    <w:topLinePunct/>
                    <w:jc w:val="center"/>
                    <w:rPr>
                      <w:color w:val="auto"/>
                      <w:kern w:val="0"/>
                      <w:szCs w:val="21"/>
                    </w:rPr>
                  </w:pPr>
                </w:p>
              </w:tc>
              <w:tc>
                <w:tcPr>
                  <w:tcW w:w="1121" w:type="pct"/>
                  <w:vMerge w:val="continue"/>
                  <w:noWrap w:val="0"/>
                  <w:vAlign w:val="center"/>
                </w:tcPr>
                <w:p>
                  <w:pPr>
                    <w:topLinePunct/>
                    <w:jc w:val="center"/>
                    <w:rPr>
                      <w:color w:val="auto"/>
                      <w:kern w:val="0"/>
                      <w:szCs w:val="21"/>
                    </w:rPr>
                  </w:pPr>
                </w:p>
              </w:tc>
            </w:tr>
          </w:tbl>
          <w:p>
            <w:pPr>
              <w:adjustRightInd w:val="0"/>
              <w:snapToGrid w:val="0"/>
              <w:spacing w:line="360" w:lineRule="auto"/>
              <w:ind w:firstLine="442" w:firstLineChars="200"/>
              <w:rPr>
                <w:b/>
                <w:color w:val="auto"/>
                <w:spacing w:val="-10"/>
                <w:sz w:val="24"/>
              </w:rPr>
            </w:pPr>
          </w:p>
          <w:p>
            <w:pPr>
              <w:adjustRightInd w:val="0"/>
              <w:snapToGrid w:val="0"/>
              <w:spacing w:line="360" w:lineRule="auto"/>
              <w:ind w:firstLine="442" w:firstLineChars="200"/>
              <w:rPr>
                <w:b/>
                <w:color w:val="auto"/>
                <w:spacing w:val="-10"/>
                <w:sz w:val="24"/>
              </w:rPr>
            </w:pPr>
            <w:r>
              <w:rPr>
                <w:b/>
                <w:color w:val="auto"/>
                <w:spacing w:val="-10"/>
                <w:sz w:val="24"/>
              </w:rPr>
              <w:t>（四）固体废物</w:t>
            </w:r>
          </w:p>
          <w:p>
            <w:pPr>
              <w:adjustRightInd w:val="0"/>
              <w:snapToGrid w:val="0"/>
              <w:spacing w:line="360" w:lineRule="auto"/>
              <w:ind w:firstLine="440" w:firstLineChars="200"/>
              <w:rPr>
                <w:bCs/>
                <w:color w:val="auto"/>
                <w:spacing w:val="-10"/>
                <w:sz w:val="24"/>
              </w:rPr>
            </w:pPr>
            <w:r>
              <w:rPr>
                <w:bCs/>
                <w:color w:val="auto"/>
                <w:spacing w:val="-10"/>
                <w:sz w:val="24"/>
              </w:rPr>
              <w:t>本项目生产过程中产生的主要固体废物有一般工业固体废物和生活垃圾。</w:t>
            </w:r>
          </w:p>
          <w:p>
            <w:pPr>
              <w:adjustRightInd w:val="0"/>
              <w:snapToGrid w:val="0"/>
              <w:spacing w:line="360" w:lineRule="auto"/>
              <w:ind w:firstLine="442" w:firstLineChars="200"/>
              <w:rPr>
                <w:b/>
                <w:color w:val="auto"/>
                <w:spacing w:val="-10"/>
                <w:sz w:val="24"/>
              </w:rPr>
            </w:pPr>
            <w:r>
              <w:rPr>
                <w:b/>
                <w:color w:val="auto"/>
                <w:spacing w:val="-10"/>
                <w:sz w:val="24"/>
              </w:rPr>
              <w:t>1.一般工业固体废物</w:t>
            </w:r>
          </w:p>
          <w:p>
            <w:pPr>
              <w:adjustRightInd w:val="0"/>
              <w:snapToGrid w:val="0"/>
              <w:spacing w:line="360" w:lineRule="auto"/>
              <w:ind w:firstLine="442" w:firstLineChars="200"/>
              <w:rPr>
                <w:b/>
                <w:color w:val="auto"/>
                <w:spacing w:val="-10"/>
                <w:sz w:val="24"/>
              </w:rPr>
            </w:pPr>
            <w:r>
              <w:rPr>
                <w:b/>
                <w:color w:val="auto"/>
                <w:spacing w:val="-10"/>
                <w:sz w:val="24"/>
              </w:rPr>
              <w:t>（1）收集粉尘</w:t>
            </w:r>
          </w:p>
          <w:p>
            <w:pPr>
              <w:adjustRightInd w:val="0"/>
              <w:snapToGrid w:val="0"/>
              <w:spacing w:line="360" w:lineRule="auto"/>
              <w:ind w:firstLine="440" w:firstLineChars="200"/>
              <w:rPr>
                <w:bCs/>
                <w:color w:val="auto"/>
                <w:spacing w:val="-10"/>
                <w:sz w:val="24"/>
              </w:rPr>
            </w:pPr>
            <w:r>
              <w:rPr>
                <w:bCs/>
                <w:color w:val="auto"/>
                <w:spacing w:val="-10"/>
                <w:sz w:val="24"/>
              </w:rPr>
              <w:t>根据废气源强核算可知，本项目袋式除尘器粉尘收集量为</w:t>
            </w:r>
            <w:r>
              <w:rPr>
                <w:rFonts w:hint="eastAsia"/>
                <w:bCs/>
                <w:color w:val="auto"/>
                <w:spacing w:val="-10"/>
                <w:sz w:val="24"/>
              </w:rPr>
              <w:t>2.8852</w:t>
            </w:r>
            <w:r>
              <w:rPr>
                <w:bCs/>
                <w:color w:val="auto"/>
                <w:spacing w:val="-10"/>
                <w:sz w:val="24"/>
              </w:rPr>
              <w:t>t/a，袋式除尘器除尘器收集的粉尘</w:t>
            </w:r>
            <w:r>
              <w:rPr>
                <w:bCs/>
                <w:color w:val="auto"/>
                <w:spacing w:val="-10"/>
                <w:sz w:val="24"/>
                <w:lang w:val="zh-CN"/>
              </w:rPr>
              <w:t>集中收集后综合外售，用于铺路材料</w:t>
            </w:r>
            <w:r>
              <w:rPr>
                <w:bCs/>
                <w:color w:val="auto"/>
                <w:spacing w:val="-10"/>
                <w:sz w:val="24"/>
              </w:rPr>
              <w:t>。</w:t>
            </w:r>
          </w:p>
          <w:p>
            <w:pPr>
              <w:adjustRightInd w:val="0"/>
              <w:snapToGrid w:val="0"/>
              <w:spacing w:line="360" w:lineRule="auto"/>
              <w:ind w:firstLine="440" w:firstLineChars="200"/>
              <w:rPr>
                <w:bCs/>
                <w:color w:val="auto"/>
                <w:spacing w:val="-10"/>
                <w:sz w:val="24"/>
              </w:rPr>
            </w:pPr>
            <w:r>
              <w:rPr>
                <w:bCs/>
                <w:color w:val="auto"/>
                <w:spacing w:val="-10"/>
                <w:sz w:val="24"/>
              </w:rPr>
              <w:t>根据《一般固体废物分类与代码》（GB_T39198-2020），废包装袋属于“Ⅵ 非特定行业生产过程中产生的一般固体废物”中的“66 工业粉尘”类一般固体废物，代码为30</w:t>
            </w:r>
            <w:r>
              <w:rPr>
                <w:rFonts w:hint="eastAsia"/>
                <w:bCs/>
                <w:color w:val="auto"/>
                <w:spacing w:val="-10"/>
                <w:sz w:val="24"/>
              </w:rPr>
              <w:t>9</w:t>
            </w:r>
            <w:r>
              <w:rPr>
                <w:bCs/>
                <w:color w:val="auto"/>
                <w:spacing w:val="-10"/>
                <w:sz w:val="24"/>
              </w:rPr>
              <w:t>-00</w:t>
            </w:r>
            <w:r>
              <w:rPr>
                <w:rFonts w:hint="eastAsia"/>
                <w:bCs/>
                <w:color w:val="auto"/>
                <w:spacing w:val="-10"/>
                <w:sz w:val="24"/>
              </w:rPr>
              <w:t>9</w:t>
            </w:r>
            <w:r>
              <w:rPr>
                <w:bCs/>
                <w:color w:val="auto"/>
                <w:spacing w:val="-10"/>
                <w:sz w:val="24"/>
              </w:rPr>
              <w:t>-66。</w:t>
            </w:r>
          </w:p>
          <w:p>
            <w:pPr>
              <w:adjustRightInd w:val="0"/>
              <w:snapToGrid w:val="0"/>
              <w:spacing w:line="360" w:lineRule="auto"/>
              <w:ind w:firstLine="442" w:firstLineChars="200"/>
              <w:rPr>
                <w:b/>
                <w:color w:val="auto"/>
                <w:spacing w:val="-10"/>
                <w:sz w:val="24"/>
                <w:lang w:val="zh-CN"/>
              </w:rPr>
            </w:pPr>
            <w:r>
              <w:rPr>
                <w:b/>
                <w:color w:val="auto"/>
                <w:spacing w:val="-10"/>
                <w:sz w:val="24"/>
              </w:rPr>
              <w:t>（2）</w:t>
            </w:r>
            <w:r>
              <w:rPr>
                <w:b/>
                <w:color w:val="auto"/>
                <w:spacing w:val="-10"/>
                <w:sz w:val="24"/>
                <w:lang w:val="zh-CN"/>
              </w:rPr>
              <w:t>沉砂</w:t>
            </w:r>
          </w:p>
          <w:p>
            <w:pPr>
              <w:adjustRightInd w:val="0"/>
              <w:snapToGrid w:val="0"/>
              <w:spacing w:line="360" w:lineRule="auto"/>
              <w:ind w:firstLine="440" w:firstLineChars="200"/>
              <w:rPr>
                <w:bCs/>
                <w:color w:val="auto"/>
                <w:spacing w:val="-10"/>
                <w:sz w:val="24"/>
              </w:rPr>
            </w:pPr>
            <w:r>
              <w:rPr>
                <w:bCs/>
                <w:color w:val="auto"/>
                <w:spacing w:val="-10"/>
                <w:sz w:val="24"/>
              </w:rPr>
              <w:t>本项目初期雨水设置沉淀池处理，沉淀池处理后会产生一定量的沉砂。根据前文废水核算情况可知，本项目初期雨水产生量合计为</w:t>
            </w:r>
            <w:r>
              <w:rPr>
                <w:rFonts w:hint="eastAsia"/>
                <w:bCs/>
                <w:color w:val="auto"/>
                <w:spacing w:val="-10"/>
                <w:sz w:val="24"/>
              </w:rPr>
              <w:t>6912</w:t>
            </w:r>
            <w:r>
              <w:rPr>
                <w:bCs/>
                <w:color w:val="auto"/>
                <w:spacing w:val="-10"/>
                <w:sz w:val="24"/>
              </w:rPr>
              <w:t>m</w:t>
            </w:r>
            <w:r>
              <w:rPr>
                <w:bCs/>
                <w:color w:val="auto"/>
                <w:spacing w:val="-10"/>
                <w:sz w:val="24"/>
                <w:vertAlign w:val="superscript"/>
              </w:rPr>
              <w:t>3</w:t>
            </w:r>
            <w:r>
              <w:rPr>
                <w:bCs/>
                <w:color w:val="auto"/>
                <w:spacing w:val="-10"/>
                <w:sz w:val="24"/>
              </w:rPr>
              <w:t>/a，处理前的废水SS质量浓度约为3000mg/L~5000mg/L（本次评价按平均值4000mg/L计），处理后的废水SS质量浓度为55~160mg/L（本次评价按平均值107.5mg/L计），则SS去除量为</w:t>
            </w:r>
            <w:r>
              <w:rPr>
                <w:rFonts w:hint="eastAsia"/>
                <w:bCs/>
                <w:color w:val="auto"/>
                <w:spacing w:val="-10"/>
                <w:sz w:val="24"/>
              </w:rPr>
              <w:t>26.905</w:t>
            </w:r>
            <w:r>
              <w:rPr>
                <w:bCs/>
                <w:color w:val="auto"/>
                <w:spacing w:val="-10"/>
                <w:sz w:val="24"/>
              </w:rPr>
              <w:t>t/a；根据同类搅拌站生产废水处理后的沉砂质量情况，本项目沉砂含水率按80%计，则沉砂产生量为</w:t>
            </w:r>
            <w:r>
              <w:rPr>
                <w:rFonts w:hint="eastAsia"/>
                <w:bCs/>
                <w:color w:val="auto"/>
                <w:spacing w:val="-10"/>
                <w:sz w:val="24"/>
              </w:rPr>
              <w:t>134.5248</w:t>
            </w:r>
            <w:r>
              <w:rPr>
                <w:bCs/>
                <w:color w:val="auto"/>
                <w:spacing w:val="-10"/>
                <w:sz w:val="24"/>
              </w:rPr>
              <w:t>t/a，</w:t>
            </w:r>
            <w:r>
              <w:rPr>
                <w:bCs/>
                <w:color w:val="auto"/>
                <w:spacing w:val="-10"/>
                <w:sz w:val="24"/>
                <w:lang w:val="zh-CN"/>
              </w:rPr>
              <w:t>沉砂经收集后综合外售，用于铺路材料。</w:t>
            </w:r>
          </w:p>
          <w:p>
            <w:pPr>
              <w:adjustRightInd w:val="0"/>
              <w:snapToGrid w:val="0"/>
              <w:spacing w:line="360" w:lineRule="auto"/>
              <w:ind w:firstLine="440" w:firstLineChars="200"/>
              <w:rPr>
                <w:bCs/>
                <w:color w:val="auto"/>
                <w:spacing w:val="-10"/>
                <w:sz w:val="24"/>
              </w:rPr>
            </w:pPr>
            <w:r>
              <w:rPr>
                <w:bCs/>
                <w:color w:val="auto"/>
                <w:spacing w:val="-10"/>
                <w:sz w:val="24"/>
              </w:rPr>
              <w:t>根据《一般固体废物分类与代码》（GB_T39198-2020），沉砂属于“Ⅵ 非特定行业生产过程中产生的一般固体废物”中的“61 无机废水污泥”类一般固体废物，代码为30</w:t>
            </w:r>
            <w:r>
              <w:rPr>
                <w:rFonts w:hint="eastAsia"/>
                <w:bCs/>
                <w:color w:val="auto"/>
                <w:spacing w:val="-10"/>
                <w:sz w:val="24"/>
              </w:rPr>
              <w:t>9</w:t>
            </w:r>
            <w:r>
              <w:rPr>
                <w:bCs/>
                <w:color w:val="auto"/>
                <w:spacing w:val="-10"/>
                <w:sz w:val="24"/>
              </w:rPr>
              <w:t>-00</w:t>
            </w:r>
            <w:r>
              <w:rPr>
                <w:rFonts w:hint="eastAsia"/>
                <w:bCs/>
                <w:color w:val="auto"/>
                <w:spacing w:val="-10"/>
                <w:sz w:val="24"/>
              </w:rPr>
              <w:t>9</w:t>
            </w:r>
            <w:r>
              <w:rPr>
                <w:bCs/>
                <w:color w:val="auto"/>
                <w:spacing w:val="-10"/>
                <w:sz w:val="24"/>
              </w:rPr>
              <w:t>-61。</w:t>
            </w:r>
          </w:p>
          <w:p>
            <w:pPr>
              <w:adjustRightInd w:val="0"/>
              <w:snapToGrid w:val="0"/>
              <w:spacing w:line="360" w:lineRule="auto"/>
              <w:ind w:firstLine="442" w:firstLineChars="200"/>
              <w:rPr>
                <w:b/>
                <w:color w:val="auto"/>
                <w:spacing w:val="-10"/>
                <w:sz w:val="24"/>
              </w:rPr>
            </w:pPr>
            <w:r>
              <w:rPr>
                <w:rFonts w:hint="eastAsia"/>
                <w:b/>
                <w:color w:val="auto"/>
                <w:spacing w:val="-10"/>
                <w:sz w:val="24"/>
              </w:rPr>
              <w:t>（3）</w:t>
            </w:r>
            <w:r>
              <w:rPr>
                <w:b/>
                <w:color w:val="auto"/>
                <w:spacing w:val="-10"/>
                <w:sz w:val="24"/>
              </w:rPr>
              <w:t>废石料</w:t>
            </w:r>
          </w:p>
          <w:p>
            <w:pPr>
              <w:adjustRightInd w:val="0"/>
              <w:snapToGrid w:val="0"/>
              <w:spacing w:line="360" w:lineRule="auto"/>
              <w:ind w:firstLine="440" w:firstLineChars="200"/>
              <w:rPr>
                <w:bCs/>
                <w:color w:val="auto"/>
                <w:spacing w:val="-10"/>
                <w:sz w:val="24"/>
              </w:rPr>
            </w:pPr>
            <w:r>
              <w:rPr>
                <w:bCs/>
                <w:color w:val="auto"/>
                <w:spacing w:val="-10"/>
                <w:sz w:val="24"/>
              </w:rPr>
              <w:t>碎石通过提升机进入振动筛，符合产品要求的骨料进入搅拌缸，不合格的废石料排出，根据建设单位提供的经验数据，废石料产生量约为筛分碎石的十万分之一，项目筛分碎石量(干基)共</w:t>
            </w:r>
            <w:r>
              <w:rPr>
                <w:rFonts w:hint="eastAsia"/>
                <w:bCs/>
                <w:color w:val="auto"/>
                <w:spacing w:val="-10"/>
                <w:sz w:val="24"/>
              </w:rPr>
              <w:t>71</w:t>
            </w:r>
            <w:r>
              <w:rPr>
                <w:bCs/>
                <w:color w:val="auto"/>
                <w:spacing w:val="-10"/>
                <w:sz w:val="24"/>
              </w:rPr>
              <w:t>000t/a，则废石料产生量约为</w:t>
            </w:r>
            <w:r>
              <w:rPr>
                <w:rFonts w:hint="eastAsia"/>
                <w:bCs/>
                <w:color w:val="auto"/>
                <w:spacing w:val="-10"/>
                <w:sz w:val="24"/>
              </w:rPr>
              <w:t>0.71</w:t>
            </w:r>
            <w:r>
              <w:rPr>
                <w:bCs/>
                <w:color w:val="auto"/>
                <w:spacing w:val="-10"/>
                <w:sz w:val="24"/>
              </w:rPr>
              <w:t>t/a，集中收集</w:t>
            </w:r>
            <w:r>
              <w:rPr>
                <w:rFonts w:hint="eastAsia"/>
                <w:bCs/>
                <w:color w:val="auto"/>
                <w:spacing w:val="-10"/>
                <w:sz w:val="24"/>
              </w:rPr>
              <w:t>后</w:t>
            </w:r>
            <w:r>
              <w:rPr>
                <w:bCs/>
                <w:color w:val="auto"/>
                <w:spacing w:val="-10"/>
                <w:sz w:val="24"/>
              </w:rPr>
              <w:t>综合外售</w:t>
            </w:r>
            <w:r>
              <w:rPr>
                <w:rFonts w:hint="eastAsia"/>
                <w:bCs/>
                <w:color w:val="auto"/>
                <w:spacing w:val="-10"/>
                <w:sz w:val="24"/>
              </w:rPr>
              <w:t>，</w:t>
            </w:r>
            <w:r>
              <w:rPr>
                <w:bCs/>
                <w:color w:val="auto"/>
                <w:spacing w:val="-10"/>
                <w:sz w:val="24"/>
              </w:rPr>
              <w:t>用于铺路材料。</w:t>
            </w:r>
          </w:p>
          <w:p>
            <w:pPr>
              <w:adjustRightInd w:val="0"/>
              <w:snapToGrid w:val="0"/>
              <w:spacing w:line="360" w:lineRule="auto"/>
              <w:ind w:firstLine="440" w:firstLineChars="200"/>
              <w:rPr>
                <w:bCs/>
                <w:color w:val="auto"/>
                <w:spacing w:val="-10"/>
                <w:sz w:val="24"/>
              </w:rPr>
            </w:pPr>
            <w:r>
              <w:rPr>
                <w:bCs/>
                <w:color w:val="auto"/>
                <w:spacing w:val="-10"/>
                <w:sz w:val="24"/>
              </w:rPr>
              <w:t>根据《一般固体废物分类与代码》（GB_T39198-2020），废石料属于“Ⅵ 非特定行业生产过程中产生的一般固体废物”中的“61 无机废水污泥”类一般固体废物，代码为309-009-61。</w:t>
            </w:r>
          </w:p>
          <w:p>
            <w:pPr>
              <w:adjustRightInd w:val="0"/>
              <w:snapToGrid w:val="0"/>
              <w:spacing w:line="360" w:lineRule="auto"/>
              <w:ind w:firstLine="420" w:firstLineChars="200"/>
              <w:rPr>
                <w:color w:val="auto"/>
              </w:rPr>
            </w:pPr>
          </w:p>
          <w:p>
            <w:pPr>
              <w:adjustRightInd w:val="0"/>
              <w:snapToGrid w:val="0"/>
              <w:spacing w:line="360" w:lineRule="auto"/>
              <w:ind w:firstLine="442" w:firstLineChars="200"/>
              <w:rPr>
                <w:b/>
                <w:color w:val="auto"/>
                <w:spacing w:val="-10"/>
                <w:sz w:val="24"/>
              </w:rPr>
            </w:pPr>
            <w:r>
              <w:rPr>
                <w:b/>
                <w:color w:val="auto"/>
                <w:spacing w:val="-10"/>
                <w:sz w:val="24"/>
              </w:rPr>
              <w:t>（4）废布袋</w:t>
            </w:r>
          </w:p>
          <w:p>
            <w:pPr>
              <w:adjustRightInd w:val="0"/>
              <w:snapToGrid w:val="0"/>
              <w:spacing w:line="360" w:lineRule="auto"/>
              <w:ind w:firstLine="440" w:firstLineChars="200"/>
              <w:rPr>
                <w:bCs/>
                <w:color w:val="auto"/>
                <w:spacing w:val="-10"/>
                <w:sz w:val="24"/>
              </w:rPr>
            </w:pPr>
            <w:r>
              <w:rPr>
                <w:bCs/>
                <w:color w:val="auto"/>
                <w:spacing w:val="-10"/>
                <w:sz w:val="24"/>
              </w:rPr>
              <w:t>袋式除尘器需要定期更换布袋，更换频率为1次/年，产生量约为0.</w:t>
            </w:r>
            <w:r>
              <w:rPr>
                <w:rFonts w:hint="eastAsia"/>
                <w:bCs/>
                <w:color w:val="auto"/>
                <w:spacing w:val="-10"/>
                <w:sz w:val="24"/>
              </w:rPr>
              <w:t>3</w:t>
            </w:r>
            <w:r>
              <w:rPr>
                <w:bCs/>
                <w:color w:val="auto"/>
                <w:spacing w:val="-10"/>
                <w:sz w:val="24"/>
              </w:rPr>
              <w:t>t/a，由原厂家回收，根据《一般固体废物分类与代码》（GB39198-2020），一般固废代码为：309-999-99。</w:t>
            </w:r>
          </w:p>
          <w:p>
            <w:pPr>
              <w:adjustRightInd w:val="0"/>
              <w:snapToGrid w:val="0"/>
              <w:spacing w:line="360" w:lineRule="auto"/>
              <w:ind w:firstLine="442" w:firstLineChars="200"/>
              <w:rPr>
                <w:rFonts w:hint="eastAsia"/>
                <w:b/>
                <w:color w:val="auto"/>
                <w:spacing w:val="-10"/>
                <w:sz w:val="24"/>
              </w:rPr>
            </w:pPr>
            <w:r>
              <w:rPr>
                <w:b/>
                <w:color w:val="auto"/>
                <w:spacing w:val="-10"/>
                <w:sz w:val="24"/>
              </w:rPr>
              <w:t>2.</w:t>
            </w:r>
            <w:r>
              <w:rPr>
                <w:rFonts w:hint="eastAsia"/>
                <w:b/>
                <w:color w:val="auto"/>
                <w:spacing w:val="-10"/>
                <w:sz w:val="24"/>
              </w:rPr>
              <w:t>危险废物</w:t>
            </w:r>
          </w:p>
          <w:p>
            <w:pPr>
              <w:adjustRightInd w:val="0"/>
              <w:snapToGrid w:val="0"/>
              <w:spacing w:line="360" w:lineRule="auto"/>
              <w:ind w:firstLine="440" w:firstLineChars="200"/>
              <w:rPr>
                <w:bCs/>
                <w:color w:val="auto"/>
                <w:spacing w:val="-10"/>
                <w:sz w:val="24"/>
              </w:rPr>
            </w:pPr>
            <w:r>
              <w:rPr>
                <w:bCs/>
                <w:color w:val="auto"/>
                <w:spacing w:val="-10"/>
                <w:sz w:val="24"/>
              </w:rPr>
              <w:t>（</w:t>
            </w:r>
            <w:r>
              <w:rPr>
                <w:rFonts w:hint="eastAsia"/>
                <w:bCs/>
                <w:color w:val="auto"/>
                <w:spacing w:val="-10"/>
                <w:sz w:val="24"/>
              </w:rPr>
              <w:t>1</w:t>
            </w:r>
            <w:r>
              <w:rPr>
                <w:bCs/>
                <w:color w:val="auto"/>
                <w:spacing w:val="-10"/>
                <w:sz w:val="24"/>
              </w:rPr>
              <w:t>）废机油</w:t>
            </w:r>
          </w:p>
          <w:p>
            <w:pPr>
              <w:adjustRightInd w:val="0"/>
              <w:snapToGrid w:val="0"/>
              <w:spacing w:line="360" w:lineRule="auto"/>
              <w:ind w:firstLine="440" w:firstLineChars="200"/>
              <w:rPr>
                <w:bCs/>
                <w:color w:val="auto"/>
                <w:spacing w:val="-10"/>
                <w:sz w:val="24"/>
              </w:rPr>
            </w:pPr>
            <w:r>
              <w:rPr>
                <w:rFonts w:hint="eastAsia"/>
                <w:bCs/>
                <w:color w:val="auto"/>
                <w:spacing w:val="-10"/>
                <w:sz w:val="24"/>
              </w:rPr>
              <w:t>本</w:t>
            </w:r>
            <w:r>
              <w:rPr>
                <w:bCs/>
                <w:color w:val="auto"/>
                <w:spacing w:val="-10"/>
                <w:sz w:val="24"/>
              </w:rPr>
              <w:t>项目生产设备维修会产生少量的废机油，根据建设单位提供的资料，废机油产生量约为0.05t/a，暂存于危废暂存间，委托有资质的单位处理。根据《国家危险废物名录》（2021年），属于危险废物，废物类别为HW08（900-249-08）。</w:t>
            </w:r>
          </w:p>
          <w:p>
            <w:pPr>
              <w:adjustRightInd w:val="0"/>
              <w:snapToGrid w:val="0"/>
              <w:spacing w:line="360" w:lineRule="auto"/>
              <w:ind w:firstLine="440" w:firstLineChars="200"/>
              <w:rPr>
                <w:bCs/>
                <w:color w:val="auto"/>
                <w:spacing w:val="-10"/>
                <w:sz w:val="24"/>
              </w:rPr>
            </w:pPr>
            <w:r>
              <w:rPr>
                <w:bCs/>
                <w:color w:val="auto"/>
                <w:spacing w:val="-10"/>
                <w:sz w:val="24"/>
              </w:rPr>
              <w:t>（</w:t>
            </w:r>
            <w:r>
              <w:rPr>
                <w:rFonts w:hint="eastAsia"/>
                <w:bCs/>
                <w:color w:val="auto"/>
                <w:spacing w:val="-10"/>
                <w:sz w:val="24"/>
              </w:rPr>
              <w:t>2</w:t>
            </w:r>
            <w:r>
              <w:rPr>
                <w:bCs/>
                <w:color w:val="auto"/>
                <w:spacing w:val="-10"/>
                <w:sz w:val="24"/>
              </w:rPr>
              <w:t>）废抹布</w:t>
            </w:r>
          </w:p>
          <w:p>
            <w:pPr>
              <w:adjustRightInd w:val="0"/>
              <w:snapToGrid w:val="0"/>
              <w:spacing w:line="360" w:lineRule="auto"/>
              <w:ind w:firstLine="440" w:firstLineChars="200"/>
              <w:rPr>
                <w:bCs/>
                <w:color w:val="auto"/>
                <w:spacing w:val="-10"/>
                <w:sz w:val="24"/>
              </w:rPr>
            </w:pPr>
            <w:r>
              <w:rPr>
                <w:bCs/>
                <w:color w:val="auto"/>
                <w:spacing w:val="-10"/>
                <w:sz w:val="24"/>
              </w:rPr>
              <w:t>本项目设备维修过程更换机油会产生少量的含油废抹布，根据建设单位提供资料，含油废抹布产生量为0.</w:t>
            </w:r>
            <w:r>
              <w:rPr>
                <w:rFonts w:hint="eastAsia"/>
                <w:bCs/>
                <w:color w:val="auto"/>
                <w:spacing w:val="-10"/>
                <w:sz w:val="24"/>
              </w:rPr>
              <w:t>15</w:t>
            </w:r>
            <w:r>
              <w:rPr>
                <w:bCs/>
                <w:color w:val="auto"/>
                <w:spacing w:val="-10"/>
                <w:sz w:val="24"/>
              </w:rPr>
              <w:t>t/a。根据《国家危险废物名录》（2021年版）中，含油废抹布属于危险废物豁免管理清单中未分类收集的全部环节豁免项，本项目产生的含油废抹布分类收集，属于危险废物HW49（900-041-49），统一收集后委托有资质单位处置。</w:t>
            </w:r>
          </w:p>
          <w:p>
            <w:pPr>
              <w:adjustRightInd w:val="0"/>
              <w:snapToGrid w:val="0"/>
              <w:spacing w:line="360" w:lineRule="auto"/>
              <w:ind w:firstLine="440" w:firstLineChars="200"/>
              <w:rPr>
                <w:bCs/>
                <w:color w:val="auto"/>
                <w:spacing w:val="-10"/>
                <w:sz w:val="24"/>
              </w:rPr>
            </w:pPr>
            <w:r>
              <w:rPr>
                <w:rFonts w:hint="eastAsia"/>
                <w:bCs/>
                <w:color w:val="auto"/>
                <w:spacing w:val="-10"/>
                <w:sz w:val="24"/>
              </w:rPr>
              <w:t>（3）</w:t>
            </w:r>
            <w:r>
              <w:rPr>
                <w:bCs/>
                <w:color w:val="auto"/>
                <w:spacing w:val="-10"/>
                <w:sz w:val="24"/>
              </w:rPr>
              <w:t>废活性炭</w:t>
            </w:r>
          </w:p>
          <w:p>
            <w:pPr>
              <w:adjustRightInd w:val="0"/>
              <w:snapToGrid w:val="0"/>
              <w:spacing w:line="360" w:lineRule="auto"/>
              <w:ind w:firstLine="440" w:firstLineChars="200"/>
              <w:rPr>
                <w:bCs/>
                <w:color w:val="auto"/>
                <w:spacing w:val="-10"/>
                <w:sz w:val="24"/>
              </w:rPr>
            </w:pPr>
            <w:r>
              <w:rPr>
                <w:rFonts w:hint="eastAsia"/>
                <w:bCs/>
                <w:color w:val="auto"/>
                <w:spacing w:val="-10"/>
                <w:sz w:val="24"/>
              </w:rPr>
              <w:t>本</w:t>
            </w:r>
            <w:r>
              <w:rPr>
                <w:bCs/>
                <w:color w:val="auto"/>
                <w:spacing w:val="-10"/>
                <w:sz w:val="24"/>
              </w:rPr>
              <w:t>项目有机废气采用活性炭吸附处理，会产生少量废活性炭</w:t>
            </w:r>
            <w:r>
              <w:rPr>
                <w:rFonts w:hint="eastAsia"/>
                <w:bCs/>
                <w:color w:val="auto"/>
                <w:spacing w:val="-10"/>
                <w:sz w:val="24"/>
              </w:rPr>
              <w:t>。</w:t>
            </w:r>
            <w:r>
              <w:rPr>
                <w:bCs/>
                <w:color w:val="auto"/>
                <w:spacing w:val="-10"/>
                <w:sz w:val="24"/>
              </w:rPr>
              <w:t>根据废气源强核算可知，活性炭吸附装置对有机废气吸附量为</w:t>
            </w:r>
            <w:r>
              <w:rPr>
                <w:rFonts w:hint="eastAsia"/>
                <w:bCs/>
                <w:color w:val="auto"/>
                <w:spacing w:val="-10"/>
                <w:sz w:val="24"/>
              </w:rPr>
              <w:t>0.09</w:t>
            </w:r>
            <w:r>
              <w:rPr>
                <w:bCs/>
                <w:color w:val="auto"/>
                <w:spacing w:val="-10"/>
                <w:sz w:val="24"/>
              </w:rPr>
              <w:t>t/a，根据《江苏省生态环境厅关于将排污单位活性炭使用更换纳入排污许可管理的通知》（苏环办〔2021〕218 号），活性炭的动态吸附量一般为10%，即本项目活性炭吸附装置所需的理论活性炭量为</w:t>
            </w:r>
            <w:r>
              <w:rPr>
                <w:rFonts w:hint="eastAsia"/>
                <w:bCs/>
                <w:color w:val="auto"/>
                <w:spacing w:val="-10"/>
                <w:sz w:val="24"/>
              </w:rPr>
              <w:t>0.9</w:t>
            </w:r>
            <w:r>
              <w:rPr>
                <w:bCs/>
                <w:color w:val="auto"/>
                <w:spacing w:val="-10"/>
                <w:sz w:val="24"/>
              </w:rPr>
              <w:t>t/a，则本项目废活性炭（含有机废气）年产生量约为</w:t>
            </w:r>
            <w:r>
              <w:rPr>
                <w:rFonts w:hint="eastAsia"/>
                <w:bCs/>
                <w:color w:val="auto"/>
                <w:spacing w:val="-10"/>
                <w:sz w:val="24"/>
              </w:rPr>
              <w:t>0.99</w:t>
            </w:r>
            <w:r>
              <w:rPr>
                <w:bCs/>
                <w:color w:val="auto"/>
                <w:spacing w:val="-10"/>
                <w:sz w:val="24"/>
              </w:rPr>
              <w:t>t。</w:t>
            </w:r>
          </w:p>
          <w:p>
            <w:pPr>
              <w:adjustRightInd w:val="0"/>
              <w:snapToGrid w:val="0"/>
              <w:spacing w:line="360" w:lineRule="auto"/>
              <w:ind w:firstLine="440" w:firstLineChars="200"/>
              <w:rPr>
                <w:bCs/>
                <w:color w:val="auto"/>
                <w:spacing w:val="-10"/>
                <w:sz w:val="24"/>
              </w:rPr>
            </w:pPr>
            <w:r>
              <w:rPr>
                <w:bCs/>
                <w:color w:val="auto"/>
                <w:spacing w:val="-10"/>
                <w:sz w:val="24"/>
              </w:rPr>
              <w:t>根据《国家危险废物名录》（2021年版），属危险废物（HW49、900-039-49），定期委托有资质单位综合利用或妥善处置。</w:t>
            </w:r>
          </w:p>
          <w:p>
            <w:pPr>
              <w:adjustRightInd w:val="0"/>
              <w:snapToGrid w:val="0"/>
              <w:spacing w:line="360" w:lineRule="auto"/>
              <w:ind w:firstLine="442" w:firstLineChars="200"/>
              <w:rPr>
                <w:b/>
                <w:color w:val="auto"/>
                <w:spacing w:val="-10"/>
                <w:sz w:val="24"/>
              </w:rPr>
            </w:pPr>
            <w:r>
              <w:rPr>
                <w:rFonts w:hint="eastAsia"/>
                <w:b/>
                <w:color w:val="auto"/>
                <w:spacing w:val="-10"/>
                <w:sz w:val="24"/>
              </w:rPr>
              <w:t>3.</w:t>
            </w:r>
            <w:r>
              <w:rPr>
                <w:b/>
                <w:color w:val="auto"/>
                <w:spacing w:val="-10"/>
                <w:sz w:val="24"/>
              </w:rPr>
              <w:t>生活垃圾</w:t>
            </w:r>
          </w:p>
          <w:p>
            <w:pPr>
              <w:adjustRightInd w:val="0"/>
              <w:snapToGrid w:val="0"/>
              <w:spacing w:line="360" w:lineRule="auto"/>
              <w:ind w:firstLine="440" w:firstLineChars="200"/>
              <w:rPr>
                <w:bCs/>
                <w:color w:val="auto"/>
                <w:spacing w:val="-10"/>
                <w:sz w:val="24"/>
                <w:lang w:val="zh-CN"/>
              </w:rPr>
            </w:pPr>
            <w:r>
              <w:rPr>
                <w:bCs/>
                <w:color w:val="auto"/>
                <w:spacing w:val="-10"/>
                <w:sz w:val="24"/>
              </w:rPr>
              <w:t>本项目劳动定员为</w:t>
            </w:r>
            <w:r>
              <w:rPr>
                <w:rFonts w:hint="eastAsia"/>
                <w:bCs/>
                <w:color w:val="auto"/>
                <w:spacing w:val="-10"/>
                <w:sz w:val="24"/>
              </w:rPr>
              <w:t>4</w:t>
            </w:r>
            <w:r>
              <w:rPr>
                <w:bCs/>
                <w:color w:val="auto"/>
                <w:spacing w:val="-10"/>
                <w:sz w:val="24"/>
              </w:rPr>
              <w:t>人，根据《环境影响评价工程师职业资格登记培训教材--社会区域类环境影响评价（2007版）》及城市生活垃圾产生系数，即员工生活垃圾产生量按</w:t>
            </w:r>
            <w:r>
              <w:rPr>
                <w:rFonts w:hint="eastAsia"/>
                <w:bCs/>
                <w:color w:val="auto"/>
                <w:spacing w:val="-10"/>
                <w:sz w:val="24"/>
              </w:rPr>
              <w:t>0.5</w:t>
            </w:r>
            <w:r>
              <w:rPr>
                <w:bCs/>
                <w:color w:val="auto"/>
                <w:spacing w:val="-10"/>
                <w:sz w:val="24"/>
              </w:rPr>
              <w:t>kg/人·d计，则本项目生活垃圾的年产生量为</w:t>
            </w:r>
            <w:r>
              <w:rPr>
                <w:rFonts w:hint="eastAsia"/>
                <w:bCs/>
                <w:color w:val="auto"/>
                <w:spacing w:val="-10"/>
                <w:sz w:val="24"/>
              </w:rPr>
              <w:t>0.3</w:t>
            </w:r>
            <w:r>
              <w:rPr>
                <w:bCs/>
                <w:color w:val="auto"/>
                <w:spacing w:val="-10"/>
                <w:sz w:val="24"/>
              </w:rPr>
              <w:t>t/a，生活垃圾收集后由环卫部门清运处理。</w:t>
            </w:r>
          </w:p>
          <w:p>
            <w:pPr>
              <w:adjustRightInd w:val="0"/>
              <w:snapToGrid w:val="0"/>
              <w:spacing w:line="360" w:lineRule="auto"/>
              <w:ind w:firstLine="442" w:firstLineChars="200"/>
              <w:rPr>
                <w:b/>
                <w:color w:val="auto"/>
                <w:spacing w:val="-10"/>
                <w:sz w:val="24"/>
              </w:rPr>
            </w:pPr>
            <w:r>
              <w:rPr>
                <w:b/>
                <w:color w:val="auto"/>
                <w:spacing w:val="-10"/>
                <w:sz w:val="24"/>
              </w:rPr>
              <w:t>3.环境管理要求</w:t>
            </w:r>
          </w:p>
          <w:p>
            <w:pPr>
              <w:adjustRightInd w:val="0"/>
              <w:snapToGrid w:val="0"/>
              <w:spacing w:line="360" w:lineRule="auto"/>
              <w:ind w:firstLine="440" w:firstLineChars="200"/>
              <w:rPr>
                <w:bCs/>
                <w:color w:val="auto"/>
                <w:spacing w:val="-10"/>
                <w:sz w:val="24"/>
                <w:lang w:val="zh-CN"/>
              </w:rPr>
            </w:pPr>
            <w:r>
              <w:rPr>
                <w:bCs/>
                <w:color w:val="auto"/>
                <w:spacing w:val="-10"/>
                <w:sz w:val="24"/>
                <w:lang w:val="zh-CN"/>
              </w:rPr>
              <w:t>①一般工业固体废物</w:t>
            </w:r>
          </w:p>
          <w:p>
            <w:pPr>
              <w:adjustRightInd w:val="0"/>
              <w:snapToGrid w:val="0"/>
              <w:spacing w:line="360" w:lineRule="auto"/>
              <w:ind w:firstLine="440" w:firstLineChars="200"/>
              <w:rPr>
                <w:bCs/>
                <w:color w:val="auto"/>
                <w:spacing w:val="-10"/>
                <w:sz w:val="24"/>
                <w:lang w:val="zh-CN"/>
              </w:rPr>
            </w:pPr>
            <w:r>
              <w:rPr>
                <w:bCs/>
                <w:color w:val="auto"/>
                <w:spacing w:val="-10"/>
                <w:sz w:val="24"/>
                <w:lang w:val="zh-CN"/>
              </w:rPr>
              <w:t>根据《一般工业固体废物贮存和填埋污染控制标准》（GB18599-2020）中的适用范围可知，</w:t>
            </w:r>
            <w:r>
              <w:rPr>
                <w:bCs/>
                <w:color w:val="auto"/>
                <w:spacing w:val="-10"/>
                <w:sz w:val="24"/>
              </w:rPr>
              <w:t>本</w:t>
            </w:r>
            <w:r>
              <w:rPr>
                <w:bCs/>
                <w:color w:val="auto"/>
                <w:spacing w:val="-10"/>
                <w:sz w:val="24"/>
                <w:lang w:val="zh-CN"/>
              </w:rPr>
              <w:t>项目所建</w:t>
            </w:r>
            <w:r>
              <w:rPr>
                <w:bCs/>
                <w:color w:val="auto"/>
                <w:spacing w:val="-10"/>
                <w:sz w:val="24"/>
              </w:rPr>
              <w:t>一般固废仓</w:t>
            </w:r>
            <w:r>
              <w:rPr>
                <w:bCs/>
                <w:color w:val="auto"/>
                <w:spacing w:val="-10"/>
                <w:sz w:val="24"/>
                <w:lang w:val="zh-CN"/>
              </w:rPr>
              <w:t>属于“采用库房、包装工具（桶、包装袋等）贮存一般固体废物过程的污染控制，不适用本标准，其贮存过程应满足相应防渗漏、防雨淋、防扬尘等环境保护措施。”因此，</w:t>
            </w:r>
            <w:r>
              <w:rPr>
                <w:bCs/>
                <w:color w:val="auto"/>
                <w:spacing w:val="-10"/>
                <w:sz w:val="24"/>
              </w:rPr>
              <w:t>本</w:t>
            </w:r>
            <w:r>
              <w:rPr>
                <w:bCs/>
                <w:color w:val="auto"/>
                <w:spacing w:val="-10"/>
                <w:sz w:val="24"/>
                <w:lang w:val="zh-CN"/>
              </w:rPr>
              <w:t>项目</w:t>
            </w:r>
            <w:r>
              <w:rPr>
                <w:bCs/>
                <w:color w:val="auto"/>
                <w:spacing w:val="-10"/>
                <w:sz w:val="24"/>
              </w:rPr>
              <w:t>一般固废暂存</w:t>
            </w:r>
            <w:r>
              <w:rPr>
                <w:bCs/>
                <w:color w:val="auto"/>
                <w:spacing w:val="-10"/>
                <w:sz w:val="24"/>
                <w:lang w:val="zh-CN"/>
              </w:rPr>
              <w:t>必须采取防扬散、防流失、防渗漏或者其他防止污染环境的措施，必须符合国家环境保护标准，并对未处理的固体废物做出妥善处理，安全存放。对暂时不利用或者不能回收利用的一般工业固体废物，必须配套建设防雨淋、防渗漏、易识别等符合环境保护标准和管理要求的贮存设施或场所，以及足够的流转空间，按国家环境保护的技术和管理要求，有专人看管，建立便于核查的进、出物料的台账记录和固休废物明细表。</w:t>
            </w:r>
          </w:p>
          <w:p>
            <w:pPr>
              <w:adjustRightInd w:val="0"/>
              <w:snapToGrid w:val="0"/>
              <w:spacing w:line="360" w:lineRule="auto"/>
              <w:ind w:firstLine="440" w:firstLineChars="200"/>
              <w:rPr>
                <w:bCs/>
                <w:color w:val="auto"/>
                <w:spacing w:val="-10"/>
                <w:sz w:val="24"/>
                <w:lang w:val="zh-CN"/>
              </w:rPr>
            </w:pPr>
            <w:r>
              <w:rPr>
                <w:bCs/>
                <w:color w:val="auto"/>
                <w:spacing w:val="-10"/>
                <w:sz w:val="24"/>
              </w:rPr>
              <w:t>根据《中华人民共和国固体废物污染环境防治法》的规定；国家实行工业固废申报登记制度。因此，</w:t>
            </w:r>
            <w:r>
              <w:rPr>
                <w:bCs/>
                <w:color w:val="auto"/>
                <w:spacing w:val="-10"/>
                <w:sz w:val="24"/>
                <w:lang w:val="zh-CN"/>
              </w:rPr>
              <w:t>企业需自觉履行固体废物申报登记制度，必须按照国务院的规定，向所在地县级以上人民政府</w:t>
            </w:r>
            <w:r>
              <w:rPr>
                <w:bCs/>
                <w:color w:val="auto"/>
                <w:spacing w:val="-10"/>
                <w:sz w:val="24"/>
              </w:rPr>
              <w:t>生态环境</w:t>
            </w:r>
            <w:r>
              <w:rPr>
                <w:bCs/>
                <w:color w:val="auto"/>
                <w:spacing w:val="-10"/>
                <w:sz w:val="24"/>
                <w:lang w:val="zh-CN"/>
              </w:rPr>
              <w:t>行政主管部门提供工业固体废物的种类、产生量、流向、贮存、处置等有关资料。</w:t>
            </w:r>
          </w:p>
          <w:p>
            <w:pPr>
              <w:adjustRightInd w:val="0"/>
              <w:snapToGrid w:val="0"/>
              <w:spacing w:line="360" w:lineRule="auto"/>
              <w:ind w:firstLine="440" w:firstLineChars="200"/>
              <w:rPr>
                <w:bCs/>
                <w:color w:val="auto"/>
                <w:spacing w:val="-10"/>
                <w:sz w:val="24"/>
                <w:lang w:val="zh-CN"/>
              </w:rPr>
            </w:pPr>
            <w:r>
              <w:rPr>
                <w:bCs/>
                <w:color w:val="auto"/>
                <w:spacing w:val="-10"/>
                <w:sz w:val="24"/>
              </w:rPr>
              <w:t>企业</w:t>
            </w:r>
            <w:r>
              <w:rPr>
                <w:bCs/>
                <w:color w:val="auto"/>
                <w:spacing w:val="-10"/>
                <w:sz w:val="24"/>
                <w:lang w:val="zh-CN"/>
              </w:rPr>
              <w:t>必须如实申报正常作业条件下工业固体废物的种类、产生量、流向、贮存、利用、处置状况等有关资料，以及执行有关法律、法规的真实情况，不得隐瞒不报或者虚报、谎报。应于网上申报登记上一年度的信息，通过省固体废物管理信息平台依法申报固体废物的种类、产生量、流向、交接、贮存、利用、处置情况；申报企业要签署承诺书，依法向县级</w:t>
            </w:r>
            <w:r>
              <w:rPr>
                <w:bCs/>
                <w:color w:val="auto"/>
                <w:spacing w:val="-10"/>
                <w:sz w:val="24"/>
              </w:rPr>
              <w:t>生态环境行政主管</w:t>
            </w:r>
            <w:r>
              <w:rPr>
                <w:bCs/>
                <w:color w:val="auto"/>
                <w:spacing w:val="-10"/>
                <w:sz w:val="24"/>
                <w:lang w:val="zh-CN"/>
              </w:rPr>
              <w:t>部门申报登记信息，确保申报数据的真实性、准确性和完整性。</w:t>
            </w:r>
          </w:p>
          <w:p>
            <w:pPr>
              <w:adjustRightInd w:val="0"/>
              <w:snapToGrid w:val="0"/>
              <w:spacing w:line="360" w:lineRule="auto"/>
              <w:ind w:firstLine="440" w:firstLineChars="200"/>
              <w:rPr>
                <w:bCs/>
                <w:color w:val="auto"/>
                <w:spacing w:val="-10"/>
                <w:sz w:val="24"/>
              </w:rPr>
            </w:pPr>
            <w:r>
              <w:rPr>
                <w:rFonts w:hint="eastAsia"/>
                <w:bCs/>
                <w:color w:val="auto"/>
                <w:spacing w:val="-10"/>
                <w:sz w:val="24"/>
              </w:rPr>
              <w:t>本</w:t>
            </w:r>
            <w:r>
              <w:rPr>
                <w:bCs/>
                <w:color w:val="auto"/>
                <w:spacing w:val="-10"/>
                <w:sz w:val="24"/>
              </w:rPr>
              <w:t>项目</w:t>
            </w:r>
            <w:r>
              <w:rPr>
                <w:rFonts w:hint="eastAsia"/>
                <w:bCs/>
                <w:color w:val="auto"/>
                <w:spacing w:val="-10"/>
                <w:sz w:val="24"/>
              </w:rPr>
              <w:t>所依托的一般固废间</w:t>
            </w:r>
            <w:r>
              <w:rPr>
                <w:bCs/>
                <w:color w:val="auto"/>
                <w:spacing w:val="-10"/>
                <w:sz w:val="24"/>
              </w:rPr>
              <w:t>基本情况见下表：</w:t>
            </w:r>
          </w:p>
          <w:p>
            <w:pPr>
              <w:adjustRightInd w:val="0"/>
              <w:snapToGrid w:val="0"/>
              <w:ind w:firstLine="442" w:firstLineChars="200"/>
              <w:jc w:val="center"/>
              <w:rPr>
                <w:b/>
                <w:color w:val="auto"/>
                <w:spacing w:val="-10"/>
                <w:sz w:val="24"/>
              </w:rPr>
            </w:pPr>
            <w:r>
              <w:rPr>
                <w:b/>
                <w:color w:val="auto"/>
                <w:spacing w:val="-10"/>
                <w:sz w:val="24"/>
              </w:rPr>
              <w:t>表4-</w:t>
            </w:r>
            <w:r>
              <w:rPr>
                <w:rFonts w:hint="eastAsia"/>
                <w:b/>
                <w:color w:val="auto"/>
                <w:spacing w:val="-10"/>
                <w:sz w:val="24"/>
              </w:rPr>
              <w:t>23</w:t>
            </w:r>
            <w:r>
              <w:rPr>
                <w:b/>
                <w:color w:val="auto"/>
                <w:spacing w:val="-10"/>
                <w:sz w:val="24"/>
              </w:rPr>
              <w:t xml:space="preserve"> 建设项目</w:t>
            </w:r>
            <w:r>
              <w:rPr>
                <w:rFonts w:hint="eastAsia"/>
                <w:b/>
                <w:color w:val="auto"/>
                <w:spacing w:val="-10"/>
                <w:sz w:val="24"/>
              </w:rPr>
              <w:t>一般固废</w:t>
            </w:r>
            <w:r>
              <w:rPr>
                <w:b/>
                <w:color w:val="auto"/>
                <w:spacing w:val="-10"/>
                <w:sz w:val="24"/>
              </w:rPr>
              <w:t>贮存场所（设施）基本情况表</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587"/>
              <w:gridCol w:w="841"/>
              <w:gridCol w:w="1313"/>
              <w:gridCol w:w="941"/>
              <w:gridCol w:w="904"/>
              <w:gridCol w:w="771"/>
              <w:gridCol w:w="82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pct"/>
                  <w:noWrap w:val="0"/>
                  <w:vAlign w:val="center"/>
                </w:tcPr>
                <w:p>
                  <w:pPr>
                    <w:topLinePunct/>
                    <w:snapToGrid w:val="0"/>
                    <w:jc w:val="center"/>
                    <w:rPr>
                      <w:b/>
                      <w:bCs/>
                      <w:color w:val="auto"/>
                      <w:kern w:val="0"/>
                      <w:szCs w:val="21"/>
                    </w:rPr>
                  </w:pPr>
                  <w:r>
                    <w:rPr>
                      <w:b/>
                      <w:bCs/>
                      <w:color w:val="auto"/>
                      <w:kern w:val="0"/>
                      <w:szCs w:val="21"/>
                    </w:rPr>
                    <w:t>贮存场所(设施)名称</w:t>
                  </w:r>
                </w:p>
              </w:tc>
              <w:tc>
                <w:tcPr>
                  <w:tcW w:w="857" w:type="pct"/>
                  <w:noWrap w:val="0"/>
                  <w:vAlign w:val="center"/>
                </w:tcPr>
                <w:p>
                  <w:pPr>
                    <w:topLinePunct/>
                    <w:snapToGrid w:val="0"/>
                    <w:jc w:val="center"/>
                    <w:rPr>
                      <w:b/>
                      <w:bCs/>
                      <w:color w:val="auto"/>
                      <w:kern w:val="0"/>
                      <w:szCs w:val="21"/>
                    </w:rPr>
                  </w:pPr>
                  <w:r>
                    <w:rPr>
                      <w:rFonts w:hint="eastAsia"/>
                      <w:b/>
                      <w:bCs/>
                      <w:color w:val="auto"/>
                      <w:kern w:val="0"/>
                      <w:szCs w:val="21"/>
                    </w:rPr>
                    <w:t>固废</w:t>
                  </w:r>
                  <w:r>
                    <w:rPr>
                      <w:b/>
                      <w:bCs/>
                      <w:color w:val="auto"/>
                      <w:kern w:val="0"/>
                      <w:szCs w:val="21"/>
                    </w:rPr>
                    <w:t>名称</w:t>
                  </w:r>
                </w:p>
              </w:tc>
              <w:tc>
                <w:tcPr>
                  <w:tcW w:w="455" w:type="pct"/>
                  <w:noWrap w:val="0"/>
                  <w:vAlign w:val="center"/>
                </w:tcPr>
                <w:p>
                  <w:pPr>
                    <w:topLinePunct/>
                    <w:snapToGrid w:val="0"/>
                    <w:jc w:val="center"/>
                    <w:rPr>
                      <w:b/>
                      <w:bCs/>
                      <w:color w:val="auto"/>
                      <w:kern w:val="0"/>
                      <w:szCs w:val="21"/>
                    </w:rPr>
                  </w:pPr>
                  <w:r>
                    <w:rPr>
                      <w:rFonts w:hint="eastAsia"/>
                      <w:b/>
                      <w:bCs/>
                      <w:color w:val="auto"/>
                      <w:kern w:val="0"/>
                      <w:szCs w:val="21"/>
                    </w:rPr>
                    <w:t>固废类别</w:t>
                  </w:r>
                </w:p>
              </w:tc>
              <w:tc>
                <w:tcPr>
                  <w:tcW w:w="709" w:type="pct"/>
                  <w:noWrap w:val="0"/>
                  <w:vAlign w:val="center"/>
                </w:tcPr>
                <w:p>
                  <w:pPr>
                    <w:topLinePunct/>
                    <w:snapToGrid w:val="0"/>
                    <w:jc w:val="center"/>
                    <w:rPr>
                      <w:b/>
                      <w:bCs/>
                      <w:color w:val="auto"/>
                      <w:kern w:val="0"/>
                      <w:szCs w:val="21"/>
                    </w:rPr>
                  </w:pPr>
                  <w:r>
                    <w:rPr>
                      <w:rFonts w:hint="eastAsia"/>
                      <w:b/>
                      <w:bCs/>
                      <w:color w:val="auto"/>
                      <w:kern w:val="0"/>
                      <w:szCs w:val="21"/>
                    </w:rPr>
                    <w:t>固废</w:t>
                  </w:r>
                  <w:r>
                    <w:rPr>
                      <w:b/>
                      <w:bCs/>
                      <w:color w:val="auto"/>
                      <w:kern w:val="0"/>
                      <w:szCs w:val="21"/>
                    </w:rPr>
                    <w:t>代码</w:t>
                  </w:r>
                </w:p>
              </w:tc>
              <w:tc>
                <w:tcPr>
                  <w:tcW w:w="509" w:type="pct"/>
                  <w:noWrap w:val="0"/>
                  <w:vAlign w:val="center"/>
                </w:tcPr>
                <w:p>
                  <w:pPr>
                    <w:topLinePunct/>
                    <w:snapToGrid w:val="0"/>
                    <w:jc w:val="center"/>
                    <w:rPr>
                      <w:b/>
                      <w:bCs/>
                      <w:color w:val="auto"/>
                      <w:kern w:val="0"/>
                      <w:szCs w:val="21"/>
                    </w:rPr>
                  </w:pPr>
                  <w:r>
                    <w:rPr>
                      <w:b/>
                      <w:bCs/>
                      <w:color w:val="auto"/>
                      <w:kern w:val="0"/>
                      <w:szCs w:val="21"/>
                    </w:rPr>
                    <w:t>位置</w:t>
                  </w:r>
                </w:p>
              </w:tc>
              <w:tc>
                <w:tcPr>
                  <w:tcW w:w="489" w:type="pct"/>
                  <w:noWrap w:val="0"/>
                  <w:vAlign w:val="center"/>
                </w:tcPr>
                <w:p>
                  <w:pPr>
                    <w:topLinePunct/>
                    <w:snapToGrid w:val="0"/>
                    <w:jc w:val="center"/>
                    <w:rPr>
                      <w:b/>
                      <w:bCs/>
                      <w:color w:val="auto"/>
                      <w:kern w:val="0"/>
                      <w:szCs w:val="21"/>
                    </w:rPr>
                  </w:pPr>
                  <w:r>
                    <w:rPr>
                      <w:b/>
                      <w:bCs/>
                      <w:color w:val="auto"/>
                      <w:kern w:val="0"/>
                      <w:szCs w:val="21"/>
                    </w:rPr>
                    <w:t>占地面积</w:t>
                  </w:r>
                  <w:r>
                    <w:rPr>
                      <w:rFonts w:hint="eastAsia"/>
                      <w:b/>
                      <w:bCs/>
                      <w:color w:val="auto"/>
                      <w:kern w:val="0"/>
                      <w:szCs w:val="21"/>
                    </w:rPr>
                    <w:t>(m</w:t>
                  </w:r>
                  <w:r>
                    <w:rPr>
                      <w:rFonts w:hint="eastAsia"/>
                      <w:b/>
                      <w:bCs/>
                      <w:color w:val="auto"/>
                      <w:kern w:val="0"/>
                      <w:szCs w:val="21"/>
                      <w:vertAlign w:val="superscript"/>
                    </w:rPr>
                    <w:t>2</w:t>
                  </w:r>
                  <w:r>
                    <w:rPr>
                      <w:rFonts w:hint="eastAsia"/>
                      <w:b/>
                      <w:bCs/>
                      <w:color w:val="auto"/>
                      <w:kern w:val="0"/>
                      <w:szCs w:val="21"/>
                    </w:rPr>
                    <w:t>)</w:t>
                  </w:r>
                </w:p>
              </w:tc>
              <w:tc>
                <w:tcPr>
                  <w:tcW w:w="417" w:type="pct"/>
                  <w:noWrap w:val="0"/>
                  <w:vAlign w:val="center"/>
                </w:tcPr>
                <w:p>
                  <w:pPr>
                    <w:topLinePunct/>
                    <w:snapToGrid w:val="0"/>
                    <w:jc w:val="center"/>
                    <w:rPr>
                      <w:b/>
                      <w:bCs/>
                      <w:color w:val="auto"/>
                      <w:kern w:val="0"/>
                      <w:szCs w:val="21"/>
                    </w:rPr>
                  </w:pPr>
                  <w:r>
                    <w:rPr>
                      <w:b/>
                      <w:bCs/>
                      <w:color w:val="auto"/>
                      <w:kern w:val="0"/>
                      <w:szCs w:val="21"/>
                    </w:rPr>
                    <w:t>贮存方式</w:t>
                  </w:r>
                </w:p>
              </w:tc>
              <w:tc>
                <w:tcPr>
                  <w:tcW w:w="448" w:type="pct"/>
                  <w:noWrap w:val="0"/>
                  <w:vAlign w:val="center"/>
                </w:tcPr>
                <w:p>
                  <w:pPr>
                    <w:topLinePunct/>
                    <w:snapToGrid w:val="0"/>
                    <w:jc w:val="center"/>
                    <w:rPr>
                      <w:b/>
                      <w:bCs/>
                      <w:color w:val="auto"/>
                      <w:kern w:val="0"/>
                      <w:szCs w:val="21"/>
                    </w:rPr>
                  </w:pPr>
                  <w:r>
                    <w:rPr>
                      <w:b/>
                      <w:bCs/>
                      <w:color w:val="auto"/>
                      <w:kern w:val="0"/>
                      <w:szCs w:val="21"/>
                    </w:rPr>
                    <w:t>贮存能力</w:t>
                  </w:r>
                </w:p>
                <w:p>
                  <w:pPr>
                    <w:topLinePunct/>
                    <w:snapToGrid w:val="0"/>
                    <w:jc w:val="center"/>
                    <w:rPr>
                      <w:b/>
                      <w:bCs/>
                      <w:color w:val="auto"/>
                      <w:kern w:val="0"/>
                      <w:szCs w:val="21"/>
                    </w:rPr>
                  </w:pPr>
                  <w:r>
                    <w:rPr>
                      <w:rFonts w:hint="eastAsia"/>
                      <w:b/>
                      <w:bCs/>
                      <w:color w:val="auto"/>
                      <w:kern w:val="0"/>
                      <w:szCs w:val="21"/>
                    </w:rPr>
                    <w:t>(t)</w:t>
                  </w:r>
                </w:p>
              </w:tc>
              <w:tc>
                <w:tcPr>
                  <w:tcW w:w="383" w:type="pct"/>
                  <w:noWrap w:val="0"/>
                  <w:vAlign w:val="center"/>
                </w:tcPr>
                <w:p>
                  <w:pPr>
                    <w:topLinePunct/>
                    <w:snapToGrid w:val="0"/>
                    <w:jc w:val="center"/>
                    <w:rPr>
                      <w:b/>
                      <w:bCs/>
                      <w:color w:val="auto"/>
                      <w:kern w:val="0"/>
                      <w:szCs w:val="21"/>
                    </w:rPr>
                  </w:pPr>
                  <w:r>
                    <w:rPr>
                      <w:b/>
                      <w:bCs/>
                      <w:color w:val="auto"/>
                      <w:kern w:val="0"/>
                      <w:szCs w:val="21"/>
                    </w:rPr>
                    <w:t>贮存周期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29" w:type="pct"/>
                  <w:vMerge w:val="restart"/>
                  <w:noWrap w:val="0"/>
                  <w:vAlign w:val="center"/>
                </w:tcPr>
                <w:p>
                  <w:pPr>
                    <w:topLinePunct/>
                    <w:snapToGrid w:val="0"/>
                    <w:jc w:val="center"/>
                    <w:rPr>
                      <w:color w:val="auto"/>
                      <w:kern w:val="0"/>
                      <w:szCs w:val="21"/>
                    </w:rPr>
                  </w:pPr>
                  <w:r>
                    <w:rPr>
                      <w:rFonts w:hint="eastAsia"/>
                      <w:color w:val="auto"/>
                      <w:kern w:val="0"/>
                      <w:szCs w:val="21"/>
                    </w:rPr>
                    <w:t>一般固废间</w:t>
                  </w:r>
                </w:p>
              </w:tc>
              <w:tc>
                <w:tcPr>
                  <w:tcW w:w="857" w:type="pct"/>
                  <w:noWrap w:val="0"/>
                  <w:vAlign w:val="center"/>
                </w:tcPr>
                <w:p>
                  <w:pPr>
                    <w:snapToGrid w:val="0"/>
                    <w:jc w:val="center"/>
                    <w:rPr>
                      <w:color w:val="auto"/>
                      <w:szCs w:val="21"/>
                    </w:rPr>
                  </w:pPr>
                  <w:r>
                    <w:rPr>
                      <w:rFonts w:hint="eastAsia"/>
                      <w:bCs/>
                      <w:color w:val="auto"/>
                      <w:szCs w:val="21"/>
                    </w:rPr>
                    <w:t>收集粉尘</w:t>
                  </w:r>
                </w:p>
              </w:tc>
              <w:tc>
                <w:tcPr>
                  <w:tcW w:w="455" w:type="pct"/>
                  <w:noWrap w:val="0"/>
                  <w:vAlign w:val="center"/>
                </w:tcPr>
                <w:p>
                  <w:pPr>
                    <w:topLinePunct/>
                    <w:snapToGrid w:val="0"/>
                    <w:jc w:val="center"/>
                    <w:rPr>
                      <w:color w:val="auto"/>
                      <w:szCs w:val="21"/>
                    </w:rPr>
                  </w:pPr>
                  <w:r>
                    <w:rPr>
                      <w:rFonts w:hint="eastAsia"/>
                      <w:color w:val="auto"/>
                      <w:szCs w:val="21"/>
                    </w:rPr>
                    <w:t>66</w:t>
                  </w:r>
                </w:p>
              </w:tc>
              <w:tc>
                <w:tcPr>
                  <w:tcW w:w="709" w:type="pct"/>
                  <w:noWrap w:val="0"/>
                  <w:vAlign w:val="center"/>
                </w:tcPr>
                <w:p>
                  <w:pPr>
                    <w:adjustRightInd w:val="0"/>
                    <w:snapToGrid w:val="0"/>
                    <w:jc w:val="center"/>
                    <w:rPr>
                      <w:color w:val="auto"/>
                      <w:szCs w:val="21"/>
                    </w:rPr>
                  </w:pPr>
                  <w:r>
                    <w:rPr>
                      <w:rFonts w:hint="eastAsia"/>
                      <w:bCs/>
                      <w:snapToGrid w:val="0"/>
                      <w:color w:val="auto"/>
                      <w:kern w:val="0"/>
                      <w:szCs w:val="21"/>
                    </w:rPr>
                    <w:t>309-009-66</w:t>
                  </w:r>
                </w:p>
              </w:tc>
              <w:tc>
                <w:tcPr>
                  <w:tcW w:w="509" w:type="pct"/>
                  <w:vMerge w:val="restart"/>
                  <w:noWrap w:val="0"/>
                  <w:vAlign w:val="center"/>
                </w:tcPr>
                <w:p>
                  <w:pPr>
                    <w:topLinePunct/>
                    <w:snapToGrid w:val="0"/>
                    <w:jc w:val="center"/>
                    <w:rPr>
                      <w:rFonts w:hint="eastAsia"/>
                      <w:color w:val="auto"/>
                      <w:kern w:val="0"/>
                      <w:szCs w:val="21"/>
                    </w:rPr>
                  </w:pPr>
                  <w:r>
                    <w:rPr>
                      <w:rFonts w:hint="eastAsia"/>
                      <w:color w:val="auto"/>
                      <w:kern w:val="0"/>
                      <w:szCs w:val="21"/>
                    </w:rPr>
                    <w:t>生产区</w:t>
                  </w:r>
                </w:p>
              </w:tc>
              <w:tc>
                <w:tcPr>
                  <w:tcW w:w="489" w:type="pct"/>
                  <w:vMerge w:val="restart"/>
                  <w:noWrap w:val="0"/>
                  <w:vAlign w:val="center"/>
                </w:tcPr>
                <w:p>
                  <w:pPr>
                    <w:topLinePunct/>
                    <w:snapToGrid w:val="0"/>
                    <w:jc w:val="center"/>
                    <w:rPr>
                      <w:rFonts w:hint="eastAsia"/>
                      <w:color w:val="auto"/>
                      <w:kern w:val="0"/>
                      <w:szCs w:val="21"/>
                    </w:rPr>
                  </w:pPr>
                  <w:r>
                    <w:rPr>
                      <w:rFonts w:hint="eastAsia"/>
                      <w:color w:val="auto"/>
                      <w:kern w:val="0"/>
                      <w:szCs w:val="21"/>
                    </w:rPr>
                    <w:t>4</w:t>
                  </w:r>
                </w:p>
              </w:tc>
              <w:tc>
                <w:tcPr>
                  <w:tcW w:w="417" w:type="pct"/>
                  <w:vMerge w:val="restart"/>
                  <w:noWrap w:val="0"/>
                  <w:vAlign w:val="center"/>
                </w:tcPr>
                <w:p>
                  <w:pPr>
                    <w:topLinePunct/>
                    <w:snapToGrid w:val="0"/>
                    <w:jc w:val="center"/>
                    <w:rPr>
                      <w:color w:val="auto"/>
                      <w:kern w:val="0"/>
                      <w:szCs w:val="21"/>
                    </w:rPr>
                  </w:pPr>
                  <w:r>
                    <w:rPr>
                      <w:rFonts w:hint="eastAsia"/>
                      <w:color w:val="auto"/>
                      <w:kern w:val="0"/>
                      <w:szCs w:val="21"/>
                    </w:rPr>
                    <w:t>桶装、袋装</w:t>
                  </w:r>
                </w:p>
              </w:tc>
              <w:tc>
                <w:tcPr>
                  <w:tcW w:w="448" w:type="pct"/>
                  <w:vMerge w:val="restart"/>
                  <w:noWrap w:val="0"/>
                  <w:vAlign w:val="center"/>
                </w:tcPr>
                <w:p>
                  <w:pPr>
                    <w:topLinePunct/>
                    <w:snapToGrid w:val="0"/>
                    <w:jc w:val="center"/>
                    <w:rPr>
                      <w:color w:val="auto"/>
                      <w:kern w:val="0"/>
                      <w:szCs w:val="21"/>
                    </w:rPr>
                  </w:pPr>
                  <w:r>
                    <w:rPr>
                      <w:rFonts w:hint="eastAsia"/>
                      <w:color w:val="auto"/>
                      <w:kern w:val="0"/>
                      <w:szCs w:val="21"/>
                    </w:rPr>
                    <w:t>12</w:t>
                  </w:r>
                </w:p>
              </w:tc>
              <w:tc>
                <w:tcPr>
                  <w:tcW w:w="383" w:type="pct"/>
                  <w:vMerge w:val="restart"/>
                  <w:noWrap w:val="0"/>
                  <w:vAlign w:val="center"/>
                </w:tcPr>
                <w:p>
                  <w:pPr>
                    <w:topLinePunct/>
                    <w:snapToGrid w:val="0"/>
                    <w:jc w:val="center"/>
                    <w:rPr>
                      <w:color w:val="auto"/>
                      <w:kern w:val="0"/>
                      <w:szCs w:val="21"/>
                    </w:rPr>
                  </w:pPr>
                  <w:r>
                    <w:rPr>
                      <w:rFonts w:hint="eastAsia"/>
                      <w:color w:val="auto"/>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pct"/>
                  <w:vMerge w:val="continue"/>
                  <w:noWrap w:val="0"/>
                  <w:vAlign w:val="center"/>
                </w:tcPr>
                <w:p>
                  <w:pPr>
                    <w:topLinePunct/>
                    <w:snapToGrid w:val="0"/>
                    <w:jc w:val="center"/>
                    <w:rPr>
                      <w:color w:val="auto"/>
                      <w:kern w:val="0"/>
                      <w:szCs w:val="21"/>
                    </w:rPr>
                  </w:pPr>
                </w:p>
              </w:tc>
              <w:tc>
                <w:tcPr>
                  <w:tcW w:w="857" w:type="pct"/>
                  <w:noWrap w:val="0"/>
                  <w:vAlign w:val="center"/>
                </w:tcPr>
                <w:p>
                  <w:pPr>
                    <w:snapToGrid w:val="0"/>
                    <w:jc w:val="center"/>
                    <w:rPr>
                      <w:rFonts w:hint="eastAsia"/>
                      <w:color w:val="auto"/>
                      <w:kern w:val="0"/>
                      <w:szCs w:val="21"/>
                    </w:rPr>
                  </w:pPr>
                  <w:r>
                    <w:rPr>
                      <w:rFonts w:hint="eastAsia"/>
                      <w:bCs/>
                      <w:color w:val="auto"/>
                      <w:szCs w:val="21"/>
                    </w:rPr>
                    <w:t>尘沙</w:t>
                  </w:r>
                </w:p>
              </w:tc>
              <w:tc>
                <w:tcPr>
                  <w:tcW w:w="455" w:type="pct"/>
                  <w:noWrap w:val="0"/>
                  <w:vAlign w:val="center"/>
                </w:tcPr>
                <w:p>
                  <w:pPr>
                    <w:topLinePunct/>
                    <w:snapToGrid w:val="0"/>
                    <w:jc w:val="center"/>
                    <w:rPr>
                      <w:color w:val="auto"/>
                      <w:kern w:val="0"/>
                      <w:szCs w:val="21"/>
                    </w:rPr>
                  </w:pPr>
                  <w:r>
                    <w:rPr>
                      <w:rFonts w:hint="eastAsia"/>
                      <w:color w:val="auto"/>
                      <w:kern w:val="0"/>
                      <w:szCs w:val="21"/>
                    </w:rPr>
                    <w:t>61</w:t>
                  </w:r>
                </w:p>
              </w:tc>
              <w:tc>
                <w:tcPr>
                  <w:tcW w:w="709" w:type="pct"/>
                  <w:noWrap w:val="0"/>
                  <w:vAlign w:val="center"/>
                </w:tcPr>
                <w:p>
                  <w:pPr>
                    <w:adjustRightInd w:val="0"/>
                    <w:snapToGrid w:val="0"/>
                    <w:jc w:val="center"/>
                    <w:rPr>
                      <w:color w:val="auto"/>
                      <w:kern w:val="0"/>
                      <w:szCs w:val="21"/>
                    </w:rPr>
                  </w:pPr>
                  <w:r>
                    <w:rPr>
                      <w:rFonts w:hint="eastAsia"/>
                      <w:bCs/>
                      <w:snapToGrid w:val="0"/>
                      <w:color w:val="auto"/>
                      <w:kern w:val="0"/>
                      <w:szCs w:val="21"/>
                    </w:rPr>
                    <w:t>309-009-61</w:t>
                  </w:r>
                </w:p>
              </w:tc>
              <w:tc>
                <w:tcPr>
                  <w:tcW w:w="509" w:type="pct"/>
                  <w:vMerge w:val="continue"/>
                  <w:noWrap w:val="0"/>
                  <w:vAlign w:val="center"/>
                </w:tcPr>
                <w:p>
                  <w:pPr>
                    <w:topLinePunct/>
                    <w:snapToGrid w:val="0"/>
                    <w:jc w:val="center"/>
                    <w:rPr>
                      <w:color w:val="auto"/>
                      <w:kern w:val="0"/>
                      <w:szCs w:val="21"/>
                    </w:rPr>
                  </w:pPr>
                </w:p>
              </w:tc>
              <w:tc>
                <w:tcPr>
                  <w:tcW w:w="489" w:type="pct"/>
                  <w:vMerge w:val="continue"/>
                  <w:noWrap w:val="0"/>
                  <w:vAlign w:val="center"/>
                </w:tcPr>
                <w:p>
                  <w:pPr>
                    <w:topLinePunct/>
                    <w:snapToGrid w:val="0"/>
                    <w:jc w:val="center"/>
                    <w:rPr>
                      <w:color w:val="auto"/>
                      <w:kern w:val="0"/>
                      <w:szCs w:val="21"/>
                    </w:rPr>
                  </w:pPr>
                </w:p>
              </w:tc>
              <w:tc>
                <w:tcPr>
                  <w:tcW w:w="417" w:type="pct"/>
                  <w:vMerge w:val="continue"/>
                  <w:noWrap w:val="0"/>
                  <w:vAlign w:val="center"/>
                </w:tcPr>
                <w:p>
                  <w:pPr>
                    <w:topLinePunct/>
                    <w:snapToGrid w:val="0"/>
                    <w:jc w:val="center"/>
                    <w:rPr>
                      <w:color w:val="auto"/>
                      <w:kern w:val="0"/>
                      <w:szCs w:val="21"/>
                    </w:rPr>
                  </w:pPr>
                </w:p>
              </w:tc>
              <w:tc>
                <w:tcPr>
                  <w:tcW w:w="448" w:type="pct"/>
                  <w:vMerge w:val="continue"/>
                  <w:noWrap w:val="0"/>
                  <w:vAlign w:val="center"/>
                </w:tcPr>
                <w:p>
                  <w:pPr>
                    <w:topLinePunct/>
                    <w:snapToGrid w:val="0"/>
                    <w:jc w:val="center"/>
                    <w:rPr>
                      <w:color w:val="auto"/>
                      <w:kern w:val="0"/>
                      <w:szCs w:val="21"/>
                    </w:rPr>
                  </w:pPr>
                </w:p>
              </w:tc>
              <w:tc>
                <w:tcPr>
                  <w:tcW w:w="383" w:type="pct"/>
                  <w:vMerge w:val="continue"/>
                  <w:noWrap w:val="0"/>
                  <w:vAlign w:val="center"/>
                </w:tcPr>
                <w:p>
                  <w:pPr>
                    <w:topLinePunct/>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pct"/>
                  <w:vMerge w:val="continue"/>
                  <w:noWrap w:val="0"/>
                  <w:vAlign w:val="center"/>
                </w:tcPr>
                <w:p>
                  <w:pPr>
                    <w:topLinePunct/>
                    <w:snapToGrid w:val="0"/>
                    <w:jc w:val="center"/>
                    <w:rPr>
                      <w:color w:val="auto"/>
                      <w:kern w:val="0"/>
                      <w:szCs w:val="21"/>
                    </w:rPr>
                  </w:pPr>
                </w:p>
              </w:tc>
              <w:tc>
                <w:tcPr>
                  <w:tcW w:w="857" w:type="pct"/>
                  <w:noWrap w:val="0"/>
                  <w:vAlign w:val="center"/>
                </w:tcPr>
                <w:p>
                  <w:pPr>
                    <w:snapToGrid w:val="0"/>
                    <w:jc w:val="center"/>
                    <w:rPr>
                      <w:rFonts w:hint="eastAsia"/>
                      <w:color w:val="auto"/>
                      <w:szCs w:val="21"/>
                    </w:rPr>
                  </w:pPr>
                  <w:r>
                    <w:rPr>
                      <w:rFonts w:hint="eastAsia"/>
                      <w:bCs/>
                      <w:color w:val="auto"/>
                      <w:szCs w:val="21"/>
                    </w:rPr>
                    <w:t>废石料</w:t>
                  </w:r>
                </w:p>
              </w:tc>
              <w:tc>
                <w:tcPr>
                  <w:tcW w:w="455" w:type="pct"/>
                  <w:noWrap w:val="0"/>
                  <w:vAlign w:val="center"/>
                </w:tcPr>
                <w:p>
                  <w:pPr>
                    <w:topLinePunct/>
                    <w:snapToGrid w:val="0"/>
                    <w:jc w:val="center"/>
                    <w:rPr>
                      <w:color w:val="auto"/>
                      <w:szCs w:val="21"/>
                    </w:rPr>
                  </w:pPr>
                  <w:r>
                    <w:rPr>
                      <w:rFonts w:hint="eastAsia"/>
                      <w:color w:val="auto"/>
                      <w:kern w:val="0"/>
                      <w:szCs w:val="21"/>
                    </w:rPr>
                    <w:t>61</w:t>
                  </w:r>
                </w:p>
              </w:tc>
              <w:tc>
                <w:tcPr>
                  <w:tcW w:w="709" w:type="pct"/>
                  <w:noWrap w:val="0"/>
                  <w:vAlign w:val="center"/>
                </w:tcPr>
                <w:p>
                  <w:pPr>
                    <w:adjustRightInd w:val="0"/>
                    <w:snapToGrid w:val="0"/>
                    <w:jc w:val="center"/>
                    <w:rPr>
                      <w:color w:val="auto"/>
                      <w:szCs w:val="21"/>
                    </w:rPr>
                  </w:pPr>
                  <w:r>
                    <w:rPr>
                      <w:rFonts w:hint="eastAsia"/>
                      <w:bCs/>
                      <w:snapToGrid w:val="0"/>
                      <w:color w:val="auto"/>
                      <w:kern w:val="0"/>
                      <w:szCs w:val="21"/>
                    </w:rPr>
                    <w:t>309-009-61</w:t>
                  </w:r>
                </w:p>
              </w:tc>
              <w:tc>
                <w:tcPr>
                  <w:tcW w:w="509" w:type="pct"/>
                  <w:vMerge w:val="continue"/>
                  <w:noWrap w:val="0"/>
                  <w:vAlign w:val="center"/>
                </w:tcPr>
                <w:p>
                  <w:pPr>
                    <w:topLinePunct/>
                    <w:snapToGrid w:val="0"/>
                    <w:jc w:val="center"/>
                    <w:rPr>
                      <w:color w:val="auto"/>
                      <w:kern w:val="0"/>
                      <w:szCs w:val="21"/>
                    </w:rPr>
                  </w:pPr>
                </w:p>
              </w:tc>
              <w:tc>
                <w:tcPr>
                  <w:tcW w:w="489" w:type="pct"/>
                  <w:vMerge w:val="continue"/>
                  <w:noWrap w:val="0"/>
                  <w:vAlign w:val="center"/>
                </w:tcPr>
                <w:p>
                  <w:pPr>
                    <w:topLinePunct/>
                    <w:snapToGrid w:val="0"/>
                    <w:jc w:val="center"/>
                    <w:rPr>
                      <w:color w:val="auto"/>
                      <w:kern w:val="0"/>
                      <w:szCs w:val="21"/>
                    </w:rPr>
                  </w:pPr>
                </w:p>
              </w:tc>
              <w:tc>
                <w:tcPr>
                  <w:tcW w:w="417" w:type="pct"/>
                  <w:vMerge w:val="continue"/>
                  <w:noWrap w:val="0"/>
                  <w:vAlign w:val="center"/>
                </w:tcPr>
                <w:p>
                  <w:pPr>
                    <w:topLinePunct/>
                    <w:snapToGrid w:val="0"/>
                    <w:jc w:val="center"/>
                    <w:rPr>
                      <w:color w:val="auto"/>
                      <w:kern w:val="0"/>
                      <w:szCs w:val="21"/>
                    </w:rPr>
                  </w:pPr>
                </w:p>
              </w:tc>
              <w:tc>
                <w:tcPr>
                  <w:tcW w:w="448" w:type="pct"/>
                  <w:vMerge w:val="continue"/>
                  <w:noWrap w:val="0"/>
                  <w:vAlign w:val="center"/>
                </w:tcPr>
                <w:p>
                  <w:pPr>
                    <w:topLinePunct/>
                    <w:snapToGrid w:val="0"/>
                    <w:jc w:val="center"/>
                    <w:rPr>
                      <w:color w:val="auto"/>
                      <w:kern w:val="0"/>
                      <w:szCs w:val="21"/>
                    </w:rPr>
                  </w:pPr>
                </w:p>
              </w:tc>
              <w:tc>
                <w:tcPr>
                  <w:tcW w:w="383" w:type="pct"/>
                  <w:vMerge w:val="continue"/>
                  <w:noWrap w:val="0"/>
                  <w:vAlign w:val="center"/>
                </w:tcPr>
                <w:p>
                  <w:pPr>
                    <w:topLinePunct/>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9" w:type="pct"/>
                  <w:vMerge w:val="continue"/>
                  <w:noWrap w:val="0"/>
                  <w:vAlign w:val="center"/>
                </w:tcPr>
                <w:p>
                  <w:pPr>
                    <w:topLinePunct/>
                    <w:snapToGrid w:val="0"/>
                    <w:jc w:val="center"/>
                    <w:rPr>
                      <w:color w:val="auto"/>
                      <w:kern w:val="0"/>
                      <w:szCs w:val="21"/>
                    </w:rPr>
                  </w:pPr>
                </w:p>
              </w:tc>
              <w:tc>
                <w:tcPr>
                  <w:tcW w:w="857" w:type="pct"/>
                  <w:noWrap w:val="0"/>
                  <w:vAlign w:val="center"/>
                </w:tcPr>
                <w:p>
                  <w:pPr>
                    <w:snapToGrid w:val="0"/>
                    <w:jc w:val="center"/>
                    <w:rPr>
                      <w:rFonts w:hint="eastAsia"/>
                      <w:color w:val="auto"/>
                      <w:szCs w:val="21"/>
                    </w:rPr>
                  </w:pPr>
                  <w:r>
                    <w:rPr>
                      <w:rFonts w:hint="eastAsia"/>
                      <w:bCs/>
                      <w:color w:val="auto"/>
                      <w:szCs w:val="21"/>
                    </w:rPr>
                    <w:t>废布袋</w:t>
                  </w:r>
                </w:p>
              </w:tc>
              <w:tc>
                <w:tcPr>
                  <w:tcW w:w="455" w:type="pct"/>
                  <w:noWrap w:val="0"/>
                  <w:vAlign w:val="center"/>
                </w:tcPr>
                <w:p>
                  <w:pPr>
                    <w:topLinePunct/>
                    <w:snapToGrid w:val="0"/>
                    <w:jc w:val="center"/>
                    <w:rPr>
                      <w:color w:val="auto"/>
                      <w:szCs w:val="21"/>
                    </w:rPr>
                  </w:pPr>
                  <w:r>
                    <w:rPr>
                      <w:rFonts w:hint="eastAsia"/>
                      <w:color w:val="auto"/>
                      <w:szCs w:val="21"/>
                    </w:rPr>
                    <w:t>99</w:t>
                  </w:r>
                </w:p>
              </w:tc>
              <w:tc>
                <w:tcPr>
                  <w:tcW w:w="709" w:type="pct"/>
                  <w:noWrap w:val="0"/>
                  <w:vAlign w:val="center"/>
                </w:tcPr>
                <w:p>
                  <w:pPr>
                    <w:adjustRightInd w:val="0"/>
                    <w:snapToGrid w:val="0"/>
                    <w:jc w:val="center"/>
                    <w:rPr>
                      <w:color w:val="auto"/>
                      <w:szCs w:val="21"/>
                    </w:rPr>
                  </w:pPr>
                  <w:r>
                    <w:rPr>
                      <w:rFonts w:hint="eastAsia"/>
                      <w:bCs/>
                      <w:snapToGrid w:val="0"/>
                      <w:color w:val="auto"/>
                      <w:kern w:val="0"/>
                      <w:szCs w:val="21"/>
                    </w:rPr>
                    <w:t>309-999-99</w:t>
                  </w:r>
                </w:p>
              </w:tc>
              <w:tc>
                <w:tcPr>
                  <w:tcW w:w="509" w:type="pct"/>
                  <w:vMerge w:val="continue"/>
                  <w:noWrap w:val="0"/>
                  <w:vAlign w:val="center"/>
                </w:tcPr>
                <w:p>
                  <w:pPr>
                    <w:topLinePunct/>
                    <w:snapToGrid w:val="0"/>
                    <w:jc w:val="center"/>
                    <w:rPr>
                      <w:color w:val="auto"/>
                      <w:kern w:val="0"/>
                      <w:szCs w:val="21"/>
                    </w:rPr>
                  </w:pPr>
                </w:p>
              </w:tc>
              <w:tc>
                <w:tcPr>
                  <w:tcW w:w="489" w:type="pct"/>
                  <w:vMerge w:val="continue"/>
                  <w:noWrap w:val="0"/>
                  <w:vAlign w:val="center"/>
                </w:tcPr>
                <w:p>
                  <w:pPr>
                    <w:topLinePunct/>
                    <w:snapToGrid w:val="0"/>
                    <w:jc w:val="center"/>
                    <w:rPr>
                      <w:color w:val="auto"/>
                      <w:kern w:val="0"/>
                      <w:szCs w:val="21"/>
                    </w:rPr>
                  </w:pPr>
                </w:p>
              </w:tc>
              <w:tc>
                <w:tcPr>
                  <w:tcW w:w="417" w:type="pct"/>
                  <w:vMerge w:val="continue"/>
                  <w:noWrap w:val="0"/>
                  <w:vAlign w:val="center"/>
                </w:tcPr>
                <w:p>
                  <w:pPr>
                    <w:topLinePunct/>
                    <w:snapToGrid w:val="0"/>
                    <w:jc w:val="center"/>
                    <w:rPr>
                      <w:color w:val="auto"/>
                      <w:kern w:val="0"/>
                      <w:szCs w:val="21"/>
                    </w:rPr>
                  </w:pPr>
                </w:p>
              </w:tc>
              <w:tc>
                <w:tcPr>
                  <w:tcW w:w="448" w:type="pct"/>
                  <w:vMerge w:val="continue"/>
                  <w:noWrap w:val="0"/>
                  <w:vAlign w:val="center"/>
                </w:tcPr>
                <w:p>
                  <w:pPr>
                    <w:topLinePunct/>
                    <w:snapToGrid w:val="0"/>
                    <w:jc w:val="center"/>
                    <w:rPr>
                      <w:color w:val="auto"/>
                      <w:kern w:val="0"/>
                      <w:szCs w:val="21"/>
                    </w:rPr>
                  </w:pPr>
                </w:p>
              </w:tc>
              <w:tc>
                <w:tcPr>
                  <w:tcW w:w="383" w:type="pct"/>
                  <w:vMerge w:val="continue"/>
                  <w:noWrap w:val="0"/>
                  <w:vAlign w:val="center"/>
                </w:tcPr>
                <w:p>
                  <w:pPr>
                    <w:topLinePunct/>
                    <w:snapToGrid w:val="0"/>
                    <w:jc w:val="center"/>
                    <w:rPr>
                      <w:color w:val="auto"/>
                      <w:kern w:val="0"/>
                      <w:szCs w:val="21"/>
                    </w:rPr>
                  </w:pPr>
                </w:p>
              </w:tc>
            </w:tr>
          </w:tbl>
          <w:p>
            <w:pPr>
              <w:adjustRightInd w:val="0"/>
              <w:snapToGrid w:val="0"/>
              <w:spacing w:line="360" w:lineRule="auto"/>
              <w:ind w:firstLine="440" w:firstLineChars="200"/>
              <w:rPr>
                <w:bCs/>
                <w:color w:val="auto"/>
                <w:spacing w:val="-10"/>
                <w:sz w:val="24"/>
              </w:rPr>
            </w:pPr>
          </w:p>
          <w:p>
            <w:pPr>
              <w:adjustRightInd w:val="0"/>
              <w:snapToGrid w:val="0"/>
              <w:spacing w:line="360" w:lineRule="auto"/>
              <w:ind w:firstLine="440" w:firstLineChars="200"/>
              <w:rPr>
                <w:bCs/>
                <w:color w:val="auto"/>
                <w:spacing w:val="-10"/>
                <w:sz w:val="24"/>
              </w:rPr>
            </w:pPr>
            <w:r>
              <w:rPr>
                <w:bCs/>
                <w:color w:val="auto"/>
                <w:spacing w:val="-10"/>
                <w:sz w:val="24"/>
              </w:rPr>
              <w:t>②危险废物</w:t>
            </w:r>
          </w:p>
          <w:p>
            <w:pPr>
              <w:adjustRightInd w:val="0"/>
              <w:snapToGrid w:val="0"/>
              <w:spacing w:line="360" w:lineRule="auto"/>
              <w:ind w:firstLine="440" w:firstLineChars="200"/>
              <w:rPr>
                <w:bCs/>
                <w:color w:val="auto"/>
                <w:spacing w:val="-10"/>
                <w:sz w:val="24"/>
              </w:rPr>
            </w:pPr>
            <w:r>
              <w:rPr>
                <w:bCs/>
                <w:color w:val="auto"/>
                <w:spacing w:val="-10"/>
                <w:sz w:val="24"/>
              </w:rPr>
              <w:t>A、危险废物委托处理措施</w:t>
            </w:r>
          </w:p>
          <w:p>
            <w:pPr>
              <w:adjustRightInd w:val="0"/>
              <w:snapToGrid w:val="0"/>
              <w:spacing w:line="360" w:lineRule="auto"/>
              <w:ind w:firstLine="440" w:firstLineChars="200"/>
              <w:rPr>
                <w:bCs/>
                <w:color w:val="auto"/>
                <w:spacing w:val="-10"/>
                <w:sz w:val="24"/>
              </w:rPr>
            </w:pPr>
            <w:r>
              <w:rPr>
                <w:bCs/>
                <w:color w:val="auto"/>
                <w:spacing w:val="-10"/>
                <w:sz w:val="24"/>
              </w:rPr>
              <w:t>按照《危险废物贮存污染控制标准》（GB18597-2001）及2013年修订单要求，</w:t>
            </w:r>
            <w:r>
              <w:rPr>
                <w:rFonts w:hint="eastAsia"/>
                <w:bCs/>
                <w:color w:val="auto"/>
                <w:spacing w:val="-10"/>
                <w:sz w:val="24"/>
              </w:rPr>
              <w:t>本</w:t>
            </w:r>
            <w:r>
              <w:rPr>
                <w:bCs/>
                <w:color w:val="auto"/>
                <w:spacing w:val="-10"/>
                <w:sz w:val="24"/>
              </w:rPr>
              <w:t>项目产生的危险废物经收集后暂存于厂区危废间，定期委托有危废资质单位回收处理。危险固废在转移过程中需符合《中华人民共和|国固体废弃物污染环境防治法》（2005年4月），并执行《危险废物转移联单管理办法》规定的各项程序。</w:t>
            </w:r>
          </w:p>
          <w:p>
            <w:pPr>
              <w:adjustRightInd w:val="0"/>
              <w:snapToGrid w:val="0"/>
              <w:spacing w:line="360" w:lineRule="auto"/>
              <w:ind w:firstLine="440" w:firstLineChars="200"/>
              <w:rPr>
                <w:bCs/>
                <w:color w:val="auto"/>
                <w:spacing w:val="-10"/>
                <w:sz w:val="24"/>
              </w:rPr>
            </w:pPr>
            <w:r>
              <w:rPr>
                <w:bCs/>
                <w:color w:val="auto"/>
                <w:spacing w:val="-10"/>
                <w:sz w:val="24"/>
              </w:rPr>
              <w:t>B、危险固体废物临时堆放场</w:t>
            </w:r>
          </w:p>
          <w:p>
            <w:pPr>
              <w:adjustRightInd w:val="0"/>
              <w:snapToGrid w:val="0"/>
              <w:spacing w:line="360" w:lineRule="auto"/>
              <w:ind w:firstLine="440" w:firstLineChars="200"/>
              <w:rPr>
                <w:bCs/>
                <w:color w:val="auto"/>
                <w:spacing w:val="-10"/>
                <w:sz w:val="24"/>
              </w:rPr>
            </w:pPr>
            <w:r>
              <w:rPr>
                <w:bCs/>
                <w:color w:val="auto"/>
                <w:spacing w:val="-10"/>
                <w:sz w:val="24"/>
              </w:rPr>
              <w:t>建设单位将严格按照《危险废物贮存污染控制标准》</w:t>
            </w:r>
            <w:r>
              <w:rPr>
                <w:rFonts w:hint="eastAsia"/>
                <w:bCs/>
                <w:color w:val="auto"/>
                <w:spacing w:val="-10"/>
                <w:sz w:val="24"/>
              </w:rPr>
              <w:t>(</w:t>
            </w:r>
            <w:r>
              <w:rPr>
                <w:bCs/>
                <w:color w:val="auto"/>
                <w:spacing w:val="-10"/>
                <w:sz w:val="24"/>
              </w:rPr>
              <w:t>GB18597-2001</w:t>
            </w:r>
            <w:r>
              <w:rPr>
                <w:rFonts w:hint="eastAsia"/>
                <w:bCs/>
                <w:color w:val="auto"/>
                <w:spacing w:val="-10"/>
                <w:sz w:val="24"/>
              </w:rPr>
              <w:t>)</w:t>
            </w:r>
            <w:r>
              <w:rPr>
                <w:bCs/>
                <w:color w:val="auto"/>
                <w:spacing w:val="-10"/>
                <w:sz w:val="24"/>
              </w:rPr>
              <w:t>及2013年修订单的要求规范进行危险废物暂存场所的设计、维护管理，防止二次污染，具体措施如下：</w:t>
            </w:r>
          </w:p>
          <w:p>
            <w:pPr>
              <w:adjustRightInd w:val="0"/>
              <w:snapToGrid w:val="0"/>
              <w:spacing w:line="360" w:lineRule="auto"/>
              <w:ind w:firstLine="440" w:firstLineChars="200"/>
              <w:rPr>
                <w:bCs/>
                <w:color w:val="auto"/>
                <w:spacing w:val="-10"/>
                <w:sz w:val="24"/>
              </w:rPr>
            </w:pPr>
            <w:r>
              <w:rPr>
                <w:bCs/>
                <w:color w:val="auto"/>
                <w:spacing w:val="-10"/>
                <w:sz w:val="24"/>
              </w:rPr>
              <w:t>①基础必须防渗，防渗层必须为砼结构。</w:t>
            </w:r>
          </w:p>
          <w:p>
            <w:pPr>
              <w:adjustRightInd w:val="0"/>
              <w:snapToGrid w:val="0"/>
              <w:spacing w:line="360" w:lineRule="auto"/>
              <w:ind w:firstLine="440" w:firstLineChars="200"/>
              <w:rPr>
                <w:bCs/>
                <w:color w:val="auto"/>
                <w:spacing w:val="-10"/>
                <w:sz w:val="24"/>
              </w:rPr>
            </w:pPr>
            <w:r>
              <w:rPr>
                <w:bCs/>
                <w:color w:val="auto"/>
                <w:spacing w:val="-10"/>
                <w:sz w:val="24"/>
              </w:rPr>
              <w:t>②堆放危险废物的高度应根据地面承载能力确定。</w:t>
            </w:r>
          </w:p>
          <w:p>
            <w:pPr>
              <w:adjustRightInd w:val="0"/>
              <w:snapToGrid w:val="0"/>
              <w:spacing w:line="360" w:lineRule="auto"/>
              <w:ind w:firstLine="440" w:firstLineChars="200"/>
              <w:rPr>
                <w:bCs/>
                <w:color w:val="auto"/>
                <w:spacing w:val="-10"/>
                <w:sz w:val="24"/>
              </w:rPr>
            </w:pPr>
            <w:r>
              <w:rPr>
                <w:bCs/>
                <w:color w:val="auto"/>
                <w:spacing w:val="-10"/>
                <w:sz w:val="24"/>
              </w:rPr>
              <w:t>③衬里放在一个基础或底座上；同时设置围堰，防止废液外流。</w:t>
            </w:r>
          </w:p>
          <w:p>
            <w:pPr>
              <w:adjustRightInd w:val="0"/>
              <w:snapToGrid w:val="0"/>
              <w:spacing w:line="360" w:lineRule="auto"/>
              <w:ind w:firstLine="440" w:firstLineChars="200"/>
              <w:rPr>
                <w:bCs/>
                <w:color w:val="auto"/>
                <w:spacing w:val="-10"/>
                <w:sz w:val="24"/>
              </w:rPr>
            </w:pPr>
            <w:r>
              <w:rPr>
                <w:bCs/>
                <w:color w:val="auto"/>
                <w:spacing w:val="-10"/>
                <w:sz w:val="24"/>
              </w:rPr>
              <w:t>④衬里要能够覆盖危险废物或其溶出物可能涉及到的范围。</w:t>
            </w:r>
          </w:p>
          <w:p>
            <w:pPr>
              <w:adjustRightInd w:val="0"/>
              <w:snapToGrid w:val="0"/>
              <w:spacing w:line="360" w:lineRule="auto"/>
              <w:ind w:firstLine="440" w:firstLineChars="200"/>
              <w:rPr>
                <w:bCs/>
                <w:color w:val="auto"/>
                <w:spacing w:val="-10"/>
                <w:sz w:val="24"/>
              </w:rPr>
            </w:pPr>
            <w:r>
              <w:rPr>
                <w:bCs/>
                <w:color w:val="auto"/>
                <w:spacing w:val="-10"/>
                <w:sz w:val="24"/>
              </w:rPr>
              <w:t>⑤衬里材料与堆放危险废物相容。</w:t>
            </w:r>
          </w:p>
          <w:p>
            <w:pPr>
              <w:adjustRightInd w:val="0"/>
              <w:snapToGrid w:val="0"/>
              <w:spacing w:line="360" w:lineRule="auto"/>
              <w:ind w:firstLine="440" w:firstLineChars="200"/>
              <w:rPr>
                <w:bCs/>
                <w:color w:val="auto"/>
                <w:spacing w:val="-10"/>
                <w:sz w:val="24"/>
              </w:rPr>
            </w:pPr>
            <w:r>
              <w:rPr>
                <w:bCs/>
                <w:color w:val="auto"/>
                <w:spacing w:val="-10"/>
                <w:sz w:val="24"/>
              </w:rPr>
              <w:t>⑥在衬里上设计、建造浸出液收集清除系统。</w:t>
            </w:r>
          </w:p>
          <w:p>
            <w:pPr>
              <w:adjustRightInd w:val="0"/>
              <w:snapToGrid w:val="0"/>
              <w:spacing w:line="360" w:lineRule="auto"/>
              <w:ind w:firstLine="440" w:firstLineChars="200"/>
              <w:rPr>
                <w:bCs/>
                <w:color w:val="auto"/>
                <w:spacing w:val="-10"/>
                <w:sz w:val="24"/>
              </w:rPr>
            </w:pPr>
            <w:r>
              <w:rPr>
                <w:bCs/>
                <w:color w:val="auto"/>
                <w:spacing w:val="-10"/>
                <w:sz w:val="24"/>
              </w:rPr>
              <w:t>⑦应设计建造径流疏导系统，保证能防止25年一遇的暴雨不会流到危险废物临时堆放场内。</w:t>
            </w:r>
          </w:p>
          <w:p>
            <w:pPr>
              <w:adjustRightInd w:val="0"/>
              <w:snapToGrid w:val="0"/>
              <w:spacing w:line="360" w:lineRule="auto"/>
              <w:ind w:firstLine="440" w:firstLineChars="200"/>
              <w:rPr>
                <w:bCs/>
                <w:color w:val="auto"/>
                <w:spacing w:val="-10"/>
                <w:sz w:val="24"/>
              </w:rPr>
            </w:pPr>
            <w:r>
              <w:rPr>
                <w:bCs/>
                <w:color w:val="auto"/>
                <w:spacing w:val="-10"/>
                <w:sz w:val="24"/>
              </w:rPr>
              <w:t>⑧危险废物临时堆放场要做好防风、防雨、防晒。</w:t>
            </w:r>
          </w:p>
          <w:p>
            <w:pPr>
              <w:adjustRightInd w:val="0"/>
              <w:snapToGrid w:val="0"/>
              <w:spacing w:line="360" w:lineRule="auto"/>
              <w:ind w:firstLine="440" w:firstLineChars="200"/>
              <w:rPr>
                <w:bCs/>
                <w:color w:val="auto"/>
                <w:spacing w:val="-10"/>
                <w:sz w:val="24"/>
              </w:rPr>
            </w:pPr>
            <w:r>
              <w:rPr>
                <w:bCs/>
                <w:color w:val="auto"/>
                <w:spacing w:val="-10"/>
                <w:sz w:val="24"/>
              </w:rPr>
              <w:t>⑨不相容的危险废物不能堆放在一起。</w:t>
            </w:r>
          </w:p>
          <w:p>
            <w:pPr>
              <w:adjustRightInd w:val="0"/>
              <w:snapToGrid w:val="0"/>
              <w:spacing w:line="360" w:lineRule="auto"/>
              <w:ind w:firstLine="440" w:firstLineChars="200"/>
              <w:rPr>
                <w:bCs/>
                <w:color w:val="auto"/>
                <w:spacing w:val="-10"/>
                <w:sz w:val="24"/>
              </w:rPr>
            </w:pPr>
            <w:r>
              <w:rPr>
                <w:rFonts w:hint="eastAsia"/>
                <w:bCs/>
                <w:color w:val="auto"/>
                <w:spacing w:val="-10"/>
                <w:sz w:val="24"/>
              </w:rPr>
              <w:t>本</w:t>
            </w:r>
            <w:r>
              <w:rPr>
                <w:bCs/>
                <w:color w:val="auto"/>
                <w:spacing w:val="-10"/>
                <w:sz w:val="24"/>
              </w:rPr>
              <w:t>项目</w:t>
            </w:r>
            <w:r>
              <w:rPr>
                <w:rFonts w:hint="eastAsia"/>
                <w:bCs/>
                <w:color w:val="auto"/>
                <w:spacing w:val="-10"/>
                <w:sz w:val="24"/>
              </w:rPr>
              <w:t>所依托的</w:t>
            </w:r>
            <w:r>
              <w:rPr>
                <w:bCs/>
                <w:color w:val="auto"/>
                <w:spacing w:val="-10"/>
                <w:sz w:val="24"/>
              </w:rPr>
              <w:t>危险废物贮存场所（设施）基本情况见下表：</w:t>
            </w:r>
          </w:p>
          <w:p>
            <w:pPr>
              <w:adjustRightInd w:val="0"/>
              <w:snapToGrid w:val="0"/>
              <w:ind w:firstLine="442" w:firstLineChars="200"/>
              <w:jc w:val="center"/>
              <w:rPr>
                <w:b/>
                <w:color w:val="auto"/>
                <w:spacing w:val="-10"/>
                <w:sz w:val="24"/>
              </w:rPr>
            </w:pPr>
            <w:r>
              <w:rPr>
                <w:b/>
                <w:color w:val="auto"/>
                <w:spacing w:val="-10"/>
                <w:sz w:val="24"/>
              </w:rPr>
              <w:t>表4-</w:t>
            </w:r>
            <w:r>
              <w:rPr>
                <w:rFonts w:hint="eastAsia"/>
                <w:b/>
                <w:color w:val="auto"/>
                <w:spacing w:val="-10"/>
                <w:sz w:val="24"/>
              </w:rPr>
              <w:t>24</w:t>
            </w:r>
            <w:r>
              <w:rPr>
                <w:b/>
                <w:color w:val="auto"/>
                <w:spacing w:val="-10"/>
                <w:sz w:val="24"/>
              </w:rPr>
              <w:t xml:space="preserve"> 建设项目危险废物贮存场所（设施）基本情况表</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653"/>
              <w:gridCol w:w="945"/>
              <w:gridCol w:w="1427"/>
              <w:gridCol w:w="754"/>
              <w:gridCol w:w="793"/>
              <w:gridCol w:w="773"/>
              <w:gridCol w:w="83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pct"/>
                  <w:noWrap w:val="0"/>
                  <w:vAlign w:val="center"/>
                </w:tcPr>
                <w:p>
                  <w:pPr>
                    <w:topLinePunct/>
                    <w:snapToGrid w:val="0"/>
                    <w:jc w:val="center"/>
                    <w:rPr>
                      <w:b/>
                      <w:bCs/>
                      <w:color w:val="auto"/>
                      <w:kern w:val="0"/>
                      <w:szCs w:val="21"/>
                    </w:rPr>
                  </w:pPr>
                  <w:r>
                    <w:rPr>
                      <w:b/>
                      <w:bCs/>
                      <w:color w:val="auto"/>
                      <w:kern w:val="0"/>
                      <w:szCs w:val="21"/>
                    </w:rPr>
                    <w:t>贮存场所(设施)名称</w:t>
                  </w:r>
                </w:p>
              </w:tc>
              <w:tc>
                <w:tcPr>
                  <w:tcW w:w="893" w:type="pct"/>
                  <w:noWrap w:val="0"/>
                  <w:vAlign w:val="center"/>
                </w:tcPr>
                <w:p>
                  <w:pPr>
                    <w:topLinePunct/>
                    <w:snapToGrid w:val="0"/>
                    <w:jc w:val="center"/>
                    <w:rPr>
                      <w:b/>
                      <w:bCs/>
                      <w:color w:val="auto"/>
                      <w:kern w:val="0"/>
                      <w:szCs w:val="21"/>
                    </w:rPr>
                  </w:pPr>
                  <w:r>
                    <w:rPr>
                      <w:b/>
                      <w:bCs/>
                      <w:color w:val="auto"/>
                      <w:kern w:val="0"/>
                      <w:szCs w:val="21"/>
                    </w:rPr>
                    <w:t>危废名称</w:t>
                  </w:r>
                </w:p>
              </w:tc>
              <w:tc>
                <w:tcPr>
                  <w:tcW w:w="511" w:type="pct"/>
                  <w:noWrap w:val="0"/>
                  <w:vAlign w:val="center"/>
                </w:tcPr>
                <w:p>
                  <w:pPr>
                    <w:topLinePunct/>
                    <w:snapToGrid w:val="0"/>
                    <w:jc w:val="center"/>
                    <w:rPr>
                      <w:b/>
                      <w:bCs/>
                      <w:color w:val="auto"/>
                      <w:kern w:val="0"/>
                      <w:szCs w:val="21"/>
                    </w:rPr>
                  </w:pPr>
                  <w:r>
                    <w:rPr>
                      <w:b/>
                      <w:bCs/>
                      <w:color w:val="auto"/>
                      <w:kern w:val="0"/>
                      <w:szCs w:val="21"/>
                    </w:rPr>
                    <w:t>危废</w:t>
                  </w:r>
                </w:p>
                <w:p>
                  <w:pPr>
                    <w:topLinePunct/>
                    <w:snapToGrid w:val="0"/>
                    <w:jc w:val="center"/>
                    <w:rPr>
                      <w:b/>
                      <w:bCs/>
                      <w:color w:val="auto"/>
                      <w:kern w:val="0"/>
                      <w:szCs w:val="21"/>
                    </w:rPr>
                  </w:pPr>
                  <w:r>
                    <w:rPr>
                      <w:b/>
                      <w:bCs/>
                      <w:color w:val="auto"/>
                      <w:kern w:val="0"/>
                      <w:szCs w:val="21"/>
                    </w:rPr>
                    <w:t>类别</w:t>
                  </w:r>
                </w:p>
              </w:tc>
              <w:tc>
                <w:tcPr>
                  <w:tcW w:w="771" w:type="pct"/>
                  <w:noWrap w:val="0"/>
                  <w:vAlign w:val="center"/>
                </w:tcPr>
                <w:p>
                  <w:pPr>
                    <w:topLinePunct/>
                    <w:snapToGrid w:val="0"/>
                    <w:jc w:val="center"/>
                    <w:rPr>
                      <w:b/>
                      <w:bCs/>
                      <w:color w:val="auto"/>
                      <w:kern w:val="0"/>
                      <w:szCs w:val="21"/>
                    </w:rPr>
                  </w:pPr>
                  <w:r>
                    <w:rPr>
                      <w:b/>
                      <w:bCs/>
                      <w:color w:val="auto"/>
                      <w:kern w:val="0"/>
                      <w:szCs w:val="21"/>
                    </w:rPr>
                    <w:t>危废代码</w:t>
                  </w:r>
                </w:p>
              </w:tc>
              <w:tc>
                <w:tcPr>
                  <w:tcW w:w="408" w:type="pct"/>
                  <w:noWrap w:val="0"/>
                  <w:vAlign w:val="center"/>
                </w:tcPr>
                <w:p>
                  <w:pPr>
                    <w:topLinePunct/>
                    <w:snapToGrid w:val="0"/>
                    <w:jc w:val="center"/>
                    <w:rPr>
                      <w:b/>
                      <w:bCs/>
                      <w:color w:val="auto"/>
                      <w:kern w:val="0"/>
                      <w:szCs w:val="21"/>
                    </w:rPr>
                  </w:pPr>
                  <w:r>
                    <w:rPr>
                      <w:b/>
                      <w:bCs/>
                      <w:color w:val="auto"/>
                      <w:kern w:val="0"/>
                      <w:szCs w:val="21"/>
                    </w:rPr>
                    <w:t>位置</w:t>
                  </w:r>
                </w:p>
              </w:tc>
              <w:tc>
                <w:tcPr>
                  <w:tcW w:w="429" w:type="pct"/>
                  <w:noWrap w:val="0"/>
                  <w:vAlign w:val="center"/>
                </w:tcPr>
                <w:p>
                  <w:pPr>
                    <w:topLinePunct/>
                    <w:snapToGrid w:val="0"/>
                    <w:jc w:val="center"/>
                    <w:rPr>
                      <w:b/>
                      <w:bCs/>
                      <w:color w:val="auto"/>
                      <w:kern w:val="0"/>
                      <w:szCs w:val="21"/>
                    </w:rPr>
                  </w:pPr>
                  <w:r>
                    <w:rPr>
                      <w:b/>
                      <w:bCs/>
                      <w:color w:val="auto"/>
                      <w:kern w:val="0"/>
                      <w:szCs w:val="21"/>
                    </w:rPr>
                    <w:t>占地面积</w:t>
                  </w:r>
                  <w:r>
                    <w:rPr>
                      <w:rFonts w:hint="eastAsia"/>
                      <w:b/>
                      <w:bCs/>
                      <w:color w:val="auto"/>
                      <w:kern w:val="0"/>
                      <w:szCs w:val="21"/>
                    </w:rPr>
                    <w:t>(m</w:t>
                  </w:r>
                  <w:r>
                    <w:rPr>
                      <w:rFonts w:hint="eastAsia"/>
                      <w:b/>
                      <w:bCs/>
                      <w:color w:val="auto"/>
                      <w:kern w:val="0"/>
                      <w:szCs w:val="21"/>
                      <w:vertAlign w:val="superscript"/>
                    </w:rPr>
                    <w:t>2</w:t>
                  </w:r>
                  <w:r>
                    <w:rPr>
                      <w:rFonts w:hint="eastAsia"/>
                      <w:b/>
                      <w:bCs/>
                      <w:color w:val="auto"/>
                      <w:kern w:val="0"/>
                      <w:szCs w:val="21"/>
                    </w:rPr>
                    <w:t>)</w:t>
                  </w:r>
                </w:p>
              </w:tc>
              <w:tc>
                <w:tcPr>
                  <w:tcW w:w="418" w:type="pct"/>
                  <w:noWrap w:val="0"/>
                  <w:vAlign w:val="center"/>
                </w:tcPr>
                <w:p>
                  <w:pPr>
                    <w:topLinePunct/>
                    <w:snapToGrid w:val="0"/>
                    <w:jc w:val="center"/>
                    <w:rPr>
                      <w:b/>
                      <w:bCs/>
                      <w:color w:val="auto"/>
                      <w:kern w:val="0"/>
                      <w:szCs w:val="21"/>
                    </w:rPr>
                  </w:pPr>
                  <w:r>
                    <w:rPr>
                      <w:b/>
                      <w:bCs/>
                      <w:color w:val="auto"/>
                      <w:kern w:val="0"/>
                      <w:szCs w:val="21"/>
                    </w:rPr>
                    <w:t>贮存方式</w:t>
                  </w:r>
                </w:p>
              </w:tc>
              <w:tc>
                <w:tcPr>
                  <w:tcW w:w="449" w:type="pct"/>
                  <w:noWrap w:val="0"/>
                  <w:vAlign w:val="center"/>
                </w:tcPr>
                <w:p>
                  <w:pPr>
                    <w:topLinePunct/>
                    <w:snapToGrid w:val="0"/>
                    <w:jc w:val="center"/>
                    <w:rPr>
                      <w:b/>
                      <w:bCs/>
                      <w:color w:val="auto"/>
                      <w:kern w:val="0"/>
                      <w:szCs w:val="21"/>
                    </w:rPr>
                  </w:pPr>
                  <w:r>
                    <w:rPr>
                      <w:b/>
                      <w:bCs/>
                      <w:color w:val="auto"/>
                      <w:kern w:val="0"/>
                      <w:szCs w:val="21"/>
                    </w:rPr>
                    <w:t>贮存能力</w:t>
                  </w:r>
                </w:p>
                <w:p>
                  <w:pPr>
                    <w:topLinePunct/>
                    <w:snapToGrid w:val="0"/>
                    <w:jc w:val="center"/>
                    <w:rPr>
                      <w:b/>
                      <w:bCs/>
                      <w:color w:val="auto"/>
                      <w:kern w:val="0"/>
                      <w:szCs w:val="21"/>
                    </w:rPr>
                  </w:pPr>
                  <w:r>
                    <w:rPr>
                      <w:rFonts w:hint="eastAsia"/>
                      <w:b/>
                      <w:bCs/>
                      <w:color w:val="auto"/>
                      <w:kern w:val="0"/>
                      <w:szCs w:val="21"/>
                    </w:rPr>
                    <w:t>(t)</w:t>
                  </w:r>
                </w:p>
              </w:tc>
              <w:tc>
                <w:tcPr>
                  <w:tcW w:w="384" w:type="pct"/>
                  <w:noWrap w:val="0"/>
                  <w:vAlign w:val="center"/>
                </w:tcPr>
                <w:p>
                  <w:pPr>
                    <w:topLinePunct/>
                    <w:snapToGrid w:val="0"/>
                    <w:jc w:val="center"/>
                    <w:rPr>
                      <w:b/>
                      <w:bCs/>
                      <w:color w:val="auto"/>
                      <w:kern w:val="0"/>
                      <w:szCs w:val="21"/>
                    </w:rPr>
                  </w:pPr>
                  <w:r>
                    <w:rPr>
                      <w:b/>
                      <w:bCs/>
                      <w:color w:val="auto"/>
                      <w:kern w:val="0"/>
                      <w:szCs w:val="21"/>
                    </w:rPr>
                    <w:t>贮存周期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33" w:type="pct"/>
                  <w:vMerge w:val="restart"/>
                  <w:noWrap w:val="0"/>
                  <w:vAlign w:val="center"/>
                </w:tcPr>
                <w:p>
                  <w:pPr>
                    <w:topLinePunct/>
                    <w:snapToGrid w:val="0"/>
                    <w:jc w:val="center"/>
                    <w:rPr>
                      <w:color w:val="auto"/>
                      <w:kern w:val="0"/>
                      <w:szCs w:val="21"/>
                    </w:rPr>
                  </w:pPr>
                  <w:r>
                    <w:rPr>
                      <w:color w:val="auto"/>
                      <w:kern w:val="0"/>
                      <w:szCs w:val="21"/>
                    </w:rPr>
                    <w:t>危废间</w:t>
                  </w:r>
                </w:p>
              </w:tc>
              <w:tc>
                <w:tcPr>
                  <w:tcW w:w="893" w:type="pct"/>
                  <w:noWrap w:val="0"/>
                  <w:vAlign w:val="center"/>
                </w:tcPr>
                <w:p>
                  <w:pPr>
                    <w:snapToGrid w:val="0"/>
                    <w:jc w:val="center"/>
                    <w:rPr>
                      <w:rFonts w:hint="eastAsia"/>
                      <w:color w:val="auto"/>
                      <w:szCs w:val="21"/>
                    </w:rPr>
                  </w:pPr>
                  <w:r>
                    <w:rPr>
                      <w:rFonts w:hint="eastAsia"/>
                      <w:snapToGrid w:val="0"/>
                      <w:color w:val="auto"/>
                      <w:kern w:val="0"/>
                      <w:szCs w:val="21"/>
                    </w:rPr>
                    <w:t>废机油</w:t>
                  </w:r>
                </w:p>
              </w:tc>
              <w:tc>
                <w:tcPr>
                  <w:tcW w:w="511" w:type="pct"/>
                  <w:noWrap w:val="0"/>
                  <w:vAlign w:val="center"/>
                </w:tcPr>
                <w:p>
                  <w:pPr>
                    <w:topLinePunct/>
                    <w:snapToGrid w:val="0"/>
                    <w:jc w:val="center"/>
                    <w:rPr>
                      <w:color w:val="auto"/>
                      <w:szCs w:val="21"/>
                    </w:rPr>
                  </w:pPr>
                  <w:r>
                    <w:rPr>
                      <w:rFonts w:hint="eastAsia"/>
                      <w:color w:val="auto"/>
                      <w:szCs w:val="21"/>
                    </w:rPr>
                    <w:t>HW08</w:t>
                  </w:r>
                </w:p>
              </w:tc>
              <w:tc>
                <w:tcPr>
                  <w:tcW w:w="771" w:type="pct"/>
                  <w:noWrap w:val="0"/>
                  <w:vAlign w:val="center"/>
                </w:tcPr>
                <w:p>
                  <w:pPr>
                    <w:adjustRightInd w:val="0"/>
                    <w:snapToGrid w:val="0"/>
                    <w:jc w:val="center"/>
                    <w:rPr>
                      <w:color w:val="auto"/>
                      <w:szCs w:val="21"/>
                    </w:rPr>
                  </w:pPr>
                  <w:r>
                    <w:rPr>
                      <w:rFonts w:hint="eastAsia"/>
                      <w:bCs/>
                      <w:snapToGrid w:val="0"/>
                      <w:color w:val="auto"/>
                      <w:kern w:val="0"/>
                      <w:szCs w:val="21"/>
                    </w:rPr>
                    <w:t>900-249-08</w:t>
                  </w:r>
                </w:p>
              </w:tc>
              <w:tc>
                <w:tcPr>
                  <w:tcW w:w="408" w:type="pct"/>
                  <w:vMerge w:val="restart"/>
                  <w:noWrap w:val="0"/>
                  <w:vAlign w:val="center"/>
                </w:tcPr>
                <w:p>
                  <w:pPr>
                    <w:topLinePunct/>
                    <w:snapToGrid w:val="0"/>
                    <w:jc w:val="center"/>
                    <w:rPr>
                      <w:rFonts w:hint="eastAsia"/>
                      <w:color w:val="auto"/>
                      <w:kern w:val="0"/>
                      <w:szCs w:val="21"/>
                    </w:rPr>
                  </w:pPr>
                  <w:r>
                    <w:rPr>
                      <w:rFonts w:hint="eastAsia"/>
                      <w:color w:val="auto"/>
                      <w:kern w:val="0"/>
                      <w:szCs w:val="21"/>
                    </w:rPr>
                    <w:t>生产区</w:t>
                  </w:r>
                </w:p>
              </w:tc>
              <w:tc>
                <w:tcPr>
                  <w:tcW w:w="429" w:type="pct"/>
                  <w:vMerge w:val="restart"/>
                  <w:noWrap w:val="0"/>
                  <w:vAlign w:val="center"/>
                </w:tcPr>
                <w:p>
                  <w:pPr>
                    <w:topLinePunct/>
                    <w:snapToGrid w:val="0"/>
                    <w:jc w:val="center"/>
                    <w:rPr>
                      <w:color w:val="auto"/>
                      <w:kern w:val="0"/>
                      <w:szCs w:val="21"/>
                    </w:rPr>
                  </w:pPr>
                  <w:r>
                    <w:rPr>
                      <w:rFonts w:hint="eastAsia"/>
                      <w:color w:val="auto"/>
                      <w:kern w:val="0"/>
                      <w:szCs w:val="21"/>
                    </w:rPr>
                    <w:t>2.5</w:t>
                  </w:r>
                </w:p>
              </w:tc>
              <w:tc>
                <w:tcPr>
                  <w:tcW w:w="418" w:type="pct"/>
                  <w:vMerge w:val="restart"/>
                  <w:noWrap w:val="0"/>
                  <w:vAlign w:val="center"/>
                </w:tcPr>
                <w:p>
                  <w:pPr>
                    <w:topLinePunct/>
                    <w:snapToGrid w:val="0"/>
                    <w:jc w:val="center"/>
                    <w:rPr>
                      <w:color w:val="auto"/>
                      <w:kern w:val="0"/>
                      <w:szCs w:val="21"/>
                    </w:rPr>
                  </w:pPr>
                  <w:r>
                    <w:rPr>
                      <w:color w:val="auto"/>
                      <w:kern w:val="0"/>
                      <w:szCs w:val="21"/>
                    </w:rPr>
                    <w:t>桶装</w:t>
                  </w:r>
                </w:p>
              </w:tc>
              <w:tc>
                <w:tcPr>
                  <w:tcW w:w="449" w:type="pct"/>
                  <w:vMerge w:val="restart"/>
                  <w:noWrap w:val="0"/>
                  <w:vAlign w:val="center"/>
                </w:tcPr>
                <w:p>
                  <w:pPr>
                    <w:topLinePunct/>
                    <w:snapToGrid w:val="0"/>
                    <w:jc w:val="center"/>
                    <w:rPr>
                      <w:color w:val="auto"/>
                      <w:kern w:val="0"/>
                      <w:szCs w:val="21"/>
                    </w:rPr>
                  </w:pPr>
                  <w:r>
                    <w:rPr>
                      <w:rFonts w:hint="eastAsia"/>
                      <w:color w:val="auto"/>
                      <w:kern w:val="0"/>
                      <w:szCs w:val="21"/>
                    </w:rPr>
                    <w:t>0.2</w:t>
                  </w:r>
                </w:p>
              </w:tc>
              <w:tc>
                <w:tcPr>
                  <w:tcW w:w="384" w:type="pct"/>
                  <w:vMerge w:val="restart"/>
                  <w:noWrap w:val="0"/>
                  <w:vAlign w:val="center"/>
                </w:tcPr>
                <w:p>
                  <w:pPr>
                    <w:topLinePunct/>
                    <w:snapToGrid w:val="0"/>
                    <w:jc w:val="center"/>
                    <w:rPr>
                      <w:color w:val="auto"/>
                      <w:kern w:val="0"/>
                      <w:szCs w:val="21"/>
                    </w:rPr>
                  </w:pPr>
                  <w:r>
                    <w:rPr>
                      <w:rFonts w:hint="eastAsia"/>
                      <w:color w:val="auto"/>
                      <w:kern w:val="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pct"/>
                  <w:vMerge w:val="continue"/>
                  <w:noWrap w:val="0"/>
                  <w:vAlign w:val="center"/>
                </w:tcPr>
                <w:p>
                  <w:pPr>
                    <w:topLinePunct/>
                    <w:snapToGrid w:val="0"/>
                    <w:jc w:val="center"/>
                    <w:rPr>
                      <w:color w:val="auto"/>
                      <w:kern w:val="0"/>
                      <w:szCs w:val="21"/>
                    </w:rPr>
                  </w:pPr>
                </w:p>
              </w:tc>
              <w:tc>
                <w:tcPr>
                  <w:tcW w:w="893" w:type="pct"/>
                  <w:noWrap w:val="0"/>
                  <w:vAlign w:val="center"/>
                </w:tcPr>
                <w:p>
                  <w:pPr>
                    <w:snapToGrid w:val="0"/>
                    <w:jc w:val="center"/>
                    <w:rPr>
                      <w:color w:val="auto"/>
                      <w:kern w:val="0"/>
                      <w:szCs w:val="21"/>
                    </w:rPr>
                  </w:pPr>
                  <w:r>
                    <w:rPr>
                      <w:rFonts w:hint="eastAsia"/>
                      <w:bCs/>
                      <w:snapToGrid w:val="0"/>
                      <w:color w:val="auto"/>
                      <w:kern w:val="0"/>
                      <w:szCs w:val="21"/>
                    </w:rPr>
                    <w:t>废抹布</w:t>
                  </w:r>
                </w:p>
              </w:tc>
              <w:tc>
                <w:tcPr>
                  <w:tcW w:w="511" w:type="pct"/>
                  <w:noWrap w:val="0"/>
                  <w:vAlign w:val="center"/>
                </w:tcPr>
                <w:p>
                  <w:pPr>
                    <w:topLinePunct/>
                    <w:snapToGrid w:val="0"/>
                    <w:jc w:val="center"/>
                    <w:rPr>
                      <w:color w:val="auto"/>
                      <w:kern w:val="0"/>
                      <w:szCs w:val="21"/>
                    </w:rPr>
                  </w:pPr>
                  <w:r>
                    <w:rPr>
                      <w:rFonts w:hint="eastAsia"/>
                      <w:color w:val="auto"/>
                      <w:szCs w:val="21"/>
                    </w:rPr>
                    <w:t>HW49</w:t>
                  </w:r>
                </w:p>
              </w:tc>
              <w:tc>
                <w:tcPr>
                  <w:tcW w:w="771" w:type="pct"/>
                  <w:noWrap w:val="0"/>
                  <w:vAlign w:val="center"/>
                </w:tcPr>
                <w:p>
                  <w:pPr>
                    <w:adjustRightInd w:val="0"/>
                    <w:snapToGrid w:val="0"/>
                    <w:jc w:val="center"/>
                    <w:rPr>
                      <w:color w:val="auto"/>
                      <w:kern w:val="0"/>
                      <w:szCs w:val="21"/>
                    </w:rPr>
                  </w:pPr>
                  <w:r>
                    <w:rPr>
                      <w:rFonts w:hint="eastAsia"/>
                      <w:bCs/>
                      <w:snapToGrid w:val="0"/>
                      <w:color w:val="auto"/>
                      <w:kern w:val="0"/>
                      <w:szCs w:val="21"/>
                    </w:rPr>
                    <w:t>900-041-49</w:t>
                  </w:r>
                </w:p>
              </w:tc>
              <w:tc>
                <w:tcPr>
                  <w:tcW w:w="408" w:type="pct"/>
                  <w:vMerge w:val="continue"/>
                  <w:noWrap w:val="0"/>
                  <w:vAlign w:val="center"/>
                </w:tcPr>
                <w:p>
                  <w:pPr>
                    <w:topLinePunct/>
                    <w:snapToGrid w:val="0"/>
                    <w:jc w:val="center"/>
                    <w:rPr>
                      <w:color w:val="auto"/>
                      <w:kern w:val="0"/>
                      <w:szCs w:val="21"/>
                    </w:rPr>
                  </w:pPr>
                </w:p>
              </w:tc>
              <w:tc>
                <w:tcPr>
                  <w:tcW w:w="429" w:type="pct"/>
                  <w:vMerge w:val="continue"/>
                  <w:noWrap w:val="0"/>
                  <w:vAlign w:val="center"/>
                </w:tcPr>
                <w:p>
                  <w:pPr>
                    <w:topLinePunct/>
                    <w:snapToGrid w:val="0"/>
                    <w:jc w:val="center"/>
                    <w:rPr>
                      <w:color w:val="auto"/>
                      <w:kern w:val="0"/>
                      <w:szCs w:val="21"/>
                    </w:rPr>
                  </w:pPr>
                </w:p>
              </w:tc>
              <w:tc>
                <w:tcPr>
                  <w:tcW w:w="418" w:type="pct"/>
                  <w:vMerge w:val="continue"/>
                  <w:noWrap w:val="0"/>
                  <w:vAlign w:val="center"/>
                </w:tcPr>
                <w:p>
                  <w:pPr>
                    <w:topLinePunct/>
                    <w:snapToGrid w:val="0"/>
                    <w:jc w:val="center"/>
                    <w:rPr>
                      <w:color w:val="auto"/>
                      <w:kern w:val="0"/>
                      <w:szCs w:val="21"/>
                    </w:rPr>
                  </w:pPr>
                </w:p>
              </w:tc>
              <w:tc>
                <w:tcPr>
                  <w:tcW w:w="449" w:type="pct"/>
                  <w:vMerge w:val="continue"/>
                  <w:noWrap w:val="0"/>
                  <w:vAlign w:val="center"/>
                </w:tcPr>
                <w:p>
                  <w:pPr>
                    <w:topLinePunct/>
                    <w:snapToGrid w:val="0"/>
                    <w:jc w:val="center"/>
                    <w:rPr>
                      <w:color w:val="auto"/>
                      <w:kern w:val="0"/>
                      <w:szCs w:val="21"/>
                    </w:rPr>
                  </w:pPr>
                </w:p>
              </w:tc>
              <w:tc>
                <w:tcPr>
                  <w:tcW w:w="384" w:type="pct"/>
                  <w:vMerge w:val="continue"/>
                  <w:noWrap w:val="0"/>
                  <w:vAlign w:val="center"/>
                </w:tcPr>
                <w:p>
                  <w:pPr>
                    <w:topLinePunct/>
                    <w:snapToGrid w:val="0"/>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pct"/>
                  <w:vMerge w:val="continue"/>
                  <w:noWrap w:val="0"/>
                  <w:vAlign w:val="center"/>
                </w:tcPr>
                <w:p>
                  <w:pPr>
                    <w:topLinePunct/>
                    <w:snapToGrid w:val="0"/>
                    <w:jc w:val="center"/>
                    <w:rPr>
                      <w:color w:val="auto"/>
                      <w:kern w:val="0"/>
                      <w:szCs w:val="21"/>
                    </w:rPr>
                  </w:pPr>
                </w:p>
              </w:tc>
              <w:tc>
                <w:tcPr>
                  <w:tcW w:w="893" w:type="pct"/>
                  <w:noWrap w:val="0"/>
                  <w:vAlign w:val="center"/>
                </w:tcPr>
                <w:p>
                  <w:pPr>
                    <w:snapToGrid w:val="0"/>
                    <w:jc w:val="center"/>
                    <w:rPr>
                      <w:color w:val="auto"/>
                      <w:szCs w:val="21"/>
                    </w:rPr>
                  </w:pPr>
                  <w:r>
                    <w:rPr>
                      <w:snapToGrid w:val="0"/>
                      <w:color w:val="auto"/>
                      <w:kern w:val="0"/>
                      <w:szCs w:val="21"/>
                    </w:rPr>
                    <w:t>废活性炭</w:t>
                  </w:r>
                </w:p>
              </w:tc>
              <w:tc>
                <w:tcPr>
                  <w:tcW w:w="511" w:type="pct"/>
                  <w:noWrap w:val="0"/>
                  <w:vAlign w:val="center"/>
                </w:tcPr>
                <w:p>
                  <w:pPr>
                    <w:topLinePunct/>
                    <w:snapToGrid w:val="0"/>
                    <w:jc w:val="center"/>
                    <w:rPr>
                      <w:color w:val="auto"/>
                      <w:szCs w:val="21"/>
                    </w:rPr>
                  </w:pPr>
                  <w:r>
                    <w:rPr>
                      <w:rFonts w:hint="eastAsia"/>
                      <w:color w:val="auto"/>
                      <w:szCs w:val="21"/>
                    </w:rPr>
                    <w:t>HW49</w:t>
                  </w:r>
                </w:p>
              </w:tc>
              <w:tc>
                <w:tcPr>
                  <w:tcW w:w="771" w:type="pct"/>
                  <w:noWrap w:val="0"/>
                  <w:vAlign w:val="center"/>
                </w:tcPr>
                <w:p>
                  <w:pPr>
                    <w:adjustRightInd w:val="0"/>
                    <w:snapToGrid w:val="0"/>
                    <w:jc w:val="center"/>
                    <w:rPr>
                      <w:color w:val="auto"/>
                      <w:szCs w:val="21"/>
                    </w:rPr>
                  </w:pPr>
                  <w:r>
                    <w:rPr>
                      <w:rFonts w:hint="eastAsia"/>
                      <w:bCs/>
                      <w:snapToGrid w:val="0"/>
                      <w:color w:val="auto"/>
                      <w:kern w:val="0"/>
                      <w:szCs w:val="21"/>
                    </w:rPr>
                    <w:t>900-039-49</w:t>
                  </w:r>
                </w:p>
              </w:tc>
              <w:tc>
                <w:tcPr>
                  <w:tcW w:w="408" w:type="pct"/>
                  <w:vMerge w:val="continue"/>
                  <w:noWrap w:val="0"/>
                  <w:vAlign w:val="center"/>
                </w:tcPr>
                <w:p>
                  <w:pPr>
                    <w:topLinePunct/>
                    <w:snapToGrid w:val="0"/>
                    <w:jc w:val="center"/>
                    <w:rPr>
                      <w:color w:val="auto"/>
                      <w:kern w:val="0"/>
                      <w:szCs w:val="21"/>
                    </w:rPr>
                  </w:pPr>
                </w:p>
              </w:tc>
              <w:tc>
                <w:tcPr>
                  <w:tcW w:w="429" w:type="pct"/>
                  <w:vMerge w:val="continue"/>
                  <w:noWrap w:val="0"/>
                  <w:vAlign w:val="center"/>
                </w:tcPr>
                <w:p>
                  <w:pPr>
                    <w:topLinePunct/>
                    <w:snapToGrid w:val="0"/>
                    <w:jc w:val="center"/>
                    <w:rPr>
                      <w:color w:val="auto"/>
                      <w:kern w:val="0"/>
                      <w:szCs w:val="21"/>
                    </w:rPr>
                  </w:pPr>
                </w:p>
              </w:tc>
              <w:tc>
                <w:tcPr>
                  <w:tcW w:w="418" w:type="pct"/>
                  <w:vMerge w:val="continue"/>
                  <w:noWrap w:val="0"/>
                  <w:vAlign w:val="center"/>
                </w:tcPr>
                <w:p>
                  <w:pPr>
                    <w:topLinePunct/>
                    <w:snapToGrid w:val="0"/>
                    <w:jc w:val="center"/>
                    <w:rPr>
                      <w:color w:val="auto"/>
                      <w:kern w:val="0"/>
                      <w:szCs w:val="21"/>
                    </w:rPr>
                  </w:pPr>
                </w:p>
              </w:tc>
              <w:tc>
                <w:tcPr>
                  <w:tcW w:w="449" w:type="pct"/>
                  <w:vMerge w:val="continue"/>
                  <w:noWrap w:val="0"/>
                  <w:vAlign w:val="center"/>
                </w:tcPr>
                <w:p>
                  <w:pPr>
                    <w:topLinePunct/>
                    <w:snapToGrid w:val="0"/>
                    <w:jc w:val="center"/>
                    <w:rPr>
                      <w:color w:val="auto"/>
                      <w:kern w:val="0"/>
                      <w:szCs w:val="21"/>
                    </w:rPr>
                  </w:pPr>
                </w:p>
              </w:tc>
              <w:tc>
                <w:tcPr>
                  <w:tcW w:w="384" w:type="pct"/>
                  <w:vMerge w:val="continue"/>
                  <w:noWrap w:val="0"/>
                  <w:vAlign w:val="center"/>
                </w:tcPr>
                <w:p>
                  <w:pPr>
                    <w:topLinePunct/>
                    <w:snapToGrid w:val="0"/>
                    <w:jc w:val="center"/>
                    <w:rPr>
                      <w:color w:val="auto"/>
                      <w:kern w:val="0"/>
                      <w:szCs w:val="21"/>
                    </w:rPr>
                  </w:pPr>
                </w:p>
              </w:tc>
            </w:tr>
          </w:tbl>
          <w:p>
            <w:pPr>
              <w:adjustRightInd w:val="0"/>
              <w:snapToGrid w:val="0"/>
              <w:ind w:firstLine="440" w:firstLineChars="200"/>
              <w:rPr>
                <w:bCs/>
                <w:color w:val="auto"/>
                <w:spacing w:val="-10"/>
                <w:sz w:val="24"/>
                <w:lang w:val="zh-CN"/>
              </w:rPr>
            </w:pPr>
          </w:p>
          <w:p>
            <w:pPr>
              <w:adjustRightInd w:val="0"/>
              <w:snapToGrid w:val="0"/>
              <w:spacing w:line="360" w:lineRule="auto"/>
              <w:ind w:firstLine="440" w:firstLineChars="200"/>
              <w:rPr>
                <w:bCs/>
                <w:color w:val="auto"/>
                <w:spacing w:val="-10"/>
                <w:sz w:val="24"/>
              </w:rPr>
            </w:pPr>
            <w:r>
              <w:rPr>
                <w:bCs/>
                <w:color w:val="auto"/>
                <w:spacing w:val="-10"/>
                <w:sz w:val="24"/>
              </w:rPr>
              <w:t>C、危险废物转运的控制措施</w:t>
            </w:r>
          </w:p>
          <w:p>
            <w:pPr>
              <w:adjustRightInd w:val="0"/>
              <w:snapToGrid w:val="0"/>
              <w:spacing w:line="360" w:lineRule="auto"/>
              <w:ind w:firstLine="440" w:firstLineChars="200"/>
              <w:rPr>
                <w:bCs/>
                <w:color w:val="auto"/>
                <w:spacing w:val="-10"/>
                <w:sz w:val="24"/>
              </w:rPr>
            </w:pPr>
            <w:r>
              <w:rPr>
                <w:rFonts w:hint="eastAsia"/>
                <w:bCs/>
                <w:color w:val="auto"/>
                <w:spacing w:val="-10"/>
                <w:sz w:val="24"/>
              </w:rPr>
              <w:t>本</w:t>
            </w:r>
            <w:r>
              <w:rPr>
                <w:bCs/>
                <w:color w:val="auto"/>
                <w:spacing w:val="-10"/>
                <w:sz w:val="24"/>
              </w:rPr>
              <w:t>项目运营期产生的危险废物应委托具有危险废物经营资质的单位统一收集，并妥善处置；同时，</w:t>
            </w:r>
            <w:r>
              <w:rPr>
                <w:rFonts w:hint="eastAsia"/>
                <w:bCs/>
                <w:color w:val="auto"/>
                <w:spacing w:val="-10"/>
                <w:sz w:val="24"/>
              </w:rPr>
              <w:t>本</w:t>
            </w:r>
            <w:r>
              <w:rPr>
                <w:bCs/>
                <w:color w:val="auto"/>
                <w:spacing w:val="-10"/>
                <w:sz w:val="24"/>
              </w:rPr>
              <w:t>项目需设置专门的危险固废收集设施，与普通的城市生活垃圾区别开来。危险废物临时贮存设施要符合《危险废物贮存污染控制标准》（GB18597-2001）及2013年修订单的有关规定。且严格按环发《国家危险废物名录（2021年版）》中的有关要求实施。加强对危险废物的管理，对危险废物的产生、利用、收集、运输、贮存、处置等环节建立追踪性的帐目和手续，并纳入生态环境部门的监督管理。</w:t>
            </w:r>
          </w:p>
          <w:p>
            <w:pPr>
              <w:adjustRightInd w:val="0"/>
              <w:snapToGrid w:val="0"/>
              <w:spacing w:line="360" w:lineRule="auto"/>
              <w:ind w:firstLine="440" w:firstLineChars="200"/>
              <w:rPr>
                <w:bCs/>
                <w:color w:val="auto"/>
                <w:spacing w:val="-10"/>
                <w:sz w:val="24"/>
              </w:rPr>
            </w:pPr>
            <w:r>
              <w:rPr>
                <w:bCs/>
                <w:color w:val="auto"/>
                <w:spacing w:val="-10"/>
                <w:sz w:val="24"/>
              </w:rPr>
              <w:t>根据《危险废物产生单位危险废物规范化管理工作指引》，危废转移报批程序如下：</w:t>
            </w:r>
          </w:p>
          <w:p>
            <w:pPr>
              <w:adjustRightInd w:val="0"/>
              <w:snapToGrid w:val="0"/>
              <w:spacing w:line="360" w:lineRule="auto"/>
              <w:ind w:firstLine="440" w:firstLineChars="200"/>
              <w:rPr>
                <w:bCs/>
                <w:color w:val="auto"/>
                <w:spacing w:val="-10"/>
                <w:sz w:val="24"/>
              </w:rPr>
            </w:pPr>
            <w:r>
              <w:rPr>
                <w:bCs/>
                <w:color w:val="auto"/>
                <w:spacing w:val="-10"/>
                <w:sz w:val="24"/>
              </w:rPr>
              <w:t>1）危险废物申报登记。危险废物产生单位必须将上年度危险废物的种类、产生量、流向、贮存、处置等有关资料向所在县级以上生态环境部门申报登记。</w:t>
            </w:r>
          </w:p>
          <w:p>
            <w:pPr>
              <w:adjustRightInd w:val="0"/>
              <w:snapToGrid w:val="0"/>
              <w:spacing w:line="360" w:lineRule="auto"/>
              <w:ind w:firstLine="440" w:firstLineChars="200"/>
              <w:rPr>
                <w:bCs/>
                <w:color w:val="auto"/>
                <w:spacing w:val="-10"/>
                <w:sz w:val="24"/>
              </w:rPr>
            </w:pPr>
            <w:r>
              <w:rPr>
                <w:bCs/>
                <w:color w:val="auto"/>
                <w:spacing w:val="-10"/>
                <w:sz w:val="24"/>
              </w:rPr>
              <w:t>2）危险废物管理台帐和危险废物管理计划的登记备案。通过</w:t>
            </w:r>
            <w:r>
              <w:rPr>
                <w:rFonts w:hint="eastAsia"/>
                <w:bCs/>
                <w:color w:val="auto"/>
                <w:spacing w:val="-10"/>
                <w:sz w:val="24"/>
              </w:rPr>
              <w:t>江西省</w:t>
            </w:r>
            <w:r>
              <w:rPr>
                <w:bCs/>
                <w:color w:val="auto"/>
                <w:spacing w:val="-10"/>
                <w:sz w:val="24"/>
              </w:rPr>
              <w:t>固体废物管理平台提供的危险废物转移管理台帐登记功能进行登记以及根据管理台帐和近年生产计划，制订危险废物管理计划，并报所在地县级以上地方生态环境部门备案。</w:t>
            </w:r>
          </w:p>
          <w:p>
            <w:pPr>
              <w:adjustRightInd w:val="0"/>
              <w:snapToGrid w:val="0"/>
              <w:spacing w:line="360" w:lineRule="auto"/>
              <w:ind w:firstLine="440" w:firstLineChars="200"/>
              <w:rPr>
                <w:bCs/>
                <w:color w:val="auto"/>
                <w:spacing w:val="-10"/>
                <w:sz w:val="24"/>
              </w:rPr>
            </w:pPr>
            <w:r>
              <w:rPr>
                <w:bCs/>
                <w:color w:val="auto"/>
                <w:spacing w:val="-10"/>
                <w:sz w:val="24"/>
              </w:rPr>
              <w:t>3）危险废物产生单位委托有资质单位处理处置危险废物时，必须严格执行危险废物转移计划报批和依法运行危险废物转移联单。</w:t>
            </w:r>
          </w:p>
          <w:p>
            <w:pPr>
              <w:adjustRightInd w:val="0"/>
              <w:snapToGrid w:val="0"/>
              <w:spacing w:line="360" w:lineRule="auto"/>
              <w:ind w:firstLine="440" w:firstLineChars="200"/>
              <w:rPr>
                <w:bCs/>
                <w:color w:val="auto"/>
                <w:spacing w:val="-10"/>
                <w:sz w:val="24"/>
              </w:rPr>
            </w:pPr>
            <w:r>
              <w:rPr>
                <w:bCs/>
                <w:color w:val="auto"/>
                <w:spacing w:val="-10"/>
                <w:sz w:val="24"/>
              </w:rPr>
              <w:t>③生活垃圾</w:t>
            </w:r>
          </w:p>
          <w:p>
            <w:pPr>
              <w:adjustRightInd w:val="0"/>
              <w:snapToGrid w:val="0"/>
              <w:spacing w:line="360" w:lineRule="auto"/>
              <w:ind w:firstLine="440" w:firstLineChars="200"/>
              <w:rPr>
                <w:b/>
                <w:color w:val="auto"/>
                <w:spacing w:val="-10"/>
                <w:sz w:val="24"/>
              </w:rPr>
            </w:pPr>
            <w:r>
              <w:rPr>
                <w:rFonts w:hint="eastAsia"/>
                <w:bCs/>
                <w:color w:val="auto"/>
                <w:spacing w:val="-10"/>
                <w:sz w:val="24"/>
              </w:rPr>
              <w:t>本</w:t>
            </w:r>
            <w:r>
              <w:rPr>
                <w:bCs/>
                <w:color w:val="auto"/>
                <w:spacing w:val="-10"/>
                <w:sz w:val="24"/>
              </w:rPr>
              <w:t>项目员工生活产生的生活垃圾必须按照指定地点堆放在生活垃圾堆放点，每日由环卫部门清理运走，并对堆放点进行定期的清洁消毒，杀灭害虫。</w:t>
            </w:r>
          </w:p>
          <w:p>
            <w:pPr>
              <w:adjustRightInd w:val="0"/>
              <w:snapToGrid w:val="0"/>
              <w:spacing w:line="360" w:lineRule="auto"/>
              <w:ind w:firstLine="442" w:firstLineChars="200"/>
              <w:rPr>
                <w:b/>
                <w:color w:val="auto"/>
                <w:spacing w:val="-10"/>
                <w:sz w:val="24"/>
                <w:lang w:val="zh-CN"/>
              </w:rPr>
            </w:pPr>
            <w:r>
              <w:rPr>
                <w:b/>
                <w:color w:val="auto"/>
                <w:spacing w:val="-10"/>
                <w:sz w:val="24"/>
              </w:rPr>
              <w:t>（五）</w:t>
            </w:r>
            <w:r>
              <w:rPr>
                <w:b/>
                <w:color w:val="auto"/>
                <w:spacing w:val="-10"/>
                <w:sz w:val="24"/>
                <w:lang w:val="zh-CN"/>
              </w:rPr>
              <w:t>地下水、土壤环境影响分析</w:t>
            </w:r>
          </w:p>
          <w:p>
            <w:pPr>
              <w:adjustRightInd w:val="0"/>
              <w:snapToGrid w:val="0"/>
              <w:spacing w:line="360" w:lineRule="auto"/>
              <w:ind w:firstLine="482" w:firstLineChars="200"/>
              <w:rPr>
                <w:bCs/>
                <w:color w:val="auto"/>
                <w:spacing w:val="-10"/>
                <w:sz w:val="24"/>
                <w:lang w:val="zh-CN"/>
              </w:rPr>
            </w:pPr>
            <w:r>
              <w:rPr>
                <w:b/>
                <w:bCs/>
                <w:color w:val="auto"/>
                <w:sz w:val="24"/>
              </w:rPr>
              <w:t>1、</w:t>
            </w:r>
            <w:r>
              <w:rPr>
                <w:b/>
                <w:bCs/>
                <w:color w:val="auto"/>
                <w:sz w:val="24"/>
                <w:lang w:val="zh-CN"/>
              </w:rPr>
              <w:t>潜在污染源及其影响途径</w:t>
            </w:r>
          </w:p>
          <w:p>
            <w:pPr>
              <w:snapToGrid w:val="0"/>
              <w:spacing w:line="360" w:lineRule="auto"/>
              <w:ind w:firstLine="480" w:firstLineChars="200"/>
              <w:rPr>
                <w:color w:val="auto"/>
                <w:sz w:val="24"/>
              </w:rPr>
            </w:pPr>
            <w:r>
              <w:rPr>
                <w:color w:val="auto"/>
                <w:sz w:val="24"/>
              </w:rPr>
              <w:t>本项目用水由市政给水管网提供，不抽取地下水，项目不排放生产废水，因此，本项目不会改变地下水系统原有的水动力平衡条件，也不会造成局部地下水水位下降等不利影响；本项目不使用酸、碱等腐蚀性化学品，项目厂区地面均已进行硬化，可以保证污染物不会进入土壤环境，污染土壤，进而污染地下水。因此，本项目不存在地下水、土壤影响途径。</w:t>
            </w:r>
          </w:p>
          <w:p>
            <w:pPr>
              <w:snapToGrid w:val="0"/>
              <w:spacing w:line="360" w:lineRule="auto"/>
              <w:ind w:firstLine="482" w:firstLineChars="200"/>
              <w:rPr>
                <w:b/>
                <w:bCs/>
                <w:color w:val="auto"/>
                <w:sz w:val="24"/>
              </w:rPr>
            </w:pPr>
            <w:r>
              <w:rPr>
                <w:b/>
                <w:bCs/>
                <w:color w:val="auto"/>
                <w:sz w:val="24"/>
              </w:rPr>
              <w:t>2、项目分区保护措施</w:t>
            </w:r>
          </w:p>
          <w:p>
            <w:pPr>
              <w:snapToGrid w:val="0"/>
              <w:jc w:val="center"/>
              <w:rPr>
                <w:b/>
                <w:bCs/>
                <w:color w:val="auto"/>
                <w:sz w:val="24"/>
              </w:rPr>
            </w:pPr>
            <w:r>
              <w:rPr>
                <w:b/>
                <w:bCs/>
                <w:color w:val="auto"/>
                <w:sz w:val="24"/>
              </w:rPr>
              <w:t>表4-14 地下水、土壤分区防护措施一览表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848"/>
              <w:gridCol w:w="1468"/>
              <w:gridCol w:w="1386"/>
              <w:gridCol w:w="3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noWrap w:val="0"/>
                  <w:vAlign w:val="center"/>
                </w:tcPr>
                <w:p>
                  <w:pPr>
                    <w:topLinePunct/>
                    <w:snapToGrid w:val="0"/>
                    <w:jc w:val="center"/>
                    <w:rPr>
                      <w:b/>
                      <w:bCs/>
                      <w:color w:val="auto"/>
                      <w:szCs w:val="21"/>
                    </w:rPr>
                  </w:pPr>
                  <w:r>
                    <w:rPr>
                      <w:rFonts w:hint="eastAsia"/>
                      <w:b/>
                      <w:bCs/>
                      <w:color w:val="auto"/>
                      <w:szCs w:val="21"/>
                    </w:rPr>
                    <w:t>防渗分区</w:t>
                  </w:r>
                </w:p>
              </w:tc>
              <w:tc>
                <w:tcPr>
                  <w:tcW w:w="1848" w:type="dxa"/>
                  <w:noWrap w:val="0"/>
                  <w:vAlign w:val="center"/>
                </w:tcPr>
                <w:p>
                  <w:pPr>
                    <w:topLinePunct/>
                    <w:snapToGrid w:val="0"/>
                    <w:jc w:val="center"/>
                    <w:rPr>
                      <w:b/>
                      <w:bCs/>
                      <w:color w:val="auto"/>
                      <w:szCs w:val="21"/>
                    </w:rPr>
                  </w:pPr>
                  <w:r>
                    <w:rPr>
                      <w:rFonts w:hint="eastAsia"/>
                      <w:b/>
                      <w:bCs/>
                      <w:color w:val="auto"/>
                      <w:szCs w:val="21"/>
                    </w:rPr>
                    <w:t>区域</w:t>
                  </w:r>
                </w:p>
              </w:tc>
              <w:tc>
                <w:tcPr>
                  <w:tcW w:w="1468" w:type="dxa"/>
                  <w:noWrap w:val="0"/>
                  <w:vAlign w:val="center"/>
                </w:tcPr>
                <w:p>
                  <w:pPr>
                    <w:topLinePunct/>
                    <w:snapToGrid w:val="0"/>
                    <w:jc w:val="center"/>
                    <w:rPr>
                      <w:b/>
                      <w:bCs/>
                      <w:color w:val="auto"/>
                      <w:szCs w:val="21"/>
                    </w:rPr>
                  </w:pPr>
                  <w:r>
                    <w:rPr>
                      <w:b/>
                      <w:bCs/>
                      <w:color w:val="auto"/>
                      <w:szCs w:val="21"/>
                    </w:rPr>
                    <w:t>潜在污染源</w:t>
                  </w:r>
                </w:p>
              </w:tc>
              <w:tc>
                <w:tcPr>
                  <w:tcW w:w="1386" w:type="dxa"/>
                  <w:noWrap w:val="0"/>
                  <w:vAlign w:val="center"/>
                </w:tcPr>
                <w:p>
                  <w:pPr>
                    <w:topLinePunct/>
                    <w:snapToGrid w:val="0"/>
                    <w:jc w:val="center"/>
                    <w:rPr>
                      <w:b/>
                      <w:bCs/>
                      <w:color w:val="auto"/>
                      <w:szCs w:val="21"/>
                    </w:rPr>
                  </w:pPr>
                  <w:r>
                    <w:rPr>
                      <w:b/>
                      <w:bCs/>
                      <w:color w:val="auto"/>
                      <w:szCs w:val="21"/>
                    </w:rPr>
                    <w:t>设施</w:t>
                  </w:r>
                </w:p>
              </w:tc>
              <w:tc>
                <w:tcPr>
                  <w:tcW w:w="3379" w:type="dxa"/>
                  <w:noWrap w:val="0"/>
                  <w:vAlign w:val="center"/>
                </w:tcPr>
                <w:p>
                  <w:pPr>
                    <w:topLinePunct/>
                    <w:snapToGrid w:val="0"/>
                    <w:jc w:val="center"/>
                    <w:rPr>
                      <w:b/>
                      <w:bCs/>
                      <w:color w:val="auto"/>
                      <w:szCs w:val="21"/>
                    </w:rPr>
                  </w:pPr>
                  <w:r>
                    <w:rPr>
                      <w:rFonts w:hint="eastAsia"/>
                      <w:b/>
                      <w:bCs/>
                      <w:color w:val="auto"/>
                      <w:szCs w:val="21"/>
                    </w:rPr>
                    <w:t>防渗技术要求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Merge w:val="restart"/>
                  <w:noWrap w:val="0"/>
                  <w:vAlign w:val="center"/>
                </w:tcPr>
                <w:p>
                  <w:pPr>
                    <w:topLinePunct/>
                    <w:snapToGrid w:val="0"/>
                    <w:jc w:val="center"/>
                    <w:rPr>
                      <w:color w:val="auto"/>
                      <w:szCs w:val="21"/>
                    </w:rPr>
                  </w:pPr>
                  <w:r>
                    <w:rPr>
                      <w:color w:val="auto"/>
                      <w:szCs w:val="21"/>
                    </w:rPr>
                    <w:t>重点防渗区</w:t>
                  </w:r>
                </w:p>
              </w:tc>
              <w:tc>
                <w:tcPr>
                  <w:tcW w:w="1848" w:type="dxa"/>
                  <w:noWrap w:val="0"/>
                  <w:vAlign w:val="center"/>
                </w:tcPr>
                <w:p>
                  <w:pPr>
                    <w:topLinePunct/>
                    <w:snapToGrid w:val="0"/>
                    <w:jc w:val="center"/>
                    <w:rPr>
                      <w:color w:val="auto"/>
                      <w:szCs w:val="21"/>
                    </w:rPr>
                  </w:pPr>
                  <w:r>
                    <w:rPr>
                      <w:color w:val="auto"/>
                      <w:szCs w:val="21"/>
                    </w:rPr>
                    <w:t>危废间</w:t>
                  </w:r>
                </w:p>
              </w:tc>
              <w:tc>
                <w:tcPr>
                  <w:tcW w:w="1468" w:type="dxa"/>
                  <w:noWrap w:val="0"/>
                  <w:vAlign w:val="center"/>
                </w:tcPr>
                <w:p>
                  <w:pPr>
                    <w:topLinePunct/>
                    <w:snapToGrid w:val="0"/>
                    <w:jc w:val="center"/>
                    <w:rPr>
                      <w:color w:val="auto"/>
                      <w:szCs w:val="21"/>
                    </w:rPr>
                  </w:pPr>
                  <w:r>
                    <w:rPr>
                      <w:color w:val="auto"/>
                      <w:szCs w:val="21"/>
                    </w:rPr>
                    <w:t>危险废物</w:t>
                  </w:r>
                </w:p>
              </w:tc>
              <w:tc>
                <w:tcPr>
                  <w:tcW w:w="1386" w:type="dxa"/>
                  <w:noWrap w:val="0"/>
                  <w:vAlign w:val="center"/>
                </w:tcPr>
                <w:p>
                  <w:pPr>
                    <w:topLinePunct/>
                    <w:snapToGrid w:val="0"/>
                    <w:jc w:val="center"/>
                    <w:rPr>
                      <w:color w:val="auto"/>
                      <w:szCs w:val="21"/>
                    </w:rPr>
                  </w:pPr>
                  <w:r>
                    <w:rPr>
                      <w:color w:val="auto"/>
                      <w:szCs w:val="21"/>
                    </w:rPr>
                    <w:t>危废间</w:t>
                  </w:r>
                </w:p>
              </w:tc>
              <w:tc>
                <w:tcPr>
                  <w:tcW w:w="3379" w:type="dxa"/>
                  <w:vMerge w:val="restart"/>
                  <w:noWrap w:val="0"/>
                  <w:vAlign w:val="center"/>
                </w:tcPr>
                <w:p>
                  <w:pPr>
                    <w:topLinePunct/>
                    <w:snapToGrid w:val="0"/>
                    <w:jc w:val="center"/>
                    <w:rPr>
                      <w:color w:val="auto"/>
                      <w:szCs w:val="21"/>
                    </w:rPr>
                  </w:pPr>
                  <w:r>
                    <w:rPr>
                      <w:bCs/>
                      <w:color w:val="auto"/>
                      <w:spacing w:val="-10"/>
                      <w:szCs w:val="21"/>
                      <w:lang w:val="zh-CN"/>
                    </w:rPr>
                    <w:t>做好防风、防雨、防晒措施；地面和裙脚做好防腐、防渗漏措施；门口设置漫坡、围堰</w:t>
                  </w:r>
                  <w:r>
                    <w:rPr>
                      <w:bCs/>
                      <w:color w:val="auto"/>
                      <w:spacing w:val="-10"/>
                      <w:szCs w:val="21"/>
                    </w:rPr>
                    <w:t>；</w:t>
                  </w:r>
                  <w:r>
                    <w:rPr>
                      <w:color w:val="auto"/>
                      <w:szCs w:val="21"/>
                    </w:rPr>
                    <w:t>符合《危险废物贮存污染控制标准》的要求，</w:t>
                  </w:r>
                  <w:r>
                    <w:rPr>
                      <w:bCs/>
                      <w:color w:val="auto"/>
                      <w:kern w:val="0"/>
                      <w:szCs w:val="21"/>
                    </w:rPr>
                    <w:t>防渗层为至少1m厚黏土层（渗透系数数≤10</w:t>
                  </w:r>
                  <w:r>
                    <w:rPr>
                      <w:bCs/>
                      <w:color w:val="auto"/>
                      <w:kern w:val="0"/>
                      <w:szCs w:val="21"/>
                      <w:vertAlign w:val="superscript"/>
                    </w:rPr>
                    <w:t>-7</w:t>
                  </w:r>
                  <w:r>
                    <w:rPr>
                      <w:bCs/>
                      <w:color w:val="auto"/>
                      <w:kern w:val="0"/>
                      <w:szCs w:val="21"/>
                    </w:rPr>
                    <w:t>cm/s），或2mm 厚高密度聚乙烯，或至少2mm厚的其他人工材料（渗透系数≤10</w:t>
                  </w:r>
                  <w:r>
                    <w:rPr>
                      <w:bCs/>
                      <w:color w:val="auto"/>
                      <w:kern w:val="0"/>
                      <w:szCs w:val="21"/>
                      <w:vertAlign w:val="superscript"/>
                    </w:rPr>
                    <w:t>-10</w:t>
                  </w:r>
                  <w:r>
                    <w:rPr>
                      <w:bCs/>
                      <w:color w:val="auto"/>
                      <w:kern w:val="0"/>
                      <w:szCs w:val="21"/>
                    </w:rPr>
                    <w:t>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168" w:type="dxa"/>
                  <w:vMerge w:val="continue"/>
                  <w:noWrap w:val="0"/>
                  <w:vAlign w:val="center"/>
                </w:tcPr>
                <w:p>
                  <w:pPr>
                    <w:topLinePunct/>
                    <w:snapToGrid w:val="0"/>
                    <w:jc w:val="center"/>
                    <w:rPr>
                      <w:color w:val="auto"/>
                      <w:szCs w:val="21"/>
                    </w:rPr>
                  </w:pPr>
                </w:p>
              </w:tc>
              <w:tc>
                <w:tcPr>
                  <w:tcW w:w="1848" w:type="dxa"/>
                  <w:noWrap w:val="0"/>
                  <w:vAlign w:val="center"/>
                </w:tcPr>
                <w:p>
                  <w:pPr>
                    <w:topLinePunct/>
                    <w:snapToGrid w:val="0"/>
                    <w:jc w:val="center"/>
                    <w:rPr>
                      <w:color w:val="auto"/>
                      <w:szCs w:val="21"/>
                    </w:rPr>
                  </w:pPr>
                  <w:r>
                    <w:rPr>
                      <w:rFonts w:hint="eastAsia"/>
                      <w:color w:val="auto"/>
                      <w:szCs w:val="21"/>
                    </w:rPr>
                    <w:t>废水处理设施</w:t>
                  </w:r>
                </w:p>
              </w:tc>
              <w:tc>
                <w:tcPr>
                  <w:tcW w:w="1468" w:type="dxa"/>
                  <w:noWrap w:val="0"/>
                  <w:vAlign w:val="center"/>
                </w:tcPr>
                <w:p>
                  <w:pPr>
                    <w:topLinePunct/>
                    <w:snapToGrid w:val="0"/>
                    <w:jc w:val="center"/>
                    <w:rPr>
                      <w:color w:val="auto"/>
                      <w:szCs w:val="21"/>
                    </w:rPr>
                  </w:pPr>
                  <w:r>
                    <w:rPr>
                      <w:rFonts w:hint="eastAsia"/>
                      <w:color w:val="auto"/>
                      <w:szCs w:val="21"/>
                    </w:rPr>
                    <w:t>生产废水</w:t>
                  </w:r>
                </w:p>
              </w:tc>
              <w:tc>
                <w:tcPr>
                  <w:tcW w:w="1386" w:type="dxa"/>
                  <w:noWrap w:val="0"/>
                  <w:vAlign w:val="center"/>
                </w:tcPr>
                <w:p>
                  <w:pPr>
                    <w:topLinePunct/>
                    <w:snapToGrid w:val="0"/>
                    <w:jc w:val="center"/>
                    <w:rPr>
                      <w:color w:val="auto"/>
                      <w:szCs w:val="21"/>
                    </w:rPr>
                  </w:pPr>
                  <w:r>
                    <w:rPr>
                      <w:rFonts w:hint="eastAsia"/>
                      <w:color w:val="auto"/>
                      <w:szCs w:val="21"/>
                    </w:rPr>
                    <w:t>地面</w:t>
                  </w:r>
                </w:p>
              </w:tc>
              <w:tc>
                <w:tcPr>
                  <w:tcW w:w="3379" w:type="dxa"/>
                  <w:vMerge w:val="continue"/>
                  <w:noWrap w:val="0"/>
                  <w:vAlign w:val="center"/>
                </w:tcPr>
                <w:p>
                  <w:pPr>
                    <w:topLinePunct/>
                    <w:snapToGrid w:val="0"/>
                    <w:jc w:val="center"/>
                    <w:rPr>
                      <w:bCs/>
                      <w:color w:val="auto"/>
                      <w:spacing w:val="-1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Merge w:val="restart"/>
                  <w:noWrap w:val="0"/>
                  <w:vAlign w:val="center"/>
                </w:tcPr>
                <w:p>
                  <w:pPr>
                    <w:topLinePunct/>
                    <w:snapToGrid w:val="0"/>
                    <w:jc w:val="center"/>
                    <w:rPr>
                      <w:color w:val="auto"/>
                      <w:szCs w:val="21"/>
                    </w:rPr>
                  </w:pPr>
                  <w:r>
                    <w:rPr>
                      <w:rFonts w:hint="eastAsia"/>
                      <w:color w:val="auto"/>
                      <w:szCs w:val="21"/>
                    </w:rPr>
                    <w:t>一般防渗区</w:t>
                  </w:r>
                </w:p>
              </w:tc>
              <w:tc>
                <w:tcPr>
                  <w:tcW w:w="1848" w:type="dxa"/>
                  <w:noWrap w:val="0"/>
                  <w:vAlign w:val="center"/>
                </w:tcPr>
                <w:p>
                  <w:pPr>
                    <w:topLinePunct/>
                    <w:snapToGrid w:val="0"/>
                    <w:jc w:val="center"/>
                    <w:rPr>
                      <w:color w:val="auto"/>
                      <w:szCs w:val="21"/>
                    </w:rPr>
                  </w:pPr>
                  <w:r>
                    <w:rPr>
                      <w:rFonts w:hint="eastAsia"/>
                      <w:color w:val="auto"/>
                      <w:szCs w:val="21"/>
                    </w:rPr>
                    <w:t>一般固废间</w:t>
                  </w:r>
                </w:p>
              </w:tc>
              <w:tc>
                <w:tcPr>
                  <w:tcW w:w="1468" w:type="dxa"/>
                  <w:noWrap w:val="0"/>
                  <w:vAlign w:val="center"/>
                </w:tcPr>
                <w:p>
                  <w:pPr>
                    <w:topLinePunct/>
                    <w:snapToGrid w:val="0"/>
                    <w:jc w:val="center"/>
                    <w:rPr>
                      <w:color w:val="auto"/>
                      <w:szCs w:val="21"/>
                    </w:rPr>
                  </w:pPr>
                  <w:r>
                    <w:rPr>
                      <w:rFonts w:hint="eastAsia"/>
                      <w:color w:val="auto"/>
                      <w:szCs w:val="21"/>
                    </w:rPr>
                    <w:t>一般固废</w:t>
                  </w:r>
                </w:p>
              </w:tc>
              <w:tc>
                <w:tcPr>
                  <w:tcW w:w="1386" w:type="dxa"/>
                  <w:noWrap w:val="0"/>
                  <w:vAlign w:val="center"/>
                </w:tcPr>
                <w:p>
                  <w:pPr>
                    <w:topLinePunct/>
                    <w:snapToGrid w:val="0"/>
                    <w:jc w:val="center"/>
                    <w:rPr>
                      <w:color w:val="auto"/>
                      <w:szCs w:val="21"/>
                    </w:rPr>
                  </w:pPr>
                  <w:r>
                    <w:rPr>
                      <w:rFonts w:hint="eastAsia"/>
                      <w:color w:val="auto"/>
                      <w:szCs w:val="21"/>
                    </w:rPr>
                    <w:t>地面</w:t>
                  </w:r>
                </w:p>
              </w:tc>
              <w:tc>
                <w:tcPr>
                  <w:tcW w:w="3379" w:type="dxa"/>
                  <w:noWrap w:val="0"/>
                  <w:vAlign w:val="center"/>
                </w:tcPr>
                <w:p>
                  <w:pPr>
                    <w:topLinePunct/>
                    <w:snapToGrid w:val="0"/>
                    <w:jc w:val="center"/>
                    <w:rPr>
                      <w:color w:val="auto"/>
                      <w:szCs w:val="21"/>
                    </w:rPr>
                  </w:pPr>
                  <w:r>
                    <w:rPr>
                      <w:color w:val="auto"/>
                      <w:szCs w:val="21"/>
                    </w:rPr>
                    <w:t>车间地面采用防渗钢筋混凝土结构，内部采用水泥基渗透结晶型防渗材料涂层，</w:t>
                  </w:r>
                  <w:r>
                    <w:rPr>
                      <w:bCs/>
                      <w:color w:val="auto"/>
                      <w:kern w:val="0"/>
                      <w:szCs w:val="21"/>
                    </w:rPr>
                    <w:t>防渗层为至少0.75m厚黏土层（渗透系数数≤10</w:t>
                  </w:r>
                  <w:r>
                    <w:rPr>
                      <w:bCs/>
                      <w:color w:val="auto"/>
                      <w:kern w:val="0"/>
                      <w:szCs w:val="21"/>
                      <w:vertAlign w:val="superscript"/>
                    </w:rPr>
                    <w:t>-7</w:t>
                  </w:r>
                  <w:r>
                    <w:rPr>
                      <w:bCs/>
                      <w:color w:val="auto"/>
                      <w:kern w:val="0"/>
                      <w:szCs w:val="21"/>
                    </w:rPr>
                    <w:t>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vMerge w:val="continue"/>
                  <w:noWrap w:val="0"/>
                  <w:vAlign w:val="center"/>
                </w:tcPr>
                <w:p>
                  <w:pPr>
                    <w:topLinePunct/>
                    <w:snapToGrid w:val="0"/>
                    <w:jc w:val="center"/>
                    <w:rPr>
                      <w:color w:val="auto"/>
                      <w:szCs w:val="21"/>
                    </w:rPr>
                  </w:pPr>
                </w:p>
              </w:tc>
              <w:tc>
                <w:tcPr>
                  <w:tcW w:w="1848" w:type="dxa"/>
                  <w:noWrap w:val="0"/>
                  <w:vAlign w:val="center"/>
                </w:tcPr>
                <w:p>
                  <w:pPr>
                    <w:topLinePunct/>
                    <w:snapToGrid w:val="0"/>
                    <w:jc w:val="center"/>
                    <w:rPr>
                      <w:rFonts w:hint="eastAsia"/>
                      <w:color w:val="auto"/>
                      <w:szCs w:val="21"/>
                    </w:rPr>
                  </w:pPr>
                  <w:r>
                    <w:rPr>
                      <w:rFonts w:hint="eastAsia"/>
                      <w:color w:val="auto"/>
                      <w:szCs w:val="21"/>
                    </w:rPr>
                    <w:t>办公区</w:t>
                  </w:r>
                </w:p>
              </w:tc>
              <w:tc>
                <w:tcPr>
                  <w:tcW w:w="1468" w:type="dxa"/>
                  <w:noWrap w:val="0"/>
                  <w:vAlign w:val="center"/>
                </w:tcPr>
                <w:p>
                  <w:pPr>
                    <w:topLinePunct/>
                    <w:snapToGrid w:val="0"/>
                    <w:jc w:val="center"/>
                    <w:rPr>
                      <w:color w:val="auto"/>
                      <w:szCs w:val="21"/>
                    </w:rPr>
                  </w:pPr>
                  <w:r>
                    <w:rPr>
                      <w:rFonts w:hint="eastAsia"/>
                      <w:color w:val="auto"/>
                      <w:szCs w:val="21"/>
                    </w:rPr>
                    <w:t>生活污水</w:t>
                  </w:r>
                </w:p>
              </w:tc>
              <w:tc>
                <w:tcPr>
                  <w:tcW w:w="1386" w:type="dxa"/>
                  <w:noWrap w:val="0"/>
                  <w:vAlign w:val="center"/>
                </w:tcPr>
                <w:p>
                  <w:pPr>
                    <w:topLinePunct/>
                    <w:snapToGrid w:val="0"/>
                    <w:jc w:val="center"/>
                    <w:rPr>
                      <w:color w:val="auto"/>
                      <w:szCs w:val="21"/>
                    </w:rPr>
                  </w:pPr>
                  <w:r>
                    <w:rPr>
                      <w:rFonts w:hint="eastAsia"/>
                      <w:color w:val="auto"/>
                      <w:szCs w:val="21"/>
                    </w:rPr>
                    <w:t>临时化粪池</w:t>
                  </w:r>
                </w:p>
              </w:tc>
              <w:tc>
                <w:tcPr>
                  <w:tcW w:w="3379" w:type="dxa"/>
                  <w:noWrap w:val="0"/>
                  <w:vAlign w:val="center"/>
                </w:tcPr>
                <w:p>
                  <w:pPr>
                    <w:topLinePunct/>
                    <w:snapToGrid w:val="0"/>
                    <w:jc w:val="center"/>
                    <w:rPr>
                      <w:color w:val="auto"/>
                      <w:szCs w:val="21"/>
                    </w:rPr>
                  </w:pPr>
                  <w:r>
                    <w:rPr>
                      <w:rFonts w:hint="eastAsia"/>
                      <w:color w:val="auto"/>
                      <w:szCs w:val="21"/>
                    </w:rPr>
                    <w:t>定期检查污水收集管道，确保无裂缝、无渗透，每年清淤一次，避免堵塞漫流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noWrap w:val="0"/>
                  <w:vAlign w:val="center"/>
                </w:tcPr>
                <w:p>
                  <w:pPr>
                    <w:topLinePunct/>
                    <w:snapToGrid w:val="0"/>
                    <w:jc w:val="center"/>
                    <w:rPr>
                      <w:color w:val="auto"/>
                      <w:szCs w:val="21"/>
                    </w:rPr>
                  </w:pPr>
                  <w:r>
                    <w:rPr>
                      <w:rFonts w:hint="eastAsia"/>
                      <w:color w:val="auto"/>
                      <w:szCs w:val="21"/>
                    </w:rPr>
                    <w:t>简单防渗区</w:t>
                  </w:r>
                </w:p>
              </w:tc>
              <w:tc>
                <w:tcPr>
                  <w:tcW w:w="1848" w:type="dxa"/>
                  <w:noWrap w:val="0"/>
                  <w:vAlign w:val="center"/>
                </w:tcPr>
                <w:p>
                  <w:pPr>
                    <w:topLinePunct/>
                    <w:snapToGrid w:val="0"/>
                    <w:jc w:val="center"/>
                    <w:rPr>
                      <w:color w:val="auto"/>
                      <w:szCs w:val="21"/>
                    </w:rPr>
                  </w:pPr>
                  <w:r>
                    <w:rPr>
                      <w:rFonts w:hint="eastAsia"/>
                      <w:color w:val="auto"/>
                      <w:szCs w:val="21"/>
                    </w:rPr>
                    <w:t>办公区、生活区及厂区道路</w:t>
                  </w:r>
                </w:p>
              </w:tc>
              <w:tc>
                <w:tcPr>
                  <w:tcW w:w="1468" w:type="dxa"/>
                  <w:noWrap w:val="0"/>
                  <w:vAlign w:val="center"/>
                </w:tcPr>
                <w:p>
                  <w:pPr>
                    <w:topLinePunct/>
                    <w:snapToGrid w:val="0"/>
                    <w:jc w:val="center"/>
                    <w:rPr>
                      <w:color w:val="auto"/>
                      <w:szCs w:val="21"/>
                    </w:rPr>
                  </w:pPr>
                  <w:r>
                    <w:rPr>
                      <w:rFonts w:hint="eastAsia"/>
                      <w:color w:val="auto"/>
                      <w:szCs w:val="21"/>
                    </w:rPr>
                    <w:t>/</w:t>
                  </w:r>
                </w:p>
              </w:tc>
              <w:tc>
                <w:tcPr>
                  <w:tcW w:w="1386" w:type="dxa"/>
                  <w:noWrap w:val="0"/>
                  <w:vAlign w:val="center"/>
                </w:tcPr>
                <w:p>
                  <w:pPr>
                    <w:topLinePunct/>
                    <w:snapToGrid w:val="0"/>
                    <w:jc w:val="center"/>
                    <w:rPr>
                      <w:color w:val="auto"/>
                      <w:szCs w:val="21"/>
                    </w:rPr>
                  </w:pPr>
                  <w:r>
                    <w:rPr>
                      <w:rFonts w:hint="eastAsia"/>
                      <w:color w:val="auto"/>
                      <w:szCs w:val="21"/>
                    </w:rPr>
                    <w:t>地面</w:t>
                  </w:r>
                </w:p>
              </w:tc>
              <w:tc>
                <w:tcPr>
                  <w:tcW w:w="3379" w:type="dxa"/>
                  <w:noWrap w:val="0"/>
                  <w:vAlign w:val="center"/>
                </w:tcPr>
                <w:p>
                  <w:pPr>
                    <w:topLinePunct/>
                    <w:snapToGrid w:val="0"/>
                    <w:jc w:val="center"/>
                    <w:rPr>
                      <w:color w:val="auto"/>
                      <w:szCs w:val="21"/>
                    </w:rPr>
                  </w:pPr>
                  <w:r>
                    <w:rPr>
                      <w:rFonts w:hint="eastAsia"/>
                      <w:color w:val="auto"/>
                      <w:szCs w:val="21"/>
                    </w:rPr>
                    <w:t>一般地面硬化</w:t>
                  </w:r>
                </w:p>
              </w:tc>
            </w:tr>
          </w:tbl>
          <w:p>
            <w:pPr>
              <w:snapToGrid w:val="0"/>
              <w:jc w:val="center"/>
              <w:rPr>
                <w:color w:val="auto"/>
                <w:sz w:val="24"/>
              </w:rPr>
            </w:pPr>
          </w:p>
          <w:p>
            <w:pPr>
              <w:snapToGrid w:val="0"/>
              <w:spacing w:line="360" w:lineRule="auto"/>
              <w:ind w:firstLine="482" w:firstLineChars="200"/>
              <w:rPr>
                <w:b/>
                <w:bCs/>
                <w:color w:val="auto"/>
                <w:sz w:val="24"/>
              </w:rPr>
            </w:pPr>
            <w:r>
              <w:rPr>
                <w:b/>
                <w:bCs/>
                <w:color w:val="auto"/>
                <w:sz w:val="24"/>
              </w:rPr>
              <w:t>3、环境影响</w:t>
            </w:r>
          </w:p>
          <w:p>
            <w:pPr>
              <w:adjustRightInd w:val="0"/>
              <w:snapToGrid w:val="0"/>
              <w:spacing w:line="360" w:lineRule="auto"/>
              <w:ind w:firstLine="480" w:firstLineChars="200"/>
              <w:rPr>
                <w:color w:val="auto"/>
                <w:sz w:val="24"/>
              </w:rPr>
            </w:pPr>
            <w:r>
              <w:rPr>
                <w:color w:val="auto"/>
                <w:sz w:val="24"/>
              </w:rPr>
              <w:t>本项目经上述措施处理后，可有效防止清洗废水下渗到土壤和地下水，且项目产生的粉尘经过有效处理后排放量不大，不属于重金属等有毒有害物质，对土壤和地下水影响不大，因此无需进行跟踪监测。</w:t>
            </w:r>
          </w:p>
          <w:p>
            <w:pPr>
              <w:adjustRightInd w:val="0"/>
              <w:snapToGrid w:val="0"/>
              <w:spacing w:line="360" w:lineRule="auto"/>
              <w:ind w:firstLine="442" w:firstLineChars="200"/>
              <w:rPr>
                <w:b/>
                <w:color w:val="auto"/>
                <w:spacing w:val="-10"/>
                <w:sz w:val="24"/>
                <w:lang w:val="zh-CN"/>
              </w:rPr>
            </w:pPr>
            <w:r>
              <w:rPr>
                <w:b/>
                <w:color w:val="auto"/>
                <w:spacing w:val="-10"/>
                <w:sz w:val="24"/>
              </w:rPr>
              <w:t>（六）</w:t>
            </w:r>
            <w:r>
              <w:rPr>
                <w:b/>
                <w:color w:val="auto"/>
                <w:spacing w:val="-10"/>
                <w:sz w:val="24"/>
                <w:lang w:val="zh-CN"/>
              </w:rPr>
              <w:t>生态环境影响分析</w:t>
            </w:r>
          </w:p>
          <w:p>
            <w:pPr>
              <w:adjustRightInd w:val="0"/>
              <w:snapToGrid w:val="0"/>
              <w:spacing w:line="360" w:lineRule="auto"/>
              <w:ind w:firstLine="440" w:firstLineChars="200"/>
              <w:rPr>
                <w:bCs/>
                <w:color w:val="auto"/>
                <w:spacing w:val="-10"/>
                <w:sz w:val="24"/>
                <w:lang w:val="zh-CN"/>
              </w:rPr>
            </w:pPr>
            <w:r>
              <w:rPr>
                <w:bCs/>
                <w:color w:val="auto"/>
                <w:spacing w:val="-10"/>
                <w:sz w:val="24"/>
              </w:rPr>
              <w:t>本</w:t>
            </w:r>
            <w:r>
              <w:rPr>
                <w:bCs/>
                <w:color w:val="auto"/>
                <w:spacing w:val="-10"/>
                <w:sz w:val="24"/>
                <w:lang w:val="zh-CN"/>
              </w:rPr>
              <w:t>项目</w:t>
            </w:r>
            <w:r>
              <w:rPr>
                <w:bCs/>
                <w:color w:val="auto"/>
                <w:spacing w:val="-10"/>
                <w:sz w:val="24"/>
              </w:rPr>
              <w:t>利用</w:t>
            </w:r>
            <w:r>
              <w:rPr>
                <w:bCs/>
                <w:color w:val="auto"/>
                <w:spacing w:val="-10"/>
                <w:sz w:val="24"/>
                <w:lang w:val="zh-CN"/>
              </w:rPr>
              <w:t>已建成的厂房作为</w:t>
            </w:r>
            <w:r>
              <w:rPr>
                <w:bCs/>
                <w:color w:val="auto"/>
                <w:spacing w:val="-10"/>
                <w:sz w:val="24"/>
              </w:rPr>
              <w:t>生产区</w:t>
            </w:r>
            <w:r>
              <w:rPr>
                <w:bCs/>
                <w:color w:val="auto"/>
                <w:spacing w:val="-10"/>
                <w:sz w:val="24"/>
                <w:lang w:val="zh-CN"/>
              </w:rPr>
              <w:t>，</w:t>
            </w:r>
            <w:r>
              <w:rPr>
                <w:bCs/>
                <w:color w:val="auto"/>
                <w:spacing w:val="-10"/>
                <w:sz w:val="24"/>
              </w:rPr>
              <w:t>所用地均已硬化，</w:t>
            </w:r>
            <w:r>
              <w:rPr>
                <w:bCs/>
                <w:color w:val="auto"/>
                <w:spacing w:val="-10"/>
                <w:sz w:val="24"/>
                <w:lang w:val="zh-CN"/>
              </w:rPr>
              <w:t>无生态环境保护目标。</w:t>
            </w:r>
          </w:p>
          <w:p>
            <w:pPr>
              <w:adjustRightInd w:val="0"/>
              <w:snapToGrid w:val="0"/>
              <w:spacing w:line="360" w:lineRule="auto"/>
              <w:ind w:firstLine="442" w:firstLineChars="200"/>
              <w:rPr>
                <w:b/>
                <w:color w:val="auto"/>
                <w:spacing w:val="-10"/>
                <w:sz w:val="24"/>
                <w:lang w:val="zh-CN"/>
              </w:rPr>
            </w:pPr>
            <w:r>
              <w:rPr>
                <w:b/>
                <w:color w:val="auto"/>
                <w:spacing w:val="-10"/>
                <w:sz w:val="24"/>
                <w:lang w:val="zh-CN"/>
              </w:rPr>
              <w:t>（</w:t>
            </w:r>
            <w:r>
              <w:rPr>
                <w:b/>
                <w:color w:val="auto"/>
                <w:spacing w:val="-10"/>
                <w:sz w:val="24"/>
              </w:rPr>
              <w:t>七</w:t>
            </w:r>
            <w:r>
              <w:rPr>
                <w:b/>
                <w:color w:val="auto"/>
                <w:spacing w:val="-10"/>
                <w:sz w:val="24"/>
                <w:lang w:val="zh-CN"/>
              </w:rPr>
              <w:t>）环境风险影响分析</w:t>
            </w:r>
          </w:p>
          <w:p>
            <w:pPr>
              <w:adjustRightInd w:val="0"/>
              <w:snapToGrid w:val="0"/>
              <w:spacing w:line="360" w:lineRule="auto"/>
              <w:ind w:firstLine="482" w:firstLineChars="200"/>
              <w:rPr>
                <w:bCs/>
                <w:snapToGrid w:val="0"/>
                <w:color w:val="auto"/>
                <w:kern w:val="0"/>
                <w:sz w:val="24"/>
              </w:rPr>
            </w:pPr>
            <w:r>
              <w:rPr>
                <w:b/>
                <w:snapToGrid w:val="0"/>
                <w:color w:val="auto"/>
                <w:kern w:val="0"/>
                <w:sz w:val="24"/>
              </w:rPr>
              <w:t>1、环境风险物质分布情况</w:t>
            </w:r>
          </w:p>
          <w:p>
            <w:pPr>
              <w:adjustRightInd w:val="0"/>
              <w:snapToGrid w:val="0"/>
              <w:spacing w:line="360" w:lineRule="auto"/>
              <w:ind w:firstLine="440" w:firstLineChars="200"/>
              <w:rPr>
                <w:bCs/>
                <w:color w:val="auto"/>
                <w:spacing w:val="-10"/>
                <w:sz w:val="24"/>
                <w:lang w:val="zh-CN"/>
              </w:rPr>
            </w:pPr>
            <w:r>
              <w:rPr>
                <w:bCs/>
                <w:color w:val="auto"/>
                <w:spacing w:val="-10"/>
                <w:sz w:val="24"/>
                <w:lang w:val="zh-CN"/>
              </w:rPr>
              <w:t>根据《建设项目环境风险评价技术导则》（HJ169-2018）附录B重点关注的风险物质及临界量，项目主要化学品数量与临界量比值Q进行计算。</w:t>
            </w:r>
          </w:p>
          <w:p>
            <w:pPr>
              <w:topLinePunct/>
              <w:snapToGrid w:val="0"/>
              <w:spacing w:line="360" w:lineRule="auto"/>
              <w:ind w:firstLine="480" w:firstLineChars="200"/>
              <w:rPr>
                <w:rFonts w:hint="eastAsia"/>
                <w:color w:val="auto"/>
                <w:kern w:val="0"/>
                <w:sz w:val="24"/>
              </w:rPr>
            </w:pPr>
            <w:r>
              <w:rPr>
                <w:color w:val="auto"/>
                <w:kern w:val="0"/>
                <w:sz w:val="24"/>
              </w:rPr>
              <w:t>当存在多种危险物质时，则按下列公式计算物质总量与其临界量比值（Q）</w:t>
            </w:r>
            <w:r>
              <w:rPr>
                <w:rFonts w:hint="eastAsia"/>
                <w:color w:val="auto"/>
                <w:kern w:val="0"/>
                <w:sz w:val="24"/>
              </w:rPr>
              <w:t>：</w:t>
            </w:r>
          </w:p>
          <w:p>
            <w:pPr>
              <w:topLinePunct/>
              <w:snapToGrid w:val="0"/>
              <w:spacing w:line="360" w:lineRule="auto"/>
              <w:ind w:firstLine="480" w:firstLineChars="200"/>
              <w:jc w:val="center"/>
              <w:rPr>
                <w:color w:val="auto"/>
                <w:kern w:val="0"/>
                <w:sz w:val="24"/>
              </w:rPr>
            </w:pPr>
            <w:r>
              <w:rPr>
                <w:color w:val="auto"/>
                <w:kern w:val="0"/>
                <w:position w:val="-30"/>
                <w:sz w:val="24"/>
              </w:rPr>
              <w:object>
                <v:shape id="_x0000_i1034" o:spt="75" type="#_x0000_t75" style="height:52.95pt;width:167.95pt;" o:ole="t" filled="f" o:preferrelative="t" stroked="f" coordsize="21600,21600">
                  <v:path/>
                  <v:fill on="f" focussize="0,0"/>
                  <v:stroke on="f"/>
                  <v:imagedata r:id="rId27" o:title=""/>
                  <o:lock v:ext="edit" aspectratio="t"/>
                  <w10:wrap type="none"/>
                  <w10:anchorlock/>
                </v:shape>
                <o:OLEObject Type="Embed" ProgID="Equation.3" ShapeID="_x0000_i1034" DrawAspect="Content" ObjectID="_1468075734" r:id="rId26">
                  <o:LockedField>false</o:LockedField>
                </o:OLEObject>
              </w:object>
            </w:r>
          </w:p>
          <w:p>
            <w:pPr>
              <w:topLinePunct/>
              <w:snapToGrid w:val="0"/>
              <w:spacing w:line="360" w:lineRule="auto"/>
              <w:ind w:firstLine="480" w:firstLineChars="200"/>
              <w:rPr>
                <w:color w:val="auto"/>
                <w:kern w:val="0"/>
                <w:sz w:val="24"/>
              </w:rPr>
            </w:pPr>
            <w:r>
              <w:rPr>
                <w:color w:val="auto"/>
                <w:kern w:val="0"/>
                <w:sz w:val="24"/>
              </w:rPr>
              <w:t>式中：q1，q2，....，qn——每种危险物质的最大存在总量，t；</w:t>
            </w:r>
          </w:p>
          <w:p>
            <w:pPr>
              <w:topLinePunct/>
              <w:snapToGrid w:val="0"/>
              <w:spacing w:line="360" w:lineRule="auto"/>
              <w:ind w:firstLine="1200" w:firstLineChars="500"/>
              <w:rPr>
                <w:color w:val="auto"/>
                <w:kern w:val="0"/>
                <w:sz w:val="24"/>
              </w:rPr>
            </w:pPr>
            <w:r>
              <w:rPr>
                <w:color w:val="auto"/>
                <w:kern w:val="0"/>
                <w:sz w:val="24"/>
              </w:rPr>
              <w:t>Q1，Q2，....，Qn——每种危险物质的临界量，t：</w:t>
            </w:r>
          </w:p>
          <w:p>
            <w:pPr>
              <w:topLinePunct/>
              <w:snapToGrid w:val="0"/>
              <w:spacing w:line="360" w:lineRule="auto"/>
              <w:ind w:firstLine="480" w:firstLineChars="200"/>
              <w:rPr>
                <w:color w:val="auto"/>
                <w:kern w:val="0"/>
                <w:sz w:val="24"/>
              </w:rPr>
            </w:pPr>
            <w:r>
              <w:rPr>
                <w:color w:val="auto"/>
                <w:kern w:val="0"/>
                <w:sz w:val="24"/>
              </w:rPr>
              <w:t>当Q＜1时，该项目环境风险潜势为Ⅰ。</w:t>
            </w:r>
          </w:p>
          <w:p>
            <w:pPr>
              <w:adjustRightInd w:val="0"/>
              <w:snapToGrid w:val="0"/>
              <w:spacing w:line="360" w:lineRule="auto"/>
              <w:ind w:firstLine="480" w:firstLineChars="200"/>
              <w:rPr>
                <w:bCs/>
                <w:color w:val="auto"/>
                <w:spacing w:val="-10"/>
                <w:sz w:val="24"/>
                <w:lang w:val="zh-CN"/>
              </w:rPr>
            </w:pPr>
            <w:r>
              <w:rPr>
                <w:color w:val="auto"/>
                <w:kern w:val="0"/>
                <w:sz w:val="24"/>
              </w:rPr>
              <w:t>当Q≥1时，将Q值划分为：</w:t>
            </w:r>
            <w:r>
              <w:rPr>
                <w:rFonts w:hint="eastAsia"/>
                <w:color w:val="auto"/>
                <w:kern w:val="0"/>
                <w:sz w:val="24"/>
              </w:rPr>
              <w:t>①</w:t>
            </w:r>
            <w:r>
              <w:rPr>
                <w:color w:val="auto"/>
                <w:kern w:val="0"/>
                <w:sz w:val="24"/>
              </w:rPr>
              <w:t>1≤Q＜10；</w:t>
            </w:r>
            <w:r>
              <w:rPr>
                <w:rFonts w:hint="eastAsia"/>
                <w:color w:val="auto"/>
                <w:kern w:val="0"/>
                <w:sz w:val="24"/>
              </w:rPr>
              <w:t>②</w:t>
            </w:r>
            <w:r>
              <w:rPr>
                <w:color w:val="auto"/>
                <w:kern w:val="0"/>
                <w:sz w:val="24"/>
              </w:rPr>
              <w:t>10≤Q＜100；</w:t>
            </w:r>
            <w:r>
              <w:rPr>
                <w:rFonts w:hint="eastAsia"/>
                <w:color w:val="auto"/>
                <w:kern w:val="0"/>
                <w:sz w:val="24"/>
              </w:rPr>
              <w:t>③</w:t>
            </w:r>
            <w:r>
              <w:rPr>
                <w:color w:val="auto"/>
                <w:kern w:val="0"/>
                <w:sz w:val="24"/>
              </w:rPr>
              <w:t>Q≥100。</w:t>
            </w:r>
          </w:p>
          <w:p>
            <w:pPr>
              <w:adjustRightInd w:val="0"/>
              <w:snapToGrid w:val="0"/>
              <w:spacing w:line="360" w:lineRule="auto"/>
              <w:ind w:firstLine="480" w:firstLineChars="200"/>
              <w:rPr>
                <w:color w:val="auto"/>
                <w:kern w:val="0"/>
                <w:sz w:val="24"/>
              </w:rPr>
            </w:pPr>
            <w:r>
              <w:rPr>
                <w:rFonts w:hint="eastAsia"/>
                <w:color w:val="auto"/>
                <w:kern w:val="0"/>
                <w:sz w:val="24"/>
              </w:rPr>
              <w:t>根据《建设项目环境风险评价技术导则》（HJ169-2018）附录B重点关注风险物质及临界量，对本项目生产过程中使用的</w:t>
            </w:r>
            <w:r>
              <w:rPr>
                <w:rFonts w:hint="eastAsia"/>
                <w:bCs/>
                <w:color w:val="auto"/>
                <w:spacing w:val="-10"/>
                <w:sz w:val="24"/>
              </w:rPr>
              <w:t>柴油、重油</w:t>
            </w:r>
            <w:r>
              <w:rPr>
                <w:rFonts w:hint="eastAsia"/>
                <w:color w:val="auto"/>
                <w:kern w:val="0"/>
                <w:sz w:val="24"/>
              </w:rPr>
              <w:t>，生产过程产生的废机油、废抹布、废活性炭的最大储存量与临界量比值Q进行计算。</w:t>
            </w:r>
          </w:p>
          <w:p>
            <w:pPr>
              <w:adjustRightInd w:val="0"/>
              <w:snapToGrid w:val="0"/>
              <w:spacing w:line="360" w:lineRule="auto"/>
              <w:ind w:firstLine="480" w:firstLineChars="200"/>
              <w:rPr>
                <w:rFonts w:hint="eastAsia"/>
                <w:color w:val="auto"/>
                <w:kern w:val="0"/>
                <w:sz w:val="24"/>
              </w:rPr>
            </w:pPr>
            <w:r>
              <w:rPr>
                <w:rFonts w:hint="eastAsia"/>
                <w:color w:val="auto"/>
                <w:kern w:val="0"/>
                <w:sz w:val="24"/>
              </w:rPr>
              <w:t>本项目所涉及的风险物质及其临界量详见下表所示：</w:t>
            </w:r>
          </w:p>
          <w:p>
            <w:pPr>
              <w:topLinePunct/>
              <w:snapToGrid w:val="0"/>
              <w:ind w:firstLine="482" w:firstLineChars="200"/>
              <w:jc w:val="center"/>
              <w:rPr>
                <w:b/>
                <w:bCs/>
                <w:color w:val="auto"/>
                <w:kern w:val="0"/>
                <w:sz w:val="24"/>
              </w:rPr>
            </w:pPr>
            <w:r>
              <w:rPr>
                <w:b/>
                <w:bCs/>
                <w:color w:val="auto"/>
                <w:kern w:val="0"/>
                <w:sz w:val="24"/>
              </w:rPr>
              <w:t>表4-</w:t>
            </w:r>
            <w:r>
              <w:rPr>
                <w:rFonts w:hint="eastAsia"/>
                <w:b/>
                <w:bCs/>
                <w:color w:val="auto"/>
                <w:kern w:val="0"/>
                <w:sz w:val="24"/>
              </w:rPr>
              <w:t>15  本</w:t>
            </w:r>
            <w:r>
              <w:rPr>
                <w:b/>
                <w:bCs/>
                <w:color w:val="auto"/>
                <w:kern w:val="0"/>
                <w:sz w:val="24"/>
              </w:rPr>
              <w:t>项目主要风险物质</w:t>
            </w:r>
            <w:r>
              <w:rPr>
                <w:rFonts w:hint="eastAsia"/>
                <w:b/>
                <w:bCs/>
                <w:color w:val="auto"/>
                <w:kern w:val="0"/>
                <w:sz w:val="24"/>
              </w:rPr>
              <w:t>Q值计算情况</w:t>
            </w:r>
            <w:r>
              <w:rPr>
                <w:b/>
                <w:bCs/>
                <w:color w:val="auto"/>
                <w:kern w:val="0"/>
                <w:sz w:val="24"/>
              </w:rPr>
              <w:t>一览表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2396"/>
              <w:gridCol w:w="1310"/>
              <w:gridCol w:w="169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13" w:type="dxa"/>
                  <w:noWrap w:val="0"/>
                  <w:vAlign w:val="center"/>
                </w:tcPr>
                <w:p>
                  <w:pPr>
                    <w:topLinePunct/>
                    <w:snapToGrid w:val="0"/>
                    <w:spacing w:line="20" w:lineRule="atLeast"/>
                    <w:jc w:val="center"/>
                    <w:rPr>
                      <w:b/>
                      <w:bCs/>
                      <w:color w:val="auto"/>
                      <w:szCs w:val="21"/>
                    </w:rPr>
                  </w:pPr>
                  <w:r>
                    <w:rPr>
                      <w:b/>
                      <w:bCs/>
                      <w:color w:val="auto"/>
                      <w:szCs w:val="21"/>
                    </w:rPr>
                    <w:t>物质名称</w:t>
                  </w:r>
                </w:p>
              </w:tc>
              <w:tc>
                <w:tcPr>
                  <w:tcW w:w="2396" w:type="dxa"/>
                  <w:noWrap w:val="0"/>
                  <w:vAlign w:val="center"/>
                </w:tcPr>
                <w:p>
                  <w:pPr>
                    <w:topLinePunct/>
                    <w:snapToGrid w:val="0"/>
                    <w:spacing w:line="20" w:lineRule="atLeast"/>
                    <w:jc w:val="center"/>
                    <w:rPr>
                      <w:b/>
                      <w:bCs/>
                      <w:color w:val="auto"/>
                      <w:szCs w:val="21"/>
                    </w:rPr>
                  </w:pPr>
                  <w:r>
                    <w:rPr>
                      <w:b/>
                      <w:bCs/>
                      <w:color w:val="auto"/>
                      <w:szCs w:val="21"/>
                    </w:rPr>
                    <w:t>风险物质类别</w:t>
                  </w:r>
                </w:p>
              </w:tc>
              <w:tc>
                <w:tcPr>
                  <w:tcW w:w="1310" w:type="dxa"/>
                  <w:noWrap w:val="0"/>
                  <w:vAlign w:val="center"/>
                </w:tcPr>
                <w:p>
                  <w:pPr>
                    <w:topLinePunct/>
                    <w:snapToGrid w:val="0"/>
                    <w:spacing w:line="20" w:lineRule="atLeast"/>
                    <w:jc w:val="center"/>
                    <w:rPr>
                      <w:b/>
                      <w:bCs/>
                      <w:color w:val="auto"/>
                      <w:szCs w:val="21"/>
                    </w:rPr>
                  </w:pPr>
                  <w:r>
                    <w:rPr>
                      <w:b/>
                      <w:bCs/>
                      <w:color w:val="auto"/>
                      <w:szCs w:val="21"/>
                    </w:rPr>
                    <w:t>临界量（t）</w:t>
                  </w:r>
                </w:p>
              </w:tc>
              <w:tc>
                <w:tcPr>
                  <w:tcW w:w="1695" w:type="dxa"/>
                  <w:noWrap w:val="0"/>
                  <w:vAlign w:val="center"/>
                </w:tcPr>
                <w:p>
                  <w:pPr>
                    <w:topLinePunct/>
                    <w:snapToGrid w:val="0"/>
                    <w:spacing w:line="20" w:lineRule="atLeast"/>
                    <w:jc w:val="center"/>
                    <w:rPr>
                      <w:b/>
                      <w:bCs/>
                      <w:color w:val="auto"/>
                      <w:szCs w:val="21"/>
                    </w:rPr>
                  </w:pPr>
                  <w:r>
                    <w:rPr>
                      <w:b/>
                      <w:bCs/>
                      <w:color w:val="auto"/>
                      <w:szCs w:val="21"/>
                    </w:rPr>
                    <w:t>最大储存量（t）</w:t>
                  </w:r>
                </w:p>
              </w:tc>
              <w:tc>
                <w:tcPr>
                  <w:tcW w:w="1635" w:type="dxa"/>
                  <w:noWrap w:val="0"/>
                  <w:vAlign w:val="center"/>
                </w:tcPr>
                <w:p>
                  <w:pPr>
                    <w:topLinePunct/>
                    <w:snapToGrid w:val="0"/>
                    <w:spacing w:line="20" w:lineRule="atLeast"/>
                    <w:jc w:val="center"/>
                    <w:rPr>
                      <w:b/>
                      <w:bCs/>
                      <w:color w:val="auto"/>
                      <w:szCs w:val="21"/>
                    </w:rPr>
                  </w:pPr>
                  <w:r>
                    <w:rPr>
                      <w:b/>
                      <w:bCs/>
                      <w:color w:val="auto"/>
                      <w:szCs w:val="21"/>
                    </w:rPr>
                    <w:t>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13" w:type="dxa"/>
                  <w:noWrap w:val="0"/>
                  <w:vAlign w:val="center"/>
                </w:tcPr>
                <w:p>
                  <w:pPr>
                    <w:snapToGrid w:val="0"/>
                    <w:spacing w:line="20" w:lineRule="atLeast"/>
                    <w:jc w:val="center"/>
                    <w:rPr>
                      <w:rFonts w:hint="eastAsia"/>
                      <w:color w:val="auto"/>
                      <w:szCs w:val="21"/>
                    </w:rPr>
                  </w:pPr>
                  <w:r>
                    <w:rPr>
                      <w:rFonts w:hint="eastAsia"/>
                      <w:color w:val="auto"/>
                      <w:szCs w:val="21"/>
                    </w:rPr>
                    <w:t>柴油</w:t>
                  </w:r>
                </w:p>
              </w:tc>
              <w:tc>
                <w:tcPr>
                  <w:tcW w:w="2396" w:type="dxa"/>
                  <w:vMerge w:val="restart"/>
                  <w:noWrap w:val="0"/>
                  <w:vAlign w:val="center"/>
                </w:tcPr>
                <w:p>
                  <w:pPr>
                    <w:topLinePunct/>
                    <w:snapToGrid w:val="0"/>
                    <w:spacing w:line="20" w:lineRule="atLeast"/>
                    <w:jc w:val="center"/>
                    <w:rPr>
                      <w:color w:val="auto"/>
                      <w:szCs w:val="21"/>
                    </w:rPr>
                  </w:pPr>
                  <w:r>
                    <w:rPr>
                      <w:rFonts w:hint="eastAsia"/>
                      <w:color w:val="auto"/>
                      <w:szCs w:val="21"/>
                    </w:rPr>
                    <w:t>油类物质（矿物油类，如石油、汽油、柴油等；生物柴油等）</w:t>
                  </w:r>
                </w:p>
              </w:tc>
              <w:tc>
                <w:tcPr>
                  <w:tcW w:w="1310" w:type="dxa"/>
                  <w:vMerge w:val="restart"/>
                  <w:noWrap w:val="0"/>
                  <w:vAlign w:val="center"/>
                </w:tcPr>
                <w:p>
                  <w:pPr>
                    <w:topLinePunct/>
                    <w:snapToGrid w:val="0"/>
                    <w:spacing w:line="20" w:lineRule="atLeast"/>
                    <w:jc w:val="center"/>
                    <w:rPr>
                      <w:color w:val="auto"/>
                      <w:szCs w:val="21"/>
                    </w:rPr>
                  </w:pPr>
                  <w:r>
                    <w:rPr>
                      <w:rFonts w:hint="eastAsia"/>
                      <w:color w:val="auto"/>
                      <w:szCs w:val="21"/>
                    </w:rPr>
                    <w:t>2500</w:t>
                  </w:r>
                </w:p>
              </w:tc>
              <w:tc>
                <w:tcPr>
                  <w:tcW w:w="1695" w:type="dxa"/>
                  <w:noWrap w:val="0"/>
                  <w:vAlign w:val="center"/>
                </w:tcPr>
                <w:p>
                  <w:pPr>
                    <w:snapToGrid w:val="0"/>
                    <w:spacing w:line="20" w:lineRule="atLeast"/>
                    <w:jc w:val="center"/>
                    <w:rPr>
                      <w:color w:val="auto"/>
                      <w:szCs w:val="21"/>
                    </w:rPr>
                  </w:pPr>
                  <w:r>
                    <w:rPr>
                      <w:rFonts w:hint="eastAsia"/>
                      <w:color w:val="auto"/>
                      <w:szCs w:val="21"/>
                    </w:rPr>
                    <w:t>50</w:t>
                  </w:r>
                </w:p>
              </w:tc>
              <w:tc>
                <w:tcPr>
                  <w:tcW w:w="1635" w:type="dxa"/>
                  <w:noWrap w:val="0"/>
                  <w:vAlign w:val="center"/>
                </w:tcPr>
                <w:p>
                  <w:pPr>
                    <w:snapToGrid w:val="0"/>
                    <w:spacing w:line="20" w:lineRule="atLeast"/>
                    <w:jc w:val="center"/>
                    <w:rPr>
                      <w:color w:val="auto"/>
                      <w:szCs w:val="21"/>
                    </w:rPr>
                  </w:pPr>
                  <w:r>
                    <w:rPr>
                      <w:color w:val="auto"/>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13" w:type="dxa"/>
                  <w:noWrap w:val="0"/>
                  <w:vAlign w:val="center"/>
                </w:tcPr>
                <w:p>
                  <w:pPr>
                    <w:snapToGrid w:val="0"/>
                    <w:spacing w:line="20" w:lineRule="atLeast"/>
                    <w:jc w:val="center"/>
                    <w:rPr>
                      <w:rFonts w:hint="eastAsia"/>
                      <w:color w:val="auto"/>
                      <w:szCs w:val="21"/>
                    </w:rPr>
                  </w:pPr>
                  <w:r>
                    <w:rPr>
                      <w:rFonts w:hint="eastAsia"/>
                      <w:color w:val="auto"/>
                      <w:szCs w:val="21"/>
                    </w:rPr>
                    <w:t>重油</w:t>
                  </w:r>
                </w:p>
              </w:tc>
              <w:tc>
                <w:tcPr>
                  <w:tcW w:w="2396" w:type="dxa"/>
                  <w:vMerge w:val="continue"/>
                  <w:noWrap w:val="0"/>
                  <w:vAlign w:val="center"/>
                </w:tcPr>
                <w:p>
                  <w:pPr>
                    <w:topLinePunct/>
                    <w:snapToGrid w:val="0"/>
                    <w:spacing w:line="20" w:lineRule="atLeast"/>
                    <w:jc w:val="center"/>
                    <w:rPr>
                      <w:color w:val="auto"/>
                      <w:szCs w:val="21"/>
                    </w:rPr>
                  </w:pPr>
                </w:p>
              </w:tc>
              <w:tc>
                <w:tcPr>
                  <w:tcW w:w="1310" w:type="dxa"/>
                  <w:vMerge w:val="continue"/>
                  <w:noWrap w:val="0"/>
                  <w:vAlign w:val="center"/>
                </w:tcPr>
                <w:p>
                  <w:pPr>
                    <w:topLinePunct/>
                    <w:snapToGrid w:val="0"/>
                    <w:spacing w:line="20" w:lineRule="atLeast"/>
                    <w:jc w:val="center"/>
                    <w:rPr>
                      <w:color w:val="auto"/>
                      <w:szCs w:val="21"/>
                    </w:rPr>
                  </w:pPr>
                </w:p>
              </w:tc>
              <w:tc>
                <w:tcPr>
                  <w:tcW w:w="1695" w:type="dxa"/>
                  <w:noWrap w:val="0"/>
                  <w:vAlign w:val="center"/>
                </w:tcPr>
                <w:p>
                  <w:pPr>
                    <w:snapToGrid w:val="0"/>
                    <w:spacing w:line="20" w:lineRule="atLeast"/>
                    <w:jc w:val="center"/>
                    <w:rPr>
                      <w:color w:val="auto"/>
                      <w:szCs w:val="21"/>
                    </w:rPr>
                  </w:pPr>
                  <w:r>
                    <w:rPr>
                      <w:rFonts w:hint="eastAsia"/>
                      <w:color w:val="auto"/>
                      <w:szCs w:val="21"/>
                    </w:rPr>
                    <w:t>10</w:t>
                  </w:r>
                </w:p>
              </w:tc>
              <w:tc>
                <w:tcPr>
                  <w:tcW w:w="1635" w:type="dxa"/>
                  <w:noWrap w:val="0"/>
                  <w:vAlign w:val="center"/>
                </w:tcPr>
                <w:p>
                  <w:pPr>
                    <w:snapToGrid w:val="0"/>
                    <w:spacing w:line="20" w:lineRule="atLeast"/>
                    <w:jc w:val="center"/>
                    <w:rPr>
                      <w:color w:val="auto"/>
                      <w:szCs w:val="21"/>
                    </w:rPr>
                  </w:pPr>
                  <w:r>
                    <w:rPr>
                      <w:color w:val="auto"/>
                      <w:szCs w:val="21"/>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13" w:type="dxa"/>
                  <w:noWrap w:val="0"/>
                  <w:vAlign w:val="center"/>
                </w:tcPr>
                <w:p>
                  <w:pPr>
                    <w:snapToGrid w:val="0"/>
                    <w:jc w:val="center"/>
                    <w:rPr>
                      <w:color w:val="auto"/>
                      <w:szCs w:val="21"/>
                    </w:rPr>
                  </w:pPr>
                  <w:r>
                    <w:rPr>
                      <w:rFonts w:hint="eastAsia"/>
                      <w:snapToGrid w:val="0"/>
                      <w:color w:val="auto"/>
                      <w:kern w:val="0"/>
                      <w:szCs w:val="21"/>
                    </w:rPr>
                    <w:t>废机油</w:t>
                  </w:r>
                </w:p>
              </w:tc>
              <w:tc>
                <w:tcPr>
                  <w:tcW w:w="2396" w:type="dxa"/>
                  <w:vMerge w:val="restart"/>
                  <w:noWrap w:val="0"/>
                  <w:vAlign w:val="center"/>
                </w:tcPr>
                <w:p>
                  <w:pPr>
                    <w:topLinePunct/>
                    <w:snapToGrid w:val="0"/>
                    <w:spacing w:line="20" w:lineRule="atLeast"/>
                    <w:jc w:val="center"/>
                    <w:rPr>
                      <w:color w:val="auto"/>
                      <w:szCs w:val="21"/>
                    </w:rPr>
                  </w:pPr>
                  <w:r>
                    <w:rPr>
                      <w:color w:val="auto"/>
                      <w:szCs w:val="21"/>
                    </w:rPr>
                    <w:t>健康危险急性毒性物质（类别2，类别3）</w:t>
                  </w:r>
                </w:p>
              </w:tc>
              <w:tc>
                <w:tcPr>
                  <w:tcW w:w="1310" w:type="dxa"/>
                  <w:vMerge w:val="restart"/>
                  <w:noWrap w:val="0"/>
                  <w:vAlign w:val="center"/>
                </w:tcPr>
                <w:p>
                  <w:pPr>
                    <w:topLinePunct/>
                    <w:snapToGrid w:val="0"/>
                    <w:spacing w:line="20" w:lineRule="atLeast"/>
                    <w:jc w:val="center"/>
                    <w:rPr>
                      <w:color w:val="auto"/>
                      <w:szCs w:val="21"/>
                    </w:rPr>
                  </w:pPr>
                  <w:r>
                    <w:rPr>
                      <w:color w:val="auto"/>
                      <w:szCs w:val="21"/>
                    </w:rPr>
                    <w:t>50</w:t>
                  </w:r>
                </w:p>
              </w:tc>
              <w:tc>
                <w:tcPr>
                  <w:tcW w:w="1695" w:type="dxa"/>
                  <w:noWrap w:val="0"/>
                  <w:vAlign w:val="center"/>
                </w:tcPr>
                <w:p>
                  <w:pPr>
                    <w:topLinePunct/>
                    <w:snapToGrid w:val="0"/>
                    <w:spacing w:line="20" w:lineRule="atLeast"/>
                    <w:jc w:val="center"/>
                    <w:rPr>
                      <w:color w:val="auto"/>
                      <w:szCs w:val="21"/>
                    </w:rPr>
                  </w:pPr>
                  <w:r>
                    <w:rPr>
                      <w:rFonts w:hint="eastAsia"/>
                      <w:color w:val="auto"/>
                      <w:szCs w:val="21"/>
                    </w:rPr>
                    <w:t>0.005</w:t>
                  </w:r>
                </w:p>
              </w:tc>
              <w:tc>
                <w:tcPr>
                  <w:tcW w:w="1635" w:type="dxa"/>
                  <w:noWrap w:val="0"/>
                  <w:vAlign w:val="center"/>
                </w:tcPr>
                <w:p>
                  <w:pPr>
                    <w:snapToGrid w:val="0"/>
                    <w:spacing w:line="20" w:lineRule="atLeast"/>
                    <w:jc w:val="center"/>
                    <w:rPr>
                      <w:color w:val="auto"/>
                      <w:szCs w:val="21"/>
                    </w:rPr>
                  </w:pPr>
                  <w:r>
                    <w:rPr>
                      <w:color w:val="auto"/>
                      <w:szCs w:val="21"/>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13" w:type="dxa"/>
                  <w:noWrap w:val="0"/>
                  <w:vAlign w:val="center"/>
                </w:tcPr>
                <w:p>
                  <w:pPr>
                    <w:snapToGrid w:val="0"/>
                    <w:jc w:val="center"/>
                    <w:rPr>
                      <w:color w:val="auto"/>
                      <w:szCs w:val="21"/>
                    </w:rPr>
                  </w:pPr>
                  <w:r>
                    <w:rPr>
                      <w:rFonts w:hint="eastAsia"/>
                      <w:bCs/>
                      <w:snapToGrid w:val="0"/>
                      <w:color w:val="auto"/>
                      <w:kern w:val="0"/>
                      <w:szCs w:val="21"/>
                    </w:rPr>
                    <w:t>废抹布</w:t>
                  </w:r>
                </w:p>
              </w:tc>
              <w:tc>
                <w:tcPr>
                  <w:tcW w:w="2396" w:type="dxa"/>
                  <w:vMerge w:val="continue"/>
                  <w:noWrap w:val="0"/>
                  <w:vAlign w:val="center"/>
                </w:tcPr>
                <w:p>
                  <w:pPr>
                    <w:topLinePunct/>
                    <w:snapToGrid w:val="0"/>
                    <w:spacing w:line="20" w:lineRule="atLeast"/>
                    <w:jc w:val="center"/>
                    <w:rPr>
                      <w:color w:val="auto"/>
                      <w:szCs w:val="21"/>
                    </w:rPr>
                  </w:pPr>
                </w:p>
              </w:tc>
              <w:tc>
                <w:tcPr>
                  <w:tcW w:w="1310" w:type="dxa"/>
                  <w:vMerge w:val="continue"/>
                  <w:noWrap w:val="0"/>
                  <w:vAlign w:val="center"/>
                </w:tcPr>
                <w:p>
                  <w:pPr>
                    <w:topLinePunct/>
                    <w:snapToGrid w:val="0"/>
                    <w:spacing w:line="20" w:lineRule="atLeast"/>
                    <w:jc w:val="center"/>
                    <w:rPr>
                      <w:color w:val="auto"/>
                      <w:szCs w:val="21"/>
                    </w:rPr>
                  </w:pPr>
                </w:p>
              </w:tc>
              <w:tc>
                <w:tcPr>
                  <w:tcW w:w="1695" w:type="dxa"/>
                  <w:noWrap w:val="0"/>
                  <w:vAlign w:val="center"/>
                </w:tcPr>
                <w:p>
                  <w:pPr>
                    <w:topLinePunct/>
                    <w:snapToGrid w:val="0"/>
                    <w:spacing w:line="20" w:lineRule="atLeast"/>
                    <w:jc w:val="center"/>
                    <w:rPr>
                      <w:color w:val="auto"/>
                      <w:szCs w:val="21"/>
                    </w:rPr>
                  </w:pPr>
                  <w:r>
                    <w:rPr>
                      <w:rFonts w:hint="eastAsia"/>
                      <w:color w:val="auto"/>
                      <w:szCs w:val="21"/>
                    </w:rPr>
                    <w:t>0.0015</w:t>
                  </w:r>
                </w:p>
              </w:tc>
              <w:tc>
                <w:tcPr>
                  <w:tcW w:w="1635" w:type="dxa"/>
                  <w:noWrap w:val="0"/>
                  <w:vAlign w:val="center"/>
                </w:tcPr>
                <w:p>
                  <w:pPr>
                    <w:snapToGrid w:val="0"/>
                    <w:spacing w:line="20" w:lineRule="atLeast"/>
                    <w:jc w:val="center"/>
                    <w:rPr>
                      <w:color w:val="auto"/>
                      <w:szCs w:val="21"/>
                    </w:rPr>
                  </w:pPr>
                  <w:r>
                    <w:rPr>
                      <w:color w:val="auto"/>
                      <w:szCs w:val="21"/>
                    </w:rPr>
                    <w:t>0.00003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13" w:type="dxa"/>
                  <w:noWrap w:val="0"/>
                  <w:vAlign w:val="center"/>
                </w:tcPr>
                <w:p>
                  <w:pPr>
                    <w:snapToGrid w:val="0"/>
                    <w:jc w:val="center"/>
                    <w:rPr>
                      <w:color w:val="auto"/>
                      <w:szCs w:val="21"/>
                    </w:rPr>
                  </w:pPr>
                  <w:r>
                    <w:rPr>
                      <w:snapToGrid w:val="0"/>
                      <w:color w:val="auto"/>
                      <w:kern w:val="0"/>
                      <w:szCs w:val="21"/>
                    </w:rPr>
                    <w:t>废活性炭</w:t>
                  </w:r>
                </w:p>
              </w:tc>
              <w:tc>
                <w:tcPr>
                  <w:tcW w:w="2396" w:type="dxa"/>
                  <w:vMerge w:val="continue"/>
                  <w:noWrap w:val="0"/>
                  <w:vAlign w:val="center"/>
                </w:tcPr>
                <w:p>
                  <w:pPr>
                    <w:topLinePunct/>
                    <w:snapToGrid w:val="0"/>
                    <w:spacing w:line="20" w:lineRule="atLeast"/>
                    <w:jc w:val="center"/>
                    <w:rPr>
                      <w:color w:val="auto"/>
                      <w:szCs w:val="21"/>
                    </w:rPr>
                  </w:pPr>
                </w:p>
              </w:tc>
              <w:tc>
                <w:tcPr>
                  <w:tcW w:w="1310" w:type="dxa"/>
                  <w:vMerge w:val="continue"/>
                  <w:noWrap w:val="0"/>
                  <w:vAlign w:val="center"/>
                </w:tcPr>
                <w:p>
                  <w:pPr>
                    <w:topLinePunct/>
                    <w:snapToGrid w:val="0"/>
                    <w:spacing w:line="20" w:lineRule="atLeast"/>
                    <w:jc w:val="center"/>
                    <w:rPr>
                      <w:color w:val="auto"/>
                      <w:szCs w:val="21"/>
                    </w:rPr>
                  </w:pPr>
                </w:p>
              </w:tc>
              <w:tc>
                <w:tcPr>
                  <w:tcW w:w="1695" w:type="dxa"/>
                  <w:noWrap w:val="0"/>
                  <w:vAlign w:val="center"/>
                </w:tcPr>
                <w:p>
                  <w:pPr>
                    <w:topLinePunct/>
                    <w:snapToGrid w:val="0"/>
                    <w:spacing w:line="20" w:lineRule="atLeast"/>
                    <w:jc w:val="center"/>
                    <w:rPr>
                      <w:color w:val="auto"/>
                      <w:szCs w:val="21"/>
                    </w:rPr>
                  </w:pPr>
                  <w:r>
                    <w:rPr>
                      <w:rFonts w:hint="eastAsia"/>
                      <w:color w:val="auto"/>
                      <w:szCs w:val="21"/>
                    </w:rPr>
                    <w:t>0.09</w:t>
                  </w:r>
                </w:p>
              </w:tc>
              <w:tc>
                <w:tcPr>
                  <w:tcW w:w="1635" w:type="dxa"/>
                  <w:noWrap w:val="0"/>
                  <w:vAlign w:val="center"/>
                </w:tcPr>
                <w:p>
                  <w:pPr>
                    <w:snapToGrid w:val="0"/>
                    <w:spacing w:line="20" w:lineRule="atLeast"/>
                    <w:jc w:val="center"/>
                    <w:rPr>
                      <w:color w:val="auto"/>
                      <w:szCs w:val="21"/>
                    </w:rPr>
                  </w:pPr>
                  <w:r>
                    <w:rPr>
                      <w:color w:val="auto"/>
                      <w:szCs w:val="21"/>
                    </w:rPr>
                    <w:t>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14" w:type="dxa"/>
                  <w:gridSpan w:val="4"/>
                  <w:noWrap w:val="0"/>
                  <w:vAlign w:val="center"/>
                </w:tcPr>
                <w:p>
                  <w:pPr>
                    <w:topLinePunct/>
                    <w:snapToGrid w:val="0"/>
                    <w:spacing w:line="20" w:lineRule="atLeast"/>
                    <w:jc w:val="center"/>
                    <w:rPr>
                      <w:color w:val="auto"/>
                      <w:szCs w:val="21"/>
                    </w:rPr>
                  </w:pPr>
                  <w:r>
                    <w:rPr>
                      <w:color w:val="auto"/>
                      <w:szCs w:val="21"/>
                    </w:rPr>
                    <w:t>合计</w:t>
                  </w:r>
                </w:p>
              </w:tc>
              <w:tc>
                <w:tcPr>
                  <w:tcW w:w="1635" w:type="dxa"/>
                  <w:noWrap w:val="0"/>
                  <w:vAlign w:val="center"/>
                </w:tcPr>
                <w:p>
                  <w:pPr>
                    <w:snapToGrid w:val="0"/>
                    <w:spacing w:line="20" w:lineRule="atLeast"/>
                    <w:jc w:val="center"/>
                    <w:rPr>
                      <w:color w:val="auto"/>
                      <w:szCs w:val="21"/>
                    </w:rPr>
                  </w:pPr>
                  <w:r>
                    <w:rPr>
                      <w:rFonts w:hint="eastAsia"/>
                      <w:color w:val="auto"/>
                      <w:szCs w:val="21"/>
                    </w:rPr>
                    <w:t>0.02593</w:t>
                  </w:r>
                </w:p>
              </w:tc>
            </w:tr>
          </w:tbl>
          <w:p>
            <w:pPr>
              <w:snapToGrid w:val="0"/>
              <w:ind w:firstLine="480" w:firstLineChars="200"/>
              <w:jc w:val="left"/>
              <w:rPr>
                <w:color w:val="auto"/>
                <w:sz w:val="24"/>
              </w:rPr>
            </w:pPr>
          </w:p>
          <w:p>
            <w:pPr>
              <w:adjustRightInd w:val="0"/>
              <w:snapToGrid w:val="0"/>
              <w:spacing w:line="360" w:lineRule="auto"/>
              <w:ind w:firstLine="480" w:firstLineChars="200"/>
              <w:rPr>
                <w:bCs/>
                <w:snapToGrid w:val="0"/>
                <w:color w:val="auto"/>
                <w:kern w:val="0"/>
                <w:sz w:val="24"/>
              </w:rPr>
            </w:pPr>
            <w:r>
              <w:rPr>
                <w:color w:val="auto"/>
                <w:sz w:val="24"/>
              </w:rPr>
              <w:t>综上，本项目Q=</w:t>
            </w:r>
            <w:r>
              <w:rPr>
                <w:rFonts w:hint="eastAsia"/>
                <w:color w:val="auto"/>
                <w:sz w:val="24"/>
              </w:rPr>
              <w:t>0.02593</w:t>
            </w:r>
            <w:r>
              <w:rPr>
                <w:color w:val="auto"/>
                <w:sz w:val="24"/>
              </w:rPr>
              <w:t>＜1，当Q&lt;1时，该项目环境风险潜势为I，因此</w:t>
            </w:r>
            <w:r>
              <w:rPr>
                <w:rFonts w:hint="eastAsia"/>
                <w:color w:val="auto"/>
                <w:sz w:val="24"/>
              </w:rPr>
              <w:t>本</w:t>
            </w:r>
            <w:r>
              <w:rPr>
                <w:color w:val="auto"/>
                <w:sz w:val="24"/>
              </w:rPr>
              <w:t>项目无需开展环境风险专项评价。</w:t>
            </w:r>
          </w:p>
          <w:p>
            <w:pPr>
              <w:adjustRightInd w:val="0"/>
              <w:snapToGrid w:val="0"/>
              <w:spacing w:line="360" w:lineRule="auto"/>
              <w:ind w:firstLine="482" w:firstLineChars="200"/>
              <w:rPr>
                <w:b/>
                <w:snapToGrid w:val="0"/>
                <w:color w:val="auto"/>
                <w:kern w:val="0"/>
                <w:sz w:val="24"/>
              </w:rPr>
            </w:pPr>
            <w:r>
              <w:rPr>
                <w:b/>
                <w:snapToGrid w:val="0"/>
                <w:color w:val="auto"/>
                <w:kern w:val="0"/>
                <w:sz w:val="24"/>
              </w:rPr>
              <w:t>2、环境风险源分布情况</w:t>
            </w:r>
            <w:r>
              <w:rPr>
                <w:rFonts w:hint="eastAsia"/>
                <w:b/>
                <w:snapToGrid w:val="0"/>
                <w:color w:val="auto"/>
                <w:kern w:val="0"/>
                <w:sz w:val="24"/>
              </w:rPr>
              <w:t>及可能影响途径</w:t>
            </w:r>
          </w:p>
          <w:p>
            <w:pPr>
              <w:adjustRightInd w:val="0"/>
              <w:snapToGrid w:val="0"/>
              <w:spacing w:line="360" w:lineRule="auto"/>
              <w:ind w:firstLine="440" w:firstLineChars="200"/>
              <w:rPr>
                <w:bCs/>
                <w:color w:val="auto"/>
                <w:spacing w:val="-10"/>
                <w:sz w:val="24"/>
                <w:lang w:val="zh-CN"/>
              </w:rPr>
            </w:pPr>
            <w:r>
              <w:rPr>
                <w:rFonts w:hint="eastAsia"/>
                <w:bCs/>
                <w:color w:val="auto"/>
                <w:spacing w:val="-10"/>
                <w:sz w:val="24"/>
              </w:rPr>
              <w:t>本</w:t>
            </w:r>
            <w:r>
              <w:rPr>
                <w:bCs/>
                <w:color w:val="auto"/>
                <w:spacing w:val="-10"/>
                <w:sz w:val="24"/>
                <w:lang w:val="zh-CN"/>
              </w:rPr>
              <w:t>项目的风险识别结果见下表所示：</w:t>
            </w:r>
          </w:p>
          <w:p>
            <w:pPr>
              <w:adjustRightInd w:val="0"/>
              <w:snapToGrid w:val="0"/>
              <w:ind w:firstLine="442" w:firstLineChars="200"/>
              <w:jc w:val="center"/>
              <w:rPr>
                <w:b/>
                <w:color w:val="auto"/>
                <w:spacing w:val="-10"/>
                <w:sz w:val="24"/>
              </w:rPr>
            </w:pPr>
          </w:p>
          <w:p>
            <w:pPr>
              <w:adjustRightInd w:val="0"/>
              <w:snapToGrid w:val="0"/>
              <w:ind w:firstLine="442" w:firstLineChars="200"/>
              <w:jc w:val="center"/>
              <w:rPr>
                <w:b/>
                <w:color w:val="auto"/>
                <w:spacing w:val="-10"/>
                <w:sz w:val="24"/>
              </w:rPr>
            </w:pPr>
            <w:r>
              <w:rPr>
                <w:b/>
                <w:color w:val="auto"/>
                <w:spacing w:val="-10"/>
                <w:sz w:val="24"/>
              </w:rPr>
              <w:t>表4-</w:t>
            </w:r>
            <w:r>
              <w:rPr>
                <w:rFonts w:hint="eastAsia"/>
                <w:b/>
                <w:color w:val="auto"/>
                <w:spacing w:val="-10"/>
                <w:sz w:val="24"/>
              </w:rPr>
              <w:t xml:space="preserve">26 </w:t>
            </w:r>
            <w:r>
              <w:rPr>
                <w:b/>
                <w:color w:val="auto"/>
                <w:spacing w:val="-10"/>
                <w:sz w:val="24"/>
              </w:rPr>
              <w:t>建设项目环境风险识别表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3038"/>
              <w:gridCol w:w="2271"/>
              <w:gridCol w:w="1281"/>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5" w:type="dxa"/>
                  <w:noWrap w:val="0"/>
                  <w:vAlign w:val="center"/>
                </w:tcPr>
                <w:p>
                  <w:pPr>
                    <w:topLinePunct/>
                    <w:snapToGrid w:val="0"/>
                    <w:jc w:val="center"/>
                    <w:rPr>
                      <w:b/>
                      <w:bCs/>
                      <w:color w:val="auto"/>
                      <w:kern w:val="0"/>
                      <w:szCs w:val="21"/>
                    </w:rPr>
                  </w:pPr>
                  <w:r>
                    <w:rPr>
                      <w:b/>
                      <w:bCs/>
                      <w:color w:val="auto"/>
                      <w:kern w:val="0"/>
                      <w:szCs w:val="21"/>
                    </w:rPr>
                    <w:t>风险源</w:t>
                  </w:r>
                </w:p>
              </w:tc>
              <w:tc>
                <w:tcPr>
                  <w:tcW w:w="2765" w:type="dxa"/>
                  <w:noWrap w:val="0"/>
                  <w:vAlign w:val="center"/>
                </w:tcPr>
                <w:p>
                  <w:pPr>
                    <w:topLinePunct/>
                    <w:snapToGrid w:val="0"/>
                    <w:jc w:val="center"/>
                    <w:rPr>
                      <w:b/>
                      <w:bCs/>
                      <w:color w:val="auto"/>
                      <w:kern w:val="0"/>
                      <w:szCs w:val="21"/>
                    </w:rPr>
                  </w:pPr>
                  <w:r>
                    <w:rPr>
                      <w:b/>
                      <w:bCs/>
                      <w:color w:val="auto"/>
                      <w:kern w:val="0"/>
                      <w:szCs w:val="21"/>
                    </w:rPr>
                    <w:t>主要危险物质</w:t>
                  </w:r>
                </w:p>
              </w:tc>
              <w:tc>
                <w:tcPr>
                  <w:tcW w:w="2067" w:type="dxa"/>
                  <w:noWrap w:val="0"/>
                  <w:vAlign w:val="center"/>
                </w:tcPr>
                <w:p>
                  <w:pPr>
                    <w:topLinePunct/>
                    <w:snapToGrid w:val="0"/>
                    <w:jc w:val="center"/>
                    <w:rPr>
                      <w:b/>
                      <w:bCs/>
                      <w:color w:val="auto"/>
                      <w:kern w:val="0"/>
                      <w:szCs w:val="21"/>
                    </w:rPr>
                  </w:pPr>
                  <w:r>
                    <w:rPr>
                      <w:b/>
                      <w:bCs/>
                      <w:color w:val="auto"/>
                      <w:kern w:val="0"/>
                      <w:szCs w:val="21"/>
                    </w:rPr>
                    <w:t>风险类型</w:t>
                  </w:r>
                </w:p>
              </w:tc>
              <w:tc>
                <w:tcPr>
                  <w:tcW w:w="1166" w:type="dxa"/>
                  <w:noWrap w:val="0"/>
                  <w:vAlign w:val="center"/>
                </w:tcPr>
                <w:p>
                  <w:pPr>
                    <w:topLinePunct/>
                    <w:snapToGrid w:val="0"/>
                    <w:jc w:val="center"/>
                    <w:rPr>
                      <w:b/>
                      <w:bCs/>
                      <w:color w:val="auto"/>
                      <w:kern w:val="0"/>
                      <w:szCs w:val="21"/>
                    </w:rPr>
                  </w:pPr>
                  <w:r>
                    <w:rPr>
                      <w:b/>
                      <w:bCs/>
                      <w:color w:val="auto"/>
                      <w:kern w:val="0"/>
                      <w:szCs w:val="21"/>
                    </w:rPr>
                    <w:t>影响途径</w:t>
                  </w:r>
                </w:p>
              </w:tc>
              <w:tc>
                <w:tcPr>
                  <w:tcW w:w="1526" w:type="dxa"/>
                  <w:noWrap w:val="0"/>
                  <w:vAlign w:val="center"/>
                </w:tcPr>
                <w:p>
                  <w:pPr>
                    <w:topLinePunct/>
                    <w:snapToGrid w:val="0"/>
                    <w:jc w:val="center"/>
                    <w:rPr>
                      <w:b/>
                      <w:bCs/>
                      <w:color w:val="auto"/>
                      <w:kern w:val="0"/>
                      <w:szCs w:val="21"/>
                    </w:rPr>
                  </w:pPr>
                  <w:r>
                    <w:rPr>
                      <w:b/>
                      <w:bCs/>
                      <w:color w:val="auto"/>
                      <w:kern w:val="0"/>
                      <w:szCs w:val="21"/>
                    </w:rPr>
                    <w:t>可能受影响的环境敏感目标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5" w:type="dxa"/>
                  <w:noWrap w:val="0"/>
                  <w:vAlign w:val="center"/>
                </w:tcPr>
                <w:p>
                  <w:pPr>
                    <w:topLinePunct/>
                    <w:snapToGrid w:val="0"/>
                    <w:jc w:val="center"/>
                    <w:rPr>
                      <w:rFonts w:hint="eastAsia"/>
                      <w:color w:val="auto"/>
                      <w:kern w:val="0"/>
                      <w:szCs w:val="21"/>
                    </w:rPr>
                  </w:pPr>
                  <w:r>
                    <w:rPr>
                      <w:rFonts w:hint="eastAsia"/>
                      <w:color w:val="auto"/>
                      <w:kern w:val="0"/>
                      <w:szCs w:val="21"/>
                    </w:rPr>
                    <w:t>油库</w:t>
                  </w:r>
                </w:p>
              </w:tc>
              <w:tc>
                <w:tcPr>
                  <w:tcW w:w="2765" w:type="dxa"/>
                  <w:noWrap w:val="0"/>
                  <w:vAlign w:val="center"/>
                </w:tcPr>
                <w:p>
                  <w:pPr>
                    <w:topLinePunct/>
                    <w:snapToGrid w:val="0"/>
                    <w:jc w:val="center"/>
                    <w:rPr>
                      <w:color w:val="auto"/>
                      <w:kern w:val="0"/>
                      <w:szCs w:val="21"/>
                    </w:rPr>
                  </w:pPr>
                  <w:r>
                    <w:rPr>
                      <w:rFonts w:hint="eastAsia"/>
                      <w:color w:val="auto"/>
                      <w:szCs w:val="21"/>
                    </w:rPr>
                    <w:t>重油、柴油</w:t>
                  </w:r>
                </w:p>
              </w:tc>
              <w:tc>
                <w:tcPr>
                  <w:tcW w:w="2067" w:type="dxa"/>
                  <w:noWrap w:val="0"/>
                  <w:vAlign w:val="center"/>
                </w:tcPr>
                <w:p>
                  <w:pPr>
                    <w:topLinePunct/>
                    <w:snapToGrid w:val="0"/>
                    <w:jc w:val="center"/>
                    <w:rPr>
                      <w:color w:val="auto"/>
                      <w:kern w:val="0"/>
                      <w:szCs w:val="21"/>
                    </w:rPr>
                  </w:pPr>
                  <w:r>
                    <w:rPr>
                      <w:rFonts w:hint="eastAsia"/>
                      <w:color w:val="auto"/>
                      <w:kern w:val="0"/>
                      <w:szCs w:val="21"/>
                    </w:rPr>
                    <w:t>泄漏</w:t>
                  </w:r>
                  <w:r>
                    <w:rPr>
                      <w:rFonts w:hint="eastAsia"/>
                      <w:color w:val="auto"/>
                      <w:szCs w:val="21"/>
                    </w:rPr>
                    <w:t>、火灾产生的次生伴生污染物排放</w:t>
                  </w:r>
                </w:p>
              </w:tc>
              <w:tc>
                <w:tcPr>
                  <w:tcW w:w="1166" w:type="dxa"/>
                  <w:noWrap w:val="0"/>
                  <w:vAlign w:val="center"/>
                </w:tcPr>
                <w:p>
                  <w:pPr>
                    <w:topLinePunct/>
                    <w:snapToGrid w:val="0"/>
                    <w:jc w:val="center"/>
                    <w:rPr>
                      <w:color w:val="auto"/>
                      <w:kern w:val="0"/>
                      <w:szCs w:val="21"/>
                    </w:rPr>
                  </w:pPr>
                  <w:r>
                    <w:rPr>
                      <w:color w:val="auto"/>
                      <w:kern w:val="0"/>
                      <w:szCs w:val="21"/>
                    </w:rPr>
                    <w:t>大气</w:t>
                  </w:r>
                  <w:r>
                    <w:rPr>
                      <w:rFonts w:hint="eastAsia"/>
                      <w:color w:val="auto"/>
                      <w:szCs w:val="21"/>
                    </w:rPr>
                    <w:t>扩散、垂直入渗</w:t>
                  </w:r>
                </w:p>
              </w:tc>
              <w:tc>
                <w:tcPr>
                  <w:tcW w:w="1526" w:type="dxa"/>
                  <w:noWrap w:val="0"/>
                  <w:vAlign w:val="center"/>
                </w:tcPr>
                <w:p>
                  <w:pPr>
                    <w:topLinePunct/>
                    <w:snapToGrid w:val="0"/>
                    <w:jc w:val="center"/>
                    <w:rPr>
                      <w:color w:val="auto"/>
                      <w:kern w:val="0"/>
                      <w:szCs w:val="21"/>
                    </w:rPr>
                  </w:pPr>
                  <w:r>
                    <w:rPr>
                      <w:color w:val="auto"/>
                      <w:kern w:val="0"/>
                      <w:szCs w:val="21"/>
                    </w:rPr>
                    <w:t>大气</w:t>
                  </w:r>
                  <w:r>
                    <w:rPr>
                      <w:rFonts w:hint="eastAsia"/>
                      <w:color w:val="auto"/>
                      <w:szCs w:val="21"/>
                    </w:rPr>
                    <w:t>、地表水、地下水、土壤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5" w:type="dxa"/>
                  <w:noWrap w:val="0"/>
                  <w:vAlign w:val="center"/>
                </w:tcPr>
                <w:p>
                  <w:pPr>
                    <w:topLinePunct/>
                    <w:snapToGrid w:val="0"/>
                    <w:jc w:val="center"/>
                    <w:rPr>
                      <w:color w:val="auto"/>
                      <w:kern w:val="0"/>
                      <w:szCs w:val="21"/>
                    </w:rPr>
                  </w:pPr>
                  <w:r>
                    <w:rPr>
                      <w:color w:val="auto"/>
                      <w:kern w:val="0"/>
                      <w:szCs w:val="21"/>
                    </w:rPr>
                    <w:t>危废间</w:t>
                  </w:r>
                </w:p>
              </w:tc>
              <w:tc>
                <w:tcPr>
                  <w:tcW w:w="2765" w:type="dxa"/>
                  <w:noWrap w:val="0"/>
                  <w:vAlign w:val="center"/>
                </w:tcPr>
                <w:p>
                  <w:pPr>
                    <w:topLinePunct/>
                    <w:snapToGrid w:val="0"/>
                    <w:jc w:val="center"/>
                    <w:rPr>
                      <w:color w:val="auto"/>
                      <w:kern w:val="0"/>
                      <w:szCs w:val="21"/>
                    </w:rPr>
                  </w:pPr>
                  <w:r>
                    <w:rPr>
                      <w:rFonts w:hint="eastAsia"/>
                      <w:color w:val="auto"/>
                    </w:rPr>
                    <w:t>废包装容器、漆渣、废活性炭、污泥</w:t>
                  </w:r>
                </w:p>
              </w:tc>
              <w:tc>
                <w:tcPr>
                  <w:tcW w:w="2067" w:type="dxa"/>
                  <w:noWrap w:val="0"/>
                  <w:vAlign w:val="center"/>
                </w:tcPr>
                <w:p>
                  <w:pPr>
                    <w:topLinePunct/>
                    <w:snapToGrid w:val="0"/>
                    <w:jc w:val="center"/>
                    <w:rPr>
                      <w:color w:val="auto"/>
                      <w:kern w:val="0"/>
                      <w:szCs w:val="21"/>
                    </w:rPr>
                  </w:pPr>
                  <w:r>
                    <w:rPr>
                      <w:rFonts w:hint="eastAsia"/>
                      <w:color w:val="auto"/>
                      <w:kern w:val="0"/>
                      <w:szCs w:val="21"/>
                    </w:rPr>
                    <w:t>泄漏</w:t>
                  </w:r>
                </w:p>
              </w:tc>
              <w:tc>
                <w:tcPr>
                  <w:tcW w:w="1166" w:type="dxa"/>
                  <w:noWrap w:val="0"/>
                  <w:vAlign w:val="center"/>
                </w:tcPr>
                <w:p>
                  <w:pPr>
                    <w:topLinePunct/>
                    <w:snapToGrid w:val="0"/>
                    <w:jc w:val="center"/>
                    <w:rPr>
                      <w:color w:val="auto"/>
                      <w:kern w:val="0"/>
                      <w:szCs w:val="21"/>
                    </w:rPr>
                  </w:pPr>
                  <w:r>
                    <w:rPr>
                      <w:rFonts w:hint="eastAsia"/>
                      <w:color w:val="auto"/>
                      <w:kern w:val="0"/>
                      <w:szCs w:val="21"/>
                    </w:rPr>
                    <w:t>垂直入渗</w:t>
                  </w:r>
                </w:p>
              </w:tc>
              <w:tc>
                <w:tcPr>
                  <w:tcW w:w="1526" w:type="dxa"/>
                  <w:noWrap w:val="0"/>
                  <w:vAlign w:val="center"/>
                </w:tcPr>
                <w:p>
                  <w:pPr>
                    <w:topLinePunct/>
                    <w:snapToGrid w:val="0"/>
                    <w:jc w:val="center"/>
                    <w:rPr>
                      <w:color w:val="auto"/>
                      <w:kern w:val="0"/>
                      <w:szCs w:val="21"/>
                    </w:rPr>
                  </w:pPr>
                  <w:r>
                    <w:rPr>
                      <w:rFonts w:hint="eastAsia"/>
                      <w:color w:val="auto"/>
                      <w:szCs w:val="21"/>
                    </w:rPr>
                    <w:t>地表水、地下水、土壤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5" w:type="dxa"/>
                  <w:noWrap w:val="0"/>
                  <w:vAlign w:val="center"/>
                </w:tcPr>
                <w:p>
                  <w:pPr>
                    <w:topLinePunct/>
                    <w:snapToGrid w:val="0"/>
                    <w:jc w:val="center"/>
                    <w:rPr>
                      <w:color w:val="auto"/>
                      <w:kern w:val="0"/>
                      <w:szCs w:val="21"/>
                    </w:rPr>
                  </w:pPr>
                  <w:r>
                    <w:rPr>
                      <w:rFonts w:hint="eastAsia"/>
                      <w:color w:val="auto"/>
                      <w:kern w:val="0"/>
                      <w:szCs w:val="21"/>
                    </w:rPr>
                    <w:t>废气处理设施</w:t>
                  </w:r>
                </w:p>
              </w:tc>
              <w:tc>
                <w:tcPr>
                  <w:tcW w:w="2765" w:type="dxa"/>
                  <w:noWrap w:val="0"/>
                  <w:vAlign w:val="center"/>
                </w:tcPr>
                <w:p>
                  <w:pPr>
                    <w:topLinePunct/>
                    <w:snapToGrid w:val="0"/>
                    <w:jc w:val="center"/>
                    <w:rPr>
                      <w:rFonts w:hint="eastAsia"/>
                      <w:color w:val="auto"/>
                    </w:rPr>
                  </w:pPr>
                  <w:r>
                    <w:rPr>
                      <w:rFonts w:hint="eastAsia"/>
                      <w:color w:val="auto"/>
                    </w:rPr>
                    <w:t>有机废气</w:t>
                  </w:r>
                </w:p>
              </w:tc>
              <w:tc>
                <w:tcPr>
                  <w:tcW w:w="2067" w:type="dxa"/>
                  <w:noWrap w:val="0"/>
                  <w:vAlign w:val="center"/>
                </w:tcPr>
                <w:p>
                  <w:pPr>
                    <w:topLinePunct/>
                    <w:snapToGrid w:val="0"/>
                    <w:jc w:val="center"/>
                    <w:rPr>
                      <w:rFonts w:hint="eastAsia"/>
                      <w:color w:val="auto"/>
                      <w:kern w:val="0"/>
                      <w:szCs w:val="21"/>
                    </w:rPr>
                  </w:pPr>
                  <w:r>
                    <w:rPr>
                      <w:rFonts w:hint="eastAsia"/>
                      <w:color w:val="auto"/>
                      <w:kern w:val="0"/>
                      <w:szCs w:val="21"/>
                    </w:rPr>
                    <w:t>泄漏</w:t>
                  </w:r>
                </w:p>
              </w:tc>
              <w:tc>
                <w:tcPr>
                  <w:tcW w:w="1166" w:type="dxa"/>
                  <w:noWrap w:val="0"/>
                  <w:vAlign w:val="center"/>
                </w:tcPr>
                <w:p>
                  <w:pPr>
                    <w:topLinePunct/>
                    <w:snapToGrid w:val="0"/>
                    <w:jc w:val="center"/>
                    <w:rPr>
                      <w:color w:val="auto"/>
                      <w:kern w:val="0"/>
                      <w:szCs w:val="21"/>
                    </w:rPr>
                  </w:pPr>
                  <w:r>
                    <w:rPr>
                      <w:rFonts w:hint="eastAsia"/>
                      <w:color w:val="auto"/>
                      <w:kern w:val="0"/>
                      <w:szCs w:val="21"/>
                    </w:rPr>
                    <w:t>大气扩散</w:t>
                  </w:r>
                </w:p>
              </w:tc>
              <w:tc>
                <w:tcPr>
                  <w:tcW w:w="1526" w:type="dxa"/>
                  <w:noWrap w:val="0"/>
                  <w:vAlign w:val="center"/>
                </w:tcPr>
                <w:p>
                  <w:pPr>
                    <w:topLinePunct/>
                    <w:snapToGrid w:val="0"/>
                    <w:jc w:val="center"/>
                    <w:rPr>
                      <w:rFonts w:hint="eastAsia"/>
                      <w:color w:val="auto"/>
                      <w:szCs w:val="21"/>
                    </w:rPr>
                  </w:pPr>
                  <w:r>
                    <w:rPr>
                      <w:rFonts w:hint="eastAsia"/>
                      <w:color w:val="auto"/>
                      <w:szCs w:val="21"/>
                    </w:rPr>
                    <w:t>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5" w:type="dxa"/>
                  <w:noWrap w:val="0"/>
                  <w:vAlign w:val="center"/>
                </w:tcPr>
                <w:p>
                  <w:pPr>
                    <w:topLinePunct/>
                    <w:snapToGrid w:val="0"/>
                    <w:jc w:val="center"/>
                    <w:rPr>
                      <w:color w:val="auto"/>
                      <w:kern w:val="0"/>
                      <w:szCs w:val="21"/>
                    </w:rPr>
                  </w:pPr>
                  <w:r>
                    <w:rPr>
                      <w:rFonts w:hint="eastAsia"/>
                      <w:color w:val="auto"/>
                      <w:kern w:val="0"/>
                      <w:szCs w:val="21"/>
                    </w:rPr>
                    <w:t>废水处理设施</w:t>
                  </w:r>
                </w:p>
              </w:tc>
              <w:tc>
                <w:tcPr>
                  <w:tcW w:w="2765" w:type="dxa"/>
                  <w:noWrap w:val="0"/>
                  <w:vAlign w:val="center"/>
                </w:tcPr>
                <w:p>
                  <w:pPr>
                    <w:topLinePunct/>
                    <w:snapToGrid w:val="0"/>
                    <w:jc w:val="center"/>
                    <w:rPr>
                      <w:color w:val="auto"/>
                    </w:rPr>
                  </w:pPr>
                  <w:r>
                    <w:rPr>
                      <w:rFonts w:hint="eastAsia"/>
                      <w:color w:val="auto"/>
                    </w:rPr>
                    <w:t>污水</w:t>
                  </w:r>
                </w:p>
              </w:tc>
              <w:tc>
                <w:tcPr>
                  <w:tcW w:w="2067" w:type="dxa"/>
                  <w:noWrap w:val="0"/>
                  <w:vAlign w:val="center"/>
                </w:tcPr>
                <w:p>
                  <w:pPr>
                    <w:topLinePunct/>
                    <w:snapToGrid w:val="0"/>
                    <w:jc w:val="center"/>
                    <w:rPr>
                      <w:color w:val="auto"/>
                      <w:kern w:val="0"/>
                      <w:szCs w:val="21"/>
                    </w:rPr>
                  </w:pPr>
                  <w:r>
                    <w:rPr>
                      <w:rFonts w:hint="eastAsia"/>
                      <w:color w:val="auto"/>
                      <w:kern w:val="0"/>
                      <w:szCs w:val="21"/>
                    </w:rPr>
                    <w:t>泄漏</w:t>
                  </w:r>
                </w:p>
              </w:tc>
              <w:tc>
                <w:tcPr>
                  <w:tcW w:w="1166" w:type="dxa"/>
                  <w:noWrap w:val="0"/>
                  <w:vAlign w:val="center"/>
                </w:tcPr>
                <w:p>
                  <w:pPr>
                    <w:topLinePunct/>
                    <w:snapToGrid w:val="0"/>
                    <w:jc w:val="center"/>
                    <w:rPr>
                      <w:color w:val="auto"/>
                      <w:kern w:val="0"/>
                      <w:szCs w:val="21"/>
                    </w:rPr>
                  </w:pPr>
                  <w:r>
                    <w:rPr>
                      <w:rFonts w:hint="eastAsia"/>
                      <w:color w:val="auto"/>
                      <w:kern w:val="0"/>
                      <w:szCs w:val="21"/>
                    </w:rPr>
                    <w:t>垂直入渗</w:t>
                  </w:r>
                </w:p>
              </w:tc>
              <w:tc>
                <w:tcPr>
                  <w:tcW w:w="1526" w:type="dxa"/>
                  <w:noWrap w:val="0"/>
                  <w:vAlign w:val="center"/>
                </w:tcPr>
                <w:p>
                  <w:pPr>
                    <w:topLinePunct/>
                    <w:snapToGrid w:val="0"/>
                    <w:jc w:val="center"/>
                    <w:rPr>
                      <w:color w:val="auto"/>
                      <w:szCs w:val="21"/>
                    </w:rPr>
                  </w:pPr>
                  <w:r>
                    <w:rPr>
                      <w:rFonts w:hint="eastAsia"/>
                      <w:color w:val="auto"/>
                      <w:szCs w:val="21"/>
                    </w:rPr>
                    <w:t>地表水、地下水、土壤</w:t>
                  </w:r>
                </w:p>
              </w:tc>
            </w:tr>
          </w:tbl>
          <w:p>
            <w:pPr>
              <w:adjustRightInd w:val="0"/>
              <w:snapToGrid w:val="0"/>
              <w:spacing w:line="360" w:lineRule="auto"/>
              <w:ind w:firstLine="482" w:firstLineChars="200"/>
              <w:rPr>
                <w:b/>
                <w:snapToGrid w:val="0"/>
                <w:color w:val="auto"/>
                <w:kern w:val="0"/>
                <w:sz w:val="24"/>
              </w:rPr>
            </w:pPr>
          </w:p>
          <w:p>
            <w:pPr>
              <w:adjustRightInd w:val="0"/>
              <w:snapToGrid w:val="0"/>
              <w:spacing w:line="360" w:lineRule="auto"/>
              <w:ind w:firstLine="482" w:firstLineChars="200"/>
              <w:rPr>
                <w:b/>
                <w:snapToGrid w:val="0"/>
                <w:color w:val="auto"/>
                <w:kern w:val="0"/>
                <w:sz w:val="24"/>
              </w:rPr>
            </w:pPr>
            <w:r>
              <w:rPr>
                <w:b/>
                <w:snapToGrid w:val="0"/>
                <w:color w:val="auto"/>
                <w:kern w:val="0"/>
                <w:sz w:val="24"/>
              </w:rPr>
              <w:t>3、环境风险防范措施</w:t>
            </w:r>
          </w:p>
          <w:p>
            <w:pPr>
              <w:adjustRightInd w:val="0"/>
              <w:snapToGrid w:val="0"/>
              <w:spacing w:line="360" w:lineRule="auto"/>
              <w:ind w:firstLine="440" w:firstLineChars="200"/>
              <w:rPr>
                <w:bCs/>
                <w:color w:val="auto"/>
                <w:spacing w:val="-10"/>
                <w:sz w:val="24"/>
                <w:lang w:val="zh-CN"/>
              </w:rPr>
            </w:pPr>
            <w:r>
              <w:rPr>
                <w:rFonts w:hint="eastAsia"/>
                <w:bCs/>
                <w:color w:val="auto"/>
                <w:spacing w:val="-10"/>
                <w:sz w:val="24"/>
              </w:rPr>
              <w:t>本</w:t>
            </w:r>
            <w:r>
              <w:rPr>
                <w:rFonts w:hint="eastAsia"/>
                <w:bCs/>
                <w:color w:val="auto"/>
                <w:spacing w:val="-10"/>
                <w:sz w:val="24"/>
                <w:lang w:val="zh-CN"/>
              </w:rPr>
              <w:t>项目运营期间主要环境风险为</w:t>
            </w:r>
            <w:r>
              <w:rPr>
                <w:rFonts w:hint="eastAsia"/>
                <w:bCs/>
                <w:color w:val="auto"/>
                <w:spacing w:val="-10"/>
                <w:sz w:val="24"/>
              </w:rPr>
              <w:t>油库、危废间、废气处理设施、废水处理设施发生</w:t>
            </w:r>
            <w:r>
              <w:rPr>
                <w:rFonts w:hint="eastAsia"/>
                <w:bCs/>
                <w:color w:val="auto"/>
                <w:spacing w:val="-10"/>
                <w:sz w:val="24"/>
                <w:lang w:val="zh-CN"/>
              </w:rPr>
              <w:t>泄露，</w:t>
            </w:r>
            <w:r>
              <w:rPr>
                <w:rFonts w:hint="eastAsia"/>
                <w:bCs/>
                <w:color w:val="auto"/>
                <w:spacing w:val="-10"/>
                <w:sz w:val="24"/>
              </w:rPr>
              <w:t>以及油库发生火灾。</w:t>
            </w:r>
            <w:r>
              <w:rPr>
                <w:bCs/>
                <w:color w:val="auto"/>
                <w:spacing w:val="-10"/>
                <w:sz w:val="24"/>
                <w:lang w:val="zh-CN"/>
              </w:rPr>
              <w:t>本评价建议企业采取以下防范措施：</w:t>
            </w:r>
          </w:p>
          <w:p>
            <w:pPr>
              <w:adjustRightInd w:val="0"/>
              <w:snapToGrid w:val="0"/>
              <w:spacing w:line="360" w:lineRule="auto"/>
              <w:ind w:firstLine="440" w:firstLineChars="200"/>
              <w:rPr>
                <w:bCs/>
                <w:color w:val="auto"/>
                <w:spacing w:val="-10"/>
                <w:sz w:val="24"/>
                <w:lang w:val="zh-CN"/>
              </w:rPr>
            </w:pPr>
            <w:r>
              <w:rPr>
                <w:rFonts w:hint="eastAsia"/>
                <w:bCs/>
                <w:color w:val="auto"/>
                <w:spacing w:val="-10"/>
                <w:sz w:val="24"/>
                <w:lang w:val="zh-CN"/>
              </w:rPr>
              <w:t>（</w:t>
            </w:r>
            <w:r>
              <w:rPr>
                <w:rFonts w:hint="eastAsia"/>
                <w:bCs/>
                <w:color w:val="auto"/>
                <w:spacing w:val="-10"/>
                <w:sz w:val="24"/>
              </w:rPr>
              <w:t>1</w:t>
            </w:r>
            <w:r>
              <w:rPr>
                <w:rFonts w:hint="eastAsia"/>
                <w:bCs/>
                <w:color w:val="auto"/>
                <w:spacing w:val="-10"/>
                <w:sz w:val="24"/>
                <w:lang w:val="zh-CN"/>
              </w:rPr>
              <w:t>）</w:t>
            </w:r>
            <w:r>
              <w:rPr>
                <w:rFonts w:hint="eastAsia"/>
                <w:bCs/>
                <w:color w:val="auto"/>
                <w:spacing w:val="-10"/>
                <w:sz w:val="24"/>
              </w:rPr>
              <w:t>油库</w:t>
            </w:r>
            <w:r>
              <w:rPr>
                <w:rFonts w:hint="eastAsia"/>
                <w:bCs/>
                <w:color w:val="auto"/>
                <w:spacing w:val="-10"/>
                <w:sz w:val="24"/>
                <w:lang w:val="zh-CN"/>
              </w:rPr>
              <w:t>泄漏</w:t>
            </w:r>
            <w:r>
              <w:rPr>
                <w:rFonts w:hint="eastAsia"/>
                <w:bCs/>
                <w:color w:val="auto"/>
                <w:spacing w:val="-10"/>
                <w:sz w:val="24"/>
              </w:rPr>
              <w:t>及火灾环境风险</w:t>
            </w:r>
            <w:r>
              <w:rPr>
                <w:rFonts w:hint="eastAsia"/>
                <w:bCs/>
                <w:color w:val="auto"/>
                <w:spacing w:val="-10"/>
                <w:sz w:val="24"/>
                <w:lang w:val="zh-CN"/>
              </w:rPr>
              <w:t>防范措施</w:t>
            </w:r>
          </w:p>
          <w:p>
            <w:pPr>
              <w:adjustRightInd w:val="0"/>
              <w:snapToGrid w:val="0"/>
              <w:spacing w:line="360" w:lineRule="auto"/>
              <w:ind w:firstLine="440" w:firstLineChars="200"/>
              <w:rPr>
                <w:bCs/>
                <w:color w:val="auto"/>
                <w:spacing w:val="-10"/>
                <w:sz w:val="24"/>
                <w:lang w:val="zh-CN"/>
              </w:rPr>
            </w:pPr>
            <w:r>
              <w:rPr>
                <w:rFonts w:hint="eastAsia"/>
                <w:bCs/>
                <w:color w:val="auto"/>
                <w:spacing w:val="-10"/>
                <w:sz w:val="24"/>
              </w:rPr>
              <w:t>①柴油、重油</w:t>
            </w:r>
            <w:r>
              <w:rPr>
                <w:rFonts w:hint="eastAsia"/>
                <w:bCs/>
                <w:color w:val="auto"/>
                <w:spacing w:val="-10"/>
                <w:sz w:val="24"/>
                <w:lang w:val="zh-CN"/>
              </w:rPr>
              <w:t>经密封包装桶储存在</w:t>
            </w:r>
            <w:r>
              <w:rPr>
                <w:rFonts w:hint="eastAsia"/>
                <w:bCs/>
                <w:color w:val="auto"/>
                <w:spacing w:val="-10"/>
                <w:sz w:val="24"/>
              </w:rPr>
              <w:t>油漆仓库</w:t>
            </w:r>
            <w:r>
              <w:rPr>
                <w:rFonts w:hint="eastAsia"/>
                <w:bCs/>
                <w:color w:val="auto"/>
                <w:spacing w:val="-10"/>
                <w:sz w:val="24"/>
                <w:lang w:val="zh-CN"/>
              </w:rPr>
              <w:t>内，并定期对包装桶进行检测，常备吸毡、黄沙、木屑等物质，发现泄露物料时及时吸收清理；</w:t>
            </w:r>
          </w:p>
          <w:p>
            <w:pPr>
              <w:adjustRightInd w:val="0"/>
              <w:snapToGrid w:val="0"/>
              <w:spacing w:line="360" w:lineRule="auto"/>
              <w:ind w:firstLine="440" w:firstLineChars="200"/>
              <w:rPr>
                <w:bCs/>
                <w:color w:val="auto"/>
                <w:spacing w:val="-10"/>
                <w:sz w:val="24"/>
                <w:lang w:val="zh-CN"/>
              </w:rPr>
            </w:pPr>
            <w:r>
              <w:rPr>
                <w:rFonts w:hint="eastAsia"/>
                <w:bCs/>
                <w:color w:val="auto"/>
                <w:spacing w:val="-10"/>
                <w:sz w:val="24"/>
              </w:rPr>
              <w:t>②</w:t>
            </w:r>
            <w:r>
              <w:rPr>
                <w:rFonts w:hint="eastAsia"/>
                <w:bCs/>
                <w:color w:val="auto"/>
                <w:spacing w:val="-10"/>
                <w:sz w:val="24"/>
                <w:lang w:val="zh-CN"/>
              </w:rPr>
              <w:t>柴油、重油卸料及搬运时要轻拿轻放，以免损坏包装，引起泄漏；</w:t>
            </w:r>
          </w:p>
          <w:p>
            <w:pPr>
              <w:adjustRightInd w:val="0"/>
              <w:snapToGrid w:val="0"/>
              <w:spacing w:line="360" w:lineRule="auto"/>
              <w:ind w:firstLine="440" w:firstLineChars="200"/>
              <w:rPr>
                <w:rFonts w:hint="eastAsia"/>
                <w:bCs/>
                <w:color w:val="auto"/>
                <w:spacing w:val="-10"/>
                <w:sz w:val="24"/>
                <w:lang w:val="zh-CN"/>
              </w:rPr>
            </w:pPr>
            <w:r>
              <w:rPr>
                <w:rFonts w:hint="eastAsia"/>
                <w:bCs/>
                <w:color w:val="auto"/>
                <w:spacing w:val="-10"/>
                <w:sz w:val="24"/>
              </w:rPr>
              <w:t>③油库</w:t>
            </w:r>
            <w:r>
              <w:rPr>
                <w:rFonts w:hint="eastAsia"/>
                <w:bCs/>
                <w:color w:val="auto"/>
                <w:spacing w:val="-10"/>
                <w:sz w:val="24"/>
                <w:lang w:val="zh-CN"/>
              </w:rPr>
              <w:t>原料应根据品种不同分类分处存放，严禁混合存放。</w:t>
            </w:r>
          </w:p>
          <w:p>
            <w:pPr>
              <w:adjustRightInd w:val="0"/>
              <w:snapToGrid w:val="0"/>
              <w:spacing w:line="360" w:lineRule="auto"/>
              <w:ind w:firstLine="440" w:firstLineChars="200"/>
              <w:rPr>
                <w:rFonts w:hint="eastAsia"/>
                <w:bCs/>
                <w:color w:val="auto"/>
                <w:spacing w:val="-10"/>
                <w:sz w:val="24"/>
              </w:rPr>
            </w:pPr>
            <w:r>
              <w:rPr>
                <w:rFonts w:hint="eastAsia"/>
                <w:bCs/>
                <w:color w:val="auto"/>
                <w:spacing w:val="-10"/>
                <w:sz w:val="24"/>
              </w:rPr>
              <w:t>④油库设置“严禁烟火”的警示牌，尤其是在易燃品堆放的位置；灭火器应布置在明显便于取用的地方，并定期维护检查，确保能正常使用。</w:t>
            </w:r>
          </w:p>
          <w:p>
            <w:pPr>
              <w:adjustRightInd w:val="0"/>
              <w:snapToGrid w:val="0"/>
              <w:spacing w:line="360" w:lineRule="auto"/>
              <w:ind w:firstLine="440" w:firstLineChars="200"/>
              <w:rPr>
                <w:rFonts w:hint="eastAsia"/>
                <w:bCs/>
                <w:color w:val="auto"/>
                <w:spacing w:val="-10"/>
                <w:sz w:val="24"/>
              </w:rPr>
            </w:pPr>
            <w:r>
              <w:rPr>
                <w:rFonts w:hint="eastAsia"/>
                <w:bCs/>
                <w:color w:val="auto"/>
                <w:spacing w:val="-10"/>
                <w:sz w:val="24"/>
              </w:rPr>
              <w:t>④制定和落实防火安全责任制及消防安全规章制度，除加强对员工的消防知识进行培训，对消防安全责任人及员工也定期进行消防知识培训，消防安全管理人员持证上岗；制定灭火和应急疏散预案，同时设置安全疏散通道。</w:t>
            </w:r>
          </w:p>
          <w:p>
            <w:pPr>
              <w:adjustRightInd w:val="0"/>
              <w:snapToGrid w:val="0"/>
              <w:spacing w:line="360" w:lineRule="auto"/>
              <w:ind w:firstLine="440" w:firstLineChars="200"/>
              <w:rPr>
                <w:rFonts w:hint="eastAsia"/>
                <w:bCs/>
                <w:color w:val="auto"/>
                <w:spacing w:val="-10"/>
                <w:sz w:val="24"/>
              </w:rPr>
            </w:pPr>
            <w:r>
              <w:rPr>
                <w:rFonts w:hint="eastAsia"/>
                <w:bCs/>
                <w:color w:val="auto"/>
                <w:spacing w:val="-10"/>
                <w:sz w:val="24"/>
              </w:rPr>
              <w:t>⑤自动消防系统应定期维护保养，保证消防设施正常运作；对电路定期予以检查，用电负荷与电路的设计要匹配；</w:t>
            </w:r>
          </w:p>
          <w:p>
            <w:pPr>
              <w:adjustRightInd w:val="0"/>
              <w:snapToGrid w:val="0"/>
              <w:spacing w:line="360" w:lineRule="auto"/>
              <w:ind w:firstLine="440" w:firstLineChars="200"/>
              <w:rPr>
                <w:bCs/>
                <w:color w:val="auto"/>
                <w:spacing w:val="-10"/>
                <w:sz w:val="24"/>
                <w:lang w:val="zh-CN"/>
              </w:rPr>
            </w:pPr>
            <w:r>
              <w:rPr>
                <w:rFonts w:hint="eastAsia"/>
                <w:bCs/>
                <w:color w:val="auto"/>
                <w:spacing w:val="-10"/>
                <w:sz w:val="24"/>
                <w:lang w:val="zh-CN"/>
              </w:rPr>
              <w:t>（</w:t>
            </w:r>
            <w:r>
              <w:rPr>
                <w:rFonts w:hint="eastAsia"/>
                <w:bCs/>
                <w:color w:val="auto"/>
                <w:spacing w:val="-10"/>
                <w:sz w:val="24"/>
              </w:rPr>
              <w:t>2</w:t>
            </w:r>
            <w:r>
              <w:rPr>
                <w:rFonts w:hint="eastAsia"/>
                <w:bCs/>
                <w:color w:val="auto"/>
                <w:spacing w:val="-10"/>
                <w:sz w:val="24"/>
                <w:lang w:val="zh-CN"/>
              </w:rPr>
              <w:t>）</w:t>
            </w:r>
            <w:r>
              <w:rPr>
                <w:rFonts w:hint="eastAsia"/>
                <w:bCs/>
                <w:color w:val="auto"/>
                <w:spacing w:val="-10"/>
                <w:sz w:val="24"/>
              </w:rPr>
              <w:t>危废间泄漏</w:t>
            </w:r>
            <w:r>
              <w:rPr>
                <w:rFonts w:hint="eastAsia"/>
                <w:bCs/>
                <w:color w:val="auto"/>
                <w:spacing w:val="-10"/>
                <w:sz w:val="24"/>
                <w:lang w:val="zh-CN"/>
              </w:rPr>
              <w:t>风险防范措施</w:t>
            </w:r>
          </w:p>
          <w:p>
            <w:pPr>
              <w:adjustRightInd w:val="0"/>
              <w:snapToGrid w:val="0"/>
              <w:spacing w:line="360" w:lineRule="auto"/>
              <w:ind w:firstLine="440" w:firstLineChars="200"/>
              <w:rPr>
                <w:bCs/>
                <w:color w:val="auto"/>
                <w:spacing w:val="-10"/>
                <w:sz w:val="24"/>
                <w:lang w:val="zh-CN"/>
              </w:rPr>
            </w:pPr>
            <w:r>
              <w:rPr>
                <w:rFonts w:hint="eastAsia"/>
                <w:bCs/>
                <w:color w:val="auto"/>
                <w:spacing w:val="-10"/>
                <w:sz w:val="24"/>
              </w:rPr>
              <w:t>本</w:t>
            </w:r>
            <w:r>
              <w:rPr>
                <w:bCs/>
                <w:color w:val="auto"/>
                <w:spacing w:val="-10"/>
                <w:sz w:val="24"/>
                <w:lang w:val="zh-CN"/>
              </w:rPr>
              <w:t>项目所产生的危险废物要严格管理，集中收集，分类处理，严格按照要求暂存，交由有危险废物处理资质的单位回收处理。</w:t>
            </w:r>
          </w:p>
          <w:p>
            <w:pPr>
              <w:adjustRightInd w:val="0"/>
              <w:snapToGrid w:val="0"/>
              <w:spacing w:line="360" w:lineRule="auto"/>
              <w:ind w:firstLine="440" w:firstLineChars="200"/>
              <w:rPr>
                <w:bCs/>
                <w:color w:val="auto"/>
                <w:spacing w:val="-10"/>
                <w:sz w:val="24"/>
                <w:lang w:val="zh-CN"/>
              </w:rPr>
            </w:pPr>
            <w:r>
              <w:rPr>
                <w:rFonts w:hint="eastAsia"/>
                <w:bCs/>
                <w:color w:val="auto"/>
                <w:spacing w:val="-10"/>
                <w:sz w:val="24"/>
                <w:lang w:val="zh-CN"/>
              </w:rPr>
              <w:t>①</w:t>
            </w:r>
            <w:r>
              <w:rPr>
                <w:rFonts w:hint="eastAsia"/>
                <w:bCs/>
                <w:color w:val="auto"/>
                <w:spacing w:val="-10"/>
                <w:sz w:val="24"/>
              </w:rPr>
              <w:t>本</w:t>
            </w:r>
            <w:r>
              <w:rPr>
                <w:rFonts w:hint="eastAsia"/>
                <w:bCs/>
                <w:color w:val="auto"/>
                <w:spacing w:val="-10"/>
                <w:sz w:val="24"/>
                <w:lang w:val="zh-CN"/>
              </w:rPr>
              <w:t>项目产生的危废避免露天存放，分类收集后应使用密闭包装桶盛装；</w:t>
            </w:r>
          </w:p>
          <w:p>
            <w:pPr>
              <w:adjustRightInd w:val="0"/>
              <w:snapToGrid w:val="0"/>
              <w:spacing w:line="360" w:lineRule="auto"/>
              <w:ind w:firstLine="440" w:firstLineChars="200"/>
              <w:rPr>
                <w:rFonts w:hint="eastAsia"/>
                <w:bCs/>
                <w:color w:val="auto"/>
                <w:spacing w:val="-10"/>
                <w:sz w:val="24"/>
                <w:lang w:val="zh-CN"/>
              </w:rPr>
            </w:pPr>
            <w:r>
              <w:rPr>
                <w:rFonts w:hint="eastAsia"/>
                <w:bCs/>
                <w:color w:val="auto"/>
                <w:spacing w:val="-10"/>
                <w:sz w:val="24"/>
                <w:lang w:val="zh-CN"/>
              </w:rPr>
              <w:t>②危废间要做好防风、防雨、防晒措施；地面和裙脚做好防腐、防渗漏措施；门口设置漫坡、围堰。</w:t>
            </w:r>
          </w:p>
          <w:p>
            <w:pPr>
              <w:adjustRightInd w:val="0"/>
              <w:snapToGrid w:val="0"/>
              <w:spacing w:line="360" w:lineRule="auto"/>
              <w:ind w:firstLine="440" w:firstLineChars="200"/>
              <w:rPr>
                <w:rFonts w:hint="eastAsia"/>
                <w:bCs/>
                <w:color w:val="auto"/>
                <w:spacing w:val="-10"/>
                <w:sz w:val="24"/>
                <w:lang w:val="zh-CN"/>
              </w:rPr>
            </w:pPr>
          </w:p>
          <w:p>
            <w:pPr>
              <w:adjustRightInd w:val="0"/>
              <w:snapToGrid w:val="0"/>
              <w:spacing w:line="360" w:lineRule="auto"/>
              <w:ind w:firstLine="440" w:firstLineChars="200"/>
              <w:rPr>
                <w:rFonts w:hint="eastAsia"/>
                <w:bCs/>
                <w:color w:val="auto"/>
                <w:spacing w:val="-10"/>
                <w:sz w:val="24"/>
                <w:lang w:val="zh-CN"/>
              </w:rPr>
            </w:pPr>
            <w:r>
              <w:rPr>
                <w:rFonts w:hint="eastAsia"/>
                <w:bCs/>
                <w:color w:val="auto"/>
                <w:spacing w:val="-10"/>
                <w:sz w:val="24"/>
                <w:lang w:val="zh-CN"/>
              </w:rPr>
              <w:t>（</w:t>
            </w:r>
            <w:r>
              <w:rPr>
                <w:rFonts w:hint="eastAsia"/>
                <w:bCs/>
                <w:color w:val="auto"/>
                <w:spacing w:val="-10"/>
                <w:sz w:val="24"/>
              </w:rPr>
              <w:t>3</w:t>
            </w:r>
            <w:r>
              <w:rPr>
                <w:rFonts w:hint="eastAsia"/>
                <w:bCs/>
                <w:color w:val="auto"/>
                <w:spacing w:val="-10"/>
                <w:sz w:val="24"/>
                <w:lang w:val="zh-CN"/>
              </w:rPr>
              <w:t>）废气处理设施、</w:t>
            </w:r>
            <w:r>
              <w:rPr>
                <w:rFonts w:hint="eastAsia"/>
                <w:bCs/>
                <w:color w:val="auto"/>
                <w:spacing w:val="-10"/>
                <w:sz w:val="24"/>
              </w:rPr>
              <w:t>废水处理设施泄漏风险</w:t>
            </w:r>
            <w:r>
              <w:rPr>
                <w:rFonts w:hint="eastAsia"/>
                <w:bCs/>
                <w:color w:val="auto"/>
                <w:spacing w:val="-10"/>
                <w:sz w:val="24"/>
                <w:lang w:val="zh-CN"/>
              </w:rPr>
              <w:t>防范措施</w:t>
            </w:r>
          </w:p>
          <w:p>
            <w:pPr>
              <w:adjustRightInd w:val="0"/>
              <w:snapToGrid w:val="0"/>
              <w:spacing w:line="360" w:lineRule="auto"/>
              <w:ind w:firstLine="440" w:firstLineChars="200"/>
              <w:rPr>
                <w:rFonts w:hint="eastAsia"/>
                <w:bCs/>
                <w:color w:val="auto"/>
                <w:spacing w:val="-10"/>
                <w:sz w:val="24"/>
                <w:lang w:val="zh-CN"/>
              </w:rPr>
            </w:pPr>
            <w:r>
              <w:rPr>
                <w:rFonts w:hint="eastAsia"/>
                <w:bCs/>
                <w:color w:val="auto"/>
                <w:spacing w:val="-10"/>
                <w:sz w:val="24"/>
                <w:lang w:val="zh-CN"/>
              </w:rPr>
              <w:t>①项目废气处理设施、</w:t>
            </w:r>
            <w:r>
              <w:rPr>
                <w:rFonts w:hint="eastAsia"/>
                <w:bCs/>
                <w:color w:val="auto"/>
                <w:spacing w:val="-10"/>
                <w:sz w:val="24"/>
              </w:rPr>
              <w:t>废水处理设施</w:t>
            </w:r>
            <w:r>
              <w:rPr>
                <w:rFonts w:hint="eastAsia"/>
                <w:bCs/>
                <w:color w:val="auto"/>
                <w:spacing w:val="-10"/>
                <w:sz w:val="24"/>
                <w:lang w:val="zh-CN"/>
              </w:rPr>
              <w:t>采用正规设计厂家生产的设备，且安装时按正规要求安装；</w:t>
            </w:r>
          </w:p>
          <w:p>
            <w:pPr>
              <w:adjustRightInd w:val="0"/>
              <w:snapToGrid w:val="0"/>
              <w:spacing w:line="360" w:lineRule="auto"/>
              <w:ind w:firstLine="440" w:firstLineChars="200"/>
              <w:rPr>
                <w:rFonts w:hint="eastAsia"/>
                <w:bCs/>
                <w:color w:val="auto"/>
                <w:spacing w:val="-10"/>
                <w:sz w:val="24"/>
                <w:lang w:val="zh-CN"/>
              </w:rPr>
            </w:pPr>
            <w:r>
              <w:rPr>
                <w:rFonts w:hint="eastAsia"/>
                <w:bCs/>
                <w:color w:val="auto"/>
                <w:spacing w:val="-10"/>
                <w:sz w:val="24"/>
                <w:lang w:val="zh-CN"/>
              </w:rPr>
              <w:t>②项目安排专人定期检查维修保养废气处理设施、</w:t>
            </w:r>
            <w:r>
              <w:rPr>
                <w:rFonts w:hint="eastAsia"/>
                <w:bCs/>
                <w:color w:val="auto"/>
                <w:spacing w:val="-10"/>
                <w:sz w:val="24"/>
              </w:rPr>
              <w:t>废水处理设施</w:t>
            </w:r>
            <w:r>
              <w:rPr>
                <w:rFonts w:hint="eastAsia"/>
                <w:bCs/>
                <w:color w:val="auto"/>
                <w:spacing w:val="-10"/>
                <w:sz w:val="24"/>
                <w:lang w:val="zh-CN"/>
              </w:rPr>
              <w:t>；</w:t>
            </w:r>
          </w:p>
          <w:p>
            <w:pPr>
              <w:adjustRightInd w:val="0"/>
              <w:snapToGrid w:val="0"/>
              <w:spacing w:line="360" w:lineRule="auto"/>
              <w:ind w:firstLine="440" w:firstLineChars="200"/>
              <w:rPr>
                <w:bCs/>
                <w:color w:val="auto"/>
                <w:spacing w:val="-10"/>
                <w:sz w:val="24"/>
                <w:lang w:val="zh-CN"/>
              </w:rPr>
            </w:pPr>
            <w:r>
              <w:rPr>
                <w:rFonts w:hint="eastAsia"/>
                <w:bCs/>
                <w:color w:val="auto"/>
                <w:spacing w:val="-10"/>
                <w:sz w:val="24"/>
                <w:lang w:val="zh-CN"/>
              </w:rPr>
              <w:t>③当发现废气处理设施、</w:t>
            </w:r>
            <w:r>
              <w:rPr>
                <w:rFonts w:hint="eastAsia"/>
                <w:bCs/>
                <w:color w:val="auto"/>
                <w:spacing w:val="-10"/>
                <w:sz w:val="24"/>
              </w:rPr>
              <w:t>废水处理设施</w:t>
            </w:r>
            <w:r>
              <w:rPr>
                <w:rFonts w:hint="eastAsia"/>
                <w:bCs/>
                <w:color w:val="auto"/>
                <w:spacing w:val="-10"/>
                <w:sz w:val="24"/>
                <w:lang w:val="zh-CN"/>
              </w:rPr>
              <w:t>有破损时，应当立即停止生产。</w:t>
            </w:r>
          </w:p>
          <w:p>
            <w:pPr>
              <w:snapToGrid w:val="0"/>
              <w:spacing w:line="360" w:lineRule="auto"/>
              <w:ind w:firstLine="482" w:firstLineChars="200"/>
              <w:rPr>
                <w:b/>
                <w:color w:val="auto"/>
                <w:sz w:val="24"/>
              </w:rPr>
            </w:pPr>
            <w:r>
              <w:rPr>
                <w:b/>
                <w:color w:val="auto"/>
                <w:sz w:val="24"/>
              </w:rPr>
              <w:t>八、电磁辐射</w:t>
            </w:r>
          </w:p>
          <w:p>
            <w:pPr>
              <w:topLinePunct/>
              <w:snapToGrid w:val="0"/>
              <w:spacing w:line="360" w:lineRule="auto"/>
              <w:ind w:firstLine="440" w:firstLineChars="200"/>
              <w:rPr>
                <w:bCs/>
                <w:color w:val="auto"/>
                <w:spacing w:val="-10"/>
                <w:sz w:val="24"/>
              </w:rPr>
            </w:pPr>
            <w:r>
              <w:rPr>
                <w:bCs/>
                <w:color w:val="auto"/>
                <w:spacing w:val="-10"/>
                <w:sz w:val="24"/>
              </w:rPr>
              <w:t>本项目不涉及电磁辐射。</w:t>
            </w: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rPr>
            </w:pPr>
          </w:p>
          <w:p>
            <w:pPr>
              <w:topLinePunct/>
              <w:snapToGrid w:val="0"/>
              <w:spacing w:line="360" w:lineRule="auto"/>
              <w:ind w:firstLine="440" w:firstLineChars="200"/>
              <w:rPr>
                <w:bCs/>
                <w:color w:val="auto"/>
                <w:spacing w:val="-10"/>
                <w:sz w:val="24"/>
                <w:lang w:val="zh-CN"/>
              </w:rPr>
            </w:pPr>
          </w:p>
        </w:tc>
      </w:tr>
    </w:tbl>
    <w:p>
      <w:pPr>
        <w:adjustRightInd w:val="0"/>
        <w:snapToGrid w:val="0"/>
        <w:spacing w:line="360" w:lineRule="auto"/>
        <w:rPr>
          <w:b/>
          <w:color w:val="auto"/>
          <w:kern w:val="0"/>
          <w:sz w:val="28"/>
          <w:szCs w:val="28"/>
        </w:rPr>
        <w:sectPr>
          <w:pgSz w:w="11907" w:h="16840"/>
          <w:pgMar w:top="1440" w:right="1083" w:bottom="1440" w:left="1083" w:header="851" w:footer="851" w:gutter="0"/>
          <w:cols w:space="720" w:num="1"/>
          <w:docGrid w:linePitch="312" w:charSpace="0"/>
        </w:sectPr>
      </w:pPr>
    </w:p>
    <w:p>
      <w:pPr>
        <w:jc w:val="center"/>
        <w:outlineLvl w:val="0"/>
        <w:rPr>
          <w:rFonts w:eastAsia="黑体"/>
          <w:b/>
          <w:bCs/>
          <w:snapToGrid w:val="0"/>
          <w:color w:val="auto"/>
          <w:sz w:val="30"/>
          <w:szCs w:val="30"/>
        </w:rPr>
      </w:pPr>
      <w:r>
        <w:rPr>
          <w:rFonts w:eastAsia="黑体"/>
          <w:b/>
          <w:bCs/>
          <w:snapToGrid w:val="0"/>
          <w:color w:val="auto"/>
          <w:sz w:val="30"/>
          <w:szCs w:val="30"/>
        </w:rPr>
        <w:t>五、</w:t>
      </w:r>
      <w:bookmarkStart w:id="1" w:name="_Hlk54167917"/>
      <w:r>
        <w:rPr>
          <w:rFonts w:eastAsia="黑体"/>
          <w:b/>
          <w:bCs/>
          <w:snapToGrid w:val="0"/>
          <w:color w:val="auto"/>
          <w:sz w:val="30"/>
          <w:szCs w:val="30"/>
        </w:rPr>
        <w:t>环境保护措施监督检查清单</w:t>
      </w:r>
      <w:bookmarkEnd w:id="1"/>
    </w:p>
    <w:tbl>
      <w:tblPr>
        <w:tblStyle w:val="8"/>
        <w:tblW w:w="495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02"/>
        <w:gridCol w:w="1253"/>
        <w:gridCol w:w="3418"/>
        <w:gridCol w:w="30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76" w:hRule="atLeast"/>
          <w:jc w:val="center"/>
        </w:trPr>
        <w:tc>
          <w:tcPr>
            <w:tcW w:w="342" w:type="pct"/>
            <w:tcBorders>
              <w:tl2br w:val="single" w:color="auto" w:sz="4" w:space="0"/>
            </w:tcBorders>
            <w:noWrap w:val="0"/>
            <w:vAlign w:val="center"/>
          </w:tcPr>
          <w:p>
            <w:pPr>
              <w:adjustRightInd w:val="0"/>
              <w:snapToGrid w:val="0"/>
              <w:jc w:val="right"/>
              <w:rPr>
                <w:b/>
                <w:bCs/>
                <w:color w:val="auto"/>
                <w:szCs w:val="21"/>
              </w:rPr>
            </w:pPr>
            <w:r>
              <w:rPr>
                <w:b/>
                <w:bCs/>
                <w:color w:val="auto"/>
                <w:szCs w:val="21"/>
              </w:rPr>
              <w:t>内容</w:t>
            </w:r>
          </w:p>
          <w:p>
            <w:pPr>
              <w:adjustRightInd w:val="0"/>
              <w:snapToGrid w:val="0"/>
              <w:rPr>
                <w:b/>
                <w:bCs/>
                <w:color w:val="auto"/>
                <w:szCs w:val="21"/>
              </w:rPr>
            </w:pPr>
            <w:r>
              <w:rPr>
                <w:b/>
                <w:bCs/>
                <w:color w:val="auto"/>
                <w:szCs w:val="21"/>
              </w:rPr>
              <w:t>要素</w:t>
            </w:r>
          </w:p>
        </w:tc>
        <w:tc>
          <w:tcPr>
            <w:tcW w:w="761" w:type="pct"/>
            <w:noWrap w:val="0"/>
            <w:vAlign w:val="center"/>
          </w:tcPr>
          <w:p>
            <w:pPr>
              <w:adjustRightInd w:val="0"/>
              <w:snapToGrid w:val="0"/>
              <w:jc w:val="center"/>
              <w:rPr>
                <w:b/>
                <w:bCs/>
                <w:color w:val="auto"/>
                <w:szCs w:val="21"/>
              </w:rPr>
            </w:pPr>
            <w:r>
              <w:rPr>
                <w:b/>
                <w:bCs/>
                <w:color w:val="auto"/>
                <w:szCs w:val="21"/>
              </w:rPr>
              <w:t>排放口(编号、名称)/污染源</w:t>
            </w:r>
          </w:p>
        </w:tc>
        <w:tc>
          <w:tcPr>
            <w:tcW w:w="635" w:type="pct"/>
            <w:noWrap w:val="0"/>
            <w:vAlign w:val="center"/>
          </w:tcPr>
          <w:p>
            <w:pPr>
              <w:adjustRightInd w:val="0"/>
              <w:snapToGrid w:val="0"/>
              <w:jc w:val="center"/>
              <w:rPr>
                <w:b/>
                <w:bCs/>
                <w:color w:val="auto"/>
                <w:szCs w:val="21"/>
              </w:rPr>
            </w:pPr>
            <w:r>
              <w:rPr>
                <w:b/>
                <w:bCs/>
                <w:color w:val="auto"/>
                <w:szCs w:val="21"/>
              </w:rPr>
              <w:t>污染物</w:t>
            </w:r>
          </w:p>
          <w:p>
            <w:pPr>
              <w:adjustRightInd w:val="0"/>
              <w:snapToGrid w:val="0"/>
              <w:jc w:val="center"/>
              <w:rPr>
                <w:b/>
                <w:bCs/>
                <w:color w:val="auto"/>
                <w:szCs w:val="21"/>
              </w:rPr>
            </w:pPr>
            <w:r>
              <w:rPr>
                <w:b/>
                <w:bCs/>
                <w:color w:val="auto"/>
                <w:szCs w:val="21"/>
              </w:rPr>
              <w:t>项目</w:t>
            </w:r>
          </w:p>
        </w:tc>
        <w:tc>
          <w:tcPr>
            <w:tcW w:w="1732" w:type="pct"/>
            <w:noWrap w:val="0"/>
            <w:vAlign w:val="center"/>
          </w:tcPr>
          <w:p>
            <w:pPr>
              <w:adjustRightInd w:val="0"/>
              <w:snapToGrid w:val="0"/>
              <w:jc w:val="center"/>
              <w:rPr>
                <w:b/>
                <w:bCs/>
                <w:color w:val="auto"/>
                <w:szCs w:val="21"/>
              </w:rPr>
            </w:pPr>
            <w:r>
              <w:rPr>
                <w:b/>
                <w:bCs/>
                <w:color w:val="auto"/>
                <w:szCs w:val="21"/>
              </w:rPr>
              <w:t>环境保护措施</w:t>
            </w:r>
          </w:p>
        </w:tc>
        <w:tc>
          <w:tcPr>
            <w:tcW w:w="1528" w:type="pct"/>
            <w:noWrap w:val="0"/>
            <w:vAlign w:val="center"/>
          </w:tcPr>
          <w:p>
            <w:pPr>
              <w:adjustRightInd w:val="0"/>
              <w:snapToGrid w:val="0"/>
              <w:jc w:val="center"/>
              <w:rPr>
                <w:b/>
                <w:bCs/>
                <w:color w:val="auto"/>
                <w:szCs w:val="21"/>
              </w:rPr>
            </w:pPr>
            <w:r>
              <w:rPr>
                <w:b/>
                <w:bCs/>
                <w:color w:val="auto"/>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2" w:type="pct"/>
            <w:vMerge w:val="restart"/>
            <w:noWrap w:val="0"/>
            <w:vAlign w:val="center"/>
          </w:tcPr>
          <w:p>
            <w:pPr>
              <w:adjustRightInd w:val="0"/>
              <w:snapToGrid w:val="0"/>
              <w:jc w:val="center"/>
              <w:rPr>
                <w:b/>
                <w:bCs/>
                <w:color w:val="auto"/>
                <w:szCs w:val="21"/>
              </w:rPr>
            </w:pPr>
            <w:r>
              <w:rPr>
                <w:b/>
                <w:bCs/>
                <w:color w:val="auto"/>
                <w:szCs w:val="21"/>
              </w:rPr>
              <w:t>大气环境</w:t>
            </w:r>
          </w:p>
        </w:tc>
        <w:tc>
          <w:tcPr>
            <w:tcW w:w="761" w:type="pct"/>
            <w:noWrap w:val="0"/>
            <w:vAlign w:val="center"/>
          </w:tcPr>
          <w:p>
            <w:pPr>
              <w:adjustRightInd w:val="0"/>
              <w:snapToGrid w:val="0"/>
              <w:jc w:val="center"/>
              <w:rPr>
                <w:color w:val="auto"/>
                <w:szCs w:val="21"/>
              </w:rPr>
            </w:pPr>
            <w:r>
              <w:rPr>
                <w:bCs/>
                <w:color w:val="auto"/>
                <w:kern w:val="0"/>
                <w:szCs w:val="21"/>
              </w:rPr>
              <w:t>运输车辆动力扬尘</w:t>
            </w:r>
          </w:p>
        </w:tc>
        <w:tc>
          <w:tcPr>
            <w:tcW w:w="635" w:type="pct"/>
            <w:noWrap w:val="0"/>
            <w:vAlign w:val="center"/>
          </w:tcPr>
          <w:p>
            <w:pPr>
              <w:adjustRightInd w:val="0"/>
              <w:snapToGrid w:val="0"/>
              <w:jc w:val="center"/>
              <w:rPr>
                <w:color w:val="auto"/>
                <w:szCs w:val="21"/>
              </w:rPr>
            </w:pPr>
            <w:r>
              <w:rPr>
                <w:color w:val="auto"/>
                <w:szCs w:val="21"/>
              </w:rPr>
              <w:t>颗粒物</w:t>
            </w:r>
          </w:p>
        </w:tc>
        <w:tc>
          <w:tcPr>
            <w:tcW w:w="1732" w:type="pct"/>
            <w:noWrap w:val="0"/>
            <w:vAlign w:val="center"/>
          </w:tcPr>
          <w:p>
            <w:pPr>
              <w:adjustRightInd w:val="0"/>
              <w:snapToGrid w:val="0"/>
              <w:jc w:val="center"/>
              <w:rPr>
                <w:bCs/>
                <w:color w:val="auto"/>
                <w:spacing w:val="-10"/>
                <w:szCs w:val="21"/>
              </w:rPr>
            </w:pPr>
            <w:r>
              <w:rPr>
                <w:bCs/>
                <w:color w:val="auto"/>
                <w:kern w:val="0"/>
                <w:szCs w:val="21"/>
                <w:lang w:val="zh-CN"/>
              </w:rPr>
              <w:t>运输道路硬化，</w:t>
            </w:r>
            <w:r>
              <w:rPr>
                <w:bCs/>
                <w:color w:val="auto"/>
                <w:kern w:val="0"/>
                <w:szCs w:val="21"/>
              </w:rPr>
              <w:t>限制车速、</w:t>
            </w:r>
            <w:r>
              <w:rPr>
                <w:bCs/>
                <w:color w:val="auto"/>
                <w:kern w:val="0"/>
                <w:szCs w:val="21"/>
                <w:lang w:val="zh-CN"/>
              </w:rPr>
              <w:t>沿线设置喷淋装置；厂区设清洗装置，对进出厂区的车辆进行清洗；定期对地面进行清扫；运输车辆加盖篷布</w:t>
            </w:r>
          </w:p>
        </w:tc>
        <w:tc>
          <w:tcPr>
            <w:tcW w:w="1528" w:type="pct"/>
            <w:noWrap w:val="0"/>
            <w:vAlign w:val="center"/>
          </w:tcPr>
          <w:p>
            <w:pPr>
              <w:snapToGrid w:val="0"/>
              <w:jc w:val="center"/>
              <w:rPr>
                <w:bCs/>
                <w:color w:val="auto"/>
                <w:spacing w:val="-10"/>
                <w:szCs w:val="21"/>
              </w:rPr>
            </w:pPr>
            <w:r>
              <w:rPr>
                <w:rFonts w:hint="eastAsia"/>
                <w:color w:val="auto"/>
                <w:kern w:val="0"/>
                <w:szCs w:val="21"/>
              </w:rPr>
              <w:t>《大气污染物综合排放标准》（GB16297-1996）中的无组织排放监控浓度限值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2" w:type="pct"/>
            <w:vMerge w:val="continue"/>
            <w:noWrap w:val="0"/>
            <w:vAlign w:val="center"/>
          </w:tcPr>
          <w:p>
            <w:pPr>
              <w:adjustRightInd w:val="0"/>
              <w:snapToGrid w:val="0"/>
              <w:jc w:val="center"/>
              <w:rPr>
                <w:b/>
                <w:bCs/>
                <w:color w:val="auto"/>
                <w:szCs w:val="21"/>
              </w:rPr>
            </w:pPr>
          </w:p>
        </w:tc>
        <w:tc>
          <w:tcPr>
            <w:tcW w:w="761" w:type="pct"/>
            <w:noWrap w:val="0"/>
            <w:vAlign w:val="center"/>
          </w:tcPr>
          <w:p>
            <w:pPr>
              <w:adjustRightInd w:val="0"/>
              <w:snapToGrid w:val="0"/>
              <w:jc w:val="center"/>
              <w:rPr>
                <w:color w:val="auto"/>
                <w:szCs w:val="21"/>
              </w:rPr>
            </w:pPr>
            <w:r>
              <w:rPr>
                <w:bCs/>
                <w:color w:val="auto"/>
                <w:kern w:val="0"/>
                <w:szCs w:val="21"/>
              </w:rPr>
              <w:t>骨料装卸粉尘</w:t>
            </w:r>
          </w:p>
        </w:tc>
        <w:tc>
          <w:tcPr>
            <w:tcW w:w="635" w:type="pct"/>
            <w:noWrap w:val="0"/>
            <w:vAlign w:val="center"/>
          </w:tcPr>
          <w:p>
            <w:pPr>
              <w:adjustRightInd w:val="0"/>
              <w:snapToGrid w:val="0"/>
              <w:jc w:val="center"/>
              <w:rPr>
                <w:color w:val="auto"/>
                <w:szCs w:val="21"/>
              </w:rPr>
            </w:pPr>
            <w:r>
              <w:rPr>
                <w:color w:val="auto"/>
                <w:szCs w:val="21"/>
              </w:rPr>
              <w:t>颗粒物</w:t>
            </w:r>
          </w:p>
        </w:tc>
        <w:tc>
          <w:tcPr>
            <w:tcW w:w="1732" w:type="pct"/>
            <w:noWrap w:val="0"/>
            <w:vAlign w:val="center"/>
          </w:tcPr>
          <w:p>
            <w:pPr>
              <w:adjustRightInd w:val="0"/>
              <w:snapToGrid w:val="0"/>
              <w:jc w:val="center"/>
              <w:rPr>
                <w:bCs/>
                <w:color w:val="auto"/>
                <w:spacing w:val="-10"/>
                <w:szCs w:val="21"/>
              </w:rPr>
            </w:pPr>
            <w:r>
              <w:rPr>
                <w:color w:val="auto"/>
              </w:rPr>
              <w:t>生产区地面硬化，在骨料堆场安装水喷淋装置降尘</w:t>
            </w:r>
          </w:p>
        </w:tc>
        <w:tc>
          <w:tcPr>
            <w:tcW w:w="1528" w:type="pct"/>
            <w:noWrap w:val="0"/>
            <w:vAlign w:val="center"/>
          </w:tcPr>
          <w:p>
            <w:pPr>
              <w:snapToGrid w:val="0"/>
              <w:jc w:val="center"/>
              <w:rPr>
                <w:bCs/>
                <w:color w:val="auto"/>
                <w:spacing w:val="-10"/>
                <w:szCs w:val="21"/>
              </w:rPr>
            </w:pPr>
            <w:r>
              <w:rPr>
                <w:rFonts w:hint="eastAsia"/>
                <w:color w:val="auto"/>
                <w:kern w:val="0"/>
                <w:szCs w:val="21"/>
              </w:rPr>
              <w:t>《大气污染物综合排放标准》（GB16297-1996）中的无组织排放监控浓度限值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2" w:type="pct"/>
            <w:vMerge w:val="continue"/>
            <w:noWrap w:val="0"/>
            <w:vAlign w:val="center"/>
          </w:tcPr>
          <w:p>
            <w:pPr>
              <w:adjustRightInd w:val="0"/>
              <w:snapToGrid w:val="0"/>
              <w:jc w:val="center"/>
              <w:rPr>
                <w:b/>
                <w:bCs/>
                <w:color w:val="auto"/>
                <w:szCs w:val="21"/>
              </w:rPr>
            </w:pPr>
          </w:p>
        </w:tc>
        <w:tc>
          <w:tcPr>
            <w:tcW w:w="761" w:type="pct"/>
            <w:noWrap w:val="0"/>
            <w:vAlign w:val="center"/>
          </w:tcPr>
          <w:p>
            <w:pPr>
              <w:adjustRightInd w:val="0"/>
              <w:snapToGrid w:val="0"/>
              <w:jc w:val="center"/>
              <w:rPr>
                <w:bCs/>
                <w:color w:val="auto"/>
                <w:kern w:val="0"/>
                <w:szCs w:val="21"/>
              </w:rPr>
            </w:pPr>
            <w:r>
              <w:rPr>
                <w:bCs/>
                <w:color w:val="auto"/>
                <w:spacing w:val="-10"/>
                <w:szCs w:val="21"/>
              </w:rPr>
              <w:t>骨料输送、计量、投料粉尘</w:t>
            </w:r>
          </w:p>
        </w:tc>
        <w:tc>
          <w:tcPr>
            <w:tcW w:w="635" w:type="pct"/>
            <w:noWrap w:val="0"/>
            <w:vAlign w:val="center"/>
          </w:tcPr>
          <w:p>
            <w:pPr>
              <w:adjustRightInd w:val="0"/>
              <w:snapToGrid w:val="0"/>
              <w:jc w:val="center"/>
              <w:rPr>
                <w:color w:val="auto"/>
                <w:szCs w:val="21"/>
              </w:rPr>
            </w:pPr>
            <w:r>
              <w:rPr>
                <w:color w:val="auto"/>
                <w:szCs w:val="21"/>
              </w:rPr>
              <w:t>颗粒物</w:t>
            </w:r>
          </w:p>
        </w:tc>
        <w:tc>
          <w:tcPr>
            <w:tcW w:w="1732" w:type="pct"/>
            <w:noWrap w:val="0"/>
            <w:vAlign w:val="center"/>
          </w:tcPr>
          <w:p>
            <w:pPr>
              <w:adjustRightInd w:val="0"/>
              <w:snapToGrid w:val="0"/>
              <w:jc w:val="center"/>
              <w:rPr>
                <w:bCs/>
                <w:color w:val="auto"/>
                <w:kern w:val="0"/>
                <w:szCs w:val="21"/>
              </w:rPr>
            </w:pPr>
            <w:r>
              <w:rPr>
                <w:color w:val="auto"/>
              </w:rPr>
              <w:t>生产区地面硬化</w:t>
            </w:r>
          </w:p>
        </w:tc>
        <w:tc>
          <w:tcPr>
            <w:tcW w:w="1528" w:type="pct"/>
            <w:noWrap w:val="0"/>
            <w:vAlign w:val="center"/>
          </w:tcPr>
          <w:p>
            <w:pPr>
              <w:snapToGrid w:val="0"/>
              <w:jc w:val="center"/>
              <w:rPr>
                <w:bCs/>
                <w:color w:val="auto"/>
                <w:spacing w:val="-10"/>
                <w:szCs w:val="21"/>
              </w:rPr>
            </w:pPr>
            <w:r>
              <w:rPr>
                <w:rFonts w:hint="eastAsia"/>
                <w:color w:val="auto"/>
                <w:kern w:val="0"/>
                <w:szCs w:val="21"/>
              </w:rPr>
              <w:t>《大气污染物综合排放标准》（GB16297-1996）中的无组织排放监控浓度限值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76" w:hRule="atLeast"/>
          <w:jc w:val="center"/>
        </w:trPr>
        <w:tc>
          <w:tcPr>
            <w:tcW w:w="342" w:type="pct"/>
            <w:vMerge w:val="continue"/>
            <w:noWrap w:val="0"/>
            <w:vAlign w:val="center"/>
          </w:tcPr>
          <w:p>
            <w:pPr>
              <w:adjustRightInd w:val="0"/>
              <w:snapToGrid w:val="0"/>
              <w:jc w:val="center"/>
              <w:rPr>
                <w:b/>
                <w:bCs/>
                <w:color w:val="auto"/>
                <w:szCs w:val="21"/>
              </w:rPr>
            </w:pPr>
          </w:p>
        </w:tc>
        <w:tc>
          <w:tcPr>
            <w:tcW w:w="761" w:type="pct"/>
            <w:noWrap w:val="0"/>
            <w:vAlign w:val="center"/>
          </w:tcPr>
          <w:p>
            <w:pPr>
              <w:adjustRightInd w:val="0"/>
              <w:snapToGrid w:val="0"/>
              <w:jc w:val="center"/>
              <w:rPr>
                <w:color w:val="auto"/>
                <w:szCs w:val="21"/>
              </w:rPr>
            </w:pPr>
            <w:r>
              <w:rPr>
                <w:bCs/>
                <w:color w:val="auto"/>
                <w:spacing w:val="-10"/>
                <w:szCs w:val="21"/>
              </w:rPr>
              <w:t>筒仓粉料输送储存粉尘</w:t>
            </w:r>
          </w:p>
        </w:tc>
        <w:tc>
          <w:tcPr>
            <w:tcW w:w="635" w:type="pct"/>
            <w:noWrap w:val="0"/>
            <w:vAlign w:val="center"/>
          </w:tcPr>
          <w:p>
            <w:pPr>
              <w:adjustRightInd w:val="0"/>
              <w:snapToGrid w:val="0"/>
              <w:jc w:val="center"/>
              <w:rPr>
                <w:color w:val="auto"/>
                <w:szCs w:val="21"/>
              </w:rPr>
            </w:pPr>
            <w:r>
              <w:rPr>
                <w:color w:val="auto"/>
                <w:szCs w:val="21"/>
              </w:rPr>
              <w:t>颗粒物</w:t>
            </w:r>
          </w:p>
        </w:tc>
        <w:tc>
          <w:tcPr>
            <w:tcW w:w="1732" w:type="pct"/>
            <w:noWrap w:val="0"/>
            <w:vAlign w:val="center"/>
          </w:tcPr>
          <w:p>
            <w:pPr>
              <w:adjustRightInd w:val="0"/>
              <w:snapToGrid w:val="0"/>
              <w:jc w:val="center"/>
              <w:rPr>
                <w:bCs/>
                <w:color w:val="auto"/>
                <w:spacing w:val="-10"/>
                <w:szCs w:val="21"/>
              </w:rPr>
            </w:pPr>
            <w:r>
              <w:rPr>
                <w:bCs/>
                <w:color w:val="auto"/>
                <w:kern w:val="0"/>
                <w:szCs w:val="21"/>
              </w:rPr>
              <w:t>地面硬化，粉料筒仓、搅拌机自带</w:t>
            </w:r>
            <w:r>
              <w:rPr>
                <w:bCs/>
                <w:color w:val="auto"/>
                <w:kern w:val="0"/>
                <w:szCs w:val="21"/>
                <w:lang w:val="zh-CN"/>
              </w:rPr>
              <w:t>袋式除尘器收集</w:t>
            </w:r>
            <w:r>
              <w:rPr>
                <w:bCs/>
                <w:color w:val="auto"/>
                <w:kern w:val="0"/>
                <w:szCs w:val="21"/>
              </w:rPr>
              <w:t>处理粉尘</w:t>
            </w:r>
          </w:p>
        </w:tc>
        <w:tc>
          <w:tcPr>
            <w:tcW w:w="1528" w:type="pct"/>
            <w:noWrap w:val="0"/>
            <w:vAlign w:val="center"/>
          </w:tcPr>
          <w:p>
            <w:pPr>
              <w:snapToGrid w:val="0"/>
              <w:jc w:val="center"/>
              <w:rPr>
                <w:bCs/>
                <w:color w:val="auto"/>
                <w:spacing w:val="-10"/>
                <w:szCs w:val="21"/>
              </w:rPr>
            </w:pPr>
            <w:r>
              <w:rPr>
                <w:rFonts w:hint="eastAsia"/>
                <w:color w:val="auto"/>
              </w:rPr>
              <w:t>《大气污染物综合排放标准》（GB16297-1996）中的二级标准限值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2" w:type="pct"/>
            <w:vMerge w:val="continue"/>
            <w:noWrap w:val="0"/>
            <w:vAlign w:val="center"/>
          </w:tcPr>
          <w:p>
            <w:pPr>
              <w:adjustRightInd w:val="0"/>
              <w:snapToGrid w:val="0"/>
              <w:jc w:val="center"/>
              <w:rPr>
                <w:b/>
                <w:bCs/>
                <w:color w:val="auto"/>
                <w:szCs w:val="21"/>
              </w:rPr>
            </w:pPr>
          </w:p>
        </w:tc>
        <w:tc>
          <w:tcPr>
            <w:tcW w:w="761" w:type="pct"/>
            <w:noWrap w:val="0"/>
            <w:vAlign w:val="center"/>
          </w:tcPr>
          <w:p>
            <w:pPr>
              <w:topLinePunct/>
              <w:adjustRightInd w:val="0"/>
              <w:snapToGrid w:val="0"/>
              <w:jc w:val="center"/>
              <w:textAlignment w:val="center"/>
              <w:rPr>
                <w:bCs/>
                <w:color w:val="auto"/>
                <w:spacing w:val="-10"/>
                <w:szCs w:val="21"/>
              </w:rPr>
            </w:pPr>
            <w:r>
              <w:rPr>
                <w:rFonts w:hint="eastAsia"/>
                <w:color w:val="auto"/>
                <w:szCs w:val="21"/>
              </w:rPr>
              <w:t>燃烧器燃烧废气、干燥滚筒烘干废气</w:t>
            </w:r>
          </w:p>
        </w:tc>
        <w:tc>
          <w:tcPr>
            <w:tcW w:w="635" w:type="pct"/>
            <w:noWrap w:val="0"/>
            <w:vAlign w:val="center"/>
          </w:tcPr>
          <w:p>
            <w:pPr>
              <w:adjustRightInd w:val="0"/>
              <w:snapToGrid w:val="0"/>
              <w:jc w:val="center"/>
              <w:rPr>
                <w:color w:val="auto"/>
                <w:szCs w:val="21"/>
              </w:rPr>
            </w:pPr>
            <w:r>
              <w:rPr>
                <w:color w:val="auto"/>
                <w:szCs w:val="21"/>
              </w:rPr>
              <w:t>颗粒物</w:t>
            </w:r>
            <w:r>
              <w:rPr>
                <w:rFonts w:hint="eastAsia"/>
                <w:color w:val="auto"/>
                <w:szCs w:val="21"/>
              </w:rPr>
              <w:t>、</w:t>
            </w:r>
            <w:r>
              <w:rPr>
                <w:color w:val="auto"/>
                <w:szCs w:val="21"/>
              </w:rPr>
              <w:t>SO</w:t>
            </w:r>
            <w:r>
              <w:rPr>
                <w:color w:val="auto"/>
                <w:szCs w:val="21"/>
                <w:vertAlign w:val="subscript"/>
              </w:rPr>
              <w:t>2</w:t>
            </w:r>
            <w:r>
              <w:rPr>
                <w:rFonts w:hint="eastAsia"/>
                <w:color w:val="auto"/>
                <w:szCs w:val="21"/>
              </w:rPr>
              <w:t>、</w:t>
            </w:r>
            <w:r>
              <w:rPr>
                <w:color w:val="auto"/>
                <w:szCs w:val="21"/>
              </w:rPr>
              <w:t>NOx</w:t>
            </w:r>
          </w:p>
        </w:tc>
        <w:tc>
          <w:tcPr>
            <w:tcW w:w="1732" w:type="pct"/>
            <w:noWrap w:val="0"/>
            <w:vAlign w:val="center"/>
          </w:tcPr>
          <w:p>
            <w:pPr>
              <w:adjustRightInd w:val="0"/>
              <w:snapToGrid w:val="0"/>
              <w:jc w:val="center"/>
              <w:rPr>
                <w:bCs/>
                <w:color w:val="auto"/>
                <w:spacing w:val="-10"/>
                <w:szCs w:val="21"/>
              </w:rPr>
            </w:pPr>
            <w:r>
              <w:rPr>
                <w:bCs/>
                <w:color w:val="auto"/>
                <w:spacing w:val="-10"/>
                <w:szCs w:val="21"/>
              </w:rPr>
              <w:t>设袋式除尘器处理</w:t>
            </w:r>
          </w:p>
        </w:tc>
        <w:tc>
          <w:tcPr>
            <w:tcW w:w="1528" w:type="pct"/>
            <w:noWrap w:val="0"/>
            <w:vAlign w:val="center"/>
          </w:tcPr>
          <w:p>
            <w:pPr>
              <w:snapToGrid w:val="0"/>
              <w:jc w:val="center"/>
              <w:rPr>
                <w:bCs/>
                <w:color w:val="auto"/>
                <w:spacing w:val="-10"/>
                <w:szCs w:val="21"/>
              </w:rPr>
            </w:pPr>
            <w:r>
              <w:rPr>
                <w:rFonts w:hint="eastAsia"/>
                <w:color w:val="auto"/>
              </w:rPr>
              <w:t>《大气污染物综合排放标准》（GB16297-1996）中的二级标准限值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2" w:type="pct"/>
            <w:vMerge w:val="continue"/>
            <w:noWrap w:val="0"/>
            <w:vAlign w:val="center"/>
          </w:tcPr>
          <w:p>
            <w:pPr>
              <w:adjustRightInd w:val="0"/>
              <w:snapToGrid w:val="0"/>
              <w:jc w:val="center"/>
              <w:rPr>
                <w:b/>
                <w:bCs/>
                <w:color w:val="auto"/>
                <w:szCs w:val="21"/>
              </w:rPr>
            </w:pPr>
          </w:p>
        </w:tc>
        <w:tc>
          <w:tcPr>
            <w:tcW w:w="761" w:type="pct"/>
            <w:noWrap w:val="0"/>
            <w:vAlign w:val="center"/>
          </w:tcPr>
          <w:p>
            <w:pPr>
              <w:topLinePunct/>
              <w:adjustRightInd w:val="0"/>
              <w:snapToGrid w:val="0"/>
              <w:jc w:val="center"/>
              <w:textAlignment w:val="center"/>
              <w:rPr>
                <w:bCs/>
                <w:color w:val="auto"/>
                <w:spacing w:val="-10"/>
                <w:szCs w:val="21"/>
              </w:rPr>
            </w:pPr>
            <w:r>
              <w:rPr>
                <w:rFonts w:hint="eastAsia"/>
                <w:color w:val="auto"/>
                <w:szCs w:val="21"/>
              </w:rPr>
              <w:t>搅拌器加热、搅拌、出料废气</w:t>
            </w:r>
          </w:p>
        </w:tc>
        <w:tc>
          <w:tcPr>
            <w:tcW w:w="635" w:type="pct"/>
            <w:noWrap w:val="0"/>
            <w:vAlign w:val="center"/>
          </w:tcPr>
          <w:p>
            <w:pPr>
              <w:adjustRightInd w:val="0"/>
              <w:snapToGrid w:val="0"/>
              <w:jc w:val="center"/>
              <w:rPr>
                <w:color w:val="auto"/>
                <w:szCs w:val="21"/>
              </w:rPr>
            </w:pPr>
            <w:r>
              <w:rPr>
                <w:color w:val="auto"/>
                <w:szCs w:val="21"/>
              </w:rPr>
              <w:t>沥青烟</w:t>
            </w:r>
            <w:r>
              <w:rPr>
                <w:rFonts w:hint="eastAsia"/>
                <w:color w:val="auto"/>
                <w:szCs w:val="21"/>
              </w:rPr>
              <w:t>、</w:t>
            </w:r>
            <w:r>
              <w:rPr>
                <w:color w:val="auto"/>
                <w:szCs w:val="21"/>
              </w:rPr>
              <w:t>苯并[a]芘</w:t>
            </w:r>
            <w:r>
              <w:rPr>
                <w:rFonts w:hint="eastAsia"/>
                <w:color w:val="auto"/>
                <w:szCs w:val="21"/>
              </w:rPr>
              <w:t>、</w:t>
            </w:r>
            <w:r>
              <w:rPr>
                <w:color w:val="auto"/>
                <w:szCs w:val="21"/>
              </w:rPr>
              <w:t>非甲烷总烃</w:t>
            </w:r>
          </w:p>
        </w:tc>
        <w:tc>
          <w:tcPr>
            <w:tcW w:w="1732" w:type="pct"/>
            <w:noWrap w:val="0"/>
            <w:vAlign w:val="center"/>
          </w:tcPr>
          <w:p>
            <w:pPr>
              <w:adjustRightInd w:val="0"/>
              <w:snapToGrid w:val="0"/>
              <w:jc w:val="center"/>
              <w:rPr>
                <w:bCs/>
                <w:color w:val="auto"/>
                <w:spacing w:val="-10"/>
                <w:szCs w:val="21"/>
              </w:rPr>
            </w:pPr>
            <w:r>
              <w:rPr>
                <w:bCs/>
                <w:color w:val="auto"/>
                <w:spacing w:val="-10"/>
                <w:szCs w:val="21"/>
              </w:rPr>
              <w:t>设袋式除尘器+活性炭吸附装置处理</w:t>
            </w:r>
          </w:p>
        </w:tc>
        <w:tc>
          <w:tcPr>
            <w:tcW w:w="1528" w:type="pct"/>
            <w:noWrap w:val="0"/>
            <w:vAlign w:val="center"/>
          </w:tcPr>
          <w:p>
            <w:pPr>
              <w:snapToGrid w:val="0"/>
              <w:jc w:val="center"/>
              <w:rPr>
                <w:bCs/>
                <w:color w:val="auto"/>
                <w:spacing w:val="-10"/>
                <w:szCs w:val="21"/>
              </w:rPr>
            </w:pPr>
            <w:r>
              <w:rPr>
                <w:rFonts w:hint="eastAsia"/>
                <w:color w:val="auto"/>
              </w:rPr>
              <w:t>《大气污染物综合排放标准》（GB16297-1996）中的二级标准限值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76" w:hRule="atLeast"/>
          <w:jc w:val="center"/>
        </w:trPr>
        <w:tc>
          <w:tcPr>
            <w:tcW w:w="342" w:type="pct"/>
            <w:vMerge w:val="continue"/>
            <w:noWrap w:val="0"/>
            <w:vAlign w:val="center"/>
          </w:tcPr>
          <w:p>
            <w:pPr>
              <w:adjustRightInd w:val="0"/>
              <w:snapToGrid w:val="0"/>
              <w:jc w:val="center"/>
              <w:rPr>
                <w:b/>
                <w:bCs/>
                <w:color w:val="auto"/>
                <w:szCs w:val="21"/>
              </w:rPr>
            </w:pPr>
          </w:p>
        </w:tc>
        <w:tc>
          <w:tcPr>
            <w:tcW w:w="761" w:type="pct"/>
            <w:noWrap w:val="0"/>
            <w:vAlign w:val="center"/>
          </w:tcPr>
          <w:p>
            <w:pPr>
              <w:topLinePunct/>
              <w:adjustRightInd w:val="0"/>
              <w:snapToGrid w:val="0"/>
              <w:jc w:val="center"/>
              <w:textAlignment w:val="center"/>
              <w:rPr>
                <w:bCs/>
                <w:color w:val="auto"/>
                <w:spacing w:val="-10"/>
                <w:szCs w:val="21"/>
              </w:rPr>
            </w:pPr>
            <w:r>
              <w:rPr>
                <w:rFonts w:hint="eastAsia"/>
                <w:color w:val="auto"/>
                <w:szCs w:val="21"/>
              </w:rPr>
              <w:t>导热油炉燃烧废气</w:t>
            </w:r>
          </w:p>
        </w:tc>
        <w:tc>
          <w:tcPr>
            <w:tcW w:w="635" w:type="pct"/>
            <w:noWrap w:val="0"/>
            <w:vAlign w:val="center"/>
          </w:tcPr>
          <w:p>
            <w:pPr>
              <w:adjustRightInd w:val="0"/>
              <w:snapToGrid w:val="0"/>
              <w:jc w:val="center"/>
              <w:rPr>
                <w:color w:val="auto"/>
                <w:szCs w:val="21"/>
              </w:rPr>
            </w:pPr>
            <w:r>
              <w:rPr>
                <w:color w:val="auto"/>
                <w:szCs w:val="21"/>
              </w:rPr>
              <w:t>颗粒物</w:t>
            </w:r>
            <w:r>
              <w:rPr>
                <w:rFonts w:hint="eastAsia"/>
                <w:color w:val="auto"/>
                <w:szCs w:val="21"/>
              </w:rPr>
              <w:t>、</w:t>
            </w:r>
            <w:r>
              <w:rPr>
                <w:color w:val="auto"/>
                <w:szCs w:val="21"/>
              </w:rPr>
              <w:t>SO</w:t>
            </w:r>
            <w:r>
              <w:rPr>
                <w:color w:val="auto"/>
                <w:szCs w:val="21"/>
                <w:vertAlign w:val="subscript"/>
              </w:rPr>
              <w:t>2</w:t>
            </w:r>
            <w:r>
              <w:rPr>
                <w:rFonts w:hint="eastAsia"/>
                <w:color w:val="auto"/>
                <w:szCs w:val="21"/>
              </w:rPr>
              <w:t>、</w:t>
            </w:r>
            <w:r>
              <w:rPr>
                <w:color w:val="auto"/>
                <w:szCs w:val="21"/>
              </w:rPr>
              <w:t>NOx</w:t>
            </w:r>
          </w:p>
        </w:tc>
        <w:tc>
          <w:tcPr>
            <w:tcW w:w="1732" w:type="pct"/>
            <w:noWrap w:val="0"/>
            <w:vAlign w:val="center"/>
          </w:tcPr>
          <w:p>
            <w:pPr>
              <w:adjustRightInd w:val="0"/>
              <w:snapToGrid w:val="0"/>
              <w:jc w:val="center"/>
              <w:rPr>
                <w:bCs/>
                <w:color w:val="auto"/>
                <w:spacing w:val="-10"/>
                <w:szCs w:val="21"/>
              </w:rPr>
            </w:pPr>
            <w:r>
              <w:rPr>
                <w:bCs/>
                <w:color w:val="auto"/>
                <w:spacing w:val="-10"/>
                <w:szCs w:val="21"/>
              </w:rPr>
              <w:t>设集气罩收集后，有组织排放</w:t>
            </w:r>
          </w:p>
        </w:tc>
        <w:tc>
          <w:tcPr>
            <w:tcW w:w="1528" w:type="pct"/>
            <w:noWrap w:val="0"/>
            <w:vAlign w:val="center"/>
          </w:tcPr>
          <w:p>
            <w:pPr>
              <w:snapToGrid w:val="0"/>
              <w:jc w:val="center"/>
              <w:rPr>
                <w:bCs/>
                <w:color w:val="auto"/>
                <w:spacing w:val="-10"/>
                <w:szCs w:val="21"/>
              </w:rPr>
            </w:pPr>
            <w:r>
              <w:rPr>
                <w:snapToGrid w:val="0"/>
                <w:color w:val="auto"/>
                <w:kern w:val="0"/>
                <w:szCs w:val="21"/>
              </w:rPr>
              <w:t>《大气污染物综合排放标准》（GB16297-1996）中的二级标准限值</w:t>
            </w:r>
            <w:r>
              <w:rPr>
                <w:rFonts w:hint="eastAsia"/>
                <w:snapToGrid w:val="0"/>
                <w:color w:val="auto"/>
                <w:kern w:val="0"/>
                <w:szCs w:val="21"/>
              </w:rPr>
              <w:t>、</w:t>
            </w:r>
            <w:r>
              <w:rPr>
                <w:snapToGrid w:val="0"/>
                <w:color w:val="auto"/>
                <w:kern w:val="0"/>
                <w:szCs w:val="21"/>
              </w:rPr>
              <w:t>《工业炉窑大气污染物排放标准》（GB9078-1996）中的其他炉窑、燃煤（油）炉窑排放限值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2" w:type="pct"/>
            <w:vMerge w:val="continue"/>
            <w:noWrap w:val="0"/>
            <w:vAlign w:val="center"/>
          </w:tcPr>
          <w:p>
            <w:pPr>
              <w:adjustRightInd w:val="0"/>
              <w:snapToGrid w:val="0"/>
              <w:jc w:val="center"/>
              <w:rPr>
                <w:b/>
                <w:bCs/>
                <w:color w:val="auto"/>
                <w:szCs w:val="21"/>
              </w:rPr>
            </w:pPr>
          </w:p>
        </w:tc>
        <w:tc>
          <w:tcPr>
            <w:tcW w:w="761" w:type="pct"/>
            <w:noWrap w:val="0"/>
            <w:vAlign w:val="center"/>
          </w:tcPr>
          <w:p>
            <w:pPr>
              <w:topLinePunct/>
              <w:adjustRightInd w:val="0"/>
              <w:snapToGrid w:val="0"/>
              <w:jc w:val="center"/>
              <w:textAlignment w:val="center"/>
              <w:rPr>
                <w:color w:val="auto"/>
                <w:szCs w:val="21"/>
              </w:rPr>
            </w:pPr>
            <w:r>
              <w:rPr>
                <w:rFonts w:hint="eastAsia"/>
                <w:bCs/>
                <w:color w:val="auto"/>
                <w:spacing w:val="-10"/>
                <w:szCs w:val="21"/>
              </w:rPr>
              <w:t>储罐呼吸废气</w:t>
            </w:r>
          </w:p>
        </w:tc>
        <w:tc>
          <w:tcPr>
            <w:tcW w:w="635" w:type="pct"/>
            <w:noWrap w:val="0"/>
            <w:vAlign w:val="center"/>
          </w:tcPr>
          <w:p>
            <w:pPr>
              <w:adjustRightInd w:val="0"/>
              <w:snapToGrid w:val="0"/>
              <w:jc w:val="center"/>
              <w:rPr>
                <w:color w:val="auto"/>
                <w:szCs w:val="21"/>
              </w:rPr>
            </w:pPr>
            <w:r>
              <w:rPr>
                <w:rFonts w:hint="eastAsia"/>
                <w:color w:val="auto"/>
                <w:szCs w:val="21"/>
              </w:rPr>
              <w:t>非甲烷总烃</w:t>
            </w:r>
          </w:p>
        </w:tc>
        <w:tc>
          <w:tcPr>
            <w:tcW w:w="1732" w:type="pct"/>
            <w:noWrap w:val="0"/>
            <w:vAlign w:val="center"/>
          </w:tcPr>
          <w:p>
            <w:pPr>
              <w:adjustRightInd w:val="0"/>
              <w:snapToGrid w:val="0"/>
              <w:jc w:val="center"/>
              <w:rPr>
                <w:bCs/>
                <w:color w:val="auto"/>
                <w:spacing w:val="-10"/>
                <w:szCs w:val="21"/>
              </w:rPr>
            </w:pPr>
            <w:r>
              <w:rPr>
                <w:bCs/>
                <w:color w:val="auto"/>
                <w:spacing w:val="-10"/>
                <w:szCs w:val="21"/>
              </w:rPr>
              <w:t>产生量较小，以无组织的形式排放</w:t>
            </w:r>
          </w:p>
        </w:tc>
        <w:tc>
          <w:tcPr>
            <w:tcW w:w="3018" w:type="dxa"/>
            <w:noWrap w:val="0"/>
            <w:vAlign w:val="center"/>
          </w:tcPr>
          <w:p>
            <w:pPr>
              <w:snapToGrid w:val="0"/>
              <w:jc w:val="center"/>
              <w:rPr>
                <w:bCs/>
                <w:color w:val="auto"/>
                <w:spacing w:val="-10"/>
                <w:szCs w:val="21"/>
              </w:rPr>
            </w:pPr>
            <w:r>
              <w:rPr>
                <w:rFonts w:hint="eastAsia"/>
                <w:color w:val="auto"/>
                <w:kern w:val="0"/>
                <w:szCs w:val="21"/>
              </w:rPr>
              <w:t>《大气污染物综合排放标准》（GB16297-1996）中的无组织排放监控浓度限值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76" w:hRule="atLeast"/>
          <w:jc w:val="center"/>
        </w:trPr>
        <w:tc>
          <w:tcPr>
            <w:tcW w:w="342" w:type="pct"/>
            <w:vMerge w:val="continue"/>
            <w:noWrap w:val="0"/>
            <w:vAlign w:val="center"/>
          </w:tcPr>
          <w:p>
            <w:pPr>
              <w:adjustRightInd w:val="0"/>
              <w:snapToGrid w:val="0"/>
              <w:jc w:val="center"/>
              <w:rPr>
                <w:b/>
                <w:bCs/>
                <w:color w:val="auto"/>
                <w:szCs w:val="21"/>
              </w:rPr>
            </w:pPr>
          </w:p>
        </w:tc>
        <w:tc>
          <w:tcPr>
            <w:tcW w:w="761" w:type="pct"/>
            <w:noWrap w:val="0"/>
            <w:vAlign w:val="center"/>
          </w:tcPr>
          <w:p>
            <w:pPr>
              <w:adjustRightInd w:val="0"/>
              <w:snapToGrid w:val="0"/>
              <w:jc w:val="center"/>
              <w:rPr>
                <w:color w:val="auto"/>
                <w:szCs w:val="21"/>
              </w:rPr>
            </w:pPr>
            <w:r>
              <w:rPr>
                <w:bCs/>
                <w:color w:val="auto"/>
                <w:kern w:val="0"/>
                <w:szCs w:val="21"/>
              </w:rPr>
              <w:t>汽车尾气</w:t>
            </w:r>
          </w:p>
        </w:tc>
        <w:tc>
          <w:tcPr>
            <w:tcW w:w="635" w:type="pct"/>
            <w:noWrap w:val="0"/>
            <w:vAlign w:val="center"/>
          </w:tcPr>
          <w:p>
            <w:pPr>
              <w:autoSpaceDE w:val="0"/>
              <w:autoSpaceDN w:val="0"/>
              <w:adjustRightInd w:val="0"/>
              <w:snapToGrid w:val="0"/>
              <w:jc w:val="center"/>
              <w:rPr>
                <w:bCs/>
                <w:color w:val="auto"/>
                <w:kern w:val="0"/>
                <w:szCs w:val="21"/>
              </w:rPr>
            </w:pPr>
            <w:r>
              <w:rPr>
                <w:bCs/>
                <w:color w:val="auto"/>
                <w:spacing w:val="-10"/>
                <w:szCs w:val="21"/>
              </w:rPr>
              <w:t>CO、HC、NOx</w:t>
            </w:r>
          </w:p>
        </w:tc>
        <w:tc>
          <w:tcPr>
            <w:tcW w:w="1732" w:type="pct"/>
            <w:noWrap w:val="0"/>
            <w:vAlign w:val="center"/>
          </w:tcPr>
          <w:p>
            <w:pPr>
              <w:adjustRightInd w:val="0"/>
              <w:snapToGrid w:val="0"/>
              <w:jc w:val="center"/>
              <w:rPr>
                <w:bCs/>
                <w:color w:val="auto"/>
                <w:spacing w:val="-10"/>
                <w:szCs w:val="21"/>
              </w:rPr>
            </w:pPr>
            <w:r>
              <w:rPr>
                <w:color w:val="auto"/>
              </w:rPr>
              <w:t>加强进出车辆的管理，使用高标号汽油，定期维护保养，加强绿化</w:t>
            </w:r>
          </w:p>
        </w:tc>
        <w:tc>
          <w:tcPr>
            <w:tcW w:w="1528" w:type="pct"/>
            <w:noWrap w:val="0"/>
            <w:vAlign w:val="center"/>
          </w:tcPr>
          <w:p>
            <w:pPr>
              <w:snapToGrid w:val="0"/>
              <w:jc w:val="center"/>
              <w:rPr>
                <w:bCs/>
                <w:color w:val="auto"/>
                <w:spacing w:val="-10"/>
                <w:szCs w:val="21"/>
              </w:rPr>
            </w:pPr>
            <w:r>
              <w:rPr>
                <w:rFonts w:hint="eastAsia"/>
                <w:bCs/>
                <w:color w:val="auto"/>
                <w:spacing w:val="-10"/>
                <w:szCs w:val="21"/>
              </w:rPr>
              <w:t>对大气环境影响较小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2" w:type="pct"/>
            <w:vMerge w:val="continue"/>
            <w:noWrap w:val="0"/>
            <w:vAlign w:val="center"/>
          </w:tcPr>
          <w:p>
            <w:pPr>
              <w:adjustRightInd w:val="0"/>
              <w:snapToGrid w:val="0"/>
              <w:jc w:val="center"/>
              <w:rPr>
                <w:b/>
                <w:bCs/>
                <w:color w:val="auto"/>
                <w:szCs w:val="21"/>
              </w:rPr>
            </w:pPr>
          </w:p>
        </w:tc>
        <w:tc>
          <w:tcPr>
            <w:tcW w:w="761" w:type="pct"/>
            <w:noWrap w:val="0"/>
            <w:vAlign w:val="center"/>
          </w:tcPr>
          <w:p>
            <w:pPr>
              <w:adjustRightInd w:val="0"/>
              <w:snapToGrid w:val="0"/>
              <w:jc w:val="center"/>
              <w:rPr>
                <w:rFonts w:hint="eastAsia"/>
                <w:bCs/>
                <w:color w:val="auto"/>
                <w:kern w:val="0"/>
                <w:szCs w:val="21"/>
              </w:rPr>
            </w:pPr>
            <w:r>
              <w:rPr>
                <w:rFonts w:hint="eastAsia"/>
                <w:bCs/>
                <w:color w:val="auto"/>
                <w:kern w:val="0"/>
                <w:szCs w:val="21"/>
              </w:rPr>
              <w:t>厂界外</w:t>
            </w:r>
          </w:p>
        </w:tc>
        <w:tc>
          <w:tcPr>
            <w:tcW w:w="635" w:type="pct"/>
            <w:noWrap w:val="0"/>
            <w:vAlign w:val="center"/>
          </w:tcPr>
          <w:p>
            <w:pPr>
              <w:adjustRightInd w:val="0"/>
              <w:snapToGrid w:val="0"/>
              <w:jc w:val="center"/>
              <w:rPr>
                <w:color w:val="auto"/>
                <w:szCs w:val="21"/>
              </w:rPr>
            </w:pPr>
            <w:r>
              <w:rPr>
                <w:rFonts w:hint="eastAsia"/>
                <w:color w:val="auto"/>
                <w:szCs w:val="21"/>
              </w:rPr>
              <w:t>颗粒物、</w:t>
            </w:r>
            <w:r>
              <w:rPr>
                <w:color w:val="auto"/>
                <w:szCs w:val="21"/>
              </w:rPr>
              <w:t>沥青烟</w:t>
            </w:r>
            <w:r>
              <w:rPr>
                <w:rFonts w:hint="eastAsia"/>
                <w:color w:val="auto"/>
                <w:szCs w:val="21"/>
              </w:rPr>
              <w:t>、</w:t>
            </w:r>
            <w:r>
              <w:rPr>
                <w:color w:val="auto"/>
                <w:szCs w:val="21"/>
              </w:rPr>
              <w:t>苯并[a]芘</w:t>
            </w:r>
            <w:r>
              <w:rPr>
                <w:rFonts w:hint="eastAsia"/>
                <w:color w:val="auto"/>
                <w:szCs w:val="21"/>
              </w:rPr>
              <w:t>、</w:t>
            </w:r>
            <w:r>
              <w:rPr>
                <w:color w:val="auto"/>
                <w:szCs w:val="21"/>
              </w:rPr>
              <w:t>非甲烷总烃</w:t>
            </w:r>
          </w:p>
        </w:tc>
        <w:tc>
          <w:tcPr>
            <w:tcW w:w="1732" w:type="pct"/>
            <w:noWrap w:val="0"/>
            <w:vAlign w:val="center"/>
          </w:tcPr>
          <w:p>
            <w:pPr>
              <w:adjustRightInd w:val="0"/>
              <w:snapToGrid w:val="0"/>
              <w:jc w:val="center"/>
              <w:rPr>
                <w:color w:val="auto"/>
              </w:rPr>
            </w:pPr>
            <w:r>
              <w:rPr>
                <w:rFonts w:hint="eastAsia"/>
                <w:color w:val="auto"/>
              </w:rPr>
              <w:t>加强废气收集</w:t>
            </w:r>
          </w:p>
        </w:tc>
        <w:tc>
          <w:tcPr>
            <w:tcW w:w="3018" w:type="dxa"/>
            <w:noWrap w:val="0"/>
            <w:vAlign w:val="center"/>
          </w:tcPr>
          <w:p>
            <w:pPr>
              <w:snapToGrid w:val="0"/>
              <w:jc w:val="center"/>
              <w:rPr>
                <w:bCs/>
                <w:color w:val="auto"/>
                <w:spacing w:val="-10"/>
                <w:szCs w:val="21"/>
              </w:rPr>
            </w:pPr>
            <w:r>
              <w:rPr>
                <w:rFonts w:hint="eastAsia"/>
                <w:color w:val="auto"/>
                <w:kern w:val="0"/>
                <w:szCs w:val="21"/>
              </w:rPr>
              <w:t>《大气污染物综合排放标准》（GB16297-1996）中的无组织排放监控浓度限值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2" w:type="pct"/>
            <w:vMerge w:val="restart"/>
            <w:noWrap w:val="0"/>
            <w:vAlign w:val="center"/>
          </w:tcPr>
          <w:p>
            <w:pPr>
              <w:adjustRightInd w:val="0"/>
              <w:snapToGrid w:val="0"/>
              <w:jc w:val="center"/>
              <w:rPr>
                <w:b/>
                <w:bCs/>
                <w:color w:val="auto"/>
                <w:szCs w:val="21"/>
              </w:rPr>
            </w:pPr>
            <w:r>
              <w:rPr>
                <w:b/>
                <w:bCs/>
                <w:color w:val="auto"/>
                <w:szCs w:val="21"/>
              </w:rPr>
              <w:t>地表水环境</w:t>
            </w:r>
          </w:p>
        </w:tc>
        <w:tc>
          <w:tcPr>
            <w:tcW w:w="761" w:type="pct"/>
            <w:noWrap w:val="0"/>
            <w:vAlign w:val="center"/>
          </w:tcPr>
          <w:p>
            <w:pPr>
              <w:adjustRightInd w:val="0"/>
              <w:snapToGrid w:val="0"/>
              <w:jc w:val="center"/>
              <w:rPr>
                <w:color w:val="auto"/>
                <w:szCs w:val="21"/>
              </w:rPr>
            </w:pPr>
            <w:r>
              <w:rPr>
                <w:color w:val="auto"/>
                <w:szCs w:val="21"/>
              </w:rPr>
              <w:t>生活污水</w:t>
            </w:r>
          </w:p>
        </w:tc>
        <w:tc>
          <w:tcPr>
            <w:tcW w:w="635" w:type="pct"/>
            <w:noWrap w:val="0"/>
            <w:vAlign w:val="center"/>
          </w:tcPr>
          <w:p>
            <w:pPr>
              <w:autoSpaceDE w:val="0"/>
              <w:autoSpaceDN w:val="0"/>
              <w:adjustRightInd w:val="0"/>
              <w:snapToGrid w:val="0"/>
              <w:jc w:val="center"/>
              <w:rPr>
                <w:color w:val="auto"/>
                <w:szCs w:val="21"/>
              </w:rPr>
            </w:pPr>
            <w:r>
              <w:rPr>
                <w:rFonts w:hint="eastAsia"/>
                <w:color w:val="auto"/>
                <w:kern w:val="0"/>
                <w:szCs w:val="21"/>
              </w:rPr>
              <w:t>pH值、</w:t>
            </w:r>
            <w:r>
              <w:rPr>
                <w:color w:val="auto"/>
                <w:kern w:val="0"/>
                <w:szCs w:val="21"/>
              </w:rPr>
              <w:t>COD、BOD</w:t>
            </w:r>
            <w:r>
              <w:rPr>
                <w:color w:val="auto"/>
                <w:kern w:val="0"/>
                <w:szCs w:val="21"/>
                <w:vertAlign w:val="subscript"/>
              </w:rPr>
              <w:t>5</w:t>
            </w:r>
            <w:r>
              <w:rPr>
                <w:color w:val="auto"/>
                <w:kern w:val="0"/>
                <w:szCs w:val="21"/>
              </w:rPr>
              <w:t>、SS、NH</w:t>
            </w:r>
            <w:r>
              <w:rPr>
                <w:color w:val="auto"/>
                <w:kern w:val="0"/>
                <w:szCs w:val="21"/>
                <w:vertAlign w:val="subscript"/>
              </w:rPr>
              <w:t>3</w:t>
            </w:r>
            <w:r>
              <w:rPr>
                <w:color w:val="auto"/>
                <w:kern w:val="0"/>
                <w:szCs w:val="21"/>
              </w:rPr>
              <w:t>-N、TP</w:t>
            </w:r>
          </w:p>
        </w:tc>
        <w:tc>
          <w:tcPr>
            <w:tcW w:w="1732" w:type="pct"/>
            <w:noWrap w:val="0"/>
            <w:vAlign w:val="center"/>
          </w:tcPr>
          <w:p>
            <w:pPr>
              <w:adjustRightInd w:val="0"/>
              <w:snapToGrid w:val="0"/>
              <w:jc w:val="center"/>
              <w:rPr>
                <w:color w:val="auto"/>
              </w:rPr>
            </w:pPr>
            <w:r>
              <w:rPr>
                <w:rFonts w:hint="eastAsia"/>
                <w:color w:val="auto"/>
                <w:kern w:val="0"/>
                <w:szCs w:val="21"/>
              </w:rPr>
              <w:t>经临时</w:t>
            </w:r>
            <w:r>
              <w:rPr>
                <w:color w:val="auto"/>
                <w:kern w:val="0"/>
                <w:szCs w:val="21"/>
              </w:rPr>
              <w:t>化粪池预处理后暂存，</w:t>
            </w:r>
            <w:r>
              <w:rPr>
                <w:rFonts w:hint="eastAsia"/>
                <w:bCs/>
                <w:color w:val="auto"/>
                <w:spacing w:val="-10"/>
                <w:szCs w:val="21"/>
              </w:rPr>
              <w:t>定期清掏，用于附近农用地浇灌</w:t>
            </w:r>
          </w:p>
        </w:tc>
        <w:tc>
          <w:tcPr>
            <w:tcW w:w="1528" w:type="pct"/>
            <w:noWrap w:val="0"/>
            <w:vAlign w:val="center"/>
          </w:tcPr>
          <w:p>
            <w:pPr>
              <w:adjustRightInd w:val="0"/>
              <w:snapToGrid w:val="0"/>
              <w:jc w:val="center"/>
              <w:rPr>
                <w:bCs/>
                <w:color w:val="auto"/>
                <w:spacing w:val="-10"/>
                <w:szCs w:val="21"/>
              </w:rPr>
            </w:pPr>
            <w:r>
              <w:rPr>
                <w:bCs/>
                <w:color w:val="auto"/>
                <w:spacing w:val="-10"/>
                <w:szCs w:val="21"/>
              </w:rPr>
              <w:t>《农田灌溉水质标准》（GB5084-2021）中的“旱地作物”限值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2" w:type="pct"/>
            <w:vMerge w:val="continue"/>
            <w:noWrap w:val="0"/>
            <w:vAlign w:val="center"/>
          </w:tcPr>
          <w:p>
            <w:pPr>
              <w:adjustRightInd w:val="0"/>
              <w:snapToGrid w:val="0"/>
              <w:jc w:val="center"/>
              <w:rPr>
                <w:b/>
                <w:bCs/>
                <w:color w:val="auto"/>
                <w:szCs w:val="21"/>
              </w:rPr>
            </w:pPr>
          </w:p>
        </w:tc>
        <w:tc>
          <w:tcPr>
            <w:tcW w:w="761" w:type="pct"/>
            <w:noWrap w:val="0"/>
            <w:vAlign w:val="center"/>
          </w:tcPr>
          <w:p>
            <w:pPr>
              <w:adjustRightInd w:val="0"/>
              <w:snapToGrid w:val="0"/>
              <w:jc w:val="center"/>
              <w:rPr>
                <w:color w:val="auto"/>
                <w:szCs w:val="21"/>
              </w:rPr>
            </w:pPr>
            <w:r>
              <w:rPr>
                <w:color w:val="auto"/>
                <w:szCs w:val="21"/>
              </w:rPr>
              <w:t>初期雨水</w:t>
            </w:r>
          </w:p>
        </w:tc>
        <w:tc>
          <w:tcPr>
            <w:tcW w:w="635" w:type="pct"/>
            <w:noWrap w:val="0"/>
            <w:vAlign w:val="center"/>
          </w:tcPr>
          <w:p>
            <w:pPr>
              <w:adjustRightInd w:val="0"/>
              <w:snapToGrid w:val="0"/>
              <w:jc w:val="center"/>
              <w:rPr>
                <w:color w:val="auto"/>
                <w:szCs w:val="21"/>
              </w:rPr>
            </w:pPr>
            <w:r>
              <w:rPr>
                <w:rFonts w:hint="eastAsia"/>
                <w:color w:val="auto"/>
                <w:szCs w:val="21"/>
              </w:rPr>
              <w:t>pH值、SS、石油类</w:t>
            </w:r>
          </w:p>
        </w:tc>
        <w:tc>
          <w:tcPr>
            <w:tcW w:w="1732" w:type="pct"/>
            <w:noWrap w:val="0"/>
            <w:vAlign w:val="center"/>
          </w:tcPr>
          <w:p>
            <w:pPr>
              <w:adjustRightInd w:val="0"/>
              <w:snapToGrid w:val="0"/>
              <w:jc w:val="center"/>
              <w:rPr>
                <w:color w:val="auto"/>
                <w:kern w:val="0"/>
                <w:szCs w:val="20"/>
              </w:rPr>
            </w:pPr>
            <w:r>
              <w:rPr>
                <w:bCs/>
                <w:color w:val="auto"/>
                <w:spacing w:val="-10"/>
                <w:szCs w:val="21"/>
              </w:rPr>
              <w:t>经</w:t>
            </w:r>
            <w:r>
              <w:rPr>
                <w:rFonts w:hint="eastAsia"/>
                <w:bCs/>
                <w:color w:val="auto"/>
                <w:spacing w:val="-10"/>
                <w:szCs w:val="21"/>
              </w:rPr>
              <w:t>隔油池隔油处理、</w:t>
            </w:r>
            <w:r>
              <w:rPr>
                <w:bCs/>
                <w:color w:val="auto"/>
                <w:spacing w:val="-10"/>
                <w:szCs w:val="21"/>
              </w:rPr>
              <w:t>沉淀池沉淀处理后</w:t>
            </w:r>
            <w:r>
              <w:rPr>
                <w:rFonts w:hint="eastAsia"/>
                <w:bCs/>
                <w:color w:val="auto"/>
                <w:spacing w:val="-10"/>
                <w:szCs w:val="21"/>
              </w:rPr>
              <w:t>回用</w:t>
            </w:r>
            <w:r>
              <w:rPr>
                <w:bCs/>
                <w:color w:val="auto"/>
                <w:spacing w:val="-10"/>
                <w:szCs w:val="21"/>
              </w:rPr>
              <w:t>，作为喷淋装置洒水抑尘用水</w:t>
            </w:r>
          </w:p>
        </w:tc>
        <w:tc>
          <w:tcPr>
            <w:tcW w:w="1528" w:type="pct"/>
            <w:noWrap w:val="0"/>
            <w:vAlign w:val="center"/>
          </w:tcPr>
          <w:p>
            <w:pPr>
              <w:adjustRightInd w:val="0"/>
              <w:snapToGrid w:val="0"/>
              <w:jc w:val="center"/>
              <w:rPr>
                <w:color w:val="auto"/>
                <w:szCs w:val="21"/>
              </w:rPr>
            </w:pPr>
            <w:r>
              <w:rPr>
                <w:rFonts w:hint="eastAsia"/>
                <w:color w:val="auto"/>
                <w:szCs w:val="21"/>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2" w:type="pct"/>
            <w:noWrap w:val="0"/>
            <w:vAlign w:val="center"/>
          </w:tcPr>
          <w:p>
            <w:pPr>
              <w:adjustRightInd w:val="0"/>
              <w:snapToGrid w:val="0"/>
              <w:jc w:val="center"/>
              <w:rPr>
                <w:b/>
                <w:bCs/>
                <w:color w:val="auto"/>
                <w:szCs w:val="21"/>
              </w:rPr>
            </w:pPr>
            <w:r>
              <w:rPr>
                <w:b/>
                <w:bCs/>
                <w:color w:val="auto"/>
                <w:szCs w:val="21"/>
              </w:rPr>
              <w:t>声环境</w:t>
            </w:r>
          </w:p>
        </w:tc>
        <w:tc>
          <w:tcPr>
            <w:tcW w:w="761" w:type="pct"/>
            <w:noWrap w:val="0"/>
            <w:vAlign w:val="center"/>
          </w:tcPr>
          <w:p>
            <w:pPr>
              <w:adjustRightInd w:val="0"/>
              <w:snapToGrid w:val="0"/>
              <w:jc w:val="center"/>
              <w:rPr>
                <w:color w:val="auto"/>
                <w:szCs w:val="21"/>
              </w:rPr>
            </w:pPr>
            <w:r>
              <w:rPr>
                <w:color w:val="auto"/>
                <w:szCs w:val="21"/>
              </w:rPr>
              <w:t>生产设备</w:t>
            </w:r>
          </w:p>
        </w:tc>
        <w:tc>
          <w:tcPr>
            <w:tcW w:w="635" w:type="pct"/>
            <w:noWrap w:val="0"/>
            <w:vAlign w:val="center"/>
          </w:tcPr>
          <w:p>
            <w:pPr>
              <w:adjustRightInd w:val="0"/>
              <w:snapToGrid w:val="0"/>
              <w:jc w:val="center"/>
              <w:rPr>
                <w:color w:val="auto"/>
                <w:szCs w:val="21"/>
              </w:rPr>
            </w:pPr>
            <w:r>
              <w:rPr>
                <w:color w:val="auto"/>
                <w:szCs w:val="21"/>
              </w:rPr>
              <w:t>机械噪声</w:t>
            </w:r>
          </w:p>
        </w:tc>
        <w:tc>
          <w:tcPr>
            <w:tcW w:w="1732" w:type="pct"/>
            <w:noWrap w:val="0"/>
            <w:vAlign w:val="center"/>
          </w:tcPr>
          <w:p>
            <w:pPr>
              <w:rPr>
                <w:bCs/>
                <w:color w:val="auto"/>
                <w:spacing w:val="-10"/>
                <w:szCs w:val="21"/>
              </w:rPr>
            </w:pPr>
            <w:r>
              <w:rPr>
                <w:color w:val="auto"/>
                <w:szCs w:val="21"/>
              </w:rPr>
              <w:t>选用精度高、装配质量好、噪声低的设备；合理布局，利用构筑物、建筑物等来阻隔噪声的传播；高噪声车间考虑使用隔声、吸声材料；加强设备管理，设备定期维护、保养；合理安排生产时间</w:t>
            </w:r>
          </w:p>
        </w:tc>
        <w:tc>
          <w:tcPr>
            <w:tcW w:w="1528" w:type="pct"/>
            <w:noWrap w:val="0"/>
            <w:vAlign w:val="center"/>
          </w:tcPr>
          <w:p>
            <w:pPr>
              <w:adjustRightInd w:val="0"/>
              <w:snapToGrid w:val="0"/>
              <w:jc w:val="center"/>
              <w:rPr>
                <w:bCs/>
                <w:color w:val="auto"/>
                <w:spacing w:val="-10"/>
                <w:szCs w:val="21"/>
              </w:rPr>
            </w:pPr>
            <w:r>
              <w:rPr>
                <w:color w:val="auto"/>
                <w:kern w:val="0"/>
                <w:szCs w:val="21"/>
              </w:rPr>
              <w:t>《工业企业厂界环境噪声排放标准》（GB12348-2008）中的2类区标准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76" w:hRule="atLeast"/>
          <w:jc w:val="center"/>
        </w:trPr>
        <w:tc>
          <w:tcPr>
            <w:tcW w:w="342" w:type="pct"/>
            <w:noWrap w:val="0"/>
            <w:vAlign w:val="center"/>
          </w:tcPr>
          <w:p>
            <w:pPr>
              <w:adjustRightInd w:val="0"/>
              <w:snapToGrid w:val="0"/>
              <w:jc w:val="center"/>
              <w:rPr>
                <w:b/>
                <w:bCs/>
                <w:color w:val="auto"/>
                <w:szCs w:val="21"/>
              </w:rPr>
            </w:pPr>
            <w:r>
              <w:rPr>
                <w:b/>
                <w:bCs/>
                <w:color w:val="auto"/>
                <w:szCs w:val="21"/>
              </w:rPr>
              <w:t>电磁辐射</w:t>
            </w:r>
          </w:p>
        </w:tc>
        <w:tc>
          <w:tcPr>
            <w:tcW w:w="761" w:type="pct"/>
            <w:noWrap w:val="0"/>
            <w:vAlign w:val="center"/>
          </w:tcPr>
          <w:p>
            <w:pPr>
              <w:adjustRightInd w:val="0"/>
              <w:snapToGrid w:val="0"/>
              <w:jc w:val="center"/>
              <w:rPr>
                <w:color w:val="auto"/>
                <w:szCs w:val="21"/>
              </w:rPr>
            </w:pPr>
            <w:r>
              <w:rPr>
                <w:color w:val="auto"/>
                <w:szCs w:val="21"/>
              </w:rPr>
              <w:t>/</w:t>
            </w:r>
          </w:p>
        </w:tc>
        <w:tc>
          <w:tcPr>
            <w:tcW w:w="635" w:type="pct"/>
            <w:noWrap w:val="0"/>
            <w:vAlign w:val="center"/>
          </w:tcPr>
          <w:p>
            <w:pPr>
              <w:adjustRightInd w:val="0"/>
              <w:snapToGrid w:val="0"/>
              <w:jc w:val="center"/>
              <w:rPr>
                <w:color w:val="auto"/>
                <w:szCs w:val="21"/>
              </w:rPr>
            </w:pPr>
            <w:r>
              <w:rPr>
                <w:color w:val="auto"/>
                <w:szCs w:val="21"/>
              </w:rPr>
              <w:t>/</w:t>
            </w:r>
          </w:p>
        </w:tc>
        <w:tc>
          <w:tcPr>
            <w:tcW w:w="1732" w:type="pct"/>
            <w:noWrap w:val="0"/>
            <w:vAlign w:val="center"/>
          </w:tcPr>
          <w:p>
            <w:pPr>
              <w:adjustRightInd w:val="0"/>
              <w:snapToGrid w:val="0"/>
              <w:jc w:val="center"/>
              <w:rPr>
                <w:color w:val="auto"/>
                <w:szCs w:val="21"/>
              </w:rPr>
            </w:pPr>
            <w:r>
              <w:rPr>
                <w:color w:val="auto"/>
                <w:szCs w:val="21"/>
              </w:rPr>
              <w:t>/</w:t>
            </w:r>
          </w:p>
        </w:tc>
        <w:tc>
          <w:tcPr>
            <w:tcW w:w="1528" w:type="pct"/>
            <w:noWrap w:val="0"/>
            <w:vAlign w:val="center"/>
          </w:tcPr>
          <w:p>
            <w:pPr>
              <w:adjustRightInd w:val="0"/>
              <w:snapToGrid w:val="0"/>
              <w:jc w:val="center"/>
              <w:rPr>
                <w:color w:val="auto"/>
                <w:szCs w:val="21"/>
              </w:rPr>
            </w:pPr>
            <w:r>
              <w:rPr>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2" w:type="pct"/>
            <w:noWrap w:val="0"/>
            <w:vAlign w:val="center"/>
          </w:tcPr>
          <w:p>
            <w:pPr>
              <w:adjustRightInd w:val="0"/>
              <w:snapToGrid w:val="0"/>
              <w:jc w:val="center"/>
              <w:rPr>
                <w:b/>
                <w:bCs/>
                <w:color w:val="auto"/>
                <w:szCs w:val="21"/>
              </w:rPr>
            </w:pPr>
            <w:r>
              <w:rPr>
                <w:b/>
                <w:bCs/>
                <w:color w:val="auto"/>
                <w:szCs w:val="21"/>
              </w:rPr>
              <w:t>固体废物</w:t>
            </w:r>
          </w:p>
        </w:tc>
        <w:tc>
          <w:tcPr>
            <w:tcW w:w="9191" w:type="dxa"/>
            <w:gridSpan w:val="4"/>
            <w:noWrap w:val="0"/>
            <w:vAlign w:val="center"/>
          </w:tcPr>
          <w:p>
            <w:pPr>
              <w:adjustRightInd w:val="0"/>
              <w:snapToGrid w:val="0"/>
              <w:rPr>
                <w:snapToGrid w:val="0"/>
                <w:color w:val="auto"/>
                <w:kern w:val="0"/>
                <w:szCs w:val="21"/>
              </w:rPr>
            </w:pPr>
            <w:r>
              <w:rPr>
                <w:rFonts w:hint="eastAsia"/>
                <w:snapToGrid w:val="0"/>
                <w:color w:val="auto"/>
                <w:kern w:val="0"/>
                <w:szCs w:val="21"/>
              </w:rPr>
              <w:t>①</w:t>
            </w:r>
            <w:r>
              <w:rPr>
                <w:snapToGrid w:val="0"/>
                <w:color w:val="auto"/>
                <w:kern w:val="0"/>
                <w:szCs w:val="21"/>
              </w:rPr>
              <w:t>一般固废：</w:t>
            </w:r>
            <w:r>
              <w:rPr>
                <w:rFonts w:hint="eastAsia"/>
                <w:snapToGrid w:val="0"/>
                <w:color w:val="auto"/>
                <w:kern w:val="0"/>
                <w:szCs w:val="21"/>
              </w:rPr>
              <w:t>收集粉尘、沉沙、废石料、废布袋经分类收集后，暂存于一般固废间，定期</w:t>
            </w:r>
            <w:r>
              <w:rPr>
                <w:rFonts w:hint="eastAsia"/>
                <w:snapToGrid w:val="0"/>
                <w:color w:val="auto"/>
                <w:kern w:val="0"/>
                <w:szCs w:val="21"/>
                <w:lang w:val="zh-CN"/>
              </w:rPr>
              <w:t>外售，收集粉尘、沉沙、废石料用于铺路材料，</w:t>
            </w:r>
            <w:r>
              <w:rPr>
                <w:rFonts w:hint="eastAsia"/>
                <w:snapToGrid w:val="0"/>
                <w:color w:val="auto"/>
                <w:kern w:val="0"/>
                <w:szCs w:val="21"/>
              </w:rPr>
              <w:t>废布袋由厂家回收。</w:t>
            </w:r>
          </w:p>
          <w:p>
            <w:pPr>
              <w:adjustRightInd w:val="0"/>
              <w:snapToGrid w:val="0"/>
              <w:rPr>
                <w:snapToGrid w:val="0"/>
                <w:color w:val="auto"/>
                <w:kern w:val="0"/>
                <w:szCs w:val="21"/>
              </w:rPr>
            </w:pPr>
            <w:r>
              <w:rPr>
                <w:rFonts w:hint="eastAsia"/>
                <w:snapToGrid w:val="0"/>
                <w:color w:val="auto"/>
                <w:kern w:val="0"/>
                <w:szCs w:val="21"/>
              </w:rPr>
              <w:t>②危险废物</w:t>
            </w:r>
            <w:r>
              <w:rPr>
                <w:snapToGrid w:val="0"/>
                <w:color w:val="auto"/>
                <w:kern w:val="0"/>
                <w:szCs w:val="21"/>
              </w:rPr>
              <w:t>：</w:t>
            </w:r>
            <w:r>
              <w:rPr>
                <w:rFonts w:hint="eastAsia"/>
                <w:snapToGrid w:val="0"/>
                <w:color w:val="auto"/>
                <w:kern w:val="0"/>
                <w:szCs w:val="21"/>
              </w:rPr>
              <w:t>废机油、废抹布、废活性炭经分类收集后，暂存于危废间，委托有危废处置资质的单位转移处置。</w:t>
            </w:r>
          </w:p>
          <w:p>
            <w:pPr>
              <w:adjustRightInd w:val="0"/>
              <w:snapToGrid w:val="0"/>
              <w:rPr>
                <w:color w:val="auto"/>
                <w:szCs w:val="21"/>
              </w:rPr>
            </w:pPr>
            <w:r>
              <w:rPr>
                <w:rFonts w:hint="eastAsia"/>
                <w:snapToGrid w:val="0"/>
                <w:color w:val="auto"/>
                <w:kern w:val="0"/>
                <w:szCs w:val="21"/>
              </w:rPr>
              <w:t>③生活垃圾：集中收集至垃圾桶后，委托环卫部门定期清运处理。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2" w:type="pct"/>
            <w:noWrap w:val="0"/>
            <w:vAlign w:val="center"/>
          </w:tcPr>
          <w:p>
            <w:pPr>
              <w:adjustRightInd w:val="0"/>
              <w:snapToGrid w:val="0"/>
              <w:jc w:val="center"/>
              <w:rPr>
                <w:b/>
                <w:bCs/>
                <w:color w:val="auto"/>
                <w:szCs w:val="21"/>
              </w:rPr>
            </w:pPr>
            <w:r>
              <w:rPr>
                <w:b/>
                <w:bCs/>
                <w:color w:val="auto"/>
                <w:szCs w:val="21"/>
              </w:rPr>
              <w:t>土壤及地下水污染防治措施</w:t>
            </w:r>
          </w:p>
        </w:tc>
        <w:tc>
          <w:tcPr>
            <w:tcW w:w="9191" w:type="dxa"/>
            <w:gridSpan w:val="4"/>
            <w:noWrap w:val="0"/>
            <w:vAlign w:val="center"/>
          </w:tcPr>
          <w:p>
            <w:pPr>
              <w:adjustRightInd w:val="0"/>
              <w:snapToGrid w:val="0"/>
              <w:rPr>
                <w:color w:val="auto"/>
                <w:szCs w:val="21"/>
              </w:rPr>
            </w:pPr>
            <w:r>
              <w:rPr>
                <w:rFonts w:hint="eastAsia"/>
                <w:color w:val="auto"/>
                <w:szCs w:val="21"/>
              </w:rPr>
              <w:t>①重点防渗区（危废间、油库）：</w:t>
            </w:r>
            <w:r>
              <w:rPr>
                <w:bCs/>
                <w:color w:val="auto"/>
                <w:spacing w:val="-10"/>
                <w:szCs w:val="21"/>
                <w:lang w:val="zh-CN"/>
              </w:rPr>
              <w:t>做好防风、防雨、防晒措施；地面和裙脚做好防腐、防渗漏措施；门口设置漫坡、围堰</w:t>
            </w:r>
            <w:r>
              <w:rPr>
                <w:bCs/>
                <w:color w:val="auto"/>
                <w:spacing w:val="-10"/>
                <w:szCs w:val="21"/>
              </w:rPr>
              <w:t>；</w:t>
            </w:r>
            <w:r>
              <w:rPr>
                <w:color w:val="auto"/>
                <w:szCs w:val="21"/>
              </w:rPr>
              <w:t>符合《危险废物贮存污染控制标准》的要求，</w:t>
            </w:r>
            <w:r>
              <w:rPr>
                <w:bCs/>
                <w:color w:val="auto"/>
                <w:kern w:val="0"/>
                <w:szCs w:val="21"/>
              </w:rPr>
              <w:t>防渗层为至少1m厚黏土层（渗透系数数≤10</w:t>
            </w:r>
            <w:r>
              <w:rPr>
                <w:bCs/>
                <w:color w:val="auto"/>
                <w:kern w:val="0"/>
                <w:szCs w:val="21"/>
                <w:vertAlign w:val="superscript"/>
              </w:rPr>
              <w:t>-7</w:t>
            </w:r>
            <w:r>
              <w:rPr>
                <w:bCs/>
                <w:color w:val="auto"/>
                <w:kern w:val="0"/>
                <w:szCs w:val="21"/>
              </w:rPr>
              <w:t>cm/s），或2mm 厚高密度聚乙烯，或至少2mm厚的其他人工材料（渗透系数≤10</w:t>
            </w:r>
            <w:r>
              <w:rPr>
                <w:bCs/>
                <w:color w:val="auto"/>
                <w:kern w:val="0"/>
                <w:szCs w:val="21"/>
                <w:vertAlign w:val="superscript"/>
              </w:rPr>
              <w:t>-10</w:t>
            </w:r>
            <w:r>
              <w:rPr>
                <w:bCs/>
                <w:color w:val="auto"/>
                <w:kern w:val="0"/>
                <w:szCs w:val="21"/>
              </w:rPr>
              <w:t>cm/s）</w:t>
            </w:r>
          </w:p>
          <w:p>
            <w:pPr>
              <w:adjustRightInd w:val="0"/>
              <w:snapToGrid w:val="0"/>
              <w:rPr>
                <w:color w:val="auto"/>
                <w:szCs w:val="21"/>
              </w:rPr>
            </w:pPr>
            <w:r>
              <w:rPr>
                <w:rFonts w:hint="eastAsia"/>
                <w:color w:val="auto"/>
                <w:szCs w:val="21"/>
              </w:rPr>
              <w:t>②一般防渗区（一般固废间）：</w:t>
            </w:r>
            <w:r>
              <w:rPr>
                <w:color w:val="auto"/>
                <w:szCs w:val="21"/>
              </w:rPr>
              <w:t>车间地面采用防渗钢筋混凝土结构，内部采用水泥基渗透结晶型防渗材料涂层，</w:t>
            </w:r>
            <w:r>
              <w:rPr>
                <w:bCs/>
                <w:color w:val="auto"/>
                <w:kern w:val="0"/>
                <w:szCs w:val="21"/>
              </w:rPr>
              <w:t>防渗层为至少0.75m厚黏土层（渗透系数数≤10</w:t>
            </w:r>
            <w:r>
              <w:rPr>
                <w:bCs/>
                <w:color w:val="auto"/>
                <w:kern w:val="0"/>
                <w:szCs w:val="21"/>
                <w:vertAlign w:val="superscript"/>
              </w:rPr>
              <w:t>-7</w:t>
            </w:r>
            <w:r>
              <w:rPr>
                <w:bCs/>
                <w:color w:val="auto"/>
                <w:kern w:val="0"/>
                <w:szCs w:val="21"/>
              </w:rPr>
              <w:t>cm/s）</w:t>
            </w:r>
            <w:r>
              <w:rPr>
                <w:rFonts w:hint="eastAsia"/>
                <w:color w:val="auto"/>
                <w:szCs w:val="21"/>
              </w:rPr>
              <w:t>。</w:t>
            </w:r>
          </w:p>
          <w:p>
            <w:pPr>
              <w:adjustRightInd w:val="0"/>
              <w:snapToGrid w:val="0"/>
              <w:rPr>
                <w:color w:val="auto"/>
                <w:szCs w:val="21"/>
              </w:rPr>
            </w:pPr>
            <w:r>
              <w:rPr>
                <w:rFonts w:hint="eastAsia"/>
                <w:color w:val="auto"/>
                <w:szCs w:val="21"/>
              </w:rPr>
              <w:t>③一般防渗区（生活区）：化粪池定期检查污水收集管道，确保无裂缝、无渗透，每年清淤一次，避免堵塞漫流。</w:t>
            </w:r>
          </w:p>
          <w:p>
            <w:pPr>
              <w:adjustRightInd w:val="0"/>
              <w:snapToGrid w:val="0"/>
              <w:rPr>
                <w:color w:val="auto"/>
                <w:szCs w:val="21"/>
              </w:rPr>
            </w:pPr>
            <w:r>
              <w:rPr>
                <w:rFonts w:hint="eastAsia"/>
                <w:color w:val="auto"/>
                <w:szCs w:val="21"/>
              </w:rPr>
              <w:t>④办公区、生活区及厂区道路：一般地面硬化。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2" w:type="pct"/>
            <w:noWrap w:val="0"/>
            <w:vAlign w:val="center"/>
          </w:tcPr>
          <w:p>
            <w:pPr>
              <w:adjustRightInd w:val="0"/>
              <w:snapToGrid w:val="0"/>
              <w:jc w:val="center"/>
              <w:rPr>
                <w:b/>
                <w:bCs/>
                <w:color w:val="auto"/>
                <w:szCs w:val="21"/>
              </w:rPr>
            </w:pPr>
            <w:r>
              <w:rPr>
                <w:b/>
                <w:bCs/>
                <w:color w:val="auto"/>
                <w:szCs w:val="21"/>
              </w:rPr>
              <w:t>生态保护措施</w:t>
            </w:r>
          </w:p>
        </w:tc>
        <w:tc>
          <w:tcPr>
            <w:tcW w:w="4657" w:type="pct"/>
            <w:gridSpan w:val="4"/>
            <w:noWrap w:val="0"/>
            <w:vAlign w:val="center"/>
          </w:tcPr>
          <w:p>
            <w:pPr>
              <w:adjustRightInd w:val="0"/>
              <w:snapToGrid w:val="0"/>
              <w:jc w:val="center"/>
              <w:rPr>
                <w:color w:val="auto"/>
                <w:sz w:val="24"/>
              </w:rPr>
            </w:pPr>
            <w:r>
              <w:rPr>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2" w:type="pct"/>
            <w:noWrap w:val="0"/>
            <w:vAlign w:val="center"/>
          </w:tcPr>
          <w:p>
            <w:pPr>
              <w:adjustRightInd w:val="0"/>
              <w:snapToGrid w:val="0"/>
              <w:jc w:val="center"/>
              <w:rPr>
                <w:b/>
                <w:bCs/>
                <w:color w:val="auto"/>
                <w:spacing w:val="-8"/>
                <w:szCs w:val="21"/>
              </w:rPr>
            </w:pPr>
            <w:r>
              <w:rPr>
                <w:b/>
                <w:bCs/>
                <w:color w:val="auto"/>
                <w:spacing w:val="-8"/>
                <w:szCs w:val="21"/>
              </w:rPr>
              <w:t>环境风险</w:t>
            </w:r>
          </w:p>
          <w:p>
            <w:pPr>
              <w:adjustRightInd w:val="0"/>
              <w:snapToGrid w:val="0"/>
              <w:jc w:val="center"/>
              <w:rPr>
                <w:b/>
                <w:bCs/>
                <w:color w:val="auto"/>
                <w:spacing w:val="-8"/>
                <w:szCs w:val="21"/>
              </w:rPr>
            </w:pPr>
            <w:r>
              <w:rPr>
                <w:b/>
                <w:bCs/>
                <w:color w:val="auto"/>
                <w:spacing w:val="-8"/>
                <w:szCs w:val="21"/>
              </w:rPr>
              <w:t>防范措施</w:t>
            </w:r>
          </w:p>
        </w:tc>
        <w:tc>
          <w:tcPr>
            <w:tcW w:w="9191" w:type="dxa"/>
            <w:gridSpan w:val="4"/>
            <w:noWrap w:val="0"/>
            <w:vAlign w:val="center"/>
          </w:tcPr>
          <w:p>
            <w:pPr>
              <w:adjustRightInd w:val="0"/>
              <w:snapToGrid w:val="0"/>
              <w:ind w:firstLine="380" w:firstLineChars="200"/>
              <w:rPr>
                <w:rFonts w:hint="eastAsia"/>
                <w:bCs/>
                <w:color w:val="auto"/>
                <w:spacing w:val="-10"/>
                <w:szCs w:val="21"/>
                <w:lang w:val="zh-CN"/>
              </w:rPr>
            </w:pPr>
            <w:r>
              <w:rPr>
                <w:rFonts w:hint="eastAsia"/>
                <w:bCs/>
                <w:color w:val="auto"/>
                <w:spacing w:val="-10"/>
                <w:szCs w:val="21"/>
                <w:lang w:val="zh-CN"/>
              </w:rPr>
              <w:t>（1）油库泄漏及火灾环境风险防范措施</w:t>
            </w:r>
          </w:p>
          <w:p>
            <w:pPr>
              <w:adjustRightInd w:val="0"/>
              <w:snapToGrid w:val="0"/>
              <w:ind w:firstLine="380" w:firstLineChars="200"/>
              <w:rPr>
                <w:rFonts w:hint="eastAsia"/>
                <w:bCs/>
                <w:color w:val="auto"/>
                <w:spacing w:val="-10"/>
                <w:szCs w:val="21"/>
                <w:lang w:val="zh-CN"/>
              </w:rPr>
            </w:pPr>
            <w:r>
              <w:rPr>
                <w:rFonts w:hint="eastAsia"/>
                <w:bCs/>
                <w:color w:val="auto"/>
                <w:spacing w:val="-10"/>
                <w:szCs w:val="21"/>
                <w:lang w:val="zh-CN"/>
              </w:rPr>
              <w:t>①柴油、重油经密封包装桶储存在油库内，并定期对包装桶进行检测，常备吸毡、黄沙、木屑等物质，发现泄露物料时及时吸收清理；</w:t>
            </w:r>
          </w:p>
          <w:p>
            <w:pPr>
              <w:adjustRightInd w:val="0"/>
              <w:snapToGrid w:val="0"/>
              <w:ind w:firstLine="380" w:firstLineChars="200"/>
              <w:rPr>
                <w:rFonts w:hint="eastAsia"/>
                <w:bCs/>
                <w:color w:val="auto"/>
                <w:spacing w:val="-10"/>
                <w:szCs w:val="21"/>
                <w:lang w:val="zh-CN"/>
              </w:rPr>
            </w:pPr>
            <w:r>
              <w:rPr>
                <w:rFonts w:hint="eastAsia"/>
                <w:bCs/>
                <w:color w:val="auto"/>
                <w:spacing w:val="-10"/>
                <w:szCs w:val="21"/>
                <w:lang w:val="zh-CN"/>
              </w:rPr>
              <w:t>②柴油、重油卸料及搬运时要轻拿轻放，以免损坏包装，引起泄漏；</w:t>
            </w:r>
          </w:p>
          <w:p>
            <w:pPr>
              <w:adjustRightInd w:val="0"/>
              <w:snapToGrid w:val="0"/>
              <w:ind w:firstLine="380" w:firstLineChars="200"/>
              <w:rPr>
                <w:rFonts w:hint="eastAsia"/>
                <w:bCs/>
                <w:color w:val="auto"/>
                <w:spacing w:val="-10"/>
                <w:szCs w:val="21"/>
                <w:lang w:val="zh-CN"/>
              </w:rPr>
            </w:pPr>
            <w:r>
              <w:rPr>
                <w:rFonts w:hint="eastAsia"/>
                <w:bCs/>
                <w:color w:val="auto"/>
                <w:spacing w:val="-10"/>
                <w:szCs w:val="21"/>
                <w:lang w:val="zh-CN"/>
              </w:rPr>
              <w:t>③油库原料应根据品种不同分类分处存放，严禁混合存放。</w:t>
            </w:r>
          </w:p>
          <w:p>
            <w:pPr>
              <w:adjustRightInd w:val="0"/>
              <w:snapToGrid w:val="0"/>
              <w:ind w:firstLine="380" w:firstLineChars="200"/>
              <w:rPr>
                <w:rFonts w:hint="eastAsia"/>
                <w:bCs/>
                <w:color w:val="auto"/>
                <w:spacing w:val="-10"/>
                <w:szCs w:val="21"/>
                <w:lang w:val="zh-CN"/>
              </w:rPr>
            </w:pPr>
            <w:r>
              <w:rPr>
                <w:rFonts w:hint="eastAsia"/>
                <w:bCs/>
                <w:color w:val="auto"/>
                <w:spacing w:val="-10"/>
                <w:szCs w:val="21"/>
                <w:lang w:val="zh-CN"/>
              </w:rPr>
              <w:t>④油库设置“严禁烟火”的警示牌，尤其是在易燃品堆放的位置；灭火器应布置在明显便于取用的地方，并定期维护检查，确保能正常使用。</w:t>
            </w:r>
          </w:p>
          <w:p>
            <w:pPr>
              <w:adjustRightInd w:val="0"/>
              <w:snapToGrid w:val="0"/>
              <w:ind w:firstLine="380" w:firstLineChars="200"/>
              <w:rPr>
                <w:rFonts w:hint="eastAsia"/>
                <w:bCs/>
                <w:color w:val="auto"/>
                <w:spacing w:val="-10"/>
                <w:szCs w:val="21"/>
                <w:lang w:val="zh-CN"/>
              </w:rPr>
            </w:pPr>
            <w:r>
              <w:rPr>
                <w:rFonts w:hint="eastAsia"/>
                <w:bCs/>
                <w:color w:val="auto"/>
                <w:spacing w:val="-10"/>
                <w:szCs w:val="21"/>
                <w:lang w:val="zh-CN"/>
              </w:rPr>
              <w:t>④制定和落实防火安全责任制及消防安全规章制度，除加强对员工的消防知识进行培训，对消防安全责任人及员工也定期进行消防知识培训，消防安全管理人员持证上岗；制定灭火和应急疏散预案，同时设置安全疏散通道。</w:t>
            </w:r>
          </w:p>
          <w:p>
            <w:pPr>
              <w:adjustRightInd w:val="0"/>
              <w:snapToGrid w:val="0"/>
              <w:ind w:firstLine="380" w:firstLineChars="200"/>
              <w:rPr>
                <w:rFonts w:hint="eastAsia"/>
                <w:bCs/>
                <w:color w:val="auto"/>
                <w:spacing w:val="-10"/>
                <w:szCs w:val="21"/>
                <w:lang w:val="zh-CN"/>
              </w:rPr>
            </w:pPr>
            <w:r>
              <w:rPr>
                <w:rFonts w:hint="eastAsia"/>
                <w:bCs/>
                <w:color w:val="auto"/>
                <w:spacing w:val="-10"/>
                <w:szCs w:val="21"/>
                <w:lang w:val="zh-CN"/>
              </w:rPr>
              <w:t>⑤自动消防系统应定期维护保养，保证消防设施正常运作；对电路定期予以检查，用电负荷与电路的设计要匹配；</w:t>
            </w:r>
          </w:p>
          <w:p>
            <w:pPr>
              <w:adjustRightInd w:val="0"/>
              <w:snapToGrid w:val="0"/>
              <w:ind w:firstLine="380" w:firstLineChars="200"/>
              <w:rPr>
                <w:rFonts w:hint="eastAsia"/>
                <w:bCs/>
                <w:color w:val="auto"/>
                <w:spacing w:val="-10"/>
                <w:szCs w:val="21"/>
                <w:lang w:val="zh-CN"/>
              </w:rPr>
            </w:pPr>
            <w:r>
              <w:rPr>
                <w:rFonts w:hint="eastAsia"/>
                <w:bCs/>
                <w:color w:val="auto"/>
                <w:spacing w:val="-10"/>
                <w:szCs w:val="21"/>
                <w:lang w:val="zh-CN"/>
              </w:rPr>
              <w:t>（2）危废间泄漏风险防范措施</w:t>
            </w:r>
          </w:p>
          <w:p>
            <w:pPr>
              <w:adjustRightInd w:val="0"/>
              <w:snapToGrid w:val="0"/>
              <w:ind w:firstLine="380" w:firstLineChars="200"/>
              <w:rPr>
                <w:rFonts w:hint="eastAsia"/>
                <w:bCs/>
                <w:color w:val="auto"/>
                <w:spacing w:val="-10"/>
                <w:szCs w:val="21"/>
                <w:lang w:val="zh-CN"/>
              </w:rPr>
            </w:pPr>
            <w:r>
              <w:rPr>
                <w:rFonts w:hint="eastAsia"/>
                <w:bCs/>
                <w:color w:val="auto"/>
                <w:spacing w:val="-10"/>
                <w:szCs w:val="21"/>
                <w:lang w:val="zh-CN"/>
              </w:rPr>
              <w:t>本项目所产生的危险废物要严格管理，集中收集，分类处理，严格按照要求暂存，交由有危险废物处理资质的单位回收处理。</w:t>
            </w:r>
          </w:p>
          <w:p>
            <w:pPr>
              <w:adjustRightInd w:val="0"/>
              <w:snapToGrid w:val="0"/>
              <w:ind w:firstLine="380" w:firstLineChars="200"/>
              <w:rPr>
                <w:rFonts w:hint="eastAsia"/>
                <w:bCs/>
                <w:color w:val="auto"/>
                <w:spacing w:val="-10"/>
                <w:szCs w:val="21"/>
                <w:lang w:val="zh-CN"/>
              </w:rPr>
            </w:pPr>
            <w:r>
              <w:rPr>
                <w:rFonts w:hint="eastAsia"/>
                <w:bCs/>
                <w:color w:val="auto"/>
                <w:spacing w:val="-10"/>
                <w:szCs w:val="21"/>
                <w:lang w:val="zh-CN"/>
              </w:rPr>
              <w:t>①本项目产生的危废避免露天存放，分类收集后应使用密闭包装桶盛装；</w:t>
            </w:r>
          </w:p>
          <w:p>
            <w:pPr>
              <w:adjustRightInd w:val="0"/>
              <w:snapToGrid w:val="0"/>
              <w:ind w:firstLine="380" w:firstLineChars="200"/>
              <w:rPr>
                <w:rFonts w:hint="eastAsia"/>
                <w:bCs/>
                <w:color w:val="auto"/>
                <w:spacing w:val="-10"/>
                <w:szCs w:val="21"/>
                <w:lang w:val="zh-CN"/>
              </w:rPr>
            </w:pPr>
            <w:r>
              <w:rPr>
                <w:rFonts w:hint="eastAsia"/>
                <w:bCs/>
                <w:color w:val="auto"/>
                <w:spacing w:val="-10"/>
                <w:szCs w:val="21"/>
                <w:lang w:val="zh-CN"/>
              </w:rPr>
              <w:t>②危废间要做好防风、防雨、防晒措施；地面和裙脚做好防腐、防渗漏措施；门口设置漫坡、围堰。</w:t>
            </w:r>
          </w:p>
          <w:p>
            <w:pPr>
              <w:adjustRightInd w:val="0"/>
              <w:snapToGrid w:val="0"/>
              <w:ind w:firstLine="380" w:firstLineChars="200"/>
              <w:rPr>
                <w:rFonts w:hint="eastAsia"/>
                <w:bCs/>
                <w:color w:val="auto"/>
                <w:spacing w:val="-10"/>
                <w:szCs w:val="21"/>
                <w:lang w:val="zh-CN"/>
              </w:rPr>
            </w:pPr>
            <w:r>
              <w:rPr>
                <w:rFonts w:hint="eastAsia"/>
                <w:bCs/>
                <w:color w:val="auto"/>
                <w:spacing w:val="-10"/>
                <w:szCs w:val="21"/>
                <w:lang w:val="zh-CN"/>
              </w:rPr>
              <w:t>（3）废气处理设施、废水处理设施泄漏风险防范措施</w:t>
            </w:r>
          </w:p>
          <w:p>
            <w:pPr>
              <w:adjustRightInd w:val="0"/>
              <w:snapToGrid w:val="0"/>
              <w:ind w:firstLine="380" w:firstLineChars="200"/>
              <w:rPr>
                <w:rFonts w:hint="eastAsia"/>
                <w:bCs/>
                <w:color w:val="auto"/>
                <w:spacing w:val="-10"/>
                <w:szCs w:val="21"/>
                <w:lang w:val="zh-CN"/>
              </w:rPr>
            </w:pPr>
            <w:r>
              <w:rPr>
                <w:rFonts w:hint="eastAsia"/>
                <w:bCs/>
                <w:color w:val="auto"/>
                <w:spacing w:val="-10"/>
                <w:szCs w:val="21"/>
                <w:lang w:val="zh-CN"/>
              </w:rPr>
              <w:t>①项目废气处理设施、废水处理设施采用正规设计厂家生产的设备，且安装时按正规要求安装；</w:t>
            </w:r>
          </w:p>
          <w:p>
            <w:pPr>
              <w:adjustRightInd w:val="0"/>
              <w:snapToGrid w:val="0"/>
              <w:ind w:firstLine="380" w:firstLineChars="200"/>
              <w:rPr>
                <w:rFonts w:hint="eastAsia"/>
                <w:bCs/>
                <w:color w:val="auto"/>
                <w:spacing w:val="-10"/>
                <w:szCs w:val="21"/>
                <w:lang w:val="zh-CN"/>
              </w:rPr>
            </w:pPr>
            <w:r>
              <w:rPr>
                <w:rFonts w:hint="eastAsia"/>
                <w:bCs/>
                <w:color w:val="auto"/>
                <w:spacing w:val="-10"/>
                <w:szCs w:val="21"/>
                <w:lang w:val="zh-CN"/>
              </w:rPr>
              <w:t>②项目安排专人定期检查维修保养废气处理设施、废水处理设施；</w:t>
            </w:r>
          </w:p>
          <w:p>
            <w:pPr>
              <w:adjustRightInd w:val="0"/>
              <w:snapToGrid w:val="0"/>
              <w:ind w:firstLine="380" w:firstLineChars="200"/>
              <w:rPr>
                <w:color w:val="auto"/>
                <w:szCs w:val="21"/>
              </w:rPr>
            </w:pPr>
            <w:r>
              <w:rPr>
                <w:rFonts w:hint="eastAsia"/>
                <w:bCs/>
                <w:color w:val="auto"/>
                <w:spacing w:val="-10"/>
                <w:szCs w:val="21"/>
                <w:lang w:val="zh-CN"/>
              </w:rPr>
              <w:t>③当发现废气处理设施、废水处理设施有破损时，应当立即停止生产。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42" w:type="pct"/>
            <w:noWrap w:val="0"/>
            <w:vAlign w:val="center"/>
          </w:tcPr>
          <w:p>
            <w:pPr>
              <w:adjustRightInd w:val="0"/>
              <w:snapToGrid w:val="0"/>
              <w:jc w:val="center"/>
              <w:rPr>
                <w:b/>
                <w:bCs/>
                <w:color w:val="auto"/>
                <w:spacing w:val="-8"/>
                <w:szCs w:val="21"/>
              </w:rPr>
            </w:pPr>
            <w:r>
              <w:rPr>
                <w:b/>
                <w:bCs/>
                <w:color w:val="auto"/>
                <w:spacing w:val="-8"/>
                <w:szCs w:val="21"/>
              </w:rPr>
              <w:t>其他环境</w:t>
            </w:r>
          </w:p>
          <w:p>
            <w:pPr>
              <w:adjustRightInd w:val="0"/>
              <w:snapToGrid w:val="0"/>
              <w:jc w:val="center"/>
              <w:rPr>
                <w:b/>
                <w:bCs/>
                <w:color w:val="auto"/>
                <w:spacing w:val="-8"/>
                <w:szCs w:val="21"/>
              </w:rPr>
            </w:pPr>
            <w:r>
              <w:rPr>
                <w:b/>
                <w:bCs/>
                <w:color w:val="auto"/>
                <w:spacing w:val="-8"/>
                <w:szCs w:val="21"/>
              </w:rPr>
              <w:t>管理要求</w:t>
            </w:r>
          </w:p>
        </w:tc>
        <w:tc>
          <w:tcPr>
            <w:tcW w:w="4657" w:type="pct"/>
            <w:gridSpan w:val="4"/>
            <w:noWrap w:val="0"/>
            <w:vAlign w:val="center"/>
          </w:tcPr>
          <w:p>
            <w:pPr>
              <w:snapToGrid w:val="0"/>
              <w:ind w:firstLine="420" w:firstLineChars="200"/>
              <w:rPr>
                <w:color w:val="auto"/>
                <w:szCs w:val="21"/>
                <w:lang w:val="zh-CN"/>
              </w:rPr>
            </w:pPr>
            <w:r>
              <w:rPr>
                <w:color w:val="auto"/>
                <w:szCs w:val="21"/>
              </w:rPr>
              <w:t>企业</w:t>
            </w:r>
            <w:r>
              <w:rPr>
                <w:color w:val="auto"/>
                <w:szCs w:val="21"/>
                <w:lang w:val="zh-CN"/>
              </w:rPr>
              <w:t>应当在项目产生实际污染物排放之前，按照国家排污许可有关管理规定要求，申请排污许可证，不得无证排污或不按证排污。建设项目建成后，环保设施调试前，建设单位应向社会公开并向生态环境部门报送竣工、环保设施调试日期，井在投入调试前取得相关许可证。</w:t>
            </w:r>
          </w:p>
          <w:p>
            <w:pPr>
              <w:adjustRightInd w:val="0"/>
              <w:snapToGrid w:val="0"/>
              <w:ind w:firstLine="420" w:firstLineChars="200"/>
              <w:rPr>
                <w:color w:val="auto"/>
                <w:szCs w:val="21"/>
              </w:rPr>
            </w:pPr>
            <w:r>
              <w:rPr>
                <w:color w:val="auto"/>
                <w:szCs w:val="21"/>
                <w:lang w:val="zh-CN"/>
              </w:rPr>
              <w:t>调试期3个月内建设单位按照《建设项目竣工环境保护验收营行办法》自行组织验收，建设单位应当在出具验收合格的意见后5个工作日内，通过网站或者其他便于公众知悉的方式，依法向社会公开验收报告和验收意见，公开的期限不得少于</w:t>
            </w:r>
            <w:r>
              <w:rPr>
                <w:color w:val="auto"/>
                <w:szCs w:val="21"/>
              </w:rPr>
              <w:t>20个工作日</w:t>
            </w:r>
            <w:r>
              <w:rPr>
                <w:color w:val="auto"/>
                <w:szCs w:val="21"/>
                <w:lang w:val="zh-CN"/>
              </w:rPr>
              <w:t>。公开结束后5个工作日内，建设单位应当登陆全国建设项目竣工环境保护验收信息平台，填报相关信息并对信息的真实性、准确性和完整性负责。</w:t>
            </w:r>
          </w:p>
        </w:tc>
      </w:tr>
    </w:tbl>
    <w:p>
      <w:pPr>
        <w:jc w:val="center"/>
        <w:outlineLvl w:val="0"/>
        <w:rPr>
          <w:rFonts w:eastAsia="黑体"/>
          <w:b/>
          <w:bCs/>
          <w:snapToGrid w:val="0"/>
          <w:color w:val="auto"/>
          <w:sz w:val="30"/>
          <w:szCs w:val="30"/>
        </w:rPr>
      </w:pPr>
      <w:r>
        <w:rPr>
          <w:b/>
          <w:bCs/>
          <w:snapToGrid w:val="0"/>
          <w:color w:val="auto"/>
        </w:rPr>
        <w:br w:type="page"/>
      </w:r>
      <w:r>
        <w:rPr>
          <w:rFonts w:eastAsia="黑体"/>
          <w:b/>
          <w:bCs/>
          <w:snapToGrid w:val="0"/>
          <w:color w:val="auto"/>
          <w:sz w:val="30"/>
          <w:szCs w:val="30"/>
        </w:rPr>
        <w:t>六、结论</w:t>
      </w:r>
    </w:p>
    <w:tbl>
      <w:tblPr>
        <w:tblStyle w:val="8"/>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9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24" w:hRule="atLeast"/>
          <w:jc w:val="center"/>
        </w:trPr>
        <w:tc>
          <w:tcPr>
            <w:tcW w:w="5000" w:type="pct"/>
            <w:noWrap w:val="0"/>
            <w:vAlign w:val="top"/>
          </w:tcPr>
          <w:p>
            <w:pPr>
              <w:spacing w:line="360" w:lineRule="auto"/>
              <w:ind w:firstLine="480" w:firstLineChars="200"/>
              <w:rPr>
                <w:color w:val="auto"/>
                <w:sz w:val="24"/>
              </w:rPr>
            </w:pPr>
            <w:r>
              <w:rPr>
                <w:color w:val="auto"/>
                <w:sz w:val="24"/>
                <w:lang w:val="zh-CN"/>
              </w:rPr>
              <w:t>综上所述，本项目符合国家和地方产业政策，项目选址布局合理，项目拟采取的各项环境保护措施具有经济和技术可行性。本项目建设单位在严格执行建设项目环境保护“三同时制度”、认真落实相应的环境保护防治措施后，项目产生的各类污染物均能做到达标排放或妥善处置，对外部环境影响较小。从环境保护角度分析，本项目的建设具有可行性。</w:t>
            </w:r>
          </w:p>
        </w:tc>
      </w:tr>
    </w:tbl>
    <w:p>
      <w:pPr>
        <w:rPr>
          <w:color w:val="auto"/>
        </w:rPr>
        <w:sectPr>
          <w:pgSz w:w="11906" w:h="16838"/>
          <w:pgMar w:top="1440" w:right="1083" w:bottom="1440" w:left="1083" w:header="851" w:footer="851" w:gutter="0"/>
          <w:cols w:space="720" w:num="1"/>
          <w:docGrid w:linePitch="312" w:charSpace="0"/>
        </w:sectPr>
      </w:pPr>
    </w:p>
    <w:p>
      <w:pPr>
        <w:adjustRightInd w:val="0"/>
        <w:snapToGrid w:val="0"/>
        <w:outlineLvl w:val="0"/>
        <w:rPr>
          <w:rFonts w:eastAsia="黑体"/>
          <w:b/>
          <w:bCs/>
          <w:snapToGrid w:val="0"/>
          <w:color w:val="auto"/>
          <w:sz w:val="32"/>
          <w:szCs w:val="32"/>
        </w:rPr>
      </w:pPr>
      <w:r>
        <w:rPr>
          <w:rFonts w:eastAsia="黑体"/>
          <w:b/>
          <w:bCs/>
          <w:snapToGrid w:val="0"/>
          <w:color w:val="auto"/>
          <w:sz w:val="32"/>
          <w:szCs w:val="32"/>
        </w:rPr>
        <w:t>附表</w:t>
      </w:r>
    </w:p>
    <w:p>
      <w:pPr>
        <w:adjustRightInd w:val="0"/>
        <w:snapToGrid w:val="0"/>
        <w:jc w:val="center"/>
        <w:outlineLvl w:val="0"/>
        <w:rPr>
          <w:rFonts w:eastAsia="方正小标宋_GBK"/>
          <w:b/>
          <w:bCs/>
          <w:snapToGrid w:val="0"/>
          <w:color w:val="auto"/>
          <w:sz w:val="38"/>
          <w:szCs w:val="38"/>
        </w:rPr>
      </w:pPr>
      <w:r>
        <w:rPr>
          <w:rFonts w:eastAsia="方正小标宋_GBK"/>
          <w:b/>
          <w:bCs/>
          <w:snapToGrid w:val="0"/>
          <w:color w:val="auto"/>
          <w:sz w:val="38"/>
          <w:szCs w:val="38"/>
        </w:rPr>
        <w:t>建设项目污染物排放量汇总表</w:t>
      </w:r>
    </w:p>
    <w:tbl>
      <w:tblPr>
        <w:tblStyle w:val="8"/>
        <w:tblW w:w="49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1654"/>
        <w:gridCol w:w="1755"/>
        <w:gridCol w:w="1062"/>
        <w:gridCol w:w="1713"/>
        <w:gridCol w:w="1729"/>
        <w:gridCol w:w="1345"/>
        <w:gridCol w:w="2147"/>
        <w:gridCol w:w="14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3" w:type="pct"/>
            <w:tcBorders>
              <w:tl2br w:val="single" w:color="auto" w:sz="4" w:space="0"/>
            </w:tcBorders>
            <w:noWrap w:val="0"/>
            <w:tcMar>
              <w:left w:w="28" w:type="dxa"/>
              <w:right w:w="28" w:type="dxa"/>
            </w:tcMar>
            <w:vAlign w:val="center"/>
          </w:tcPr>
          <w:p>
            <w:pPr>
              <w:jc w:val="right"/>
              <w:rPr>
                <w:b/>
                <w:bCs/>
                <w:snapToGrid w:val="0"/>
                <w:color w:val="auto"/>
                <w:spacing w:val="-6"/>
                <w:kern w:val="21"/>
                <w:szCs w:val="21"/>
              </w:rPr>
            </w:pPr>
            <w:r>
              <w:rPr>
                <w:b/>
                <w:bCs/>
                <w:snapToGrid w:val="0"/>
                <w:color w:val="auto"/>
                <w:spacing w:val="-6"/>
                <w:kern w:val="21"/>
                <w:szCs w:val="21"/>
              </w:rPr>
              <w:t>项目</w:t>
            </w:r>
          </w:p>
          <w:p>
            <w:pPr>
              <w:jc w:val="left"/>
              <w:rPr>
                <w:b/>
                <w:bCs/>
                <w:snapToGrid w:val="0"/>
                <w:color w:val="auto"/>
                <w:spacing w:val="-6"/>
                <w:kern w:val="21"/>
                <w:szCs w:val="21"/>
              </w:rPr>
            </w:pPr>
            <w:r>
              <w:rPr>
                <w:b/>
                <w:bCs/>
                <w:snapToGrid w:val="0"/>
                <w:color w:val="auto"/>
                <w:spacing w:val="-6"/>
                <w:kern w:val="21"/>
                <w:szCs w:val="21"/>
              </w:rPr>
              <w:t>分类</w:t>
            </w:r>
          </w:p>
        </w:tc>
        <w:tc>
          <w:tcPr>
            <w:tcW w:w="590" w:type="pct"/>
            <w:noWrap w:val="0"/>
            <w:tcMar>
              <w:left w:w="28" w:type="dxa"/>
              <w:right w:w="28" w:type="dxa"/>
            </w:tcMar>
            <w:vAlign w:val="center"/>
          </w:tcPr>
          <w:p>
            <w:pPr>
              <w:jc w:val="center"/>
              <w:rPr>
                <w:b/>
                <w:bCs/>
                <w:snapToGrid w:val="0"/>
                <w:color w:val="auto"/>
                <w:spacing w:val="-6"/>
                <w:kern w:val="21"/>
                <w:szCs w:val="21"/>
              </w:rPr>
            </w:pPr>
            <w:r>
              <w:rPr>
                <w:b/>
                <w:bCs/>
                <w:snapToGrid w:val="0"/>
                <w:color w:val="auto"/>
                <w:spacing w:val="-6"/>
                <w:kern w:val="21"/>
                <w:szCs w:val="21"/>
              </w:rPr>
              <w:t>污染物名称</w:t>
            </w:r>
          </w:p>
        </w:tc>
        <w:tc>
          <w:tcPr>
            <w:tcW w:w="626" w:type="pct"/>
            <w:noWrap w:val="0"/>
            <w:tcMar>
              <w:left w:w="28" w:type="dxa"/>
              <w:right w:w="28" w:type="dxa"/>
            </w:tcMar>
            <w:vAlign w:val="center"/>
          </w:tcPr>
          <w:p>
            <w:pPr>
              <w:jc w:val="center"/>
              <w:rPr>
                <w:b/>
                <w:bCs/>
                <w:snapToGrid w:val="0"/>
                <w:color w:val="auto"/>
                <w:spacing w:val="-6"/>
                <w:kern w:val="21"/>
                <w:szCs w:val="21"/>
              </w:rPr>
            </w:pPr>
            <w:r>
              <w:rPr>
                <w:b/>
                <w:bCs/>
                <w:snapToGrid w:val="0"/>
                <w:color w:val="auto"/>
                <w:spacing w:val="-6"/>
                <w:kern w:val="21"/>
                <w:szCs w:val="21"/>
              </w:rPr>
              <w:t>现有工程排放量（固体废物产生量）</w:t>
            </w:r>
            <w:r>
              <w:rPr>
                <w:b/>
                <w:bCs/>
                <w:snapToGrid w:val="0"/>
                <w:color w:val="auto"/>
                <w:spacing w:val="-6"/>
                <w:kern w:val="21"/>
                <w:szCs w:val="21"/>
              </w:rPr>
              <w:fldChar w:fldCharType="begin"/>
            </w:r>
            <w:r>
              <w:rPr>
                <w:b/>
                <w:bCs/>
                <w:snapToGrid w:val="0"/>
                <w:color w:val="auto"/>
                <w:spacing w:val="-6"/>
                <w:kern w:val="21"/>
                <w:szCs w:val="21"/>
              </w:rPr>
              <w:instrText xml:space="preserve"> = 1 \* GB3 \* MERGEFORMAT </w:instrText>
            </w:r>
            <w:r>
              <w:rPr>
                <w:b/>
                <w:bCs/>
                <w:snapToGrid w:val="0"/>
                <w:color w:val="auto"/>
                <w:spacing w:val="-6"/>
                <w:kern w:val="21"/>
                <w:szCs w:val="21"/>
              </w:rPr>
              <w:fldChar w:fldCharType="separate"/>
            </w:r>
            <w:r>
              <w:rPr>
                <w:b/>
                <w:bCs/>
                <w:color w:val="auto"/>
                <w:szCs w:val="21"/>
              </w:rPr>
              <w:t>①</w:t>
            </w:r>
            <w:r>
              <w:rPr>
                <w:b/>
                <w:bCs/>
                <w:snapToGrid w:val="0"/>
                <w:color w:val="auto"/>
                <w:spacing w:val="-6"/>
                <w:kern w:val="21"/>
                <w:szCs w:val="21"/>
              </w:rPr>
              <w:fldChar w:fldCharType="end"/>
            </w:r>
          </w:p>
        </w:tc>
        <w:tc>
          <w:tcPr>
            <w:tcW w:w="379" w:type="pct"/>
            <w:noWrap w:val="0"/>
            <w:tcMar>
              <w:left w:w="28" w:type="dxa"/>
              <w:right w:w="28" w:type="dxa"/>
            </w:tcMar>
            <w:vAlign w:val="center"/>
          </w:tcPr>
          <w:p>
            <w:pPr>
              <w:jc w:val="center"/>
              <w:rPr>
                <w:b/>
                <w:bCs/>
                <w:snapToGrid w:val="0"/>
                <w:color w:val="auto"/>
                <w:spacing w:val="-6"/>
                <w:kern w:val="21"/>
                <w:szCs w:val="21"/>
              </w:rPr>
            </w:pPr>
            <w:r>
              <w:rPr>
                <w:b/>
                <w:bCs/>
                <w:snapToGrid w:val="0"/>
                <w:color w:val="auto"/>
                <w:spacing w:val="-6"/>
                <w:kern w:val="21"/>
                <w:szCs w:val="21"/>
              </w:rPr>
              <w:t>现有工程</w:t>
            </w:r>
          </w:p>
          <w:p>
            <w:pPr>
              <w:jc w:val="center"/>
              <w:rPr>
                <w:b/>
                <w:bCs/>
                <w:snapToGrid w:val="0"/>
                <w:color w:val="auto"/>
                <w:spacing w:val="-6"/>
                <w:kern w:val="21"/>
                <w:szCs w:val="21"/>
              </w:rPr>
            </w:pPr>
            <w:r>
              <w:rPr>
                <w:b/>
                <w:bCs/>
                <w:snapToGrid w:val="0"/>
                <w:color w:val="auto"/>
                <w:spacing w:val="-6"/>
                <w:kern w:val="21"/>
                <w:szCs w:val="21"/>
              </w:rPr>
              <w:t>许可排放量</w:t>
            </w:r>
          </w:p>
          <w:p>
            <w:pPr>
              <w:jc w:val="center"/>
              <w:rPr>
                <w:b/>
                <w:bCs/>
                <w:snapToGrid w:val="0"/>
                <w:color w:val="auto"/>
                <w:spacing w:val="-6"/>
                <w:kern w:val="21"/>
                <w:szCs w:val="21"/>
              </w:rPr>
            </w:pPr>
            <w:r>
              <w:rPr>
                <w:b/>
                <w:bCs/>
                <w:snapToGrid w:val="0"/>
                <w:color w:val="auto"/>
                <w:spacing w:val="-6"/>
                <w:kern w:val="21"/>
                <w:szCs w:val="21"/>
              </w:rPr>
              <w:fldChar w:fldCharType="begin"/>
            </w:r>
            <w:r>
              <w:rPr>
                <w:b/>
                <w:bCs/>
                <w:snapToGrid w:val="0"/>
                <w:color w:val="auto"/>
                <w:spacing w:val="-6"/>
                <w:kern w:val="21"/>
                <w:szCs w:val="21"/>
              </w:rPr>
              <w:instrText xml:space="preserve"> = 2 \* GB3 \* MERGEFORMAT </w:instrText>
            </w:r>
            <w:r>
              <w:rPr>
                <w:b/>
                <w:bCs/>
                <w:snapToGrid w:val="0"/>
                <w:color w:val="auto"/>
                <w:spacing w:val="-6"/>
                <w:kern w:val="21"/>
                <w:szCs w:val="21"/>
              </w:rPr>
              <w:fldChar w:fldCharType="separate"/>
            </w:r>
            <w:r>
              <w:rPr>
                <w:b/>
                <w:bCs/>
                <w:snapToGrid w:val="0"/>
                <w:color w:val="auto"/>
                <w:spacing w:val="-6"/>
                <w:kern w:val="21"/>
                <w:szCs w:val="21"/>
              </w:rPr>
              <w:t>②</w:t>
            </w:r>
            <w:r>
              <w:rPr>
                <w:b/>
                <w:bCs/>
                <w:snapToGrid w:val="0"/>
                <w:color w:val="auto"/>
                <w:spacing w:val="-6"/>
                <w:kern w:val="21"/>
                <w:szCs w:val="21"/>
              </w:rPr>
              <w:fldChar w:fldCharType="end"/>
            </w:r>
          </w:p>
        </w:tc>
        <w:tc>
          <w:tcPr>
            <w:tcW w:w="611" w:type="pct"/>
            <w:noWrap w:val="0"/>
            <w:tcMar>
              <w:left w:w="28" w:type="dxa"/>
              <w:right w:w="28" w:type="dxa"/>
            </w:tcMar>
            <w:vAlign w:val="center"/>
          </w:tcPr>
          <w:p>
            <w:pPr>
              <w:jc w:val="center"/>
              <w:rPr>
                <w:b/>
                <w:bCs/>
                <w:snapToGrid w:val="0"/>
                <w:color w:val="auto"/>
                <w:spacing w:val="-6"/>
                <w:kern w:val="21"/>
                <w:szCs w:val="21"/>
              </w:rPr>
            </w:pPr>
            <w:r>
              <w:rPr>
                <w:b/>
                <w:bCs/>
                <w:snapToGrid w:val="0"/>
                <w:color w:val="auto"/>
                <w:spacing w:val="-6"/>
                <w:kern w:val="21"/>
                <w:szCs w:val="21"/>
              </w:rPr>
              <w:t>在建工程排放量（固体废物产生量）</w:t>
            </w:r>
            <w:r>
              <w:rPr>
                <w:b/>
                <w:bCs/>
                <w:snapToGrid w:val="0"/>
                <w:color w:val="auto"/>
                <w:spacing w:val="-6"/>
                <w:kern w:val="21"/>
                <w:szCs w:val="21"/>
              </w:rPr>
              <w:fldChar w:fldCharType="begin"/>
            </w:r>
            <w:r>
              <w:rPr>
                <w:b/>
                <w:bCs/>
                <w:snapToGrid w:val="0"/>
                <w:color w:val="auto"/>
                <w:spacing w:val="-6"/>
                <w:kern w:val="21"/>
                <w:szCs w:val="21"/>
              </w:rPr>
              <w:instrText xml:space="preserve"> = 3 \* GB3 \* MERGEFORMAT </w:instrText>
            </w:r>
            <w:r>
              <w:rPr>
                <w:b/>
                <w:bCs/>
                <w:snapToGrid w:val="0"/>
                <w:color w:val="auto"/>
                <w:spacing w:val="-6"/>
                <w:kern w:val="21"/>
                <w:szCs w:val="21"/>
              </w:rPr>
              <w:fldChar w:fldCharType="separate"/>
            </w:r>
            <w:r>
              <w:rPr>
                <w:b/>
                <w:bCs/>
                <w:color w:val="auto"/>
                <w:szCs w:val="21"/>
              </w:rPr>
              <w:t>③</w:t>
            </w:r>
            <w:r>
              <w:rPr>
                <w:b/>
                <w:bCs/>
                <w:snapToGrid w:val="0"/>
                <w:color w:val="auto"/>
                <w:spacing w:val="-6"/>
                <w:kern w:val="21"/>
                <w:szCs w:val="21"/>
              </w:rPr>
              <w:fldChar w:fldCharType="end"/>
            </w:r>
          </w:p>
        </w:tc>
        <w:tc>
          <w:tcPr>
            <w:tcW w:w="617" w:type="pct"/>
            <w:noWrap w:val="0"/>
            <w:tcMar>
              <w:left w:w="28" w:type="dxa"/>
              <w:right w:w="28" w:type="dxa"/>
            </w:tcMar>
            <w:vAlign w:val="center"/>
          </w:tcPr>
          <w:p>
            <w:pPr>
              <w:jc w:val="center"/>
              <w:rPr>
                <w:b/>
                <w:bCs/>
                <w:snapToGrid w:val="0"/>
                <w:color w:val="auto"/>
                <w:spacing w:val="-6"/>
                <w:kern w:val="21"/>
                <w:szCs w:val="21"/>
              </w:rPr>
            </w:pPr>
            <w:r>
              <w:rPr>
                <w:b/>
                <w:bCs/>
                <w:snapToGrid w:val="0"/>
                <w:color w:val="auto"/>
                <w:spacing w:val="-6"/>
                <w:kern w:val="21"/>
                <w:szCs w:val="21"/>
              </w:rPr>
              <w:t>本项目排放量</w:t>
            </w:r>
          </w:p>
          <w:p>
            <w:pPr>
              <w:jc w:val="center"/>
              <w:rPr>
                <w:b/>
                <w:bCs/>
                <w:snapToGrid w:val="0"/>
                <w:color w:val="auto"/>
                <w:spacing w:val="-6"/>
                <w:kern w:val="21"/>
                <w:szCs w:val="21"/>
              </w:rPr>
            </w:pPr>
            <w:r>
              <w:rPr>
                <w:b/>
                <w:bCs/>
                <w:snapToGrid w:val="0"/>
                <w:color w:val="auto"/>
                <w:spacing w:val="-6"/>
                <w:kern w:val="21"/>
                <w:szCs w:val="21"/>
              </w:rPr>
              <w:t>（固体废物产生量）</w:t>
            </w:r>
            <w:r>
              <w:rPr>
                <w:b/>
                <w:bCs/>
                <w:snapToGrid w:val="0"/>
                <w:color w:val="auto"/>
                <w:spacing w:val="-6"/>
                <w:kern w:val="21"/>
                <w:szCs w:val="21"/>
              </w:rPr>
              <w:fldChar w:fldCharType="begin"/>
            </w:r>
            <w:r>
              <w:rPr>
                <w:b/>
                <w:bCs/>
                <w:snapToGrid w:val="0"/>
                <w:color w:val="auto"/>
                <w:spacing w:val="-6"/>
                <w:kern w:val="21"/>
                <w:szCs w:val="21"/>
              </w:rPr>
              <w:instrText xml:space="preserve"> = 4 \* GB3 \* MERGEFORMAT </w:instrText>
            </w:r>
            <w:r>
              <w:rPr>
                <w:b/>
                <w:bCs/>
                <w:snapToGrid w:val="0"/>
                <w:color w:val="auto"/>
                <w:spacing w:val="-6"/>
                <w:kern w:val="21"/>
                <w:szCs w:val="21"/>
              </w:rPr>
              <w:fldChar w:fldCharType="separate"/>
            </w:r>
            <w:r>
              <w:rPr>
                <w:b/>
                <w:bCs/>
                <w:color w:val="auto"/>
                <w:szCs w:val="21"/>
              </w:rPr>
              <w:t>④</w:t>
            </w:r>
            <w:r>
              <w:rPr>
                <w:b/>
                <w:bCs/>
                <w:snapToGrid w:val="0"/>
                <w:color w:val="auto"/>
                <w:spacing w:val="-6"/>
                <w:kern w:val="21"/>
                <w:szCs w:val="21"/>
              </w:rPr>
              <w:fldChar w:fldCharType="end"/>
            </w:r>
          </w:p>
        </w:tc>
        <w:tc>
          <w:tcPr>
            <w:tcW w:w="480" w:type="pct"/>
            <w:noWrap w:val="0"/>
            <w:tcMar>
              <w:left w:w="28" w:type="dxa"/>
              <w:right w:w="28" w:type="dxa"/>
            </w:tcMar>
            <w:vAlign w:val="center"/>
          </w:tcPr>
          <w:p>
            <w:pPr>
              <w:jc w:val="center"/>
              <w:rPr>
                <w:b/>
                <w:bCs/>
                <w:snapToGrid w:val="0"/>
                <w:color w:val="auto"/>
                <w:spacing w:val="-16"/>
                <w:kern w:val="21"/>
                <w:szCs w:val="21"/>
              </w:rPr>
            </w:pPr>
            <w:r>
              <w:rPr>
                <w:b/>
                <w:bCs/>
                <w:snapToGrid w:val="0"/>
                <w:color w:val="auto"/>
                <w:spacing w:val="-16"/>
                <w:kern w:val="21"/>
                <w:szCs w:val="21"/>
              </w:rPr>
              <w:t>以新带老削减量</w:t>
            </w:r>
          </w:p>
          <w:p>
            <w:pPr>
              <w:jc w:val="center"/>
              <w:rPr>
                <w:b/>
                <w:bCs/>
                <w:snapToGrid w:val="0"/>
                <w:color w:val="auto"/>
                <w:spacing w:val="-16"/>
                <w:kern w:val="21"/>
                <w:szCs w:val="21"/>
              </w:rPr>
            </w:pPr>
            <w:r>
              <w:rPr>
                <w:b/>
                <w:bCs/>
                <w:snapToGrid w:val="0"/>
                <w:color w:val="auto"/>
                <w:spacing w:val="-16"/>
                <w:kern w:val="21"/>
                <w:szCs w:val="21"/>
              </w:rPr>
              <w:t>（新建项目不填）</w:t>
            </w:r>
            <w:r>
              <w:rPr>
                <w:b/>
                <w:bCs/>
                <w:snapToGrid w:val="0"/>
                <w:color w:val="auto"/>
                <w:spacing w:val="-16"/>
                <w:kern w:val="21"/>
                <w:szCs w:val="21"/>
              </w:rPr>
              <w:fldChar w:fldCharType="begin"/>
            </w:r>
            <w:r>
              <w:rPr>
                <w:b/>
                <w:bCs/>
                <w:snapToGrid w:val="0"/>
                <w:color w:val="auto"/>
                <w:spacing w:val="-16"/>
                <w:kern w:val="21"/>
                <w:szCs w:val="21"/>
              </w:rPr>
              <w:instrText xml:space="preserve"> = 5 \* GB3 \* MERGEFORMAT </w:instrText>
            </w:r>
            <w:r>
              <w:rPr>
                <w:b/>
                <w:bCs/>
                <w:snapToGrid w:val="0"/>
                <w:color w:val="auto"/>
                <w:spacing w:val="-16"/>
                <w:kern w:val="21"/>
                <w:szCs w:val="21"/>
              </w:rPr>
              <w:fldChar w:fldCharType="separate"/>
            </w:r>
            <w:r>
              <w:rPr>
                <w:b/>
                <w:bCs/>
                <w:color w:val="auto"/>
                <w:szCs w:val="21"/>
              </w:rPr>
              <w:t>⑤</w:t>
            </w:r>
            <w:r>
              <w:rPr>
                <w:b/>
                <w:bCs/>
                <w:snapToGrid w:val="0"/>
                <w:color w:val="auto"/>
                <w:spacing w:val="-16"/>
                <w:kern w:val="21"/>
                <w:szCs w:val="21"/>
              </w:rPr>
              <w:fldChar w:fldCharType="end"/>
            </w:r>
          </w:p>
        </w:tc>
        <w:tc>
          <w:tcPr>
            <w:tcW w:w="766" w:type="pct"/>
            <w:noWrap w:val="0"/>
            <w:tcMar>
              <w:left w:w="28" w:type="dxa"/>
              <w:right w:w="28" w:type="dxa"/>
            </w:tcMar>
            <w:vAlign w:val="center"/>
          </w:tcPr>
          <w:p>
            <w:pPr>
              <w:jc w:val="center"/>
              <w:rPr>
                <w:b/>
                <w:bCs/>
                <w:snapToGrid w:val="0"/>
                <w:color w:val="auto"/>
                <w:spacing w:val="-16"/>
                <w:kern w:val="21"/>
                <w:szCs w:val="21"/>
              </w:rPr>
            </w:pPr>
            <w:r>
              <w:rPr>
                <w:b/>
                <w:bCs/>
                <w:snapToGrid w:val="0"/>
                <w:color w:val="auto"/>
                <w:spacing w:val="-16"/>
                <w:kern w:val="21"/>
                <w:szCs w:val="21"/>
              </w:rPr>
              <w:t>本项目建成后全厂排放量（固体废物产生量）</w:t>
            </w:r>
          </w:p>
          <w:p>
            <w:pPr>
              <w:jc w:val="center"/>
              <w:rPr>
                <w:b/>
                <w:bCs/>
                <w:snapToGrid w:val="0"/>
                <w:color w:val="auto"/>
                <w:spacing w:val="-16"/>
                <w:kern w:val="21"/>
                <w:szCs w:val="21"/>
              </w:rPr>
            </w:pPr>
            <w:r>
              <w:rPr>
                <w:b/>
                <w:bCs/>
                <w:snapToGrid w:val="0"/>
                <w:color w:val="auto"/>
                <w:spacing w:val="-16"/>
                <w:kern w:val="21"/>
                <w:szCs w:val="21"/>
              </w:rPr>
              <w:fldChar w:fldCharType="begin"/>
            </w:r>
            <w:r>
              <w:rPr>
                <w:b/>
                <w:bCs/>
                <w:snapToGrid w:val="0"/>
                <w:color w:val="auto"/>
                <w:spacing w:val="-16"/>
                <w:kern w:val="21"/>
                <w:szCs w:val="21"/>
              </w:rPr>
              <w:instrText xml:space="preserve"> = 6 \* GB3 \* MERGEFORMAT </w:instrText>
            </w:r>
            <w:r>
              <w:rPr>
                <w:b/>
                <w:bCs/>
                <w:snapToGrid w:val="0"/>
                <w:color w:val="auto"/>
                <w:spacing w:val="-16"/>
                <w:kern w:val="21"/>
                <w:szCs w:val="21"/>
              </w:rPr>
              <w:fldChar w:fldCharType="separate"/>
            </w:r>
            <w:r>
              <w:rPr>
                <w:b/>
                <w:bCs/>
                <w:color w:val="auto"/>
                <w:szCs w:val="21"/>
              </w:rPr>
              <w:t>⑥</w:t>
            </w:r>
            <w:r>
              <w:rPr>
                <w:b/>
                <w:bCs/>
                <w:snapToGrid w:val="0"/>
                <w:color w:val="auto"/>
                <w:spacing w:val="-16"/>
                <w:kern w:val="21"/>
                <w:szCs w:val="21"/>
              </w:rPr>
              <w:fldChar w:fldCharType="end"/>
            </w:r>
          </w:p>
        </w:tc>
        <w:tc>
          <w:tcPr>
            <w:tcW w:w="535" w:type="pct"/>
            <w:noWrap w:val="0"/>
            <w:tcMar>
              <w:left w:w="28" w:type="dxa"/>
              <w:right w:w="28" w:type="dxa"/>
            </w:tcMar>
            <w:vAlign w:val="center"/>
          </w:tcPr>
          <w:p>
            <w:pPr>
              <w:jc w:val="center"/>
              <w:rPr>
                <w:b/>
                <w:bCs/>
                <w:snapToGrid w:val="0"/>
                <w:color w:val="auto"/>
                <w:spacing w:val="-6"/>
                <w:kern w:val="21"/>
                <w:szCs w:val="21"/>
              </w:rPr>
            </w:pPr>
            <w:r>
              <w:rPr>
                <w:b/>
                <w:bCs/>
                <w:snapToGrid w:val="0"/>
                <w:color w:val="auto"/>
                <w:spacing w:val="-6"/>
                <w:kern w:val="21"/>
                <w:szCs w:val="21"/>
              </w:rPr>
              <w:t>变化量</w:t>
            </w:r>
          </w:p>
          <w:p>
            <w:pPr>
              <w:jc w:val="center"/>
              <w:rPr>
                <w:b/>
                <w:bCs/>
                <w:snapToGrid w:val="0"/>
                <w:color w:val="auto"/>
                <w:spacing w:val="-6"/>
                <w:kern w:val="21"/>
                <w:szCs w:val="21"/>
              </w:rPr>
            </w:pPr>
            <w:r>
              <w:rPr>
                <w:b/>
                <w:bCs/>
                <w:snapToGrid w:val="0"/>
                <w:color w:val="auto"/>
                <w:spacing w:val="-6"/>
                <w:kern w:val="21"/>
                <w:szCs w:val="21"/>
              </w:rPr>
              <w:fldChar w:fldCharType="begin"/>
            </w:r>
            <w:r>
              <w:rPr>
                <w:b/>
                <w:bCs/>
                <w:snapToGrid w:val="0"/>
                <w:color w:val="auto"/>
                <w:spacing w:val="-6"/>
                <w:kern w:val="21"/>
                <w:szCs w:val="21"/>
              </w:rPr>
              <w:instrText xml:space="preserve"> = 7 \* GB3 \* MERGEFORMAT </w:instrText>
            </w:r>
            <w:r>
              <w:rPr>
                <w:b/>
                <w:bCs/>
                <w:snapToGrid w:val="0"/>
                <w:color w:val="auto"/>
                <w:spacing w:val="-6"/>
                <w:kern w:val="21"/>
                <w:szCs w:val="21"/>
              </w:rPr>
              <w:fldChar w:fldCharType="separate"/>
            </w:r>
            <w:r>
              <w:rPr>
                <w:b/>
                <w:bCs/>
                <w:color w:val="auto"/>
                <w:szCs w:val="21"/>
              </w:rPr>
              <w:t>⑦</w:t>
            </w:r>
            <w:r>
              <w:rPr>
                <w:b/>
                <w:bCs/>
                <w:snapToGrid w:val="0"/>
                <w:color w:val="auto"/>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3" w:type="pct"/>
            <w:vMerge w:val="restart"/>
            <w:noWrap w:val="0"/>
            <w:vAlign w:val="center"/>
          </w:tcPr>
          <w:p>
            <w:pPr>
              <w:jc w:val="center"/>
              <w:rPr>
                <w:b/>
                <w:bCs/>
                <w:snapToGrid w:val="0"/>
                <w:color w:val="auto"/>
                <w:kern w:val="21"/>
                <w:szCs w:val="21"/>
              </w:rPr>
            </w:pPr>
            <w:r>
              <w:rPr>
                <w:b/>
                <w:bCs/>
                <w:snapToGrid w:val="0"/>
                <w:color w:val="auto"/>
                <w:kern w:val="21"/>
                <w:szCs w:val="21"/>
              </w:rPr>
              <w:t>废气</w:t>
            </w:r>
          </w:p>
        </w:tc>
        <w:tc>
          <w:tcPr>
            <w:tcW w:w="590" w:type="pct"/>
            <w:noWrap w:val="0"/>
            <w:vAlign w:val="center"/>
          </w:tcPr>
          <w:p>
            <w:pPr>
              <w:spacing w:line="20" w:lineRule="atLeast"/>
              <w:jc w:val="center"/>
              <w:rPr>
                <w:snapToGrid w:val="0"/>
                <w:color w:val="auto"/>
                <w:kern w:val="21"/>
                <w:szCs w:val="21"/>
              </w:rPr>
            </w:pPr>
            <w:r>
              <w:rPr>
                <w:bCs/>
                <w:color w:val="auto"/>
                <w:spacing w:val="-10"/>
                <w:szCs w:val="21"/>
              </w:rPr>
              <w:t>颗粒物</w:t>
            </w:r>
          </w:p>
        </w:tc>
        <w:tc>
          <w:tcPr>
            <w:tcW w:w="626" w:type="pct"/>
            <w:noWrap w:val="0"/>
            <w:vAlign w:val="center"/>
          </w:tcPr>
          <w:p>
            <w:pPr>
              <w:jc w:val="center"/>
              <w:rPr>
                <w:snapToGrid w:val="0"/>
                <w:color w:val="auto"/>
                <w:kern w:val="21"/>
                <w:szCs w:val="21"/>
              </w:rPr>
            </w:pPr>
            <w:r>
              <w:rPr>
                <w:snapToGrid w:val="0"/>
                <w:color w:val="auto"/>
                <w:kern w:val="21"/>
                <w:szCs w:val="21"/>
              </w:rPr>
              <w:t>/</w:t>
            </w:r>
          </w:p>
        </w:tc>
        <w:tc>
          <w:tcPr>
            <w:tcW w:w="379" w:type="pct"/>
            <w:noWrap w:val="0"/>
            <w:vAlign w:val="center"/>
          </w:tcPr>
          <w:p>
            <w:pPr>
              <w:jc w:val="center"/>
              <w:rPr>
                <w:snapToGrid w:val="0"/>
                <w:color w:val="auto"/>
                <w:kern w:val="21"/>
                <w:szCs w:val="21"/>
              </w:rPr>
            </w:pPr>
            <w:r>
              <w:rPr>
                <w:snapToGrid w:val="0"/>
                <w:color w:val="auto"/>
                <w:kern w:val="21"/>
                <w:szCs w:val="21"/>
              </w:rPr>
              <w:t>/</w:t>
            </w:r>
          </w:p>
        </w:tc>
        <w:tc>
          <w:tcPr>
            <w:tcW w:w="611" w:type="pct"/>
            <w:noWrap w:val="0"/>
            <w:vAlign w:val="center"/>
          </w:tcPr>
          <w:p>
            <w:pPr>
              <w:jc w:val="center"/>
              <w:rPr>
                <w:snapToGrid w:val="0"/>
                <w:color w:val="auto"/>
                <w:kern w:val="21"/>
                <w:szCs w:val="21"/>
              </w:rPr>
            </w:pPr>
            <w:r>
              <w:rPr>
                <w:snapToGrid w:val="0"/>
                <w:color w:val="auto"/>
                <w:kern w:val="21"/>
                <w:szCs w:val="21"/>
              </w:rPr>
              <w:t>/</w:t>
            </w:r>
          </w:p>
        </w:tc>
        <w:tc>
          <w:tcPr>
            <w:tcW w:w="617" w:type="pct"/>
            <w:noWrap w:val="0"/>
            <w:vAlign w:val="center"/>
          </w:tcPr>
          <w:p>
            <w:pPr>
              <w:jc w:val="center"/>
              <w:rPr>
                <w:snapToGrid w:val="0"/>
                <w:color w:val="auto"/>
                <w:kern w:val="21"/>
                <w:szCs w:val="21"/>
              </w:rPr>
            </w:pPr>
            <w:r>
              <w:rPr>
                <w:rFonts w:hint="eastAsia"/>
                <w:snapToGrid w:val="0"/>
                <w:color w:val="auto"/>
                <w:kern w:val="21"/>
                <w:szCs w:val="21"/>
              </w:rPr>
              <w:t>0.6171</w:t>
            </w:r>
          </w:p>
        </w:tc>
        <w:tc>
          <w:tcPr>
            <w:tcW w:w="480" w:type="pct"/>
            <w:noWrap w:val="0"/>
            <w:vAlign w:val="center"/>
          </w:tcPr>
          <w:p>
            <w:pPr>
              <w:jc w:val="center"/>
              <w:rPr>
                <w:snapToGrid w:val="0"/>
                <w:color w:val="auto"/>
                <w:kern w:val="21"/>
                <w:szCs w:val="21"/>
              </w:rPr>
            </w:pPr>
            <w:r>
              <w:rPr>
                <w:snapToGrid w:val="0"/>
                <w:color w:val="auto"/>
                <w:kern w:val="21"/>
                <w:szCs w:val="21"/>
              </w:rPr>
              <w:t>/</w:t>
            </w:r>
          </w:p>
        </w:tc>
        <w:tc>
          <w:tcPr>
            <w:tcW w:w="766" w:type="pct"/>
            <w:noWrap w:val="0"/>
            <w:vAlign w:val="center"/>
          </w:tcPr>
          <w:p>
            <w:pPr>
              <w:jc w:val="center"/>
              <w:rPr>
                <w:snapToGrid w:val="0"/>
                <w:color w:val="auto"/>
                <w:kern w:val="21"/>
                <w:szCs w:val="21"/>
              </w:rPr>
            </w:pPr>
            <w:r>
              <w:rPr>
                <w:rFonts w:hint="eastAsia"/>
                <w:snapToGrid w:val="0"/>
                <w:color w:val="auto"/>
                <w:kern w:val="21"/>
                <w:szCs w:val="21"/>
              </w:rPr>
              <w:t>0.6171</w:t>
            </w:r>
          </w:p>
        </w:tc>
        <w:tc>
          <w:tcPr>
            <w:tcW w:w="535" w:type="pct"/>
            <w:noWrap w:val="0"/>
            <w:vAlign w:val="center"/>
          </w:tcPr>
          <w:p>
            <w:pPr>
              <w:jc w:val="center"/>
              <w:rPr>
                <w:snapToGrid w:val="0"/>
                <w:color w:val="auto"/>
                <w:kern w:val="21"/>
                <w:szCs w:val="21"/>
              </w:rPr>
            </w:pPr>
            <w:r>
              <w:rPr>
                <w:rFonts w:hint="eastAsia"/>
                <w:snapToGrid w:val="0"/>
                <w:color w:val="auto"/>
                <w:kern w:val="21"/>
                <w:szCs w:val="21"/>
              </w:rPr>
              <w:t>0.6171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3" w:type="pct"/>
            <w:vMerge w:val="continue"/>
            <w:noWrap w:val="0"/>
            <w:vAlign w:val="center"/>
          </w:tcPr>
          <w:p>
            <w:pPr>
              <w:jc w:val="center"/>
              <w:rPr>
                <w:b/>
                <w:bCs/>
                <w:snapToGrid w:val="0"/>
                <w:color w:val="auto"/>
                <w:kern w:val="21"/>
                <w:szCs w:val="21"/>
              </w:rPr>
            </w:pPr>
          </w:p>
        </w:tc>
        <w:tc>
          <w:tcPr>
            <w:tcW w:w="590" w:type="pct"/>
            <w:noWrap w:val="0"/>
            <w:vAlign w:val="center"/>
          </w:tcPr>
          <w:p>
            <w:pPr>
              <w:spacing w:line="20" w:lineRule="atLeast"/>
              <w:jc w:val="center"/>
              <w:rPr>
                <w:snapToGrid w:val="0"/>
                <w:color w:val="auto"/>
                <w:kern w:val="21"/>
                <w:szCs w:val="21"/>
              </w:rPr>
            </w:pPr>
            <w:r>
              <w:rPr>
                <w:rFonts w:hint="eastAsia"/>
                <w:bCs/>
                <w:color w:val="auto"/>
                <w:spacing w:val="-10"/>
                <w:szCs w:val="21"/>
              </w:rPr>
              <w:t>SO</w:t>
            </w:r>
            <w:r>
              <w:rPr>
                <w:rFonts w:hint="eastAsia"/>
                <w:bCs/>
                <w:color w:val="auto"/>
                <w:spacing w:val="-10"/>
                <w:szCs w:val="21"/>
                <w:vertAlign w:val="subscript"/>
              </w:rPr>
              <w:t>2</w:t>
            </w:r>
          </w:p>
        </w:tc>
        <w:tc>
          <w:tcPr>
            <w:tcW w:w="1755" w:type="dxa"/>
            <w:noWrap w:val="0"/>
            <w:vAlign w:val="center"/>
          </w:tcPr>
          <w:p>
            <w:pPr>
              <w:jc w:val="center"/>
              <w:rPr>
                <w:snapToGrid w:val="0"/>
                <w:color w:val="auto"/>
                <w:kern w:val="21"/>
                <w:szCs w:val="21"/>
              </w:rPr>
            </w:pPr>
            <w:r>
              <w:rPr>
                <w:snapToGrid w:val="0"/>
                <w:color w:val="auto"/>
                <w:kern w:val="21"/>
                <w:szCs w:val="21"/>
              </w:rPr>
              <w:t>/</w:t>
            </w:r>
          </w:p>
        </w:tc>
        <w:tc>
          <w:tcPr>
            <w:tcW w:w="1062" w:type="dxa"/>
            <w:noWrap w:val="0"/>
            <w:vAlign w:val="center"/>
          </w:tcPr>
          <w:p>
            <w:pPr>
              <w:jc w:val="center"/>
              <w:rPr>
                <w:snapToGrid w:val="0"/>
                <w:color w:val="auto"/>
                <w:kern w:val="21"/>
                <w:szCs w:val="21"/>
              </w:rPr>
            </w:pPr>
            <w:r>
              <w:rPr>
                <w:snapToGrid w:val="0"/>
                <w:color w:val="auto"/>
                <w:kern w:val="21"/>
                <w:szCs w:val="21"/>
              </w:rPr>
              <w:t>/</w:t>
            </w:r>
          </w:p>
        </w:tc>
        <w:tc>
          <w:tcPr>
            <w:tcW w:w="1713" w:type="dxa"/>
            <w:noWrap w:val="0"/>
            <w:vAlign w:val="center"/>
          </w:tcPr>
          <w:p>
            <w:pPr>
              <w:jc w:val="center"/>
              <w:rPr>
                <w:snapToGrid w:val="0"/>
                <w:color w:val="auto"/>
                <w:kern w:val="21"/>
                <w:szCs w:val="21"/>
              </w:rPr>
            </w:pPr>
            <w:r>
              <w:rPr>
                <w:snapToGrid w:val="0"/>
                <w:color w:val="auto"/>
                <w:kern w:val="21"/>
                <w:szCs w:val="21"/>
              </w:rPr>
              <w:t>/</w:t>
            </w:r>
          </w:p>
        </w:tc>
        <w:tc>
          <w:tcPr>
            <w:tcW w:w="617" w:type="pct"/>
            <w:noWrap w:val="0"/>
            <w:vAlign w:val="center"/>
          </w:tcPr>
          <w:p>
            <w:pPr>
              <w:jc w:val="center"/>
              <w:rPr>
                <w:snapToGrid w:val="0"/>
                <w:color w:val="auto"/>
                <w:kern w:val="21"/>
                <w:szCs w:val="21"/>
              </w:rPr>
            </w:pPr>
            <w:r>
              <w:rPr>
                <w:rFonts w:hint="eastAsia"/>
                <w:snapToGrid w:val="0"/>
                <w:color w:val="auto"/>
                <w:kern w:val="21"/>
                <w:szCs w:val="21"/>
              </w:rPr>
              <w:t>1.9</w:t>
            </w:r>
          </w:p>
        </w:tc>
        <w:tc>
          <w:tcPr>
            <w:tcW w:w="480" w:type="pct"/>
            <w:noWrap w:val="0"/>
            <w:vAlign w:val="center"/>
          </w:tcPr>
          <w:p>
            <w:pPr>
              <w:jc w:val="center"/>
              <w:rPr>
                <w:snapToGrid w:val="0"/>
                <w:color w:val="auto"/>
                <w:kern w:val="21"/>
                <w:szCs w:val="21"/>
              </w:rPr>
            </w:pPr>
            <w:r>
              <w:rPr>
                <w:snapToGrid w:val="0"/>
                <w:color w:val="auto"/>
                <w:kern w:val="21"/>
                <w:szCs w:val="21"/>
              </w:rPr>
              <w:t>/</w:t>
            </w:r>
          </w:p>
        </w:tc>
        <w:tc>
          <w:tcPr>
            <w:tcW w:w="766" w:type="pct"/>
            <w:noWrap w:val="0"/>
            <w:vAlign w:val="center"/>
          </w:tcPr>
          <w:p>
            <w:pPr>
              <w:jc w:val="center"/>
              <w:rPr>
                <w:snapToGrid w:val="0"/>
                <w:color w:val="auto"/>
                <w:kern w:val="21"/>
                <w:szCs w:val="21"/>
              </w:rPr>
            </w:pPr>
            <w:r>
              <w:rPr>
                <w:rFonts w:hint="eastAsia"/>
                <w:snapToGrid w:val="0"/>
                <w:color w:val="auto"/>
                <w:kern w:val="21"/>
                <w:szCs w:val="21"/>
              </w:rPr>
              <w:t>1.9</w:t>
            </w:r>
          </w:p>
        </w:tc>
        <w:tc>
          <w:tcPr>
            <w:tcW w:w="535" w:type="pct"/>
            <w:noWrap w:val="0"/>
            <w:vAlign w:val="center"/>
          </w:tcPr>
          <w:p>
            <w:pPr>
              <w:jc w:val="center"/>
              <w:rPr>
                <w:snapToGrid w:val="0"/>
                <w:color w:val="auto"/>
                <w:kern w:val="21"/>
                <w:szCs w:val="21"/>
              </w:rPr>
            </w:pPr>
            <w:r>
              <w:rPr>
                <w:rFonts w:hint="eastAsia"/>
                <w:snapToGrid w:val="0"/>
                <w:color w:val="auto"/>
                <w:kern w:val="21"/>
                <w:szCs w:val="21"/>
              </w:rPr>
              <w:t>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10" w:hRule="atLeast"/>
          <w:jc w:val="center"/>
        </w:trPr>
        <w:tc>
          <w:tcPr>
            <w:tcW w:w="393" w:type="pct"/>
            <w:vMerge w:val="continue"/>
            <w:noWrap w:val="0"/>
            <w:vAlign w:val="center"/>
          </w:tcPr>
          <w:p>
            <w:pPr>
              <w:jc w:val="center"/>
              <w:rPr>
                <w:b/>
                <w:bCs/>
                <w:snapToGrid w:val="0"/>
                <w:color w:val="auto"/>
                <w:kern w:val="21"/>
                <w:szCs w:val="21"/>
              </w:rPr>
            </w:pPr>
          </w:p>
        </w:tc>
        <w:tc>
          <w:tcPr>
            <w:tcW w:w="590" w:type="pct"/>
            <w:noWrap w:val="0"/>
            <w:vAlign w:val="center"/>
          </w:tcPr>
          <w:p>
            <w:pPr>
              <w:spacing w:line="20" w:lineRule="atLeast"/>
              <w:jc w:val="center"/>
              <w:rPr>
                <w:snapToGrid w:val="0"/>
                <w:color w:val="auto"/>
                <w:kern w:val="21"/>
                <w:szCs w:val="21"/>
              </w:rPr>
            </w:pPr>
            <w:r>
              <w:rPr>
                <w:rFonts w:hint="eastAsia"/>
                <w:bCs/>
                <w:color w:val="auto"/>
                <w:spacing w:val="-10"/>
                <w:szCs w:val="21"/>
              </w:rPr>
              <w:t>NOx</w:t>
            </w:r>
          </w:p>
        </w:tc>
        <w:tc>
          <w:tcPr>
            <w:tcW w:w="1755" w:type="dxa"/>
            <w:noWrap w:val="0"/>
            <w:vAlign w:val="center"/>
          </w:tcPr>
          <w:p>
            <w:pPr>
              <w:jc w:val="center"/>
              <w:rPr>
                <w:snapToGrid w:val="0"/>
                <w:color w:val="auto"/>
                <w:kern w:val="21"/>
                <w:szCs w:val="21"/>
              </w:rPr>
            </w:pPr>
            <w:r>
              <w:rPr>
                <w:snapToGrid w:val="0"/>
                <w:color w:val="auto"/>
                <w:kern w:val="21"/>
                <w:szCs w:val="21"/>
              </w:rPr>
              <w:t>/</w:t>
            </w:r>
          </w:p>
        </w:tc>
        <w:tc>
          <w:tcPr>
            <w:tcW w:w="1062" w:type="dxa"/>
            <w:noWrap w:val="0"/>
            <w:vAlign w:val="center"/>
          </w:tcPr>
          <w:p>
            <w:pPr>
              <w:jc w:val="center"/>
              <w:rPr>
                <w:snapToGrid w:val="0"/>
                <w:color w:val="auto"/>
                <w:kern w:val="21"/>
                <w:szCs w:val="21"/>
              </w:rPr>
            </w:pPr>
            <w:r>
              <w:rPr>
                <w:snapToGrid w:val="0"/>
                <w:color w:val="auto"/>
                <w:kern w:val="21"/>
                <w:szCs w:val="21"/>
              </w:rPr>
              <w:t>/</w:t>
            </w:r>
          </w:p>
        </w:tc>
        <w:tc>
          <w:tcPr>
            <w:tcW w:w="1713" w:type="dxa"/>
            <w:noWrap w:val="0"/>
            <w:vAlign w:val="center"/>
          </w:tcPr>
          <w:p>
            <w:pPr>
              <w:jc w:val="center"/>
              <w:rPr>
                <w:snapToGrid w:val="0"/>
                <w:color w:val="auto"/>
                <w:kern w:val="21"/>
                <w:szCs w:val="21"/>
              </w:rPr>
            </w:pPr>
            <w:r>
              <w:rPr>
                <w:snapToGrid w:val="0"/>
                <w:color w:val="auto"/>
                <w:kern w:val="21"/>
                <w:szCs w:val="21"/>
              </w:rPr>
              <w:t>/</w:t>
            </w:r>
          </w:p>
        </w:tc>
        <w:tc>
          <w:tcPr>
            <w:tcW w:w="617" w:type="pct"/>
            <w:noWrap w:val="0"/>
            <w:vAlign w:val="center"/>
          </w:tcPr>
          <w:p>
            <w:pPr>
              <w:jc w:val="center"/>
              <w:rPr>
                <w:snapToGrid w:val="0"/>
                <w:color w:val="auto"/>
                <w:kern w:val="21"/>
                <w:szCs w:val="21"/>
              </w:rPr>
            </w:pPr>
            <w:r>
              <w:rPr>
                <w:rFonts w:hint="eastAsia"/>
                <w:snapToGrid w:val="0"/>
                <w:color w:val="auto"/>
                <w:kern w:val="21"/>
                <w:szCs w:val="21"/>
              </w:rPr>
              <w:t>2.463</w:t>
            </w:r>
          </w:p>
        </w:tc>
        <w:tc>
          <w:tcPr>
            <w:tcW w:w="480" w:type="pct"/>
            <w:noWrap w:val="0"/>
            <w:vAlign w:val="center"/>
          </w:tcPr>
          <w:p>
            <w:pPr>
              <w:jc w:val="center"/>
              <w:rPr>
                <w:snapToGrid w:val="0"/>
                <w:color w:val="auto"/>
                <w:kern w:val="21"/>
                <w:szCs w:val="21"/>
              </w:rPr>
            </w:pPr>
            <w:r>
              <w:rPr>
                <w:snapToGrid w:val="0"/>
                <w:color w:val="auto"/>
                <w:kern w:val="21"/>
                <w:szCs w:val="21"/>
              </w:rPr>
              <w:t>/</w:t>
            </w:r>
          </w:p>
        </w:tc>
        <w:tc>
          <w:tcPr>
            <w:tcW w:w="766" w:type="pct"/>
            <w:noWrap w:val="0"/>
            <w:vAlign w:val="center"/>
          </w:tcPr>
          <w:p>
            <w:pPr>
              <w:jc w:val="center"/>
              <w:rPr>
                <w:snapToGrid w:val="0"/>
                <w:color w:val="auto"/>
                <w:kern w:val="21"/>
                <w:szCs w:val="21"/>
              </w:rPr>
            </w:pPr>
            <w:r>
              <w:rPr>
                <w:rFonts w:hint="eastAsia"/>
                <w:snapToGrid w:val="0"/>
                <w:color w:val="auto"/>
                <w:kern w:val="21"/>
                <w:szCs w:val="21"/>
              </w:rPr>
              <w:t>2.463</w:t>
            </w:r>
          </w:p>
        </w:tc>
        <w:tc>
          <w:tcPr>
            <w:tcW w:w="535" w:type="pct"/>
            <w:noWrap w:val="0"/>
            <w:vAlign w:val="center"/>
          </w:tcPr>
          <w:p>
            <w:pPr>
              <w:jc w:val="center"/>
              <w:rPr>
                <w:snapToGrid w:val="0"/>
                <w:color w:val="auto"/>
                <w:kern w:val="21"/>
                <w:szCs w:val="21"/>
              </w:rPr>
            </w:pPr>
            <w:r>
              <w:rPr>
                <w:rFonts w:hint="eastAsia"/>
                <w:snapToGrid w:val="0"/>
                <w:color w:val="auto"/>
                <w:kern w:val="21"/>
                <w:szCs w:val="21"/>
              </w:rPr>
              <w:t>2.463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3" w:type="pct"/>
            <w:vMerge w:val="continue"/>
            <w:noWrap w:val="0"/>
            <w:vAlign w:val="center"/>
          </w:tcPr>
          <w:p>
            <w:pPr>
              <w:jc w:val="center"/>
              <w:rPr>
                <w:b/>
                <w:bCs/>
                <w:snapToGrid w:val="0"/>
                <w:color w:val="auto"/>
                <w:kern w:val="21"/>
                <w:szCs w:val="21"/>
              </w:rPr>
            </w:pPr>
          </w:p>
        </w:tc>
        <w:tc>
          <w:tcPr>
            <w:tcW w:w="590" w:type="pct"/>
            <w:noWrap w:val="0"/>
            <w:vAlign w:val="center"/>
          </w:tcPr>
          <w:p>
            <w:pPr>
              <w:spacing w:line="20" w:lineRule="atLeast"/>
              <w:jc w:val="center"/>
              <w:rPr>
                <w:snapToGrid w:val="0"/>
                <w:color w:val="auto"/>
                <w:kern w:val="21"/>
                <w:szCs w:val="21"/>
              </w:rPr>
            </w:pPr>
            <w:r>
              <w:rPr>
                <w:rFonts w:hint="eastAsia"/>
                <w:bCs/>
                <w:color w:val="auto"/>
                <w:spacing w:val="-10"/>
                <w:szCs w:val="21"/>
              </w:rPr>
              <w:t>沥青烟</w:t>
            </w:r>
          </w:p>
        </w:tc>
        <w:tc>
          <w:tcPr>
            <w:tcW w:w="1755" w:type="dxa"/>
            <w:noWrap w:val="0"/>
            <w:vAlign w:val="center"/>
          </w:tcPr>
          <w:p>
            <w:pPr>
              <w:jc w:val="center"/>
              <w:rPr>
                <w:snapToGrid w:val="0"/>
                <w:color w:val="auto"/>
                <w:kern w:val="21"/>
                <w:szCs w:val="21"/>
              </w:rPr>
            </w:pPr>
            <w:r>
              <w:rPr>
                <w:snapToGrid w:val="0"/>
                <w:color w:val="auto"/>
                <w:kern w:val="21"/>
                <w:szCs w:val="21"/>
              </w:rPr>
              <w:t>/</w:t>
            </w:r>
          </w:p>
        </w:tc>
        <w:tc>
          <w:tcPr>
            <w:tcW w:w="1062" w:type="dxa"/>
            <w:noWrap w:val="0"/>
            <w:vAlign w:val="center"/>
          </w:tcPr>
          <w:p>
            <w:pPr>
              <w:jc w:val="center"/>
              <w:rPr>
                <w:snapToGrid w:val="0"/>
                <w:color w:val="auto"/>
                <w:kern w:val="21"/>
                <w:szCs w:val="21"/>
              </w:rPr>
            </w:pPr>
            <w:r>
              <w:rPr>
                <w:snapToGrid w:val="0"/>
                <w:color w:val="auto"/>
                <w:kern w:val="21"/>
                <w:szCs w:val="21"/>
              </w:rPr>
              <w:t>/</w:t>
            </w:r>
          </w:p>
        </w:tc>
        <w:tc>
          <w:tcPr>
            <w:tcW w:w="1713" w:type="dxa"/>
            <w:noWrap w:val="0"/>
            <w:vAlign w:val="center"/>
          </w:tcPr>
          <w:p>
            <w:pPr>
              <w:jc w:val="center"/>
              <w:rPr>
                <w:snapToGrid w:val="0"/>
                <w:color w:val="auto"/>
                <w:kern w:val="21"/>
                <w:szCs w:val="21"/>
              </w:rPr>
            </w:pPr>
            <w:r>
              <w:rPr>
                <w:snapToGrid w:val="0"/>
                <w:color w:val="auto"/>
                <w:kern w:val="21"/>
                <w:szCs w:val="21"/>
              </w:rPr>
              <w:t>/</w:t>
            </w:r>
          </w:p>
        </w:tc>
        <w:tc>
          <w:tcPr>
            <w:tcW w:w="617" w:type="pct"/>
            <w:noWrap w:val="0"/>
            <w:vAlign w:val="center"/>
          </w:tcPr>
          <w:p>
            <w:pPr>
              <w:jc w:val="center"/>
              <w:rPr>
                <w:snapToGrid w:val="0"/>
                <w:color w:val="auto"/>
                <w:kern w:val="21"/>
                <w:szCs w:val="21"/>
              </w:rPr>
            </w:pPr>
            <w:r>
              <w:rPr>
                <w:rFonts w:hint="eastAsia"/>
                <w:snapToGrid w:val="0"/>
                <w:color w:val="auto"/>
                <w:kern w:val="21"/>
                <w:szCs w:val="21"/>
              </w:rPr>
              <w:t>0.0312</w:t>
            </w:r>
          </w:p>
        </w:tc>
        <w:tc>
          <w:tcPr>
            <w:tcW w:w="480" w:type="pct"/>
            <w:noWrap w:val="0"/>
            <w:vAlign w:val="center"/>
          </w:tcPr>
          <w:p>
            <w:pPr>
              <w:jc w:val="center"/>
              <w:rPr>
                <w:snapToGrid w:val="0"/>
                <w:color w:val="auto"/>
                <w:kern w:val="21"/>
                <w:szCs w:val="21"/>
              </w:rPr>
            </w:pPr>
            <w:r>
              <w:rPr>
                <w:snapToGrid w:val="0"/>
                <w:color w:val="auto"/>
                <w:kern w:val="21"/>
                <w:szCs w:val="21"/>
              </w:rPr>
              <w:t>/</w:t>
            </w:r>
          </w:p>
        </w:tc>
        <w:tc>
          <w:tcPr>
            <w:tcW w:w="766" w:type="pct"/>
            <w:noWrap w:val="0"/>
            <w:vAlign w:val="center"/>
          </w:tcPr>
          <w:p>
            <w:pPr>
              <w:jc w:val="center"/>
              <w:rPr>
                <w:snapToGrid w:val="0"/>
                <w:color w:val="auto"/>
                <w:kern w:val="21"/>
                <w:szCs w:val="21"/>
              </w:rPr>
            </w:pPr>
            <w:r>
              <w:rPr>
                <w:rFonts w:hint="eastAsia"/>
                <w:snapToGrid w:val="0"/>
                <w:color w:val="auto"/>
                <w:kern w:val="21"/>
                <w:szCs w:val="21"/>
              </w:rPr>
              <w:t>0.0312</w:t>
            </w:r>
          </w:p>
        </w:tc>
        <w:tc>
          <w:tcPr>
            <w:tcW w:w="535" w:type="pct"/>
            <w:noWrap w:val="0"/>
            <w:vAlign w:val="center"/>
          </w:tcPr>
          <w:p>
            <w:pPr>
              <w:jc w:val="center"/>
              <w:rPr>
                <w:snapToGrid w:val="0"/>
                <w:color w:val="auto"/>
                <w:kern w:val="21"/>
                <w:szCs w:val="21"/>
              </w:rPr>
            </w:pPr>
            <w:r>
              <w:rPr>
                <w:rFonts w:hint="eastAsia"/>
                <w:snapToGrid w:val="0"/>
                <w:color w:val="auto"/>
                <w:kern w:val="21"/>
                <w:szCs w:val="21"/>
              </w:rPr>
              <w:t>0.0312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3" w:type="pct"/>
            <w:vMerge w:val="continue"/>
            <w:noWrap w:val="0"/>
            <w:vAlign w:val="center"/>
          </w:tcPr>
          <w:p>
            <w:pPr>
              <w:jc w:val="center"/>
              <w:rPr>
                <w:b/>
                <w:bCs/>
                <w:snapToGrid w:val="0"/>
                <w:color w:val="auto"/>
                <w:kern w:val="21"/>
                <w:szCs w:val="21"/>
              </w:rPr>
            </w:pPr>
          </w:p>
        </w:tc>
        <w:tc>
          <w:tcPr>
            <w:tcW w:w="590" w:type="pct"/>
            <w:noWrap w:val="0"/>
            <w:vAlign w:val="center"/>
          </w:tcPr>
          <w:p>
            <w:pPr>
              <w:spacing w:line="20" w:lineRule="atLeast"/>
              <w:jc w:val="center"/>
              <w:rPr>
                <w:rFonts w:hint="eastAsia"/>
                <w:snapToGrid w:val="0"/>
                <w:color w:val="auto"/>
                <w:kern w:val="21"/>
                <w:szCs w:val="21"/>
              </w:rPr>
            </w:pPr>
            <w:r>
              <w:rPr>
                <w:rFonts w:hint="eastAsia"/>
                <w:bCs/>
                <w:color w:val="auto"/>
                <w:spacing w:val="-10"/>
                <w:szCs w:val="21"/>
              </w:rPr>
              <w:t>苯并[a]芘</w:t>
            </w:r>
          </w:p>
        </w:tc>
        <w:tc>
          <w:tcPr>
            <w:tcW w:w="1755" w:type="dxa"/>
            <w:noWrap w:val="0"/>
            <w:vAlign w:val="center"/>
          </w:tcPr>
          <w:p>
            <w:pPr>
              <w:jc w:val="center"/>
              <w:rPr>
                <w:snapToGrid w:val="0"/>
                <w:color w:val="auto"/>
                <w:kern w:val="21"/>
                <w:szCs w:val="21"/>
              </w:rPr>
            </w:pPr>
            <w:r>
              <w:rPr>
                <w:snapToGrid w:val="0"/>
                <w:color w:val="auto"/>
                <w:kern w:val="21"/>
                <w:szCs w:val="21"/>
              </w:rPr>
              <w:t>/</w:t>
            </w:r>
          </w:p>
        </w:tc>
        <w:tc>
          <w:tcPr>
            <w:tcW w:w="1062" w:type="dxa"/>
            <w:noWrap w:val="0"/>
            <w:vAlign w:val="center"/>
          </w:tcPr>
          <w:p>
            <w:pPr>
              <w:jc w:val="center"/>
              <w:rPr>
                <w:snapToGrid w:val="0"/>
                <w:color w:val="auto"/>
                <w:kern w:val="21"/>
                <w:szCs w:val="21"/>
              </w:rPr>
            </w:pPr>
            <w:r>
              <w:rPr>
                <w:snapToGrid w:val="0"/>
                <w:color w:val="auto"/>
                <w:kern w:val="21"/>
                <w:szCs w:val="21"/>
              </w:rPr>
              <w:t>/</w:t>
            </w:r>
          </w:p>
        </w:tc>
        <w:tc>
          <w:tcPr>
            <w:tcW w:w="1713" w:type="dxa"/>
            <w:noWrap w:val="0"/>
            <w:vAlign w:val="center"/>
          </w:tcPr>
          <w:p>
            <w:pPr>
              <w:jc w:val="center"/>
              <w:rPr>
                <w:snapToGrid w:val="0"/>
                <w:color w:val="auto"/>
                <w:kern w:val="21"/>
                <w:szCs w:val="21"/>
              </w:rPr>
            </w:pPr>
            <w:r>
              <w:rPr>
                <w:snapToGrid w:val="0"/>
                <w:color w:val="auto"/>
                <w:kern w:val="21"/>
                <w:szCs w:val="21"/>
              </w:rPr>
              <w:t>/</w:t>
            </w:r>
          </w:p>
        </w:tc>
        <w:tc>
          <w:tcPr>
            <w:tcW w:w="617" w:type="pct"/>
            <w:noWrap w:val="0"/>
            <w:vAlign w:val="center"/>
          </w:tcPr>
          <w:p>
            <w:pPr>
              <w:jc w:val="center"/>
              <w:rPr>
                <w:snapToGrid w:val="0"/>
                <w:color w:val="auto"/>
                <w:kern w:val="21"/>
                <w:szCs w:val="21"/>
              </w:rPr>
            </w:pPr>
            <w:r>
              <w:rPr>
                <w:rFonts w:hint="eastAsia"/>
                <w:snapToGrid w:val="0"/>
                <w:color w:val="auto"/>
                <w:kern w:val="21"/>
                <w:szCs w:val="21"/>
              </w:rPr>
              <w:t>3.49</w:t>
            </w:r>
            <w:r>
              <w:rPr>
                <w:rFonts w:hint="eastAsia"/>
                <w:bCs/>
                <w:color w:val="auto"/>
                <w:spacing w:val="-10"/>
                <w:szCs w:val="21"/>
              </w:rPr>
              <w:t>×10</w:t>
            </w:r>
            <w:r>
              <w:rPr>
                <w:rFonts w:hint="eastAsia"/>
                <w:bCs/>
                <w:color w:val="auto"/>
                <w:spacing w:val="-10"/>
                <w:szCs w:val="21"/>
                <w:vertAlign w:val="superscript"/>
              </w:rPr>
              <w:t>-7</w:t>
            </w:r>
          </w:p>
        </w:tc>
        <w:tc>
          <w:tcPr>
            <w:tcW w:w="480" w:type="pct"/>
            <w:noWrap w:val="0"/>
            <w:vAlign w:val="center"/>
          </w:tcPr>
          <w:p>
            <w:pPr>
              <w:jc w:val="center"/>
              <w:rPr>
                <w:snapToGrid w:val="0"/>
                <w:color w:val="auto"/>
                <w:kern w:val="21"/>
                <w:szCs w:val="21"/>
              </w:rPr>
            </w:pPr>
            <w:r>
              <w:rPr>
                <w:snapToGrid w:val="0"/>
                <w:color w:val="auto"/>
                <w:kern w:val="21"/>
                <w:szCs w:val="21"/>
              </w:rPr>
              <w:t>/</w:t>
            </w:r>
          </w:p>
        </w:tc>
        <w:tc>
          <w:tcPr>
            <w:tcW w:w="766" w:type="pct"/>
            <w:noWrap w:val="0"/>
            <w:vAlign w:val="center"/>
          </w:tcPr>
          <w:p>
            <w:pPr>
              <w:jc w:val="center"/>
              <w:rPr>
                <w:snapToGrid w:val="0"/>
                <w:color w:val="auto"/>
                <w:kern w:val="21"/>
                <w:szCs w:val="21"/>
              </w:rPr>
            </w:pPr>
            <w:r>
              <w:rPr>
                <w:rFonts w:hint="eastAsia"/>
                <w:snapToGrid w:val="0"/>
                <w:color w:val="auto"/>
                <w:kern w:val="21"/>
                <w:szCs w:val="21"/>
              </w:rPr>
              <w:t>3.49</w:t>
            </w:r>
            <w:r>
              <w:rPr>
                <w:rFonts w:hint="eastAsia"/>
                <w:bCs/>
                <w:color w:val="auto"/>
                <w:spacing w:val="-10"/>
                <w:szCs w:val="21"/>
              </w:rPr>
              <w:t>×10</w:t>
            </w:r>
            <w:r>
              <w:rPr>
                <w:rFonts w:hint="eastAsia"/>
                <w:bCs/>
                <w:color w:val="auto"/>
                <w:spacing w:val="-10"/>
                <w:szCs w:val="21"/>
                <w:vertAlign w:val="superscript"/>
              </w:rPr>
              <w:t>-7</w:t>
            </w:r>
          </w:p>
        </w:tc>
        <w:tc>
          <w:tcPr>
            <w:tcW w:w="535" w:type="pct"/>
            <w:noWrap w:val="0"/>
            <w:vAlign w:val="center"/>
          </w:tcPr>
          <w:p>
            <w:pPr>
              <w:jc w:val="center"/>
              <w:rPr>
                <w:snapToGrid w:val="0"/>
                <w:color w:val="auto"/>
                <w:kern w:val="21"/>
                <w:szCs w:val="21"/>
              </w:rPr>
            </w:pPr>
            <w:r>
              <w:rPr>
                <w:rFonts w:hint="eastAsia"/>
                <w:snapToGrid w:val="0"/>
                <w:color w:val="auto"/>
                <w:kern w:val="21"/>
                <w:szCs w:val="21"/>
              </w:rPr>
              <w:t>3.49</w:t>
            </w:r>
            <w:r>
              <w:rPr>
                <w:rFonts w:hint="eastAsia"/>
                <w:bCs/>
                <w:color w:val="auto"/>
                <w:spacing w:val="-10"/>
                <w:szCs w:val="21"/>
              </w:rPr>
              <w:t>×10</w:t>
            </w:r>
            <w:r>
              <w:rPr>
                <w:rFonts w:hint="eastAsia"/>
                <w:bCs/>
                <w:color w:val="auto"/>
                <w:spacing w:val="-10"/>
                <w:szCs w:val="21"/>
                <w:vertAlign w:val="superscript"/>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3" w:type="pct"/>
            <w:vMerge w:val="continue"/>
            <w:noWrap w:val="0"/>
            <w:vAlign w:val="center"/>
          </w:tcPr>
          <w:p>
            <w:pPr>
              <w:jc w:val="center"/>
              <w:rPr>
                <w:b/>
                <w:bCs/>
                <w:snapToGrid w:val="0"/>
                <w:color w:val="auto"/>
                <w:kern w:val="21"/>
                <w:szCs w:val="21"/>
              </w:rPr>
            </w:pPr>
          </w:p>
        </w:tc>
        <w:tc>
          <w:tcPr>
            <w:tcW w:w="590" w:type="pct"/>
            <w:noWrap w:val="0"/>
            <w:vAlign w:val="center"/>
          </w:tcPr>
          <w:p>
            <w:pPr>
              <w:spacing w:line="20" w:lineRule="atLeast"/>
              <w:jc w:val="center"/>
              <w:rPr>
                <w:bCs/>
                <w:color w:val="auto"/>
                <w:spacing w:val="-10"/>
                <w:szCs w:val="21"/>
              </w:rPr>
            </w:pPr>
            <w:r>
              <w:rPr>
                <w:rFonts w:hint="eastAsia"/>
                <w:bCs/>
                <w:color w:val="auto"/>
                <w:spacing w:val="-10"/>
                <w:szCs w:val="21"/>
              </w:rPr>
              <w:t>非甲烷总烃</w:t>
            </w:r>
          </w:p>
        </w:tc>
        <w:tc>
          <w:tcPr>
            <w:tcW w:w="1755" w:type="dxa"/>
            <w:noWrap w:val="0"/>
            <w:vAlign w:val="center"/>
          </w:tcPr>
          <w:p>
            <w:pPr>
              <w:jc w:val="center"/>
              <w:rPr>
                <w:snapToGrid w:val="0"/>
                <w:color w:val="auto"/>
                <w:kern w:val="21"/>
                <w:szCs w:val="21"/>
              </w:rPr>
            </w:pPr>
            <w:r>
              <w:rPr>
                <w:snapToGrid w:val="0"/>
                <w:color w:val="auto"/>
                <w:kern w:val="21"/>
                <w:szCs w:val="21"/>
              </w:rPr>
              <w:t>/</w:t>
            </w:r>
          </w:p>
        </w:tc>
        <w:tc>
          <w:tcPr>
            <w:tcW w:w="1062" w:type="dxa"/>
            <w:noWrap w:val="0"/>
            <w:vAlign w:val="center"/>
          </w:tcPr>
          <w:p>
            <w:pPr>
              <w:jc w:val="center"/>
              <w:rPr>
                <w:snapToGrid w:val="0"/>
                <w:color w:val="auto"/>
                <w:kern w:val="21"/>
                <w:szCs w:val="21"/>
              </w:rPr>
            </w:pPr>
            <w:r>
              <w:rPr>
                <w:snapToGrid w:val="0"/>
                <w:color w:val="auto"/>
                <w:kern w:val="21"/>
                <w:szCs w:val="21"/>
              </w:rPr>
              <w:t>/</w:t>
            </w:r>
          </w:p>
        </w:tc>
        <w:tc>
          <w:tcPr>
            <w:tcW w:w="1713" w:type="dxa"/>
            <w:noWrap w:val="0"/>
            <w:vAlign w:val="center"/>
          </w:tcPr>
          <w:p>
            <w:pPr>
              <w:jc w:val="center"/>
              <w:rPr>
                <w:snapToGrid w:val="0"/>
                <w:color w:val="auto"/>
                <w:kern w:val="21"/>
                <w:szCs w:val="21"/>
              </w:rPr>
            </w:pPr>
            <w:r>
              <w:rPr>
                <w:snapToGrid w:val="0"/>
                <w:color w:val="auto"/>
                <w:kern w:val="21"/>
                <w:szCs w:val="21"/>
              </w:rPr>
              <w:t>/</w:t>
            </w:r>
          </w:p>
        </w:tc>
        <w:tc>
          <w:tcPr>
            <w:tcW w:w="617" w:type="pct"/>
            <w:noWrap w:val="0"/>
            <w:vAlign w:val="center"/>
          </w:tcPr>
          <w:p>
            <w:pPr>
              <w:jc w:val="center"/>
              <w:rPr>
                <w:snapToGrid w:val="0"/>
                <w:color w:val="auto"/>
                <w:kern w:val="21"/>
                <w:szCs w:val="21"/>
              </w:rPr>
            </w:pPr>
            <w:r>
              <w:rPr>
                <w:rFonts w:hint="eastAsia"/>
                <w:snapToGrid w:val="0"/>
                <w:color w:val="auto"/>
                <w:kern w:val="21"/>
                <w:szCs w:val="21"/>
              </w:rPr>
              <w:t>0.18</w:t>
            </w:r>
          </w:p>
        </w:tc>
        <w:tc>
          <w:tcPr>
            <w:tcW w:w="480" w:type="pct"/>
            <w:noWrap w:val="0"/>
            <w:vAlign w:val="center"/>
          </w:tcPr>
          <w:p>
            <w:pPr>
              <w:jc w:val="center"/>
              <w:rPr>
                <w:snapToGrid w:val="0"/>
                <w:color w:val="auto"/>
                <w:kern w:val="21"/>
                <w:szCs w:val="21"/>
              </w:rPr>
            </w:pPr>
            <w:r>
              <w:rPr>
                <w:snapToGrid w:val="0"/>
                <w:color w:val="auto"/>
                <w:kern w:val="21"/>
                <w:szCs w:val="21"/>
              </w:rPr>
              <w:t>/</w:t>
            </w:r>
          </w:p>
        </w:tc>
        <w:tc>
          <w:tcPr>
            <w:tcW w:w="766" w:type="pct"/>
            <w:noWrap w:val="0"/>
            <w:vAlign w:val="center"/>
          </w:tcPr>
          <w:p>
            <w:pPr>
              <w:jc w:val="center"/>
              <w:rPr>
                <w:snapToGrid w:val="0"/>
                <w:color w:val="auto"/>
                <w:kern w:val="21"/>
                <w:szCs w:val="21"/>
              </w:rPr>
            </w:pPr>
            <w:r>
              <w:rPr>
                <w:rFonts w:hint="eastAsia"/>
                <w:snapToGrid w:val="0"/>
                <w:color w:val="auto"/>
                <w:kern w:val="21"/>
                <w:szCs w:val="21"/>
              </w:rPr>
              <w:t>0.18</w:t>
            </w:r>
          </w:p>
        </w:tc>
        <w:tc>
          <w:tcPr>
            <w:tcW w:w="535" w:type="pct"/>
            <w:noWrap w:val="0"/>
            <w:vAlign w:val="center"/>
          </w:tcPr>
          <w:p>
            <w:pPr>
              <w:jc w:val="center"/>
              <w:rPr>
                <w:snapToGrid w:val="0"/>
                <w:color w:val="auto"/>
                <w:kern w:val="21"/>
                <w:szCs w:val="21"/>
              </w:rPr>
            </w:pPr>
            <w:r>
              <w:rPr>
                <w:rFonts w:hint="eastAsia"/>
                <w:snapToGrid w:val="0"/>
                <w:color w:val="auto"/>
                <w:kern w:val="21"/>
                <w:szCs w:val="21"/>
              </w:rPr>
              <w:t>0.18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3" w:type="pct"/>
            <w:noWrap w:val="0"/>
            <w:vAlign w:val="center"/>
          </w:tcPr>
          <w:p>
            <w:pPr>
              <w:jc w:val="center"/>
              <w:rPr>
                <w:b/>
                <w:bCs/>
                <w:snapToGrid w:val="0"/>
                <w:color w:val="auto"/>
                <w:kern w:val="21"/>
                <w:szCs w:val="21"/>
              </w:rPr>
            </w:pPr>
            <w:r>
              <w:rPr>
                <w:b/>
                <w:bCs/>
                <w:snapToGrid w:val="0"/>
                <w:color w:val="auto"/>
                <w:kern w:val="21"/>
                <w:szCs w:val="21"/>
              </w:rPr>
              <w:t>废水</w:t>
            </w:r>
          </w:p>
        </w:tc>
        <w:tc>
          <w:tcPr>
            <w:tcW w:w="590" w:type="pct"/>
            <w:noWrap w:val="0"/>
            <w:vAlign w:val="center"/>
          </w:tcPr>
          <w:p>
            <w:pPr>
              <w:jc w:val="center"/>
              <w:rPr>
                <w:color w:val="auto"/>
                <w:kern w:val="0"/>
                <w:szCs w:val="21"/>
                <w:lang w:bidi="ar"/>
              </w:rPr>
            </w:pPr>
            <w:r>
              <w:rPr>
                <w:snapToGrid w:val="0"/>
                <w:color w:val="auto"/>
                <w:kern w:val="21"/>
                <w:szCs w:val="21"/>
              </w:rPr>
              <w:t>/</w:t>
            </w:r>
          </w:p>
        </w:tc>
        <w:tc>
          <w:tcPr>
            <w:tcW w:w="1755" w:type="dxa"/>
            <w:noWrap w:val="0"/>
            <w:vAlign w:val="center"/>
          </w:tcPr>
          <w:p>
            <w:pPr>
              <w:jc w:val="center"/>
              <w:rPr>
                <w:snapToGrid w:val="0"/>
                <w:color w:val="auto"/>
                <w:kern w:val="21"/>
                <w:szCs w:val="21"/>
              </w:rPr>
            </w:pPr>
            <w:r>
              <w:rPr>
                <w:snapToGrid w:val="0"/>
                <w:color w:val="auto"/>
                <w:kern w:val="21"/>
                <w:szCs w:val="21"/>
              </w:rPr>
              <w:t>/</w:t>
            </w:r>
          </w:p>
        </w:tc>
        <w:tc>
          <w:tcPr>
            <w:tcW w:w="1062" w:type="dxa"/>
            <w:noWrap w:val="0"/>
            <w:vAlign w:val="center"/>
          </w:tcPr>
          <w:p>
            <w:pPr>
              <w:jc w:val="center"/>
              <w:rPr>
                <w:snapToGrid w:val="0"/>
                <w:color w:val="auto"/>
                <w:kern w:val="21"/>
                <w:szCs w:val="21"/>
              </w:rPr>
            </w:pPr>
            <w:r>
              <w:rPr>
                <w:snapToGrid w:val="0"/>
                <w:color w:val="auto"/>
                <w:kern w:val="21"/>
                <w:szCs w:val="21"/>
              </w:rPr>
              <w:t>/</w:t>
            </w:r>
          </w:p>
        </w:tc>
        <w:tc>
          <w:tcPr>
            <w:tcW w:w="1713" w:type="dxa"/>
            <w:noWrap w:val="0"/>
            <w:vAlign w:val="center"/>
          </w:tcPr>
          <w:p>
            <w:pPr>
              <w:jc w:val="center"/>
              <w:rPr>
                <w:snapToGrid w:val="0"/>
                <w:color w:val="auto"/>
                <w:kern w:val="21"/>
                <w:szCs w:val="21"/>
              </w:rPr>
            </w:pPr>
            <w:r>
              <w:rPr>
                <w:snapToGrid w:val="0"/>
                <w:color w:val="auto"/>
                <w:kern w:val="21"/>
                <w:szCs w:val="21"/>
              </w:rPr>
              <w:t>/</w:t>
            </w:r>
          </w:p>
        </w:tc>
        <w:tc>
          <w:tcPr>
            <w:tcW w:w="617" w:type="pct"/>
            <w:noWrap w:val="0"/>
            <w:vAlign w:val="center"/>
          </w:tcPr>
          <w:p>
            <w:pPr>
              <w:jc w:val="center"/>
              <w:rPr>
                <w:snapToGrid w:val="0"/>
                <w:color w:val="auto"/>
                <w:kern w:val="21"/>
                <w:szCs w:val="21"/>
              </w:rPr>
            </w:pPr>
            <w:r>
              <w:rPr>
                <w:snapToGrid w:val="0"/>
                <w:color w:val="auto"/>
                <w:kern w:val="21"/>
                <w:szCs w:val="21"/>
              </w:rPr>
              <w:t>/</w:t>
            </w:r>
          </w:p>
        </w:tc>
        <w:tc>
          <w:tcPr>
            <w:tcW w:w="480" w:type="pct"/>
            <w:noWrap w:val="0"/>
            <w:vAlign w:val="center"/>
          </w:tcPr>
          <w:p>
            <w:pPr>
              <w:jc w:val="center"/>
              <w:rPr>
                <w:snapToGrid w:val="0"/>
                <w:color w:val="auto"/>
                <w:kern w:val="21"/>
                <w:szCs w:val="21"/>
              </w:rPr>
            </w:pPr>
            <w:r>
              <w:rPr>
                <w:snapToGrid w:val="0"/>
                <w:color w:val="auto"/>
                <w:kern w:val="21"/>
                <w:szCs w:val="21"/>
              </w:rPr>
              <w:t>/</w:t>
            </w:r>
          </w:p>
        </w:tc>
        <w:tc>
          <w:tcPr>
            <w:tcW w:w="766" w:type="pct"/>
            <w:noWrap w:val="0"/>
            <w:vAlign w:val="center"/>
          </w:tcPr>
          <w:p>
            <w:pPr>
              <w:jc w:val="center"/>
              <w:rPr>
                <w:snapToGrid w:val="0"/>
                <w:color w:val="auto"/>
                <w:kern w:val="21"/>
                <w:szCs w:val="21"/>
              </w:rPr>
            </w:pPr>
            <w:r>
              <w:rPr>
                <w:snapToGrid w:val="0"/>
                <w:color w:val="auto"/>
                <w:kern w:val="21"/>
                <w:szCs w:val="21"/>
              </w:rPr>
              <w:t>/</w:t>
            </w:r>
          </w:p>
        </w:tc>
        <w:tc>
          <w:tcPr>
            <w:tcW w:w="535" w:type="pct"/>
            <w:noWrap w:val="0"/>
            <w:vAlign w:val="center"/>
          </w:tcPr>
          <w:p>
            <w:pPr>
              <w:jc w:val="center"/>
              <w:rPr>
                <w:snapToGrid w:val="0"/>
                <w:color w:val="auto"/>
                <w:kern w:val="21"/>
                <w:szCs w:val="21"/>
              </w:rPr>
            </w:pPr>
            <w:r>
              <w:rPr>
                <w:snapToGrid w:val="0"/>
                <w:color w:val="auto"/>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10" w:hRule="atLeast"/>
          <w:jc w:val="center"/>
        </w:trPr>
        <w:tc>
          <w:tcPr>
            <w:tcW w:w="393" w:type="pct"/>
            <w:vMerge w:val="restart"/>
            <w:noWrap w:val="0"/>
            <w:vAlign w:val="center"/>
          </w:tcPr>
          <w:p>
            <w:pPr>
              <w:jc w:val="center"/>
              <w:rPr>
                <w:b/>
                <w:bCs/>
                <w:snapToGrid w:val="0"/>
                <w:color w:val="auto"/>
                <w:kern w:val="21"/>
                <w:szCs w:val="21"/>
              </w:rPr>
            </w:pPr>
            <w:r>
              <w:rPr>
                <w:b/>
                <w:bCs/>
                <w:snapToGrid w:val="0"/>
                <w:color w:val="auto"/>
                <w:kern w:val="21"/>
                <w:szCs w:val="21"/>
              </w:rPr>
              <w:t>一般工业</w:t>
            </w:r>
          </w:p>
          <w:p>
            <w:pPr>
              <w:jc w:val="center"/>
              <w:rPr>
                <w:b/>
                <w:bCs/>
                <w:snapToGrid w:val="0"/>
                <w:color w:val="auto"/>
                <w:kern w:val="21"/>
                <w:szCs w:val="21"/>
              </w:rPr>
            </w:pPr>
            <w:r>
              <w:rPr>
                <w:b/>
                <w:bCs/>
                <w:snapToGrid w:val="0"/>
                <w:color w:val="auto"/>
                <w:kern w:val="21"/>
                <w:szCs w:val="21"/>
              </w:rPr>
              <w:t>固体废物</w:t>
            </w:r>
          </w:p>
        </w:tc>
        <w:tc>
          <w:tcPr>
            <w:tcW w:w="590" w:type="pct"/>
            <w:noWrap w:val="0"/>
            <w:vAlign w:val="center"/>
          </w:tcPr>
          <w:p>
            <w:pPr>
              <w:jc w:val="center"/>
              <w:rPr>
                <w:snapToGrid w:val="0"/>
                <w:color w:val="auto"/>
                <w:kern w:val="21"/>
                <w:szCs w:val="21"/>
              </w:rPr>
            </w:pPr>
            <w:r>
              <w:rPr>
                <w:color w:val="auto"/>
                <w:szCs w:val="21"/>
              </w:rPr>
              <w:t>收集粉尘</w:t>
            </w:r>
          </w:p>
        </w:tc>
        <w:tc>
          <w:tcPr>
            <w:tcW w:w="1755" w:type="dxa"/>
            <w:noWrap w:val="0"/>
            <w:vAlign w:val="center"/>
          </w:tcPr>
          <w:p>
            <w:pPr>
              <w:jc w:val="center"/>
              <w:rPr>
                <w:snapToGrid w:val="0"/>
                <w:color w:val="auto"/>
                <w:kern w:val="21"/>
                <w:szCs w:val="21"/>
              </w:rPr>
            </w:pPr>
            <w:r>
              <w:rPr>
                <w:snapToGrid w:val="0"/>
                <w:color w:val="auto"/>
                <w:kern w:val="21"/>
                <w:szCs w:val="21"/>
              </w:rPr>
              <w:t>/</w:t>
            </w:r>
          </w:p>
        </w:tc>
        <w:tc>
          <w:tcPr>
            <w:tcW w:w="1062" w:type="dxa"/>
            <w:noWrap w:val="0"/>
            <w:vAlign w:val="center"/>
          </w:tcPr>
          <w:p>
            <w:pPr>
              <w:jc w:val="center"/>
              <w:rPr>
                <w:snapToGrid w:val="0"/>
                <w:color w:val="auto"/>
                <w:kern w:val="21"/>
                <w:szCs w:val="21"/>
              </w:rPr>
            </w:pPr>
            <w:r>
              <w:rPr>
                <w:snapToGrid w:val="0"/>
                <w:color w:val="auto"/>
                <w:kern w:val="21"/>
                <w:szCs w:val="21"/>
              </w:rPr>
              <w:t>/</w:t>
            </w:r>
          </w:p>
        </w:tc>
        <w:tc>
          <w:tcPr>
            <w:tcW w:w="1713" w:type="dxa"/>
            <w:noWrap w:val="0"/>
            <w:vAlign w:val="center"/>
          </w:tcPr>
          <w:p>
            <w:pPr>
              <w:jc w:val="center"/>
              <w:rPr>
                <w:snapToGrid w:val="0"/>
                <w:color w:val="auto"/>
                <w:kern w:val="21"/>
                <w:szCs w:val="21"/>
              </w:rPr>
            </w:pPr>
            <w:r>
              <w:rPr>
                <w:snapToGrid w:val="0"/>
                <w:color w:val="auto"/>
                <w:kern w:val="21"/>
                <w:szCs w:val="21"/>
              </w:rPr>
              <w:t>/</w:t>
            </w:r>
          </w:p>
        </w:tc>
        <w:tc>
          <w:tcPr>
            <w:tcW w:w="617" w:type="pct"/>
            <w:noWrap w:val="0"/>
            <w:vAlign w:val="center"/>
          </w:tcPr>
          <w:p>
            <w:pPr>
              <w:jc w:val="center"/>
              <w:rPr>
                <w:snapToGrid w:val="0"/>
                <w:color w:val="auto"/>
                <w:kern w:val="21"/>
                <w:szCs w:val="21"/>
              </w:rPr>
            </w:pPr>
            <w:r>
              <w:rPr>
                <w:rFonts w:hint="eastAsia"/>
                <w:color w:val="auto"/>
                <w:szCs w:val="21"/>
              </w:rPr>
              <w:t>2.8852</w:t>
            </w:r>
          </w:p>
        </w:tc>
        <w:tc>
          <w:tcPr>
            <w:tcW w:w="480" w:type="pct"/>
            <w:noWrap w:val="0"/>
            <w:vAlign w:val="center"/>
          </w:tcPr>
          <w:p>
            <w:pPr>
              <w:jc w:val="center"/>
              <w:rPr>
                <w:snapToGrid w:val="0"/>
                <w:color w:val="auto"/>
                <w:kern w:val="21"/>
                <w:szCs w:val="21"/>
              </w:rPr>
            </w:pPr>
            <w:r>
              <w:rPr>
                <w:snapToGrid w:val="0"/>
                <w:color w:val="auto"/>
                <w:kern w:val="21"/>
                <w:szCs w:val="21"/>
              </w:rPr>
              <w:t>/</w:t>
            </w:r>
          </w:p>
        </w:tc>
        <w:tc>
          <w:tcPr>
            <w:tcW w:w="2147" w:type="dxa"/>
            <w:noWrap w:val="0"/>
            <w:vAlign w:val="center"/>
          </w:tcPr>
          <w:p>
            <w:pPr>
              <w:jc w:val="center"/>
              <w:rPr>
                <w:snapToGrid w:val="0"/>
                <w:color w:val="auto"/>
                <w:kern w:val="21"/>
                <w:szCs w:val="21"/>
              </w:rPr>
            </w:pPr>
            <w:r>
              <w:rPr>
                <w:rFonts w:hint="eastAsia"/>
                <w:color w:val="auto"/>
                <w:szCs w:val="21"/>
              </w:rPr>
              <w:t>2.8852</w:t>
            </w:r>
          </w:p>
        </w:tc>
        <w:tc>
          <w:tcPr>
            <w:tcW w:w="1499" w:type="dxa"/>
            <w:noWrap w:val="0"/>
            <w:vAlign w:val="center"/>
          </w:tcPr>
          <w:p>
            <w:pPr>
              <w:jc w:val="center"/>
              <w:rPr>
                <w:snapToGrid w:val="0"/>
                <w:color w:val="auto"/>
                <w:kern w:val="21"/>
                <w:szCs w:val="21"/>
              </w:rPr>
            </w:pPr>
            <w:r>
              <w:rPr>
                <w:rFonts w:hint="eastAsia"/>
                <w:color w:val="auto"/>
                <w:szCs w:val="21"/>
              </w:rPr>
              <w:t>2.8852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3" w:type="pct"/>
            <w:vMerge w:val="continue"/>
            <w:noWrap w:val="0"/>
            <w:vAlign w:val="center"/>
          </w:tcPr>
          <w:p>
            <w:pPr>
              <w:jc w:val="center"/>
              <w:rPr>
                <w:b/>
                <w:bCs/>
                <w:snapToGrid w:val="0"/>
                <w:color w:val="auto"/>
                <w:kern w:val="21"/>
                <w:szCs w:val="21"/>
              </w:rPr>
            </w:pPr>
          </w:p>
        </w:tc>
        <w:tc>
          <w:tcPr>
            <w:tcW w:w="590" w:type="pct"/>
            <w:noWrap w:val="0"/>
            <w:vAlign w:val="center"/>
          </w:tcPr>
          <w:p>
            <w:pPr>
              <w:jc w:val="center"/>
              <w:rPr>
                <w:color w:val="auto"/>
                <w:szCs w:val="21"/>
              </w:rPr>
            </w:pPr>
            <w:r>
              <w:rPr>
                <w:color w:val="auto"/>
                <w:szCs w:val="21"/>
              </w:rPr>
              <w:t>沉砂</w:t>
            </w:r>
          </w:p>
        </w:tc>
        <w:tc>
          <w:tcPr>
            <w:tcW w:w="1755" w:type="dxa"/>
            <w:noWrap w:val="0"/>
            <w:vAlign w:val="center"/>
          </w:tcPr>
          <w:p>
            <w:pPr>
              <w:jc w:val="center"/>
              <w:rPr>
                <w:snapToGrid w:val="0"/>
                <w:color w:val="auto"/>
                <w:kern w:val="21"/>
                <w:szCs w:val="21"/>
              </w:rPr>
            </w:pPr>
            <w:r>
              <w:rPr>
                <w:snapToGrid w:val="0"/>
                <w:color w:val="auto"/>
                <w:kern w:val="21"/>
                <w:szCs w:val="21"/>
              </w:rPr>
              <w:t>/</w:t>
            </w:r>
          </w:p>
        </w:tc>
        <w:tc>
          <w:tcPr>
            <w:tcW w:w="1062" w:type="dxa"/>
            <w:noWrap w:val="0"/>
            <w:vAlign w:val="center"/>
          </w:tcPr>
          <w:p>
            <w:pPr>
              <w:jc w:val="center"/>
              <w:rPr>
                <w:snapToGrid w:val="0"/>
                <w:color w:val="auto"/>
                <w:kern w:val="21"/>
                <w:szCs w:val="21"/>
              </w:rPr>
            </w:pPr>
            <w:r>
              <w:rPr>
                <w:snapToGrid w:val="0"/>
                <w:color w:val="auto"/>
                <w:kern w:val="21"/>
                <w:szCs w:val="21"/>
              </w:rPr>
              <w:t>/</w:t>
            </w:r>
          </w:p>
        </w:tc>
        <w:tc>
          <w:tcPr>
            <w:tcW w:w="1713" w:type="dxa"/>
            <w:noWrap w:val="0"/>
            <w:vAlign w:val="center"/>
          </w:tcPr>
          <w:p>
            <w:pPr>
              <w:jc w:val="center"/>
              <w:rPr>
                <w:snapToGrid w:val="0"/>
                <w:color w:val="auto"/>
                <w:kern w:val="21"/>
                <w:szCs w:val="21"/>
              </w:rPr>
            </w:pPr>
            <w:r>
              <w:rPr>
                <w:snapToGrid w:val="0"/>
                <w:color w:val="auto"/>
                <w:kern w:val="21"/>
                <w:szCs w:val="21"/>
              </w:rPr>
              <w:t>/</w:t>
            </w:r>
          </w:p>
        </w:tc>
        <w:tc>
          <w:tcPr>
            <w:tcW w:w="617" w:type="pct"/>
            <w:noWrap w:val="0"/>
            <w:vAlign w:val="center"/>
          </w:tcPr>
          <w:p>
            <w:pPr>
              <w:jc w:val="center"/>
              <w:rPr>
                <w:bCs/>
                <w:color w:val="auto"/>
                <w:spacing w:val="-10"/>
                <w:szCs w:val="21"/>
              </w:rPr>
            </w:pPr>
            <w:r>
              <w:rPr>
                <w:rFonts w:hint="eastAsia"/>
                <w:bCs/>
                <w:color w:val="auto"/>
                <w:spacing w:val="-10"/>
                <w:szCs w:val="21"/>
              </w:rPr>
              <w:t>134.5248</w:t>
            </w:r>
          </w:p>
        </w:tc>
        <w:tc>
          <w:tcPr>
            <w:tcW w:w="1345" w:type="dxa"/>
            <w:noWrap w:val="0"/>
            <w:vAlign w:val="center"/>
          </w:tcPr>
          <w:p>
            <w:pPr>
              <w:jc w:val="center"/>
              <w:rPr>
                <w:snapToGrid w:val="0"/>
                <w:color w:val="auto"/>
                <w:kern w:val="21"/>
                <w:szCs w:val="21"/>
              </w:rPr>
            </w:pPr>
            <w:r>
              <w:rPr>
                <w:snapToGrid w:val="0"/>
                <w:color w:val="auto"/>
                <w:kern w:val="21"/>
                <w:szCs w:val="21"/>
              </w:rPr>
              <w:t>/</w:t>
            </w:r>
          </w:p>
        </w:tc>
        <w:tc>
          <w:tcPr>
            <w:tcW w:w="2147" w:type="dxa"/>
            <w:noWrap w:val="0"/>
            <w:vAlign w:val="center"/>
          </w:tcPr>
          <w:p>
            <w:pPr>
              <w:jc w:val="center"/>
              <w:rPr>
                <w:bCs/>
                <w:color w:val="auto"/>
                <w:spacing w:val="-10"/>
                <w:szCs w:val="21"/>
              </w:rPr>
            </w:pPr>
            <w:r>
              <w:rPr>
                <w:rFonts w:hint="eastAsia"/>
                <w:bCs/>
                <w:color w:val="auto"/>
                <w:spacing w:val="-10"/>
                <w:szCs w:val="21"/>
              </w:rPr>
              <w:t>134.5248</w:t>
            </w:r>
          </w:p>
        </w:tc>
        <w:tc>
          <w:tcPr>
            <w:tcW w:w="1499" w:type="dxa"/>
            <w:noWrap w:val="0"/>
            <w:vAlign w:val="center"/>
          </w:tcPr>
          <w:p>
            <w:pPr>
              <w:jc w:val="center"/>
              <w:rPr>
                <w:bCs/>
                <w:color w:val="auto"/>
                <w:spacing w:val="-10"/>
                <w:szCs w:val="21"/>
              </w:rPr>
            </w:pPr>
            <w:r>
              <w:rPr>
                <w:rFonts w:hint="eastAsia"/>
                <w:bCs/>
                <w:color w:val="auto"/>
                <w:spacing w:val="-10"/>
                <w:szCs w:val="21"/>
              </w:rPr>
              <w:t>134.5248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10" w:hRule="atLeast"/>
          <w:jc w:val="center"/>
        </w:trPr>
        <w:tc>
          <w:tcPr>
            <w:tcW w:w="393" w:type="pct"/>
            <w:vMerge w:val="continue"/>
            <w:noWrap w:val="0"/>
            <w:vAlign w:val="center"/>
          </w:tcPr>
          <w:p>
            <w:pPr>
              <w:jc w:val="center"/>
              <w:rPr>
                <w:b/>
                <w:bCs/>
                <w:snapToGrid w:val="0"/>
                <w:color w:val="auto"/>
                <w:kern w:val="21"/>
                <w:szCs w:val="21"/>
              </w:rPr>
            </w:pPr>
          </w:p>
        </w:tc>
        <w:tc>
          <w:tcPr>
            <w:tcW w:w="590" w:type="pct"/>
            <w:noWrap w:val="0"/>
            <w:vAlign w:val="center"/>
          </w:tcPr>
          <w:p>
            <w:pPr>
              <w:jc w:val="center"/>
              <w:rPr>
                <w:snapToGrid w:val="0"/>
                <w:color w:val="auto"/>
                <w:kern w:val="21"/>
                <w:szCs w:val="21"/>
              </w:rPr>
            </w:pPr>
            <w:r>
              <w:rPr>
                <w:rFonts w:hint="eastAsia"/>
                <w:snapToGrid w:val="0"/>
                <w:color w:val="auto"/>
                <w:kern w:val="21"/>
                <w:szCs w:val="21"/>
              </w:rPr>
              <w:t>废石料</w:t>
            </w:r>
          </w:p>
        </w:tc>
        <w:tc>
          <w:tcPr>
            <w:tcW w:w="1755" w:type="dxa"/>
            <w:noWrap w:val="0"/>
            <w:vAlign w:val="center"/>
          </w:tcPr>
          <w:p>
            <w:pPr>
              <w:jc w:val="center"/>
              <w:rPr>
                <w:snapToGrid w:val="0"/>
                <w:color w:val="auto"/>
                <w:kern w:val="21"/>
                <w:szCs w:val="21"/>
              </w:rPr>
            </w:pPr>
            <w:r>
              <w:rPr>
                <w:snapToGrid w:val="0"/>
                <w:color w:val="auto"/>
                <w:kern w:val="21"/>
                <w:szCs w:val="21"/>
              </w:rPr>
              <w:t>/</w:t>
            </w:r>
          </w:p>
        </w:tc>
        <w:tc>
          <w:tcPr>
            <w:tcW w:w="1062" w:type="dxa"/>
            <w:noWrap w:val="0"/>
            <w:vAlign w:val="center"/>
          </w:tcPr>
          <w:p>
            <w:pPr>
              <w:jc w:val="center"/>
              <w:rPr>
                <w:snapToGrid w:val="0"/>
                <w:color w:val="auto"/>
                <w:kern w:val="21"/>
                <w:szCs w:val="21"/>
              </w:rPr>
            </w:pPr>
            <w:r>
              <w:rPr>
                <w:snapToGrid w:val="0"/>
                <w:color w:val="auto"/>
                <w:kern w:val="21"/>
                <w:szCs w:val="21"/>
              </w:rPr>
              <w:t>/</w:t>
            </w:r>
          </w:p>
        </w:tc>
        <w:tc>
          <w:tcPr>
            <w:tcW w:w="1713" w:type="dxa"/>
            <w:noWrap w:val="0"/>
            <w:vAlign w:val="center"/>
          </w:tcPr>
          <w:p>
            <w:pPr>
              <w:jc w:val="center"/>
              <w:rPr>
                <w:snapToGrid w:val="0"/>
                <w:color w:val="auto"/>
                <w:kern w:val="21"/>
                <w:szCs w:val="21"/>
              </w:rPr>
            </w:pPr>
            <w:r>
              <w:rPr>
                <w:snapToGrid w:val="0"/>
                <w:color w:val="auto"/>
                <w:kern w:val="21"/>
                <w:szCs w:val="21"/>
              </w:rPr>
              <w:t>/</w:t>
            </w:r>
          </w:p>
        </w:tc>
        <w:tc>
          <w:tcPr>
            <w:tcW w:w="617" w:type="pct"/>
            <w:noWrap w:val="0"/>
            <w:vAlign w:val="center"/>
          </w:tcPr>
          <w:p>
            <w:pPr>
              <w:jc w:val="center"/>
              <w:rPr>
                <w:rFonts w:hint="eastAsia"/>
                <w:snapToGrid w:val="0"/>
                <w:color w:val="auto"/>
                <w:kern w:val="21"/>
                <w:szCs w:val="21"/>
              </w:rPr>
            </w:pPr>
            <w:r>
              <w:rPr>
                <w:rFonts w:hint="eastAsia"/>
                <w:bCs/>
                <w:color w:val="auto"/>
                <w:spacing w:val="-10"/>
                <w:szCs w:val="21"/>
              </w:rPr>
              <w:t>0.71</w:t>
            </w:r>
          </w:p>
        </w:tc>
        <w:tc>
          <w:tcPr>
            <w:tcW w:w="1345" w:type="dxa"/>
            <w:noWrap w:val="0"/>
            <w:vAlign w:val="center"/>
          </w:tcPr>
          <w:p>
            <w:pPr>
              <w:jc w:val="center"/>
              <w:rPr>
                <w:snapToGrid w:val="0"/>
                <w:color w:val="auto"/>
                <w:kern w:val="21"/>
                <w:szCs w:val="21"/>
              </w:rPr>
            </w:pPr>
            <w:r>
              <w:rPr>
                <w:snapToGrid w:val="0"/>
                <w:color w:val="auto"/>
                <w:kern w:val="21"/>
                <w:szCs w:val="21"/>
              </w:rPr>
              <w:t>/</w:t>
            </w:r>
          </w:p>
        </w:tc>
        <w:tc>
          <w:tcPr>
            <w:tcW w:w="2147" w:type="dxa"/>
            <w:noWrap w:val="0"/>
            <w:vAlign w:val="center"/>
          </w:tcPr>
          <w:p>
            <w:pPr>
              <w:jc w:val="center"/>
              <w:rPr>
                <w:bCs/>
                <w:color w:val="auto"/>
                <w:spacing w:val="-10"/>
                <w:szCs w:val="21"/>
              </w:rPr>
            </w:pPr>
            <w:r>
              <w:rPr>
                <w:rFonts w:hint="eastAsia"/>
                <w:bCs/>
                <w:color w:val="auto"/>
                <w:spacing w:val="-10"/>
                <w:szCs w:val="21"/>
              </w:rPr>
              <w:t>0.71</w:t>
            </w:r>
          </w:p>
        </w:tc>
        <w:tc>
          <w:tcPr>
            <w:tcW w:w="1499" w:type="dxa"/>
            <w:noWrap w:val="0"/>
            <w:vAlign w:val="center"/>
          </w:tcPr>
          <w:p>
            <w:pPr>
              <w:jc w:val="center"/>
              <w:rPr>
                <w:bCs/>
                <w:color w:val="auto"/>
                <w:spacing w:val="-10"/>
                <w:szCs w:val="21"/>
              </w:rPr>
            </w:pPr>
            <w:r>
              <w:rPr>
                <w:rFonts w:hint="eastAsia"/>
                <w:bCs/>
                <w:color w:val="auto"/>
                <w:spacing w:val="-10"/>
                <w:szCs w:val="21"/>
              </w:rPr>
              <w:t>0.71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10" w:hRule="atLeast"/>
          <w:jc w:val="center"/>
        </w:trPr>
        <w:tc>
          <w:tcPr>
            <w:tcW w:w="393" w:type="pct"/>
            <w:vMerge w:val="continue"/>
            <w:noWrap w:val="0"/>
            <w:vAlign w:val="center"/>
          </w:tcPr>
          <w:p>
            <w:pPr>
              <w:jc w:val="center"/>
              <w:rPr>
                <w:b/>
                <w:bCs/>
                <w:snapToGrid w:val="0"/>
                <w:color w:val="auto"/>
                <w:kern w:val="21"/>
                <w:szCs w:val="21"/>
              </w:rPr>
            </w:pPr>
          </w:p>
        </w:tc>
        <w:tc>
          <w:tcPr>
            <w:tcW w:w="590" w:type="pct"/>
            <w:noWrap w:val="0"/>
            <w:vAlign w:val="center"/>
          </w:tcPr>
          <w:p>
            <w:pPr>
              <w:jc w:val="center"/>
              <w:rPr>
                <w:rFonts w:hint="eastAsia"/>
                <w:snapToGrid w:val="0"/>
                <w:color w:val="auto"/>
                <w:kern w:val="21"/>
                <w:szCs w:val="21"/>
              </w:rPr>
            </w:pPr>
            <w:r>
              <w:rPr>
                <w:rFonts w:hint="eastAsia"/>
                <w:snapToGrid w:val="0"/>
                <w:color w:val="auto"/>
                <w:kern w:val="21"/>
                <w:szCs w:val="21"/>
              </w:rPr>
              <w:t>废布袋</w:t>
            </w:r>
          </w:p>
        </w:tc>
        <w:tc>
          <w:tcPr>
            <w:tcW w:w="1755" w:type="dxa"/>
            <w:noWrap w:val="0"/>
            <w:vAlign w:val="center"/>
          </w:tcPr>
          <w:p>
            <w:pPr>
              <w:jc w:val="center"/>
              <w:rPr>
                <w:snapToGrid w:val="0"/>
                <w:color w:val="auto"/>
                <w:kern w:val="21"/>
                <w:szCs w:val="21"/>
              </w:rPr>
            </w:pPr>
            <w:r>
              <w:rPr>
                <w:snapToGrid w:val="0"/>
                <w:color w:val="auto"/>
                <w:kern w:val="21"/>
                <w:szCs w:val="21"/>
              </w:rPr>
              <w:t>/</w:t>
            </w:r>
          </w:p>
        </w:tc>
        <w:tc>
          <w:tcPr>
            <w:tcW w:w="1062" w:type="dxa"/>
            <w:noWrap w:val="0"/>
            <w:vAlign w:val="center"/>
          </w:tcPr>
          <w:p>
            <w:pPr>
              <w:jc w:val="center"/>
              <w:rPr>
                <w:snapToGrid w:val="0"/>
                <w:color w:val="auto"/>
                <w:kern w:val="21"/>
                <w:szCs w:val="21"/>
              </w:rPr>
            </w:pPr>
            <w:r>
              <w:rPr>
                <w:snapToGrid w:val="0"/>
                <w:color w:val="auto"/>
                <w:kern w:val="21"/>
                <w:szCs w:val="21"/>
              </w:rPr>
              <w:t>/</w:t>
            </w:r>
          </w:p>
        </w:tc>
        <w:tc>
          <w:tcPr>
            <w:tcW w:w="1713" w:type="dxa"/>
            <w:noWrap w:val="0"/>
            <w:vAlign w:val="center"/>
          </w:tcPr>
          <w:p>
            <w:pPr>
              <w:jc w:val="center"/>
              <w:rPr>
                <w:snapToGrid w:val="0"/>
                <w:color w:val="auto"/>
                <w:kern w:val="21"/>
                <w:szCs w:val="21"/>
              </w:rPr>
            </w:pPr>
            <w:r>
              <w:rPr>
                <w:snapToGrid w:val="0"/>
                <w:color w:val="auto"/>
                <w:kern w:val="21"/>
                <w:szCs w:val="21"/>
              </w:rPr>
              <w:t>/</w:t>
            </w:r>
          </w:p>
        </w:tc>
        <w:tc>
          <w:tcPr>
            <w:tcW w:w="617" w:type="pct"/>
            <w:noWrap w:val="0"/>
            <w:vAlign w:val="center"/>
          </w:tcPr>
          <w:p>
            <w:pPr>
              <w:jc w:val="center"/>
              <w:rPr>
                <w:snapToGrid w:val="0"/>
                <w:color w:val="auto"/>
                <w:kern w:val="21"/>
                <w:szCs w:val="21"/>
              </w:rPr>
            </w:pPr>
            <w:r>
              <w:rPr>
                <w:rFonts w:hint="eastAsia"/>
                <w:snapToGrid w:val="0"/>
                <w:color w:val="auto"/>
                <w:kern w:val="21"/>
                <w:szCs w:val="21"/>
              </w:rPr>
              <w:t>0.3</w:t>
            </w:r>
          </w:p>
        </w:tc>
        <w:tc>
          <w:tcPr>
            <w:tcW w:w="1345" w:type="dxa"/>
            <w:noWrap w:val="0"/>
            <w:vAlign w:val="center"/>
          </w:tcPr>
          <w:p>
            <w:pPr>
              <w:jc w:val="center"/>
              <w:rPr>
                <w:snapToGrid w:val="0"/>
                <w:color w:val="auto"/>
                <w:kern w:val="21"/>
                <w:szCs w:val="21"/>
              </w:rPr>
            </w:pPr>
            <w:r>
              <w:rPr>
                <w:snapToGrid w:val="0"/>
                <w:color w:val="auto"/>
                <w:kern w:val="21"/>
                <w:szCs w:val="21"/>
              </w:rPr>
              <w:t>/</w:t>
            </w:r>
          </w:p>
        </w:tc>
        <w:tc>
          <w:tcPr>
            <w:tcW w:w="2147" w:type="dxa"/>
            <w:noWrap w:val="0"/>
            <w:vAlign w:val="center"/>
          </w:tcPr>
          <w:p>
            <w:pPr>
              <w:jc w:val="center"/>
              <w:rPr>
                <w:snapToGrid w:val="0"/>
                <w:color w:val="auto"/>
                <w:kern w:val="21"/>
                <w:szCs w:val="21"/>
              </w:rPr>
            </w:pPr>
            <w:r>
              <w:rPr>
                <w:rFonts w:hint="eastAsia"/>
                <w:snapToGrid w:val="0"/>
                <w:color w:val="auto"/>
                <w:kern w:val="21"/>
                <w:szCs w:val="21"/>
              </w:rPr>
              <w:t>0.3</w:t>
            </w:r>
          </w:p>
        </w:tc>
        <w:tc>
          <w:tcPr>
            <w:tcW w:w="1499" w:type="dxa"/>
            <w:noWrap w:val="0"/>
            <w:vAlign w:val="center"/>
          </w:tcPr>
          <w:p>
            <w:pPr>
              <w:jc w:val="center"/>
              <w:rPr>
                <w:snapToGrid w:val="0"/>
                <w:color w:val="auto"/>
                <w:kern w:val="21"/>
                <w:szCs w:val="21"/>
              </w:rPr>
            </w:pPr>
            <w:r>
              <w:rPr>
                <w:rFonts w:hint="eastAsia"/>
                <w:snapToGrid w:val="0"/>
                <w:color w:val="auto"/>
                <w:kern w:val="21"/>
                <w:szCs w:val="21"/>
              </w:rPr>
              <w:t>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3" w:type="pct"/>
            <w:vMerge w:val="restart"/>
            <w:noWrap w:val="0"/>
            <w:vAlign w:val="center"/>
          </w:tcPr>
          <w:p>
            <w:pPr>
              <w:jc w:val="center"/>
              <w:rPr>
                <w:b/>
                <w:bCs/>
                <w:snapToGrid w:val="0"/>
                <w:color w:val="auto"/>
                <w:kern w:val="21"/>
                <w:szCs w:val="21"/>
              </w:rPr>
            </w:pPr>
            <w:r>
              <w:rPr>
                <w:b/>
                <w:bCs/>
                <w:snapToGrid w:val="0"/>
                <w:color w:val="auto"/>
                <w:kern w:val="21"/>
                <w:szCs w:val="21"/>
              </w:rPr>
              <w:t>危险废物</w:t>
            </w:r>
          </w:p>
        </w:tc>
        <w:tc>
          <w:tcPr>
            <w:tcW w:w="590" w:type="pct"/>
            <w:noWrap w:val="0"/>
            <w:vAlign w:val="center"/>
          </w:tcPr>
          <w:p>
            <w:pPr>
              <w:jc w:val="center"/>
              <w:rPr>
                <w:rFonts w:hint="eastAsia"/>
                <w:snapToGrid w:val="0"/>
                <w:color w:val="auto"/>
                <w:kern w:val="21"/>
                <w:szCs w:val="21"/>
              </w:rPr>
            </w:pPr>
            <w:r>
              <w:rPr>
                <w:rFonts w:hint="eastAsia"/>
                <w:snapToGrid w:val="0"/>
                <w:color w:val="auto"/>
                <w:kern w:val="21"/>
                <w:szCs w:val="21"/>
              </w:rPr>
              <w:t>废机油</w:t>
            </w:r>
          </w:p>
        </w:tc>
        <w:tc>
          <w:tcPr>
            <w:tcW w:w="1755" w:type="dxa"/>
            <w:noWrap w:val="0"/>
            <w:vAlign w:val="center"/>
          </w:tcPr>
          <w:p>
            <w:pPr>
              <w:jc w:val="center"/>
              <w:rPr>
                <w:snapToGrid w:val="0"/>
                <w:color w:val="auto"/>
                <w:kern w:val="21"/>
                <w:szCs w:val="21"/>
              </w:rPr>
            </w:pPr>
            <w:r>
              <w:rPr>
                <w:snapToGrid w:val="0"/>
                <w:color w:val="auto"/>
                <w:kern w:val="21"/>
                <w:szCs w:val="21"/>
              </w:rPr>
              <w:t>/</w:t>
            </w:r>
          </w:p>
        </w:tc>
        <w:tc>
          <w:tcPr>
            <w:tcW w:w="1062" w:type="dxa"/>
            <w:noWrap w:val="0"/>
            <w:vAlign w:val="center"/>
          </w:tcPr>
          <w:p>
            <w:pPr>
              <w:jc w:val="center"/>
              <w:rPr>
                <w:snapToGrid w:val="0"/>
                <w:color w:val="auto"/>
                <w:kern w:val="21"/>
                <w:szCs w:val="21"/>
              </w:rPr>
            </w:pPr>
            <w:r>
              <w:rPr>
                <w:snapToGrid w:val="0"/>
                <w:color w:val="auto"/>
                <w:kern w:val="21"/>
                <w:szCs w:val="21"/>
              </w:rPr>
              <w:t>/</w:t>
            </w:r>
          </w:p>
        </w:tc>
        <w:tc>
          <w:tcPr>
            <w:tcW w:w="1713" w:type="dxa"/>
            <w:noWrap w:val="0"/>
            <w:vAlign w:val="center"/>
          </w:tcPr>
          <w:p>
            <w:pPr>
              <w:jc w:val="center"/>
              <w:rPr>
                <w:snapToGrid w:val="0"/>
                <w:color w:val="auto"/>
                <w:kern w:val="21"/>
                <w:szCs w:val="21"/>
              </w:rPr>
            </w:pPr>
            <w:r>
              <w:rPr>
                <w:snapToGrid w:val="0"/>
                <w:color w:val="auto"/>
                <w:kern w:val="21"/>
                <w:szCs w:val="21"/>
              </w:rPr>
              <w:t>/</w:t>
            </w:r>
          </w:p>
        </w:tc>
        <w:tc>
          <w:tcPr>
            <w:tcW w:w="617" w:type="pct"/>
            <w:noWrap w:val="0"/>
            <w:vAlign w:val="center"/>
          </w:tcPr>
          <w:p>
            <w:pPr>
              <w:jc w:val="center"/>
              <w:rPr>
                <w:snapToGrid w:val="0"/>
                <w:color w:val="auto"/>
                <w:kern w:val="21"/>
                <w:szCs w:val="21"/>
              </w:rPr>
            </w:pPr>
            <w:r>
              <w:rPr>
                <w:rFonts w:hint="eastAsia"/>
                <w:snapToGrid w:val="0"/>
                <w:color w:val="auto"/>
                <w:kern w:val="21"/>
                <w:szCs w:val="21"/>
              </w:rPr>
              <w:t>0.05</w:t>
            </w:r>
          </w:p>
        </w:tc>
        <w:tc>
          <w:tcPr>
            <w:tcW w:w="1345" w:type="dxa"/>
            <w:noWrap w:val="0"/>
            <w:vAlign w:val="center"/>
          </w:tcPr>
          <w:p>
            <w:pPr>
              <w:jc w:val="center"/>
              <w:rPr>
                <w:snapToGrid w:val="0"/>
                <w:color w:val="auto"/>
                <w:kern w:val="21"/>
                <w:szCs w:val="21"/>
              </w:rPr>
            </w:pPr>
            <w:r>
              <w:rPr>
                <w:snapToGrid w:val="0"/>
                <w:color w:val="auto"/>
                <w:kern w:val="21"/>
                <w:szCs w:val="21"/>
              </w:rPr>
              <w:t>/</w:t>
            </w:r>
          </w:p>
        </w:tc>
        <w:tc>
          <w:tcPr>
            <w:tcW w:w="2147" w:type="dxa"/>
            <w:noWrap w:val="0"/>
            <w:vAlign w:val="center"/>
          </w:tcPr>
          <w:p>
            <w:pPr>
              <w:jc w:val="center"/>
              <w:rPr>
                <w:snapToGrid w:val="0"/>
                <w:color w:val="auto"/>
                <w:kern w:val="21"/>
                <w:szCs w:val="21"/>
              </w:rPr>
            </w:pPr>
            <w:r>
              <w:rPr>
                <w:rFonts w:hint="eastAsia"/>
                <w:snapToGrid w:val="0"/>
                <w:color w:val="auto"/>
                <w:kern w:val="21"/>
                <w:szCs w:val="21"/>
              </w:rPr>
              <w:t>0.05</w:t>
            </w:r>
          </w:p>
        </w:tc>
        <w:tc>
          <w:tcPr>
            <w:tcW w:w="1499" w:type="dxa"/>
            <w:noWrap w:val="0"/>
            <w:vAlign w:val="center"/>
          </w:tcPr>
          <w:p>
            <w:pPr>
              <w:jc w:val="center"/>
              <w:rPr>
                <w:snapToGrid w:val="0"/>
                <w:color w:val="auto"/>
                <w:kern w:val="21"/>
                <w:szCs w:val="21"/>
              </w:rPr>
            </w:pPr>
            <w:r>
              <w:rPr>
                <w:rFonts w:hint="eastAsia"/>
                <w:snapToGrid w:val="0"/>
                <w:color w:val="auto"/>
                <w:kern w:val="21"/>
                <w:szCs w:val="21"/>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10" w:hRule="atLeast"/>
          <w:jc w:val="center"/>
        </w:trPr>
        <w:tc>
          <w:tcPr>
            <w:tcW w:w="393" w:type="pct"/>
            <w:vMerge w:val="continue"/>
            <w:noWrap w:val="0"/>
            <w:vAlign w:val="center"/>
          </w:tcPr>
          <w:p>
            <w:pPr>
              <w:jc w:val="center"/>
              <w:rPr>
                <w:b/>
                <w:bCs/>
                <w:snapToGrid w:val="0"/>
                <w:color w:val="auto"/>
                <w:kern w:val="21"/>
                <w:szCs w:val="21"/>
              </w:rPr>
            </w:pPr>
          </w:p>
        </w:tc>
        <w:tc>
          <w:tcPr>
            <w:tcW w:w="590" w:type="pct"/>
            <w:noWrap w:val="0"/>
            <w:vAlign w:val="center"/>
          </w:tcPr>
          <w:p>
            <w:pPr>
              <w:jc w:val="center"/>
              <w:rPr>
                <w:snapToGrid w:val="0"/>
                <w:color w:val="auto"/>
                <w:kern w:val="21"/>
                <w:szCs w:val="21"/>
              </w:rPr>
            </w:pPr>
            <w:r>
              <w:rPr>
                <w:rFonts w:hint="eastAsia"/>
                <w:snapToGrid w:val="0"/>
                <w:color w:val="auto"/>
                <w:kern w:val="21"/>
                <w:szCs w:val="21"/>
              </w:rPr>
              <w:t>废抹布</w:t>
            </w:r>
          </w:p>
        </w:tc>
        <w:tc>
          <w:tcPr>
            <w:tcW w:w="1755" w:type="dxa"/>
            <w:noWrap w:val="0"/>
            <w:vAlign w:val="center"/>
          </w:tcPr>
          <w:p>
            <w:pPr>
              <w:jc w:val="center"/>
              <w:rPr>
                <w:snapToGrid w:val="0"/>
                <w:color w:val="auto"/>
                <w:kern w:val="21"/>
                <w:szCs w:val="21"/>
              </w:rPr>
            </w:pPr>
            <w:r>
              <w:rPr>
                <w:snapToGrid w:val="0"/>
                <w:color w:val="auto"/>
                <w:kern w:val="21"/>
                <w:szCs w:val="21"/>
              </w:rPr>
              <w:t>/</w:t>
            </w:r>
          </w:p>
        </w:tc>
        <w:tc>
          <w:tcPr>
            <w:tcW w:w="1062" w:type="dxa"/>
            <w:noWrap w:val="0"/>
            <w:vAlign w:val="center"/>
          </w:tcPr>
          <w:p>
            <w:pPr>
              <w:jc w:val="center"/>
              <w:rPr>
                <w:snapToGrid w:val="0"/>
                <w:color w:val="auto"/>
                <w:kern w:val="21"/>
                <w:szCs w:val="21"/>
              </w:rPr>
            </w:pPr>
            <w:r>
              <w:rPr>
                <w:snapToGrid w:val="0"/>
                <w:color w:val="auto"/>
                <w:kern w:val="21"/>
                <w:szCs w:val="21"/>
              </w:rPr>
              <w:t>/</w:t>
            </w:r>
          </w:p>
        </w:tc>
        <w:tc>
          <w:tcPr>
            <w:tcW w:w="1713" w:type="dxa"/>
            <w:noWrap w:val="0"/>
            <w:vAlign w:val="center"/>
          </w:tcPr>
          <w:p>
            <w:pPr>
              <w:jc w:val="center"/>
              <w:rPr>
                <w:snapToGrid w:val="0"/>
                <w:color w:val="auto"/>
                <w:kern w:val="21"/>
                <w:szCs w:val="21"/>
              </w:rPr>
            </w:pPr>
            <w:r>
              <w:rPr>
                <w:snapToGrid w:val="0"/>
                <w:color w:val="auto"/>
                <w:kern w:val="21"/>
                <w:szCs w:val="21"/>
              </w:rPr>
              <w:t>/</w:t>
            </w:r>
          </w:p>
        </w:tc>
        <w:tc>
          <w:tcPr>
            <w:tcW w:w="617" w:type="pct"/>
            <w:noWrap w:val="0"/>
            <w:vAlign w:val="center"/>
          </w:tcPr>
          <w:p>
            <w:pPr>
              <w:jc w:val="center"/>
              <w:rPr>
                <w:snapToGrid w:val="0"/>
                <w:color w:val="auto"/>
                <w:kern w:val="21"/>
                <w:szCs w:val="21"/>
              </w:rPr>
            </w:pPr>
            <w:r>
              <w:rPr>
                <w:rFonts w:hint="eastAsia"/>
                <w:snapToGrid w:val="0"/>
                <w:color w:val="auto"/>
                <w:kern w:val="21"/>
                <w:szCs w:val="21"/>
              </w:rPr>
              <w:t>0.15</w:t>
            </w:r>
          </w:p>
        </w:tc>
        <w:tc>
          <w:tcPr>
            <w:tcW w:w="1345" w:type="dxa"/>
            <w:noWrap w:val="0"/>
            <w:vAlign w:val="center"/>
          </w:tcPr>
          <w:p>
            <w:pPr>
              <w:jc w:val="center"/>
              <w:rPr>
                <w:snapToGrid w:val="0"/>
                <w:color w:val="auto"/>
                <w:kern w:val="21"/>
                <w:szCs w:val="21"/>
              </w:rPr>
            </w:pPr>
            <w:r>
              <w:rPr>
                <w:snapToGrid w:val="0"/>
                <w:color w:val="auto"/>
                <w:kern w:val="21"/>
                <w:szCs w:val="21"/>
              </w:rPr>
              <w:t>/</w:t>
            </w:r>
          </w:p>
        </w:tc>
        <w:tc>
          <w:tcPr>
            <w:tcW w:w="2147" w:type="dxa"/>
            <w:noWrap w:val="0"/>
            <w:vAlign w:val="center"/>
          </w:tcPr>
          <w:p>
            <w:pPr>
              <w:jc w:val="center"/>
              <w:rPr>
                <w:snapToGrid w:val="0"/>
                <w:color w:val="auto"/>
                <w:kern w:val="21"/>
                <w:szCs w:val="21"/>
              </w:rPr>
            </w:pPr>
            <w:r>
              <w:rPr>
                <w:rFonts w:hint="eastAsia"/>
                <w:snapToGrid w:val="0"/>
                <w:color w:val="auto"/>
                <w:kern w:val="21"/>
                <w:szCs w:val="21"/>
              </w:rPr>
              <w:t>0.15</w:t>
            </w:r>
          </w:p>
        </w:tc>
        <w:tc>
          <w:tcPr>
            <w:tcW w:w="1499" w:type="dxa"/>
            <w:noWrap w:val="0"/>
            <w:vAlign w:val="center"/>
          </w:tcPr>
          <w:p>
            <w:pPr>
              <w:jc w:val="center"/>
              <w:rPr>
                <w:snapToGrid w:val="0"/>
                <w:color w:val="auto"/>
                <w:kern w:val="21"/>
                <w:szCs w:val="21"/>
              </w:rPr>
            </w:pPr>
            <w:r>
              <w:rPr>
                <w:rFonts w:hint="eastAsia"/>
                <w:snapToGrid w:val="0"/>
                <w:color w:val="auto"/>
                <w:kern w:val="21"/>
                <w:szCs w:val="21"/>
              </w:rPr>
              <w:t>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3" w:type="pct"/>
            <w:vMerge w:val="continue"/>
            <w:noWrap w:val="0"/>
            <w:vAlign w:val="center"/>
          </w:tcPr>
          <w:p>
            <w:pPr>
              <w:jc w:val="center"/>
              <w:rPr>
                <w:b/>
                <w:bCs/>
                <w:snapToGrid w:val="0"/>
                <w:color w:val="auto"/>
                <w:kern w:val="21"/>
                <w:szCs w:val="21"/>
              </w:rPr>
            </w:pPr>
          </w:p>
        </w:tc>
        <w:tc>
          <w:tcPr>
            <w:tcW w:w="590" w:type="pct"/>
            <w:noWrap w:val="0"/>
            <w:vAlign w:val="center"/>
          </w:tcPr>
          <w:p>
            <w:pPr>
              <w:jc w:val="center"/>
              <w:rPr>
                <w:snapToGrid w:val="0"/>
                <w:color w:val="auto"/>
                <w:kern w:val="21"/>
                <w:szCs w:val="21"/>
              </w:rPr>
            </w:pPr>
            <w:r>
              <w:rPr>
                <w:rFonts w:hint="eastAsia"/>
                <w:snapToGrid w:val="0"/>
                <w:color w:val="auto"/>
                <w:kern w:val="21"/>
                <w:szCs w:val="21"/>
              </w:rPr>
              <w:t>废活性炭</w:t>
            </w:r>
          </w:p>
        </w:tc>
        <w:tc>
          <w:tcPr>
            <w:tcW w:w="1755" w:type="dxa"/>
            <w:noWrap w:val="0"/>
            <w:vAlign w:val="center"/>
          </w:tcPr>
          <w:p>
            <w:pPr>
              <w:jc w:val="center"/>
              <w:rPr>
                <w:snapToGrid w:val="0"/>
                <w:color w:val="auto"/>
                <w:kern w:val="21"/>
                <w:szCs w:val="21"/>
              </w:rPr>
            </w:pPr>
            <w:r>
              <w:rPr>
                <w:snapToGrid w:val="0"/>
                <w:color w:val="auto"/>
                <w:kern w:val="21"/>
                <w:szCs w:val="21"/>
              </w:rPr>
              <w:t>/</w:t>
            </w:r>
          </w:p>
        </w:tc>
        <w:tc>
          <w:tcPr>
            <w:tcW w:w="1062" w:type="dxa"/>
            <w:noWrap w:val="0"/>
            <w:vAlign w:val="center"/>
          </w:tcPr>
          <w:p>
            <w:pPr>
              <w:jc w:val="center"/>
              <w:rPr>
                <w:snapToGrid w:val="0"/>
                <w:color w:val="auto"/>
                <w:kern w:val="21"/>
                <w:szCs w:val="21"/>
              </w:rPr>
            </w:pPr>
            <w:r>
              <w:rPr>
                <w:snapToGrid w:val="0"/>
                <w:color w:val="auto"/>
                <w:kern w:val="21"/>
                <w:szCs w:val="21"/>
              </w:rPr>
              <w:t>/</w:t>
            </w:r>
          </w:p>
        </w:tc>
        <w:tc>
          <w:tcPr>
            <w:tcW w:w="1713" w:type="dxa"/>
            <w:noWrap w:val="0"/>
            <w:vAlign w:val="center"/>
          </w:tcPr>
          <w:p>
            <w:pPr>
              <w:jc w:val="center"/>
              <w:rPr>
                <w:snapToGrid w:val="0"/>
                <w:color w:val="auto"/>
                <w:kern w:val="21"/>
                <w:szCs w:val="21"/>
              </w:rPr>
            </w:pPr>
            <w:r>
              <w:rPr>
                <w:snapToGrid w:val="0"/>
                <w:color w:val="auto"/>
                <w:kern w:val="21"/>
                <w:szCs w:val="21"/>
              </w:rPr>
              <w:t>/</w:t>
            </w:r>
          </w:p>
        </w:tc>
        <w:tc>
          <w:tcPr>
            <w:tcW w:w="617" w:type="pct"/>
            <w:noWrap w:val="0"/>
            <w:vAlign w:val="center"/>
          </w:tcPr>
          <w:p>
            <w:pPr>
              <w:jc w:val="center"/>
              <w:rPr>
                <w:snapToGrid w:val="0"/>
                <w:color w:val="auto"/>
                <w:kern w:val="21"/>
                <w:szCs w:val="21"/>
              </w:rPr>
            </w:pPr>
            <w:r>
              <w:rPr>
                <w:rFonts w:hint="eastAsia"/>
                <w:snapToGrid w:val="0"/>
                <w:color w:val="auto"/>
                <w:kern w:val="21"/>
                <w:szCs w:val="21"/>
              </w:rPr>
              <w:t>0.99</w:t>
            </w:r>
          </w:p>
        </w:tc>
        <w:tc>
          <w:tcPr>
            <w:tcW w:w="1345" w:type="dxa"/>
            <w:noWrap w:val="0"/>
            <w:vAlign w:val="center"/>
          </w:tcPr>
          <w:p>
            <w:pPr>
              <w:jc w:val="center"/>
              <w:rPr>
                <w:snapToGrid w:val="0"/>
                <w:color w:val="auto"/>
                <w:kern w:val="21"/>
                <w:szCs w:val="21"/>
              </w:rPr>
            </w:pPr>
            <w:r>
              <w:rPr>
                <w:snapToGrid w:val="0"/>
                <w:color w:val="auto"/>
                <w:kern w:val="21"/>
                <w:szCs w:val="21"/>
              </w:rPr>
              <w:t>/</w:t>
            </w:r>
          </w:p>
        </w:tc>
        <w:tc>
          <w:tcPr>
            <w:tcW w:w="2147" w:type="dxa"/>
            <w:noWrap w:val="0"/>
            <w:vAlign w:val="center"/>
          </w:tcPr>
          <w:p>
            <w:pPr>
              <w:jc w:val="center"/>
              <w:rPr>
                <w:snapToGrid w:val="0"/>
                <w:color w:val="auto"/>
                <w:kern w:val="21"/>
                <w:szCs w:val="21"/>
              </w:rPr>
            </w:pPr>
            <w:r>
              <w:rPr>
                <w:rFonts w:hint="eastAsia"/>
                <w:snapToGrid w:val="0"/>
                <w:color w:val="auto"/>
                <w:kern w:val="21"/>
                <w:szCs w:val="21"/>
              </w:rPr>
              <w:t>0.99</w:t>
            </w:r>
          </w:p>
        </w:tc>
        <w:tc>
          <w:tcPr>
            <w:tcW w:w="1499" w:type="dxa"/>
            <w:noWrap w:val="0"/>
            <w:vAlign w:val="center"/>
          </w:tcPr>
          <w:p>
            <w:pPr>
              <w:jc w:val="center"/>
              <w:rPr>
                <w:snapToGrid w:val="0"/>
                <w:color w:val="auto"/>
                <w:kern w:val="21"/>
                <w:szCs w:val="21"/>
              </w:rPr>
            </w:pPr>
            <w:r>
              <w:rPr>
                <w:rFonts w:hint="eastAsia"/>
                <w:snapToGrid w:val="0"/>
                <w:color w:val="auto"/>
                <w:kern w:val="21"/>
                <w:szCs w:val="21"/>
              </w:rPr>
              <w:t>0.99</w:t>
            </w:r>
          </w:p>
        </w:tc>
      </w:tr>
    </w:tbl>
    <w:p>
      <w:pPr>
        <w:ind w:firstLine="420" w:firstLineChars="200"/>
        <w:jc w:val="left"/>
        <w:rPr>
          <w:color w:val="auto"/>
        </w:rPr>
      </w:pPr>
      <w:r>
        <w:rPr>
          <w:snapToGrid w:val="0"/>
          <w:color w:val="auto"/>
          <w:kern w:val="21"/>
          <w:szCs w:val="21"/>
        </w:rPr>
        <w:t>注：</w:t>
      </w:r>
      <w:r>
        <w:rPr>
          <w:snapToGrid w:val="0"/>
          <w:color w:val="auto"/>
          <w:spacing w:val="-16"/>
          <w:kern w:val="21"/>
          <w:szCs w:val="21"/>
        </w:rPr>
        <w:fldChar w:fldCharType="begin"/>
      </w:r>
      <w:r>
        <w:rPr>
          <w:snapToGrid w:val="0"/>
          <w:color w:val="auto"/>
          <w:spacing w:val="-16"/>
          <w:kern w:val="21"/>
          <w:szCs w:val="21"/>
        </w:rPr>
        <w:instrText xml:space="preserve"> = 6 \* GB3 \* MERGEFORMAT </w:instrText>
      </w:r>
      <w:r>
        <w:rPr>
          <w:snapToGrid w:val="0"/>
          <w:color w:val="auto"/>
          <w:spacing w:val="-16"/>
          <w:kern w:val="21"/>
          <w:szCs w:val="21"/>
        </w:rPr>
        <w:fldChar w:fldCharType="separate"/>
      </w:r>
      <w:r>
        <w:rPr>
          <w:color w:val="auto"/>
          <w:szCs w:val="21"/>
        </w:rPr>
        <w:t>⑥</w:t>
      </w:r>
      <w:r>
        <w:rPr>
          <w:snapToGrid w:val="0"/>
          <w:color w:val="auto"/>
          <w:spacing w:val="-16"/>
          <w:kern w:val="21"/>
          <w:szCs w:val="21"/>
        </w:rPr>
        <w:fldChar w:fldCharType="end"/>
      </w:r>
      <w:r>
        <w:rPr>
          <w:snapToGrid w:val="0"/>
          <w:color w:val="auto"/>
          <w:spacing w:val="-16"/>
          <w:kern w:val="21"/>
          <w:szCs w:val="21"/>
        </w:rPr>
        <w:t>=</w:t>
      </w:r>
      <w:r>
        <w:rPr>
          <w:snapToGrid w:val="0"/>
          <w:color w:val="auto"/>
          <w:spacing w:val="-6"/>
          <w:kern w:val="21"/>
          <w:szCs w:val="21"/>
        </w:rPr>
        <w:fldChar w:fldCharType="begin"/>
      </w:r>
      <w:r>
        <w:rPr>
          <w:snapToGrid w:val="0"/>
          <w:color w:val="auto"/>
          <w:spacing w:val="-6"/>
          <w:kern w:val="21"/>
          <w:szCs w:val="21"/>
        </w:rPr>
        <w:instrText xml:space="preserve"> = 1 \* GB3 \* MERGEFORMAT </w:instrText>
      </w:r>
      <w:r>
        <w:rPr>
          <w:snapToGrid w:val="0"/>
          <w:color w:val="auto"/>
          <w:spacing w:val="-6"/>
          <w:kern w:val="21"/>
          <w:szCs w:val="21"/>
        </w:rPr>
        <w:fldChar w:fldCharType="separate"/>
      </w:r>
      <w:r>
        <w:rPr>
          <w:color w:val="auto"/>
          <w:szCs w:val="21"/>
        </w:rPr>
        <w:t>①</w:t>
      </w:r>
      <w:r>
        <w:rPr>
          <w:snapToGrid w:val="0"/>
          <w:color w:val="auto"/>
          <w:spacing w:val="-6"/>
          <w:kern w:val="21"/>
          <w:szCs w:val="21"/>
        </w:rPr>
        <w:fldChar w:fldCharType="end"/>
      </w:r>
      <w:r>
        <w:rPr>
          <w:snapToGrid w:val="0"/>
          <w:color w:val="auto"/>
          <w:spacing w:val="-6"/>
          <w:kern w:val="21"/>
          <w:szCs w:val="21"/>
        </w:rPr>
        <w:t>+</w:t>
      </w:r>
      <w:r>
        <w:rPr>
          <w:snapToGrid w:val="0"/>
          <w:color w:val="auto"/>
          <w:spacing w:val="-6"/>
          <w:kern w:val="21"/>
          <w:szCs w:val="21"/>
        </w:rPr>
        <w:fldChar w:fldCharType="begin"/>
      </w:r>
      <w:r>
        <w:rPr>
          <w:snapToGrid w:val="0"/>
          <w:color w:val="auto"/>
          <w:spacing w:val="-6"/>
          <w:kern w:val="21"/>
          <w:szCs w:val="21"/>
        </w:rPr>
        <w:instrText xml:space="preserve"> = 3 \* GB3 \* MERGEFORMAT </w:instrText>
      </w:r>
      <w:r>
        <w:rPr>
          <w:snapToGrid w:val="0"/>
          <w:color w:val="auto"/>
          <w:spacing w:val="-6"/>
          <w:kern w:val="21"/>
          <w:szCs w:val="21"/>
        </w:rPr>
        <w:fldChar w:fldCharType="separate"/>
      </w:r>
      <w:r>
        <w:rPr>
          <w:color w:val="auto"/>
          <w:szCs w:val="21"/>
        </w:rPr>
        <w:t>③</w:t>
      </w:r>
      <w:r>
        <w:rPr>
          <w:snapToGrid w:val="0"/>
          <w:color w:val="auto"/>
          <w:spacing w:val="-6"/>
          <w:kern w:val="21"/>
          <w:szCs w:val="21"/>
        </w:rPr>
        <w:fldChar w:fldCharType="end"/>
      </w:r>
      <w:r>
        <w:rPr>
          <w:snapToGrid w:val="0"/>
          <w:color w:val="auto"/>
          <w:spacing w:val="-6"/>
          <w:kern w:val="21"/>
          <w:szCs w:val="21"/>
        </w:rPr>
        <w:t>+</w:t>
      </w:r>
      <w:r>
        <w:rPr>
          <w:snapToGrid w:val="0"/>
          <w:color w:val="auto"/>
          <w:spacing w:val="-6"/>
          <w:kern w:val="21"/>
          <w:szCs w:val="21"/>
        </w:rPr>
        <w:fldChar w:fldCharType="begin"/>
      </w:r>
      <w:r>
        <w:rPr>
          <w:snapToGrid w:val="0"/>
          <w:color w:val="auto"/>
          <w:spacing w:val="-6"/>
          <w:kern w:val="21"/>
          <w:szCs w:val="21"/>
        </w:rPr>
        <w:instrText xml:space="preserve"> = 4 \* GB3 \* MERGEFORMAT </w:instrText>
      </w:r>
      <w:r>
        <w:rPr>
          <w:snapToGrid w:val="0"/>
          <w:color w:val="auto"/>
          <w:spacing w:val="-6"/>
          <w:kern w:val="21"/>
          <w:szCs w:val="21"/>
        </w:rPr>
        <w:fldChar w:fldCharType="separate"/>
      </w:r>
      <w:r>
        <w:rPr>
          <w:color w:val="auto"/>
          <w:szCs w:val="21"/>
        </w:rPr>
        <w:t>④</w:t>
      </w:r>
      <w:r>
        <w:rPr>
          <w:snapToGrid w:val="0"/>
          <w:color w:val="auto"/>
          <w:spacing w:val="-6"/>
          <w:kern w:val="21"/>
          <w:szCs w:val="21"/>
        </w:rPr>
        <w:fldChar w:fldCharType="end"/>
      </w:r>
      <w:r>
        <w:rPr>
          <w:snapToGrid w:val="0"/>
          <w:color w:val="auto"/>
          <w:spacing w:val="-6"/>
          <w:kern w:val="21"/>
          <w:szCs w:val="21"/>
        </w:rPr>
        <w:t>-</w:t>
      </w:r>
      <w:r>
        <w:rPr>
          <w:snapToGrid w:val="0"/>
          <w:color w:val="auto"/>
          <w:spacing w:val="-16"/>
          <w:kern w:val="21"/>
          <w:szCs w:val="21"/>
        </w:rPr>
        <w:fldChar w:fldCharType="begin"/>
      </w:r>
      <w:r>
        <w:rPr>
          <w:snapToGrid w:val="0"/>
          <w:color w:val="auto"/>
          <w:spacing w:val="-16"/>
          <w:kern w:val="21"/>
          <w:szCs w:val="21"/>
        </w:rPr>
        <w:instrText xml:space="preserve"> = 5 \* GB3 \* MERGEFORMAT </w:instrText>
      </w:r>
      <w:r>
        <w:rPr>
          <w:snapToGrid w:val="0"/>
          <w:color w:val="auto"/>
          <w:spacing w:val="-16"/>
          <w:kern w:val="21"/>
          <w:szCs w:val="21"/>
        </w:rPr>
        <w:fldChar w:fldCharType="separate"/>
      </w:r>
      <w:r>
        <w:rPr>
          <w:color w:val="auto"/>
          <w:szCs w:val="21"/>
        </w:rPr>
        <w:t>⑤</w:t>
      </w:r>
      <w:r>
        <w:rPr>
          <w:snapToGrid w:val="0"/>
          <w:color w:val="auto"/>
          <w:spacing w:val="-16"/>
          <w:kern w:val="21"/>
          <w:szCs w:val="21"/>
        </w:rPr>
        <w:fldChar w:fldCharType="end"/>
      </w:r>
      <w:r>
        <w:rPr>
          <w:snapToGrid w:val="0"/>
          <w:color w:val="auto"/>
          <w:spacing w:val="-16"/>
          <w:kern w:val="21"/>
          <w:szCs w:val="21"/>
        </w:rPr>
        <w:t>；</w:t>
      </w:r>
      <w:r>
        <w:rPr>
          <w:snapToGrid w:val="0"/>
          <w:color w:val="auto"/>
          <w:spacing w:val="-6"/>
          <w:kern w:val="21"/>
          <w:szCs w:val="21"/>
        </w:rPr>
        <w:fldChar w:fldCharType="begin"/>
      </w:r>
      <w:r>
        <w:rPr>
          <w:snapToGrid w:val="0"/>
          <w:color w:val="auto"/>
          <w:spacing w:val="-6"/>
          <w:kern w:val="21"/>
          <w:szCs w:val="21"/>
        </w:rPr>
        <w:instrText xml:space="preserve"> = 7 \* GB3 \* MERGEFORMAT </w:instrText>
      </w:r>
      <w:r>
        <w:rPr>
          <w:snapToGrid w:val="0"/>
          <w:color w:val="auto"/>
          <w:spacing w:val="-6"/>
          <w:kern w:val="21"/>
          <w:szCs w:val="21"/>
        </w:rPr>
        <w:fldChar w:fldCharType="separate"/>
      </w:r>
      <w:r>
        <w:rPr>
          <w:color w:val="auto"/>
          <w:szCs w:val="21"/>
        </w:rPr>
        <w:t>⑦</w:t>
      </w:r>
      <w:r>
        <w:rPr>
          <w:snapToGrid w:val="0"/>
          <w:color w:val="auto"/>
          <w:spacing w:val="-6"/>
          <w:kern w:val="21"/>
          <w:szCs w:val="21"/>
        </w:rPr>
        <w:fldChar w:fldCharType="end"/>
      </w:r>
      <w:r>
        <w:rPr>
          <w:snapToGrid w:val="0"/>
          <w:color w:val="auto"/>
          <w:spacing w:val="-6"/>
          <w:kern w:val="21"/>
          <w:szCs w:val="21"/>
        </w:rPr>
        <w:t>=</w:t>
      </w:r>
      <w:r>
        <w:rPr>
          <w:snapToGrid w:val="0"/>
          <w:color w:val="auto"/>
          <w:spacing w:val="-16"/>
          <w:kern w:val="21"/>
          <w:szCs w:val="21"/>
        </w:rPr>
        <w:fldChar w:fldCharType="begin"/>
      </w:r>
      <w:r>
        <w:rPr>
          <w:snapToGrid w:val="0"/>
          <w:color w:val="auto"/>
          <w:spacing w:val="-16"/>
          <w:kern w:val="21"/>
          <w:szCs w:val="21"/>
        </w:rPr>
        <w:instrText xml:space="preserve"> = 6 \* GB3 \* MERGEFORMAT </w:instrText>
      </w:r>
      <w:r>
        <w:rPr>
          <w:snapToGrid w:val="0"/>
          <w:color w:val="auto"/>
          <w:spacing w:val="-16"/>
          <w:kern w:val="21"/>
          <w:szCs w:val="21"/>
        </w:rPr>
        <w:fldChar w:fldCharType="separate"/>
      </w:r>
      <w:r>
        <w:rPr>
          <w:color w:val="auto"/>
          <w:szCs w:val="21"/>
        </w:rPr>
        <w:t>⑥</w:t>
      </w:r>
      <w:r>
        <w:rPr>
          <w:snapToGrid w:val="0"/>
          <w:color w:val="auto"/>
          <w:spacing w:val="-16"/>
          <w:kern w:val="21"/>
          <w:szCs w:val="21"/>
        </w:rPr>
        <w:fldChar w:fldCharType="end"/>
      </w:r>
      <w:r>
        <w:rPr>
          <w:snapToGrid w:val="0"/>
          <w:color w:val="auto"/>
          <w:spacing w:val="-16"/>
          <w:kern w:val="21"/>
          <w:szCs w:val="21"/>
        </w:rPr>
        <w:t>-</w:t>
      </w:r>
      <w:r>
        <w:rPr>
          <w:snapToGrid w:val="0"/>
          <w:color w:val="auto"/>
          <w:spacing w:val="-6"/>
          <w:kern w:val="21"/>
          <w:szCs w:val="21"/>
        </w:rPr>
        <w:fldChar w:fldCharType="begin"/>
      </w:r>
      <w:r>
        <w:rPr>
          <w:snapToGrid w:val="0"/>
          <w:color w:val="auto"/>
          <w:spacing w:val="-6"/>
          <w:kern w:val="21"/>
          <w:szCs w:val="21"/>
        </w:rPr>
        <w:instrText xml:space="preserve"> = 1 \* GB3 \* MERGEFORMAT </w:instrText>
      </w:r>
      <w:r>
        <w:rPr>
          <w:snapToGrid w:val="0"/>
          <w:color w:val="auto"/>
          <w:spacing w:val="-6"/>
          <w:kern w:val="21"/>
          <w:szCs w:val="21"/>
        </w:rPr>
        <w:fldChar w:fldCharType="separate"/>
      </w:r>
      <w:r>
        <w:rPr>
          <w:color w:val="auto"/>
          <w:szCs w:val="21"/>
        </w:rPr>
        <w:t>①</w:t>
      </w:r>
      <w:r>
        <w:rPr>
          <w:snapToGrid w:val="0"/>
          <w:color w:val="auto"/>
          <w:spacing w:val="-6"/>
          <w:kern w:val="21"/>
          <w:szCs w:val="21"/>
        </w:rPr>
        <w:fldChar w:fldCharType="end"/>
      </w:r>
      <w:r>
        <w:rPr>
          <w:snapToGrid w:val="0"/>
          <w:color w:val="auto"/>
          <w:spacing w:val="-6"/>
          <w:kern w:val="21"/>
          <w:szCs w:val="21"/>
        </w:rPr>
        <w:t>；单位为t/a。</w:t>
      </w:r>
    </w:p>
    <w:sectPr>
      <w:footerReference r:id="rId4" w:type="default"/>
      <w:pgSz w:w="16838" w:h="11906" w:orient="landscape"/>
      <w:pgMar w:top="1083" w:right="1440" w:bottom="1083" w:left="144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tabs>
                              <w:tab w:val="center" w:pos="4153"/>
                              <w:tab w:val="right"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Qe10z0AAAAAMBAAAPAAAAAAAAAAEAIAAAACIAAABkcnMvZG93&#10;bnJldi54bWxQSwECFAAUAAAACACHTuJAVpyyhs8BAACaAwAADgAAAAAAAAABACAAAAAfAQAAZHJz&#10;L2Uyb0RvYy54bWxQSwUGAAAAAAYABgBZAQAAYAUAAAAA&#10;">
              <v:fill on="f" focussize="0,0"/>
              <v:stroke on="f"/>
              <v:imagedata o:title=""/>
              <o:lock v:ext="edit" aspectratio="f"/>
              <v:textbox inset="0mm,0mm,0mm,0mm" style="mso-fit-shape-to-text:t;">
                <w:txbxContent>
                  <w:p>
                    <w:pPr>
                      <w:tabs>
                        <w:tab w:val="center" w:pos="4153"/>
                        <w:tab w:val="right"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mMjczZGIxNTZmZDk1ZjZkNjc3MzUwMjA3ZWE5NzAifQ=="/>
  </w:docVars>
  <w:rsids>
    <w:rsidRoot w:val="00172A27"/>
    <w:rsid w:val="000060B3"/>
    <w:rsid w:val="00011781"/>
    <w:rsid w:val="000118A6"/>
    <w:rsid w:val="00011FE2"/>
    <w:rsid w:val="000332FD"/>
    <w:rsid w:val="0004364B"/>
    <w:rsid w:val="00056586"/>
    <w:rsid w:val="00061B1F"/>
    <w:rsid w:val="000733C4"/>
    <w:rsid w:val="00073F12"/>
    <w:rsid w:val="00074783"/>
    <w:rsid w:val="0008070B"/>
    <w:rsid w:val="000810AC"/>
    <w:rsid w:val="00081A02"/>
    <w:rsid w:val="00082231"/>
    <w:rsid w:val="00092D38"/>
    <w:rsid w:val="0009377B"/>
    <w:rsid w:val="000A20C9"/>
    <w:rsid w:val="000B058F"/>
    <w:rsid w:val="000B4467"/>
    <w:rsid w:val="000B4DB9"/>
    <w:rsid w:val="000C09AC"/>
    <w:rsid w:val="000C767F"/>
    <w:rsid w:val="000D5A44"/>
    <w:rsid w:val="000E3ED2"/>
    <w:rsid w:val="00131F42"/>
    <w:rsid w:val="001357F1"/>
    <w:rsid w:val="00140FA8"/>
    <w:rsid w:val="00142FEB"/>
    <w:rsid w:val="00143A2D"/>
    <w:rsid w:val="00145A41"/>
    <w:rsid w:val="00151675"/>
    <w:rsid w:val="00157435"/>
    <w:rsid w:val="00163771"/>
    <w:rsid w:val="0017504D"/>
    <w:rsid w:val="0017671A"/>
    <w:rsid w:val="00177422"/>
    <w:rsid w:val="00184590"/>
    <w:rsid w:val="001870D1"/>
    <w:rsid w:val="0018781E"/>
    <w:rsid w:val="0019262D"/>
    <w:rsid w:val="001A1B35"/>
    <w:rsid w:val="001A48A2"/>
    <w:rsid w:val="001A6F61"/>
    <w:rsid w:val="001B72B8"/>
    <w:rsid w:val="001C69B3"/>
    <w:rsid w:val="001D5595"/>
    <w:rsid w:val="001D7874"/>
    <w:rsid w:val="001D7F22"/>
    <w:rsid w:val="001E0499"/>
    <w:rsid w:val="001F0F17"/>
    <w:rsid w:val="001F3347"/>
    <w:rsid w:val="001F69E4"/>
    <w:rsid w:val="00206485"/>
    <w:rsid w:val="00207EDD"/>
    <w:rsid w:val="00211F57"/>
    <w:rsid w:val="002125B4"/>
    <w:rsid w:val="002155B8"/>
    <w:rsid w:val="00224839"/>
    <w:rsid w:val="002249B2"/>
    <w:rsid w:val="00226574"/>
    <w:rsid w:val="002278EC"/>
    <w:rsid w:val="0023280E"/>
    <w:rsid w:val="002377D1"/>
    <w:rsid w:val="002506BC"/>
    <w:rsid w:val="00254345"/>
    <w:rsid w:val="00264557"/>
    <w:rsid w:val="002805AB"/>
    <w:rsid w:val="002835B2"/>
    <w:rsid w:val="00284204"/>
    <w:rsid w:val="00291773"/>
    <w:rsid w:val="002A168C"/>
    <w:rsid w:val="002A3DC7"/>
    <w:rsid w:val="002B49E2"/>
    <w:rsid w:val="002B7B00"/>
    <w:rsid w:val="002B7C44"/>
    <w:rsid w:val="002C2B17"/>
    <w:rsid w:val="002D3DD0"/>
    <w:rsid w:val="002E1F3A"/>
    <w:rsid w:val="002E298A"/>
    <w:rsid w:val="002E7958"/>
    <w:rsid w:val="002F3D01"/>
    <w:rsid w:val="00301978"/>
    <w:rsid w:val="0030332C"/>
    <w:rsid w:val="003051C2"/>
    <w:rsid w:val="00312296"/>
    <w:rsid w:val="00314F0E"/>
    <w:rsid w:val="00321D8E"/>
    <w:rsid w:val="00325928"/>
    <w:rsid w:val="00332863"/>
    <w:rsid w:val="0033684D"/>
    <w:rsid w:val="00337B42"/>
    <w:rsid w:val="00341B42"/>
    <w:rsid w:val="0034348F"/>
    <w:rsid w:val="00356653"/>
    <w:rsid w:val="0035743F"/>
    <w:rsid w:val="00357BE2"/>
    <w:rsid w:val="0036170C"/>
    <w:rsid w:val="00366E0F"/>
    <w:rsid w:val="00381A72"/>
    <w:rsid w:val="00384676"/>
    <w:rsid w:val="00390857"/>
    <w:rsid w:val="003A4BF3"/>
    <w:rsid w:val="003B0C7C"/>
    <w:rsid w:val="003B420D"/>
    <w:rsid w:val="003C0724"/>
    <w:rsid w:val="003C458F"/>
    <w:rsid w:val="003C6C16"/>
    <w:rsid w:val="003D794D"/>
    <w:rsid w:val="003E3058"/>
    <w:rsid w:val="003E76A9"/>
    <w:rsid w:val="003F0809"/>
    <w:rsid w:val="003F6A8C"/>
    <w:rsid w:val="003F755C"/>
    <w:rsid w:val="004033E1"/>
    <w:rsid w:val="004036FF"/>
    <w:rsid w:val="00406F01"/>
    <w:rsid w:val="004140B3"/>
    <w:rsid w:val="00416D50"/>
    <w:rsid w:val="00416FD5"/>
    <w:rsid w:val="00417772"/>
    <w:rsid w:val="00420E6A"/>
    <w:rsid w:val="00424A0C"/>
    <w:rsid w:val="00425A9E"/>
    <w:rsid w:val="00426D6B"/>
    <w:rsid w:val="0043199C"/>
    <w:rsid w:val="00431E6C"/>
    <w:rsid w:val="00433CE7"/>
    <w:rsid w:val="00437B40"/>
    <w:rsid w:val="00452738"/>
    <w:rsid w:val="00456091"/>
    <w:rsid w:val="00466321"/>
    <w:rsid w:val="004814F8"/>
    <w:rsid w:val="00484B9B"/>
    <w:rsid w:val="004855F6"/>
    <w:rsid w:val="0048661E"/>
    <w:rsid w:val="00494670"/>
    <w:rsid w:val="004A3823"/>
    <w:rsid w:val="004E6946"/>
    <w:rsid w:val="004F1AD8"/>
    <w:rsid w:val="005039CB"/>
    <w:rsid w:val="0050558F"/>
    <w:rsid w:val="00506286"/>
    <w:rsid w:val="00510813"/>
    <w:rsid w:val="00511990"/>
    <w:rsid w:val="00511DE0"/>
    <w:rsid w:val="00514870"/>
    <w:rsid w:val="00514B9B"/>
    <w:rsid w:val="00517F02"/>
    <w:rsid w:val="00523857"/>
    <w:rsid w:val="00524303"/>
    <w:rsid w:val="005258A2"/>
    <w:rsid w:val="00535A80"/>
    <w:rsid w:val="00536526"/>
    <w:rsid w:val="005401AE"/>
    <w:rsid w:val="00542E07"/>
    <w:rsid w:val="00545424"/>
    <w:rsid w:val="00554A7B"/>
    <w:rsid w:val="0055572C"/>
    <w:rsid w:val="0056106A"/>
    <w:rsid w:val="005720AE"/>
    <w:rsid w:val="00581CB8"/>
    <w:rsid w:val="00594D77"/>
    <w:rsid w:val="005969E4"/>
    <w:rsid w:val="005A06B7"/>
    <w:rsid w:val="005A1759"/>
    <w:rsid w:val="005A4AD3"/>
    <w:rsid w:val="005A68A7"/>
    <w:rsid w:val="005A7FFD"/>
    <w:rsid w:val="005D36AB"/>
    <w:rsid w:val="00604314"/>
    <w:rsid w:val="00617CC3"/>
    <w:rsid w:val="006377A6"/>
    <w:rsid w:val="00637A3D"/>
    <w:rsid w:val="006411EF"/>
    <w:rsid w:val="0065466F"/>
    <w:rsid w:val="006748B8"/>
    <w:rsid w:val="006775C3"/>
    <w:rsid w:val="0069290A"/>
    <w:rsid w:val="0069775A"/>
    <w:rsid w:val="00697813"/>
    <w:rsid w:val="006A3EE8"/>
    <w:rsid w:val="006A72BF"/>
    <w:rsid w:val="006B03F2"/>
    <w:rsid w:val="006B37DC"/>
    <w:rsid w:val="006B4F68"/>
    <w:rsid w:val="006C0592"/>
    <w:rsid w:val="006C1AC6"/>
    <w:rsid w:val="006C272E"/>
    <w:rsid w:val="006C5479"/>
    <w:rsid w:val="006D13B5"/>
    <w:rsid w:val="006D4023"/>
    <w:rsid w:val="006E12FF"/>
    <w:rsid w:val="006E607E"/>
    <w:rsid w:val="00706C5D"/>
    <w:rsid w:val="00732922"/>
    <w:rsid w:val="0075162E"/>
    <w:rsid w:val="00754034"/>
    <w:rsid w:val="00756556"/>
    <w:rsid w:val="007618C4"/>
    <w:rsid w:val="007625E9"/>
    <w:rsid w:val="00767980"/>
    <w:rsid w:val="00770B19"/>
    <w:rsid w:val="0077463F"/>
    <w:rsid w:val="007836EA"/>
    <w:rsid w:val="00784B03"/>
    <w:rsid w:val="00784CDA"/>
    <w:rsid w:val="007906C4"/>
    <w:rsid w:val="007940EA"/>
    <w:rsid w:val="007967E8"/>
    <w:rsid w:val="007A2170"/>
    <w:rsid w:val="007A22BF"/>
    <w:rsid w:val="007A3323"/>
    <w:rsid w:val="007B72B8"/>
    <w:rsid w:val="007B7A58"/>
    <w:rsid w:val="007C21B5"/>
    <w:rsid w:val="007E1A2D"/>
    <w:rsid w:val="007E49AE"/>
    <w:rsid w:val="007E4BD2"/>
    <w:rsid w:val="00801393"/>
    <w:rsid w:val="0080191C"/>
    <w:rsid w:val="00802F88"/>
    <w:rsid w:val="0081293E"/>
    <w:rsid w:val="00815465"/>
    <w:rsid w:val="00817E9A"/>
    <w:rsid w:val="008306BD"/>
    <w:rsid w:val="00831A80"/>
    <w:rsid w:val="00833743"/>
    <w:rsid w:val="008340A4"/>
    <w:rsid w:val="00851273"/>
    <w:rsid w:val="00854903"/>
    <w:rsid w:val="00870D09"/>
    <w:rsid w:val="0087135F"/>
    <w:rsid w:val="008713F3"/>
    <w:rsid w:val="00872D94"/>
    <w:rsid w:val="00880364"/>
    <w:rsid w:val="00891592"/>
    <w:rsid w:val="00891E9E"/>
    <w:rsid w:val="00894DE8"/>
    <w:rsid w:val="008A2F68"/>
    <w:rsid w:val="008B4FA6"/>
    <w:rsid w:val="008B5282"/>
    <w:rsid w:val="008B7C17"/>
    <w:rsid w:val="008C2A89"/>
    <w:rsid w:val="008C2A96"/>
    <w:rsid w:val="008C2D01"/>
    <w:rsid w:val="008C40E6"/>
    <w:rsid w:val="008D0F7A"/>
    <w:rsid w:val="008D68E4"/>
    <w:rsid w:val="008E0506"/>
    <w:rsid w:val="008E0CFF"/>
    <w:rsid w:val="008E5D6B"/>
    <w:rsid w:val="008E76F0"/>
    <w:rsid w:val="008F15FE"/>
    <w:rsid w:val="008F2D29"/>
    <w:rsid w:val="008F463D"/>
    <w:rsid w:val="008F5187"/>
    <w:rsid w:val="008F60D8"/>
    <w:rsid w:val="00902727"/>
    <w:rsid w:val="0090312B"/>
    <w:rsid w:val="0091736D"/>
    <w:rsid w:val="00920803"/>
    <w:rsid w:val="0093037A"/>
    <w:rsid w:val="00933AFD"/>
    <w:rsid w:val="0094154D"/>
    <w:rsid w:val="0095155F"/>
    <w:rsid w:val="00954429"/>
    <w:rsid w:val="009563CE"/>
    <w:rsid w:val="00976328"/>
    <w:rsid w:val="0097680D"/>
    <w:rsid w:val="00982438"/>
    <w:rsid w:val="0098404C"/>
    <w:rsid w:val="00985283"/>
    <w:rsid w:val="00995992"/>
    <w:rsid w:val="009A03E5"/>
    <w:rsid w:val="009A0F3B"/>
    <w:rsid w:val="009A1A43"/>
    <w:rsid w:val="009A1BB4"/>
    <w:rsid w:val="009A2628"/>
    <w:rsid w:val="009A3200"/>
    <w:rsid w:val="009B0897"/>
    <w:rsid w:val="009B7BD9"/>
    <w:rsid w:val="009C7DD5"/>
    <w:rsid w:val="009E227D"/>
    <w:rsid w:val="009E5019"/>
    <w:rsid w:val="00A00647"/>
    <w:rsid w:val="00A04F1B"/>
    <w:rsid w:val="00A0501B"/>
    <w:rsid w:val="00A14947"/>
    <w:rsid w:val="00A32A83"/>
    <w:rsid w:val="00A368DB"/>
    <w:rsid w:val="00A423AA"/>
    <w:rsid w:val="00A53EC6"/>
    <w:rsid w:val="00A55C0F"/>
    <w:rsid w:val="00A8713F"/>
    <w:rsid w:val="00A90BA1"/>
    <w:rsid w:val="00A97A9A"/>
    <w:rsid w:val="00AA01F9"/>
    <w:rsid w:val="00AA0671"/>
    <w:rsid w:val="00AA2531"/>
    <w:rsid w:val="00AB1E09"/>
    <w:rsid w:val="00AB5330"/>
    <w:rsid w:val="00AB7747"/>
    <w:rsid w:val="00AC14CE"/>
    <w:rsid w:val="00AC2A56"/>
    <w:rsid w:val="00AD055E"/>
    <w:rsid w:val="00AD47A7"/>
    <w:rsid w:val="00AF0CBF"/>
    <w:rsid w:val="00AF257F"/>
    <w:rsid w:val="00AF33CF"/>
    <w:rsid w:val="00AF4D50"/>
    <w:rsid w:val="00AF6179"/>
    <w:rsid w:val="00B1295A"/>
    <w:rsid w:val="00B17763"/>
    <w:rsid w:val="00B20A45"/>
    <w:rsid w:val="00B22C5C"/>
    <w:rsid w:val="00B24F30"/>
    <w:rsid w:val="00B31ABF"/>
    <w:rsid w:val="00B33BE3"/>
    <w:rsid w:val="00B34261"/>
    <w:rsid w:val="00B47350"/>
    <w:rsid w:val="00B53B5D"/>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2024"/>
    <w:rsid w:val="00C135BC"/>
    <w:rsid w:val="00C15C95"/>
    <w:rsid w:val="00C2596A"/>
    <w:rsid w:val="00C269CC"/>
    <w:rsid w:val="00C27537"/>
    <w:rsid w:val="00C328FE"/>
    <w:rsid w:val="00C33507"/>
    <w:rsid w:val="00C4409D"/>
    <w:rsid w:val="00C44E72"/>
    <w:rsid w:val="00C45A06"/>
    <w:rsid w:val="00C47E5B"/>
    <w:rsid w:val="00C51D2C"/>
    <w:rsid w:val="00C61E4B"/>
    <w:rsid w:val="00C64BFF"/>
    <w:rsid w:val="00C65FEF"/>
    <w:rsid w:val="00C704E9"/>
    <w:rsid w:val="00C71F28"/>
    <w:rsid w:val="00C763C9"/>
    <w:rsid w:val="00C80057"/>
    <w:rsid w:val="00C82232"/>
    <w:rsid w:val="00C82913"/>
    <w:rsid w:val="00C972B1"/>
    <w:rsid w:val="00CA2CCE"/>
    <w:rsid w:val="00CA43FD"/>
    <w:rsid w:val="00CA7EF8"/>
    <w:rsid w:val="00CB76AB"/>
    <w:rsid w:val="00CC489B"/>
    <w:rsid w:val="00CD2BCD"/>
    <w:rsid w:val="00CD3733"/>
    <w:rsid w:val="00CD3A4C"/>
    <w:rsid w:val="00CE10E9"/>
    <w:rsid w:val="00CE2910"/>
    <w:rsid w:val="00CE5393"/>
    <w:rsid w:val="00CF36BE"/>
    <w:rsid w:val="00CF6000"/>
    <w:rsid w:val="00CF6874"/>
    <w:rsid w:val="00D003F3"/>
    <w:rsid w:val="00D01EE0"/>
    <w:rsid w:val="00D0364F"/>
    <w:rsid w:val="00D06834"/>
    <w:rsid w:val="00D1499A"/>
    <w:rsid w:val="00D1510D"/>
    <w:rsid w:val="00D308ED"/>
    <w:rsid w:val="00D36D86"/>
    <w:rsid w:val="00D428AA"/>
    <w:rsid w:val="00D50A34"/>
    <w:rsid w:val="00D53EFA"/>
    <w:rsid w:val="00D71BDB"/>
    <w:rsid w:val="00D83FB3"/>
    <w:rsid w:val="00D94A7C"/>
    <w:rsid w:val="00D95896"/>
    <w:rsid w:val="00DB2983"/>
    <w:rsid w:val="00DC1257"/>
    <w:rsid w:val="00DC12D0"/>
    <w:rsid w:val="00DC3DC0"/>
    <w:rsid w:val="00DC5B2B"/>
    <w:rsid w:val="00DD318D"/>
    <w:rsid w:val="00DD33A7"/>
    <w:rsid w:val="00DE5D37"/>
    <w:rsid w:val="00DF2E12"/>
    <w:rsid w:val="00DF514A"/>
    <w:rsid w:val="00DF6690"/>
    <w:rsid w:val="00DF6804"/>
    <w:rsid w:val="00E0358D"/>
    <w:rsid w:val="00E04323"/>
    <w:rsid w:val="00E070A2"/>
    <w:rsid w:val="00E2656A"/>
    <w:rsid w:val="00E27B3E"/>
    <w:rsid w:val="00E412D0"/>
    <w:rsid w:val="00E56322"/>
    <w:rsid w:val="00E60982"/>
    <w:rsid w:val="00E60A7E"/>
    <w:rsid w:val="00E62C62"/>
    <w:rsid w:val="00E654C1"/>
    <w:rsid w:val="00E65D97"/>
    <w:rsid w:val="00E72A5A"/>
    <w:rsid w:val="00E73354"/>
    <w:rsid w:val="00E9242D"/>
    <w:rsid w:val="00E92C04"/>
    <w:rsid w:val="00EB384F"/>
    <w:rsid w:val="00EB47C4"/>
    <w:rsid w:val="00EB5255"/>
    <w:rsid w:val="00EB5C47"/>
    <w:rsid w:val="00ED0639"/>
    <w:rsid w:val="00ED6BF7"/>
    <w:rsid w:val="00EE0D9A"/>
    <w:rsid w:val="00EF4755"/>
    <w:rsid w:val="00EF7135"/>
    <w:rsid w:val="00F027DB"/>
    <w:rsid w:val="00F14A7A"/>
    <w:rsid w:val="00F172FE"/>
    <w:rsid w:val="00F22985"/>
    <w:rsid w:val="00F3383E"/>
    <w:rsid w:val="00F45F18"/>
    <w:rsid w:val="00F465A7"/>
    <w:rsid w:val="00F50B7C"/>
    <w:rsid w:val="00F550E6"/>
    <w:rsid w:val="00F72D37"/>
    <w:rsid w:val="00F73AE7"/>
    <w:rsid w:val="00F74345"/>
    <w:rsid w:val="00F80A0A"/>
    <w:rsid w:val="00F82B19"/>
    <w:rsid w:val="00F9212D"/>
    <w:rsid w:val="00F965DA"/>
    <w:rsid w:val="00FA406A"/>
    <w:rsid w:val="00FB187E"/>
    <w:rsid w:val="00FB503A"/>
    <w:rsid w:val="00FB516C"/>
    <w:rsid w:val="00FD0236"/>
    <w:rsid w:val="00FD18F4"/>
    <w:rsid w:val="00FD45B2"/>
    <w:rsid w:val="00FD54DB"/>
    <w:rsid w:val="00FD619F"/>
    <w:rsid w:val="011E0236"/>
    <w:rsid w:val="01290F7E"/>
    <w:rsid w:val="015D1E09"/>
    <w:rsid w:val="017B1835"/>
    <w:rsid w:val="01FD7E4B"/>
    <w:rsid w:val="020A29D1"/>
    <w:rsid w:val="02213689"/>
    <w:rsid w:val="023078A2"/>
    <w:rsid w:val="02697903"/>
    <w:rsid w:val="02755FB4"/>
    <w:rsid w:val="027D5357"/>
    <w:rsid w:val="027E0F51"/>
    <w:rsid w:val="02B55223"/>
    <w:rsid w:val="02C82E12"/>
    <w:rsid w:val="02D415D5"/>
    <w:rsid w:val="02F96569"/>
    <w:rsid w:val="03021574"/>
    <w:rsid w:val="03210BEF"/>
    <w:rsid w:val="032203B7"/>
    <w:rsid w:val="0328798F"/>
    <w:rsid w:val="03716D43"/>
    <w:rsid w:val="037C000C"/>
    <w:rsid w:val="03896BE3"/>
    <w:rsid w:val="03911483"/>
    <w:rsid w:val="039E565E"/>
    <w:rsid w:val="03AC1B29"/>
    <w:rsid w:val="03C2759E"/>
    <w:rsid w:val="03C70711"/>
    <w:rsid w:val="03EA7B21"/>
    <w:rsid w:val="03F40199"/>
    <w:rsid w:val="040F0A2F"/>
    <w:rsid w:val="042233D6"/>
    <w:rsid w:val="04231E7C"/>
    <w:rsid w:val="042F76E3"/>
    <w:rsid w:val="04625C1B"/>
    <w:rsid w:val="04844854"/>
    <w:rsid w:val="049654A1"/>
    <w:rsid w:val="049A5E25"/>
    <w:rsid w:val="04D20FE5"/>
    <w:rsid w:val="04E7150E"/>
    <w:rsid w:val="04ED064B"/>
    <w:rsid w:val="04FD0162"/>
    <w:rsid w:val="05384D2F"/>
    <w:rsid w:val="056D14F9"/>
    <w:rsid w:val="05992A86"/>
    <w:rsid w:val="059A1617"/>
    <w:rsid w:val="05C1463F"/>
    <w:rsid w:val="05C956C0"/>
    <w:rsid w:val="05F65A28"/>
    <w:rsid w:val="05F83EAE"/>
    <w:rsid w:val="06220619"/>
    <w:rsid w:val="06274ABE"/>
    <w:rsid w:val="06375C25"/>
    <w:rsid w:val="063E7D85"/>
    <w:rsid w:val="068F12CD"/>
    <w:rsid w:val="06AA55D0"/>
    <w:rsid w:val="06B07B41"/>
    <w:rsid w:val="06C23F08"/>
    <w:rsid w:val="07060269"/>
    <w:rsid w:val="071A6392"/>
    <w:rsid w:val="07247C28"/>
    <w:rsid w:val="07293586"/>
    <w:rsid w:val="07295285"/>
    <w:rsid w:val="07636392"/>
    <w:rsid w:val="0765344E"/>
    <w:rsid w:val="076966A3"/>
    <w:rsid w:val="07770C56"/>
    <w:rsid w:val="079269DC"/>
    <w:rsid w:val="07A83C03"/>
    <w:rsid w:val="07BD7973"/>
    <w:rsid w:val="07F4391B"/>
    <w:rsid w:val="07FB1404"/>
    <w:rsid w:val="08407B7C"/>
    <w:rsid w:val="08770EAA"/>
    <w:rsid w:val="087E378B"/>
    <w:rsid w:val="08827935"/>
    <w:rsid w:val="08A30409"/>
    <w:rsid w:val="08AD5AF7"/>
    <w:rsid w:val="08DF64FD"/>
    <w:rsid w:val="08E60808"/>
    <w:rsid w:val="092217DD"/>
    <w:rsid w:val="093A7294"/>
    <w:rsid w:val="09407D4C"/>
    <w:rsid w:val="0950795F"/>
    <w:rsid w:val="095A3DD5"/>
    <w:rsid w:val="09CA6BBE"/>
    <w:rsid w:val="09CD1C90"/>
    <w:rsid w:val="09DC47EA"/>
    <w:rsid w:val="09EC2E6D"/>
    <w:rsid w:val="09F32329"/>
    <w:rsid w:val="09FF077C"/>
    <w:rsid w:val="0A263993"/>
    <w:rsid w:val="0A2D3AC2"/>
    <w:rsid w:val="0A544CC8"/>
    <w:rsid w:val="0A672DA4"/>
    <w:rsid w:val="0A6904EF"/>
    <w:rsid w:val="0A7E4A87"/>
    <w:rsid w:val="0A99673B"/>
    <w:rsid w:val="0AA755DF"/>
    <w:rsid w:val="0AB17ABB"/>
    <w:rsid w:val="0AB76735"/>
    <w:rsid w:val="0ABF283E"/>
    <w:rsid w:val="0ACE5A08"/>
    <w:rsid w:val="0AD00EED"/>
    <w:rsid w:val="0ADF27E4"/>
    <w:rsid w:val="0AE03D30"/>
    <w:rsid w:val="0B120D44"/>
    <w:rsid w:val="0B3152CE"/>
    <w:rsid w:val="0B3E74B3"/>
    <w:rsid w:val="0B41466B"/>
    <w:rsid w:val="0B6768F3"/>
    <w:rsid w:val="0B981976"/>
    <w:rsid w:val="0BA24731"/>
    <w:rsid w:val="0BB95CA8"/>
    <w:rsid w:val="0BD27BF6"/>
    <w:rsid w:val="0C0E5770"/>
    <w:rsid w:val="0C3B3C7D"/>
    <w:rsid w:val="0C662E60"/>
    <w:rsid w:val="0C6D5D37"/>
    <w:rsid w:val="0C6E76DF"/>
    <w:rsid w:val="0C8131D6"/>
    <w:rsid w:val="0C882E0B"/>
    <w:rsid w:val="0CAB2EAE"/>
    <w:rsid w:val="0CC874E8"/>
    <w:rsid w:val="0CD81276"/>
    <w:rsid w:val="0CEF7A9A"/>
    <w:rsid w:val="0CF43BE3"/>
    <w:rsid w:val="0D0615A0"/>
    <w:rsid w:val="0D0C335A"/>
    <w:rsid w:val="0D5A0D7C"/>
    <w:rsid w:val="0D621C7D"/>
    <w:rsid w:val="0DB36ECE"/>
    <w:rsid w:val="0DBD7F16"/>
    <w:rsid w:val="0DC0575E"/>
    <w:rsid w:val="0DD64BF1"/>
    <w:rsid w:val="0DF9710F"/>
    <w:rsid w:val="0DFD5284"/>
    <w:rsid w:val="0DFF141C"/>
    <w:rsid w:val="0E1A314B"/>
    <w:rsid w:val="0E455182"/>
    <w:rsid w:val="0E603C3C"/>
    <w:rsid w:val="0E651A44"/>
    <w:rsid w:val="0E73034D"/>
    <w:rsid w:val="0EA63C52"/>
    <w:rsid w:val="0EC43FFA"/>
    <w:rsid w:val="0EC4543E"/>
    <w:rsid w:val="0F13775A"/>
    <w:rsid w:val="0F150BBD"/>
    <w:rsid w:val="0F153807"/>
    <w:rsid w:val="0F206065"/>
    <w:rsid w:val="0F3C039C"/>
    <w:rsid w:val="0F4E697E"/>
    <w:rsid w:val="0F5F45FE"/>
    <w:rsid w:val="0F635F25"/>
    <w:rsid w:val="0F9556AF"/>
    <w:rsid w:val="0F9602EC"/>
    <w:rsid w:val="0F9A112B"/>
    <w:rsid w:val="0FA46942"/>
    <w:rsid w:val="0FBE6367"/>
    <w:rsid w:val="0FCA5F61"/>
    <w:rsid w:val="0FDC3796"/>
    <w:rsid w:val="0FEC465E"/>
    <w:rsid w:val="10426FF1"/>
    <w:rsid w:val="106D2F64"/>
    <w:rsid w:val="107453F7"/>
    <w:rsid w:val="107809ED"/>
    <w:rsid w:val="108D441D"/>
    <w:rsid w:val="10B63710"/>
    <w:rsid w:val="10B9568B"/>
    <w:rsid w:val="10F10820"/>
    <w:rsid w:val="11037CFB"/>
    <w:rsid w:val="111C2F7A"/>
    <w:rsid w:val="114141A3"/>
    <w:rsid w:val="11630664"/>
    <w:rsid w:val="11665CA1"/>
    <w:rsid w:val="11CC783A"/>
    <w:rsid w:val="11DD55A3"/>
    <w:rsid w:val="11DF2980"/>
    <w:rsid w:val="11EB062C"/>
    <w:rsid w:val="11FF77C5"/>
    <w:rsid w:val="12141BC3"/>
    <w:rsid w:val="122E6BA3"/>
    <w:rsid w:val="12357462"/>
    <w:rsid w:val="12647A72"/>
    <w:rsid w:val="1274496F"/>
    <w:rsid w:val="12981022"/>
    <w:rsid w:val="12CF6AF9"/>
    <w:rsid w:val="130A2BB7"/>
    <w:rsid w:val="13203533"/>
    <w:rsid w:val="137E6F12"/>
    <w:rsid w:val="13897791"/>
    <w:rsid w:val="13951726"/>
    <w:rsid w:val="13A277F6"/>
    <w:rsid w:val="13B82F80"/>
    <w:rsid w:val="13C133CE"/>
    <w:rsid w:val="13CC397B"/>
    <w:rsid w:val="13F310AE"/>
    <w:rsid w:val="14195F8E"/>
    <w:rsid w:val="14396509"/>
    <w:rsid w:val="148F6081"/>
    <w:rsid w:val="14990060"/>
    <w:rsid w:val="14B12C4B"/>
    <w:rsid w:val="14CF6D94"/>
    <w:rsid w:val="14D00791"/>
    <w:rsid w:val="14D700F7"/>
    <w:rsid w:val="14DD2C3C"/>
    <w:rsid w:val="150B538B"/>
    <w:rsid w:val="15120207"/>
    <w:rsid w:val="151A214C"/>
    <w:rsid w:val="1581502D"/>
    <w:rsid w:val="158F171D"/>
    <w:rsid w:val="15AF4C41"/>
    <w:rsid w:val="15B50D11"/>
    <w:rsid w:val="15FE4F24"/>
    <w:rsid w:val="160661D5"/>
    <w:rsid w:val="16087E1D"/>
    <w:rsid w:val="1638549E"/>
    <w:rsid w:val="163F234C"/>
    <w:rsid w:val="167D5A17"/>
    <w:rsid w:val="16812204"/>
    <w:rsid w:val="16884700"/>
    <w:rsid w:val="169E319B"/>
    <w:rsid w:val="16B96DA3"/>
    <w:rsid w:val="16D43419"/>
    <w:rsid w:val="16DF3B6C"/>
    <w:rsid w:val="170F09CC"/>
    <w:rsid w:val="17101E2C"/>
    <w:rsid w:val="171B4763"/>
    <w:rsid w:val="173810EC"/>
    <w:rsid w:val="173C7520"/>
    <w:rsid w:val="17454CFA"/>
    <w:rsid w:val="17701D14"/>
    <w:rsid w:val="17735226"/>
    <w:rsid w:val="177C710A"/>
    <w:rsid w:val="17806157"/>
    <w:rsid w:val="17825E5A"/>
    <w:rsid w:val="178F697E"/>
    <w:rsid w:val="17916F57"/>
    <w:rsid w:val="17F77AFC"/>
    <w:rsid w:val="181A33D4"/>
    <w:rsid w:val="18660E75"/>
    <w:rsid w:val="18992975"/>
    <w:rsid w:val="189F624C"/>
    <w:rsid w:val="18F16C54"/>
    <w:rsid w:val="18F64F9F"/>
    <w:rsid w:val="19066692"/>
    <w:rsid w:val="19287A4C"/>
    <w:rsid w:val="193D3B4A"/>
    <w:rsid w:val="19706433"/>
    <w:rsid w:val="197C23CD"/>
    <w:rsid w:val="198804EA"/>
    <w:rsid w:val="198C7FDB"/>
    <w:rsid w:val="19912734"/>
    <w:rsid w:val="19984B47"/>
    <w:rsid w:val="199D36E6"/>
    <w:rsid w:val="19A4756E"/>
    <w:rsid w:val="19B85AA9"/>
    <w:rsid w:val="1A030D9F"/>
    <w:rsid w:val="1A0527B2"/>
    <w:rsid w:val="1A1C0B59"/>
    <w:rsid w:val="1A1C66C0"/>
    <w:rsid w:val="1A42393B"/>
    <w:rsid w:val="1AAD45DE"/>
    <w:rsid w:val="1AAE3CAF"/>
    <w:rsid w:val="1AC432F6"/>
    <w:rsid w:val="1AF8095D"/>
    <w:rsid w:val="1B046F80"/>
    <w:rsid w:val="1B1D35B0"/>
    <w:rsid w:val="1B3267B5"/>
    <w:rsid w:val="1B40161D"/>
    <w:rsid w:val="1B441859"/>
    <w:rsid w:val="1B6606B1"/>
    <w:rsid w:val="1B8A0FEF"/>
    <w:rsid w:val="1BC72205"/>
    <w:rsid w:val="1BEC2B7B"/>
    <w:rsid w:val="1C0E2F29"/>
    <w:rsid w:val="1C115764"/>
    <w:rsid w:val="1C5E7925"/>
    <w:rsid w:val="1C974092"/>
    <w:rsid w:val="1CB810E7"/>
    <w:rsid w:val="1CCC570F"/>
    <w:rsid w:val="1CCE0B8E"/>
    <w:rsid w:val="1CD5442F"/>
    <w:rsid w:val="1CF2284B"/>
    <w:rsid w:val="1CFC26D4"/>
    <w:rsid w:val="1CFD070F"/>
    <w:rsid w:val="1D00422C"/>
    <w:rsid w:val="1D0219D8"/>
    <w:rsid w:val="1D3E15EC"/>
    <w:rsid w:val="1D5C5862"/>
    <w:rsid w:val="1D5F6196"/>
    <w:rsid w:val="1D6132A5"/>
    <w:rsid w:val="1D8E56D5"/>
    <w:rsid w:val="1D9531D6"/>
    <w:rsid w:val="1D9A5D65"/>
    <w:rsid w:val="1DA6753A"/>
    <w:rsid w:val="1DA761C2"/>
    <w:rsid w:val="1DD243E0"/>
    <w:rsid w:val="1DFB5855"/>
    <w:rsid w:val="1E1F79DB"/>
    <w:rsid w:val="1E222077"/>
    <w:rsid w:val="1E246E92"/>
    <w:rsid w:val="1E7A43DA"/>
    <w:rsid w:val="1E917E95"/>
    <w:rsid w:val="1EC752C7"/>
    <w:rsid w:val="1EE01683"/>
    <w:rsid w:val="1EF13C5F"/>
    <w:rsid w:val="1F0467A9"/>
    <w:rsid w:val="1F180CAD"/>
    <w:rsid w:val="1F1E08C4"/>
    <w:rsid w:val="1F7C33FE"/>
    <w:rsid w:val="1FB42471"/>
    <w:rsid w:val="1FB9079A"/>
    <w:rsid w:val="1FD761E2"/>
    <w:rsid w:val="1FE55271"/>
    <w:rsid w:val="1FE71CF9"/>
    <w:rsid w:val="1FE7539E"/>
    <w:rsid w:val="20004B7B"/>
    <w:rsid w:val="20535F35"/>
    <w:rsid w:val="20582F84"/>
    <w:rsid w:val="20671BE0"/>
    <w:rsid w:val="2069725A"/>
    <w:rsid w:val="20963CB8"/>
    <w:rsid w:val="20A81A1B"/>
    <w:rsid w:val="20B07FB6"/>
    <w:rsid w:val="20B646FB"/>
    <w:rsid w:val="20B91875"/>
    <w:rsid w:val="20BC6770"/>
    <w:rsid w:val="20F6042F"/>
    <w:rsid w:val="213B74B1"/>
    <w:rsid w:val="213E132A"/>
    <w:rsid w:val="215324A5"/>
    <w:rsid w:val="21533471"/>
    <w:rsid w:val="215A2310"/>
    <w:rsid w:val="21745CD9"/>
    <w:rsid w:val="218D2F79"/>
    <w:rsid w:val="21AA616E"/>
    <w:rsid w:val="21C764B0"/>
    <w:rsid w:val="21DB7773"/>
    <w:rsid w:val="21DE318A"/>
    <w:rsid w:val="21EF5B80"/>
    <w:rsid w:val="21F25702"/>
    <w:rsid w:val="21FD6A0F"/>
    <w:rsid w:val="222D7E81"/>
    <w:rsid w:val="22341D22"/>
    <w:rsid w:val="22404916"/>
    <w:rsid w:val="22576990"/>
    <w:rsid w:val="22A41421"/>
    <w:rsid w:val="22A907B7"/>
    <w:rsid w:val="22C424D8"/>
    <w:rsid w:val="22DD075A"/>
    <w:rsid w:val="22F47480"/>
    <w:rsid w:val="231111DF"/>
    <w:rsid w:val="23177174"/>
    <w:rsid w:val="235121D6"/>
    <w:rsid w:val="23583E63"/>
    <w:rsid w:val="235949C4"/>
    <w:rsid w:val="23743A22"/>
    <w:rsid w:val="23783752"/>
    <w:rsid w:val="23AA69C5"/>
    <w:rsid w:val="23BD646C"/>
    <w:rsid w:val="23C0765C"/>
    <w:rsid w:val="23CB3AC4"/>
    <w:rsid w:val="23CC7F08"/>
    <w:rsid w:val="23DE1C48"/>
    <w:rsid w:val="240210CD"/>
    <w:rsid w:val="243158A7"/>
    <w:rsid w:val="24431BDE"/>
    <w:rsid w:val="24497A47"/>
    <w:rsid w:val="24585C40"/>
    <w:rsid w:val="246031AC"/>
    <w:rsid w:val="247A15D3"/>
    <w:rsid w:val="247A2723"/>
    <w:rsid w:val="247B3126"/>
    <w:rsid w:val="249C18F1"/>
    <w:rsid w:val="24A93629"/>
    <w:rsid w:val="24BF09F7"/>
    <w:rsid w:val="24F651AE"/>
    <w:rsid w:val="24F82785"/>
    <w:rsid w:val="24FF1A58"/>
    <w:rsid w:val="2500187D"/>
    <w:rsid w:val="252D53FE"/>
    <w:rsid w:val="254F4526"/>
    <w:rsid w:val="2564663E"/>
    <w:rsid w:val="25C339FF"/>
    <w:rsid w:val="25D02FFD"/>
    <w:rsid w:val="25D0444C"/>
    <w:rsid w:val="25EC2D81"/>
    <w:rsid w:val="26244A34"/>
    <w:rsid w:val="263B2AB8"/>
    <w:rsid w:val="265D60A4"/>
    <w:rsid w:val="26690DFC"/>
    <w:rsid w:val="2690225C"/>
    <w:rsid w:val="26B6615E"/>
    <w:rsid w:val="26D905D7"/>
    <w:rsid w:val="27121929"/>
    <w:rsid w:val="273815C6"/>
    <w:rsid w:val="27591CBC"/>
    <w:rsid w:val="277057A2"/>
    <w:rsid w:val="278F7BA5"/>
    <w:rsid w:val="279F4726"/>
    <w:rsid w:val="27F073BF"/>
    <w:rsid w:val="27F6038D"/>
    <w:rsid w:val="281B009C"/>
    <w:rsid w:val="284A2512"/>
    <w:rsid w:val="28786926"/>
    <w:rsid w:val="288E0F4E"/>
    <w:rsid w:val="28926210"/>
    <w:rsid w:val="28E640B1"/>
    <w:rsid w:val="28E90C05"/>
    <w:rsid w:val="29206EB8"/>
    <w:rsid w:val="294C58B8"/>
    <w:rsid w:val="29595666"/>
    <w:rsid w:val="29623202"/>
    <w:rsid w:val="29792B1F"/>
    <w:rsid w:val="29874881"/>
    <w:rsid w:val="29BD5AA0"/>
    <w:rsid w:val="29E325E0"/>
    <w:rsid w:val="29F64FFC"/>
    <w:rsid w:val="2A037518"/>
    <w:rsid w:val="2A452503"/>
    <w:rsid w:val="2A630895"/>
    <w:rsid w:val="2A7B1220"/>
    <w:rsid w:val="2A8549A2"/>
    <w:rsid w:val="2A90307A"/>
    <w:rsid w:val="2A9B1505"/>
    <w:rsid w:val="2ACB3B4E"/>
    <w:rsid w:val="2B073965"/>
    <w:rsid w:val="2B253073"/>
    <w:rsid w:val="2B7C2766"/>
    <w:rsid w:val="2BA936A8"/>
    <w:rsid w:val="2BD32E6E"/>
    <w:rsid w:val="2C315A5A"/>
    <w:rsid w:val="2C49582E"/>
    <w:rsid w:val="2C4B1C25"/>
    <w:rsid w:val="2C5B3DD1"/>
    <w:rsid w:val="2C5F7BAE"/>
    <w:rsid w:val="2C7E4A6A"/>
    <w:rsid w:val="2CF43330"/>
    <w:rsid w:val="2D394198"/>
    <w:rsid w:val="2D567625"/>
    <w:rsid w:val="2D8D1DAC"/>
    <w:rsid w:val="2D9139BA"/>
    <w:rsid w:val="2D9E56F5"/>
    <w:rsid w:val="2DAA0839"/>
    <w:rsid w:val="2DB95FA3"/>
    <w:rsid w:val="2DCE7791"/>
    <w:rsid w:val="2E444FC9"/>
    <w:rsid w:val="2E652751"/>
    <w:rsid w:val="2E667F96"/>
    <w:rsid w:val="2E7B4360"/>
    <w:rsid w:val="2E8226AB"/>
    <w:rsid w:val="2E8A625D"/>
    <w:rsid w:val="2E9E253C"/>
    <w:rsid w:val="2EA40DFA"/>
    <w:rsid w:val="2EE33160"/>
    <w:rsid w:val="2F5159F2"/>
    <w:rsid w:val="2F9252EE"/>
    <w:rsid w:val="2FBD4CF7"/>
    <w:rsid w:val="2FD065E6"/>
    <w:rsid w:val="2FD96870"/>
    <w:rsid w:val="2FEE1FD6"/>
    <w:rsid w:val="2FFF695D"/>
    <w:rsid w:val="3007582D"/>
    <w:rsid w:val="30116AA7"/>
    <w:rsid w:val="3023701C"/>
    <w:rsid w:val="302F1E36"/>
    <w:rsid w:val="30345C02"/>
    <w:rsid w:val="30366EC2"/>
    <w:rsid w:val="30461A94"/>
    <w:rsid w:val="30580BC9"/>
    <w:rsid w:val="309A0DD7"/>
    <w:rsid w:val="30A86A4A"/>
    <w:rsid w:val="30AF1C20"/>
    <w:rsid w:val="30C453BF"/>
    <w:rsid w:val="30CF70E4"/>
    <w:rsid w:val="30D52BF8"/>
    <w:rsid w:val="30F55519"/>
    <w:rsid w:val="30F873C6"/>
    <w:rsid w:val="31097CD2"/>
    <w:rsid w:val="311E2ED7"/>
    <w:rsid w:val="31275D23"/>
    <w:rsid w:val="312843E0"/>
    <w:rsid w:val="314C143D"/>
    <w:rsid w:val="315619EE"/>
    <w:rsid w:val="315C449C"/>
    <w:rsid w:val="31784040"/>
    <w:rsid w:val="31894335"/>
    <w:rsid w:val="31B82709"/>
    <w:rsid w:val="31D05482"/>
    <w:rsid w:val="31D162AB"/>
    <w:rsid w:val="31D82C2A"/>
    <w:rsid w:val="322D51FF"/>
    <w:rsid w:val="32400B34"/>
    <w:rsid w:val="3255145A"/>
    <w:rsid w:val="326075CE"/>
    <w:rsid w:val="326C67A3"/>
    <w:rsid w:val="327051DD"/>
    <w:rsid w:val="32993D57"/>
    <w:rsid w:val="329E6876"/>
    <w:rsid w:val="32BB38FE"/>
    <w:rsid w:val="32CB5278"/>
    <w:rsid w:val="32DC121D"/>
    <w:rsid w:val="332D56EF"/>
    <w:rsid w:val="333015F2"/>
    <w:rsid w:val="333438BB"/>
    <w:rsid w:val="3348673D"/>
    <w:rsid w:val="334B6320"/>
    <w:rsid w:val="33A212F6"/>
    <w:rsid w:val="33A56FD0"/>
    <w:rsid w:val="33AD7074"/>
    <w:rsid w:val="33BA231E"/>
    <w:rsid w:val="33C61D71"/>
    <w:rsid w:val="33D934D4"/>
    <w:rsid w:val="33FE2F6A"/>
    <w:rsid w:val="340D7EC7"/>
    <w:rsid w:val="340E07E5"/>
    <w:rsid w:val="340E744B"/>
    <w:rsid w:val="34235BF7"/>
    <w:rsid w:val="34256C0A"/>
    <w:rsid w:val="342F2164"/>
    <w:rsid w:val="3435714A"/>
    <w:rsid w:val="34776EC0"/>
    <w:rsid w:val="34832EA9"/>
    <w:rsid w:val="34847DD4"/>
    <w:rsid w:val="349E3BE9"/>
    <w:rsid w:val="34AE38E2"/>
    <w:rsid w:val="34C1681F"/>
    <w:rsid w:val="34C71495"/>
    <w:rsid w:val="34FD1935"/>
    <w:rsid w:val="35063BB0"/>
    <w:rsid w:val="35231184"/>
    <w:rsid w:val="352D20B8"/>
    <w:rsid w:val="35384177"/>
    <w:rsid w:val="35442F6F"/>
    <w:rsid w:val="354A1B42"/>
    <w:rsid w:val="357300F1"/>
    <w:rsid w:val="358C5FA8"/>
    <w:rsid w:val="358E3F5D"/>
    <w:rsid w:val="35C15DF1"/>
    <w:rsid w:val="35D65796"/>
    <w:rsid w:val="35DA6325"/>
    <w:rsid w:val="35ED7200"/>
    <w:rsid w:val="35FB4DEB"/>
    <w:rsid w:val="36074A7F"/>
    <w:rsid w:val="361B7BA2"/>
    <w:rsid w:val="36252EF1"/>
    <w:rsid w:val="36446766"/>
    <w:rsid w:val="365325FB"/>
    <w:rsid w:val="367C1FF9"/>
    <w:rsid w:val="36923549"/>
    <w:rsid w:val="36932551"/>
    <w:rsid w:val="36A04FD9"/>
    <w:rsid w:val="36B75FBF"/>
    <w:rsid w:val="36BA72A1"/>
    <w:rsid w:val="36BD0C45"/>
    <w:rsid w:val="36C6697E"/>
    <w:rsid w:val="36D16B63"/>
    <w:rsid w:val="36EC037C"/>
    <w:rsid w:val="36FA432F"/>
    <w:rsid w:val="37001BE1"/>
    <w:rsid w:val="374C6E61"/>
    <w:rsid w:val="378B7614"/>
    <w:rsid w:val="378B7DD8"/>
    <w:rsid w:val="379A387C"/>
    <w:rsid w:val="37A61E10"/>
    <w:rsid w:val="37AB684B"/>
    <w:rsid w:val="37C20ED8"/>
    <w:rsid w:val="37E00298"/>
    <w:rsid w:val="37FA7E9D"/>
    <w:rsid w:val="38216F32"/>
    <w:rsid w:val="38752660"/>
    <w:rsid w:val="38832B12"/>
    <w:rsid w:val="388A64C9"/>
    <w:rsid w:val="388C36FB"/>
    <w:rsid w:val="389B1C06"/>
    <w:rsid w:val="389B380D"/>
    <w:rsid w:val="38AB6439"/>
    <w:rsid w:val="38B302F9"/>
    <w:rsid w:val="38B90269"/>
    <w:rsid w:val="38BE762D"/>
    <w:rsid w:val="38C537E4"/>
    <w:rsid w:val="38CD2426"/>
    <w:rsid w:val="38D169C4"/>
    <w:rsid w:val="38DE29AF"/>
    <w:rsid w:val="38E10146"/>
    <w:rsid w:val="38F12CD3"/>
    <w:rsid w:val="38F94775"/>
    <w:rsid w:val="38FC2B25"/>
    <w:rsid w:val="391C4066"/>
    <w:rsid w:val="391D2E22"/>
    <w:rsid w:val="391D492C"/>
    <w:rsid w:val="392971ED"/>
    <w:rsid w:val="39325651"/>
    <w:rsid w:val="39676C52"/>
    <w:rsid w:val="39B87A06"/>
    <w:rsid w:val="39C52A9C"/>
    <w:rsid w:val="39E3559D"/>
    <w:rsid w:val="39EB4452"/>
    <w:rsid w:val="3A1C4B9E"/>
    <w:rsid w:val="3A431E7C"/>
    <w:rsid w:val="3A530065"/>
    <w:rsid w:val="3A8078D6"/>
    <w:rsid w:val="3A872856"/>
    <w:rsid w:val="3A9B586C"/>
    <w:rsid w:val="3AD364A6"/>
    <w:rsid w:val="3B3763D1"/>
    <w:rsid w:val="3B5C40A2"/>
    <w:rsid w:val="3BA92496"/>
    <w:rsid w:val="3BCF330D"/>
    <w:rsid w:val="3BF61CA9"/>
    <w:rsid w:val="3C0A6783"/>
    <w:rsid w:val="3C2F6E1E"/>
    <w:rsid w:val="3C4F64BA"/>
    <w:rsid w:val="3C8146F7"/>
    <w:rsid w:val="3CC25E05"/>
    <w:rsid w:val="3CC2605F"/>
    <w:rsid w:val="3CDA245A"/>
    <w:rsid w:val="3D1E06B7"/>
    <w:rsid w:val="3D2C6464"/>
    <w:rsid w:val="3D4E0843"/>
    <w:rsid w:val="3D8D045D"/>
    <w:rsid w:val="3DAC63F4"/>
    <w:rsid w:val="3DC2196D"/>
    <w:rsid w:val="3DC90C03"/>
    <w:rsid w:val="3DD17BF5"/>
    <w:rsid w:val="3DD477A3"/>
    <w:rsid w:val="3DFE00AC"/>
    <w:rsid w:val="3E072D23"/>
    <w:rsid w:val="3E1F0DC5"/>
    <w:rsid w:val="3E227F69"/>
    <w:rsid w:val="3E2E47F7"/>
    <w:rsid w:val="3EA7344F"/>
    <w:rsid w:val="3EBB0FDA"/>
    <w:rsid w:val="3EDA0523"/>
    <w:rsid w:val="3F005F2E"/>
    <w:rsid w:val="3F2B3B5E"/>
    <w:rsid w:val="3F347BF5"/>
    <w:rsid w:val="3F8E34C3"/>
    <w:rsid w:val="3F8F7490"/>
    <w:rsid w:val="3F9537D3"/>
    <w:rsid w:val="3FAF57C0"/>
    <w:rsid w:val="3FC215FB"/>
    <w:rsid w:val="3FD83B00"/>
    <w:rsid w:val="3FD96B15"/>
    <w:rsid w:val="40062A48"/>
    <w:rsid w:val="403E177F"/>
    <w:rsid w:val="407A6407"/>
    <w:rsid w:val="408B18BB"/>
    <w:rsid w:val="408D1DBF"/>
    <w:rsid w:val="40D25C68"/>
    <w:rsid w:val="412B39FD"/>
    <w:rsid w:val="41562AF9"/>
    <w:rsid w:val="41674FC4"/>
    <w:rsid w:val="416D3930"/>
    <w:rsid w:val="416F7CFD"/>
    <w:rsid w:val="41746FA7"/>
    <w:rsid w:val="41A53138"/>
    <w:rsid w:val="41B42824"/>
    <w:rsid w:val="41B9630E"/>
    <w:rsid w:val="41C51A2C"/>
    <w:rsid w:val="41E249AC"/>
    <w:rsid w:val="4200449D"/>
    <w:rsid w:val="423178A9"/>
    <w:rsid w:val="423A3BCC"/>
    <w:rsid w:val="424E57D2"/>
    <w:rsid w:val="42890277"/>
    <w:rsid w:val="42893471"/>
    <w:rsid w:val="42B26C49"/>
    <w:rsid w:val="42CB064B"/>
    <w:rsid w:val="42D444E7"/>
    <w:rsid w:val="42E30C22"/>
    <w:rsid w:val="42F40850"/>
    <w:rsid w:val="43000C1B"/>
    <w:rsid w:val="432D6BC7"/>
    <w:rsid w:val="433A6FE6"/>
    <w:rsid w:val="43413928"/>
    <w:rsid w:val="43480868"/>
    <w:rsid w:val="4350713C"/>
    <w:rsid w:val="435272F0"/>
    <w:rsid w:val="435727DF"/>
    <w:rsid w:val="435C19F4"/>
    <w:rsid w:val="436653E0"/>
    <w:rsid w:val="4387157F"/>
    <w:rsid w:val="439A3B5B"/>
    <w:rsid w:val="439D4D73"/>
    <w:rsid w:val="43C4431A"/>
    <w:rsid w:val="43CF26EE"/>
    <w:rsid w:val="44280029"/>
    <w:rsid w:val="446705FF"/>
    <w:rsid w:val="447D6C6C"/>
    <w:rsid w:val="448B32F9"/>
    <w:rsid w:val="449545A6"/>
    <w:rsid w:val="4496544D"/>
    <w:rsid w:val="44A72EEB"/>
    <w:rsid w:val="44B23E9B"/>
    <w:rsid w:val="44B951CC"/>
    <w:rsid w:val="44CB1EB3"/>
    <w:rsid w:val="44CD14E0"/>
    <w:rsid w:val="44D55725"/>
    <w:rsid w:val="44F20B0B"/>
    <w:rsid w:val="44FF7003"/>
    <w:rsid w:val="45133AA8"/>
    <w:rsid w:val="451A172D"/>
    <w:rsid w:val="452E5F4C"/>
    <w:rsid w:val="45376414"/>
    <w:rsid w:val="45612018"/>
    <w:rsid w:val="456652D4"/>
    <w:rsid w:val="45702357"/>
    <w:rsid w:val="45743B7C"/>
    <w:rsid w:val="458876EF"/>
    <w:rsid w:val="458946E9"/>
    <w:rsid w:val="45A47C0E"/>
    <w:rsid w:val="45A84C84"/>
    <w:rsid w:val="45C34F58"/>
    <w:rsid w:val="45CF0F70"/>
    <w:rsid w:val="45EC3920"/>
    <w:rsid w:val="460021A2"/>
    <w:rsid w:val="460C1EC3"/>
    <w:rsid w:val="461026D8"/>
    <w:rsid w:val="46146A16"/>
    <w:rsid w:val="46364CA7"/>
    <w:rsid w:val="46445508"/>
    <w:rsid w:val="46577FD6"/>
    <w:rsid w:val="46A7181D"/>
    <w:rsid w:val="46B966C6"/>
    <w:rsid w:val="46D955A7"/>
    <w:rsid w:val="46DC1FBC"/>
    <w:rsid w:val="46DE3130"/>
    <w:rsid w:val="4703102D"/>
    <w:rsid w:val="47133957"/>
    <w:rsid w:val="471949D9"/>
    <w:rsid w:val="471F1BDF"/>
    <w:rsid w:val="47211B23"/>
    <w:rsid w:val="473F28EE"/>
    <w:rsid w:val="47546F55"/>
    <w:rsid w:val="4760588E"/>
    <w:rsid w:val="476E6BCC"/>
    <w:rsid w:val="478A7A85"/>
    <w:rsid w:val="47A07E0C"/>
    <w:rsid w:val="47F2031E"/>
    <w:rsid w:val="480C3F11"/>
    <w:rsid w:val="480F3A01"/>
    <w:rsid w:val="485B3227"/>
    <w:rsid w:val="4870272E"/>
    <w:rsid w:val="48D32C81"/>
    <w:rsid w:val="491B0FC5"/>
    <w:rsid w:val="491E285E"/>
    <w:rsid w:val="492A6AE0"/>
    <w:rsid w:val="4954161F"/>
    <w:rsid w:val="495F6309"/>
    <w:rsid w:val="496438D9"/>
    <w:rsid w:val="49AB419B"/>
    <w:rsid w:val="49DA036C"/>
    <w:rsid w:val="49DB5E2A"/>
    <w:rsid w:val="49DC7715"/>
    <w:rsid w:val="4A023139"/>
    <w:rsid w:val="4A0B2EC8"/>
    <w:rsid w:val="4A346E6B"/>
    <w:rsid w:val="4A395556"/>
    <w:rsid w:val="4A4C2CEB"/>
    <w:rsid w:val="4A7B576F"/>
    <w:rsid w:val="4A7D730A"/>
    <w:rsid w:val="4A94151F"/>
    <w:rsid w:val="4A983F14"/>
    <w:rsid w:val="4ABD008B"/>
    <w:rsid w:val="4ACC6ABB"/>
    <w:rsid w:val="4AD93E52"/>
    <w:rsid w:val="4AE65A17"/>
    <w:rsid w:val="4AE76589"/>
    <w:rsid w:val="4AF561A9"/>
    <w:rsid w:val="4AFA2747"/>
    <w:rsid w:val="4B360360"/>
    <w:rsid w:val="4B3710CF"/>
    <w:rsid w:val="4B386DCB"/>
    <w:rsid w:val="4B591482"/>
    <w:rsid w:val="4B5E6AE8"/>
    <w:rsid w:val="4B646919"/>
    <w:rsid w:val="4B904ED2"/>
    <w:rsid w:val="4C201DCE"/>
    <w:rsid w:val="4C2847DA"/>
    <w:rsid w:val="4C4A0649"/>
    <w:rsid w:val="4C5A1540"/>
    <w:rsid w:val="4C6104CE"/>
    <w:rsid w:val="4C7E5ECA"/>
    <w:rsid w:val="4C876AA5"/>
    <w:rsid w:val="4CB567D4"/>
    <w:rsid w:val="4CC41813"/>
    <w:rsid w:val="4CDC6FB8"/>
    <w:rsid w:val="4CF80F08"/>
    <w:rsid w:val="4D0E00FB"/>
    <w:rsid w:val="4D176606"/>
    <w:rsid w:val="4D2717ED"/>
    <w:rsid w:val="4D43654D"/>
    <w:rsid w:val="4D583754"/>
    <w:rsid w:val="4DEC4FB0"/>
    <w:rsid w:val="4DEC68A7"/>
    <w:rsid w:val="4DEF230B"/>
    <w:rsid w:val="4E075D8A"/>
    <w:rsid w:val="4E1F5ACC"/>
    <w:rsid w:val="4E291998"/>
    <w:rsid w:val="4E375A60"/>
    <w:rsid w:val="4E825E3B"/>
    <w:rsid w:val="4E832A53"/>
    <w:rsid w:val="4EB24267"/>
    <w:rsid w:val="4EB47728"/>
    <w:rsid w:val="4EC00FAD"/>
    <w:rsid w:val="4EDD3D6A"/>
    <w:rsid w:val="4EED24A5"/>
    <w:rsid w:val="4EF86669"/>
    <w:rsid w:val="4F4C0EFF"/>
    <w:rsid w:val="4F534232"/>
    <w:rsid w:val="4F7447E0"/>
    <w:rsid w:val="4F755EA3"/>
    <w:rsid w:val="4F7E438F"/>
    <w:rsid w:val="4F9843DC"/>
    <w:rsid w:val="4F9D2544"/>
    <w:rsid w:val="4FA46EE0"/>
    <w:rsid w:val="4FA67412"/>
    <w:rsid w:val="4FAB0E14"/>
    <w:rsid w:val="4FC04EE7"/>
    <w:rsid w:val="4FC62A8C"/>
    <w:rsid w:val="4FD317B8"/>
    <w:rsid w:val="4FD615AF"/>
    <w:rsid w:val="4FD95270"/>
    <w:rsid w:val="4FDD2A28"/>
    <w:rsid w:val="4FDF14F9"/>
    <w:rsid w:val="4FE20F0D"/>
    <w:rsid w:val="4FE51552"/>
    <w:rsid w:val="50356FFD"/>
    <w:rsid w:val="503D3607"/>
    <w:rsid w:val="50477433"/>
    <w:rsid w:val="50504C4B"/>
    <w:rsid w:val="50650662"/>
    <w:rsid w:val="506675C0"/>
    <w:rsid w:val="50726A1D"/>
    <w:rsid w:val="509C6E7C"/>
    <w:rsid w:val="50B20051"/>
    <w:rsid w:val="50D307CE"/>
    <w:rsid w:val="50D4311F"/>
    <w:rsid w:val="50DB410A"/>
    <w:rsid w:val="5162104E"/>
    <w:rsid w:val="51B202D4"/>
    <w:rsid w:val="51BD5A69"/>
    <w:rsid w:val="51C45AD9"/>
    <w:rsid w:val="51D922BE"/>
    <w:rsid w:val="51EF58EE"/>
    <w:rsid w:val="51F65805"/>
    <w:rsid w:val="52092C50"/>
    <w:rsid w:val="521D4F6D"/>
    <w:rsid w:val="522832D0"/>
    <w:rsid w:val="52407291"/>
    <w:rsid w:val="52A22FB6"/>
    <w:rsid w:val="52B83749"/>
    <w:rsid w:val="52BC3214"/>
    <w:rsid w:val="52D95337"/>
    <w:rsid w:val="53013344"/>
    <w:rsid w:val="53236894"/>
    <w:rsid w:val="532D0EF4"/>
    <w:rsid w:val="53390A01"/>
    <w:rsid w:val="53505B72"/>
    <w:rsid w:val="536F00DD"/>
    <w:rsid w:val="537B63EF"/>
    <w:rsid w:val="539F5C32"/>
    <w:rsid w:val="53A039CC"/>
    <w:rsid w:val="53A1505A"/>
    <w:rsid w:val="53F8427A"/>
    <w:rsid w:val="54063E08"/>
    <w:rsid w:val="540B51FB"/>
    <w:rsid w:val="541167D8"/>
    <w:rsid w:val="541A6672"/>
    <w:rsid w:val="541B614A"/>
    <w:rsid w:val="543437E8"/>
    <w:rsid w:val="543547EF"/>
    <w:rsid w:val="54396774"/>
    <w:rsid w:val="5454539B"/>
    <w:rsid w:val="546B03BA"/>
    <w:rsid w:val="546D203B"/>
    <w:rsid w:val="548465F2"/>
    <w:rsid w:val="548C2AFB"/>
    <w:rsid w:val="54925E5D"/>
    <w:rsid w:val="54A31560"/>
    <w:rsid w:val="54A83F44"/>
    <w:rsid w:val="54CD2109"/>
    <w:rsid w:val="54F73313"/>
    <w:rsid w:val="54F80955"/>
    <w:rsid w:val="54FA0386"/>
    <w:rsid w:val="550F7B88"/>
    <w:rsid w:val="553501B9"/>
    <w:rsid w:val="55482300"/>
    <w:rsid w:val="5549305B"/>
    <w:rsid w:val="555170A7"/>
    <w:rsid w:val="5587536D"/>
    <w:rsid w:val="558C48E3"/>
    <w:rsid w:val="559B174B"/>
    <w:rsid w:val="55B81234"/>
    <w:rsid w:val="55CE0CF4"/>
    <w:rsid w:val="55D322F9"/>
    <w:rsid w:val="55F942A7"/>
    <w:rsid w:val="562838DC"/>
    <w:rsid w:val="5634229B"/>
    <w:rsid w:val="56342AEF"/>
    <w:rsid w:val="5658072E"/>
    <w:rsid w:val="56AF5A31"/>
    <w:rsid w:val="56B22A9C"/>
    <w:rsid w:val="56C02A99"/>
    <w:rsid w:val="56D74730"/>
    <w:rsid w:val="56FF2C59"/>
    <w:rsid w:val="570D1A54"/>
    <w:rsid w:val="572D2BF7"/>
    <w:rsid w:val="57611C9F"/>
    <w:rsid w:val="578137B9"/>
    <w:rsid w:val="57847AE4"/>
    <w:rsid w:val="57963EA9"/>
    <w:rsid w:val="57AC2A2F"/>
    <w:rsid w:val="57B72A76"/>
    <w:rsid w:val="57C3426C"/>
    <w:rsid w:val="57CE1F93"/>
    <w:rsid w:val="585267EB"/>
    <w:rsid w:val="586457A0"/>
    <w:rsid w:val="58745DA5"/>
    <w:rsid w:val="588743D1"/>
    <w:rsid w:val="5887701A"/>
    <w:rsid w:val="58E84A64"/>
    <w:rsid w:val="58FE1654"/>
    <w:rsid w:val="59060650"/>
    <w:rsid w:val="59065785"/>
    <w:rsid w:val="59623A2D"/>
    <w:rsid w:val="597E2795"/>
    <w:rsid w:val="598D55CA"/>
    <w:rsid w:val="598E68F9"/>
    <w:rsid w:val="598F494E"/>
    <w:rsid w:val="59C0439F"/>
    <w:rsid w:val="5A035FCA"/>
    <w:rsid w:val="5A167972"/>
    <w:rsid w:val="5A1924BD"/>
    <w:rsid w:val="5A210347"/>
    <w:rsid w:val="5A405C9C"/>
    <w:rsid w:val="5A627B09"/>
    <w:rsid w:val="5A67438A"/>
    <w:rsid w:val="5A914EAA"/>
    <w:rsid w:val="5ABE2233"/>
    <w:rsid w:val="5ACC7530"/>
    <w:rsid w:val="5AE95B55"/>
    <w:rsid w:val="5AF27E32"/>
    <w:rsid w:val="5B0F3D45"/>
    <w:rsid w:val="5B1B644B"/>
    <w:rsid w:val="5B206502"/>
    <w:rsid w:val="5B2A27EF"/>
    <w:rsid w:val="5B89775C"/>
    <w:rsid w:val="5B9444F1"/>
    <w:rsid w:val="5BAB7C65"/>
    <w:rsid w:val="5BDF5D95"/>
    <w:rsid w:val="5BFE7528"/>
    <w:rsid w:val="5C0E181C"/>
    <w:rsid w:val="5C1106F8"/>
    <w:rsid w:val="5C1836E0"/>
    <w:rsid w:val="5C1D6295"/>
    <w:rsid w:val="5C29089F"/>
    <w:rsid w:val="5C5F250C"/>
    <w:rsid w:val="5C6977BD"/>
    <w:rsid w:val="5C9A3C2C"/>
    <w:rsid w:val="5CF16D63"/>
    <w:rsid w:val="5CF80AB0"/>
    <w:rsid w:val="5D0A7325"/>
    <w:rsid w:val="5D1A2087"/>
    <w:rsid w:val="5D1B7B11"/>
    <w:rsid w:val="5D2377C2"/>
    <w:rsid w:val="5D5B05BB"/>
    <w:rsid w:val="5D81652C"/>
    <w:rsid w:val="5D8347C0"/>
    <w:rsid w:val="5D8772F7"/>
    <w:rsid w:val="5D9F5633"/>
    <w:rsid w:val="5E13794F"/>
    <w:rsid w:val="5E2467F1"/>
    <w:rsid w:val="5E604B5F"/>
    <w:rsid w:val="5E687A2E"/>
    <w:rsid w:val="5E735C04"/>
    <w:rsid w:val="5E7C4CFC"/>
    <w:rsid w:val="5EC34CDB"/>
    <w:rsid w:val="5EC37B64"/>
    <w:rsid w:val="5ED23453"/>
    <w:rsid w:val="5F1A2B43"/>
    <w:rsid w:val="5FB837BB"/>
    <w:rsid w:val="5FCF16F8"/>
    <w:rsid w:val="5FE20929"/>
    <w:rsid w:val="5FE57974"/>
    <w:rsid w:val="5FFB4E4E"/>
    <w:rsid w:val="600266F6"/>
    <w:rsid w:val="601954DE"/>
    <w:rsid w:val="604D662E"/>
    <w:rsid w:val="60563B24"/>
    <w:rsid w:val="607B1E49"/>
    <w:rsid w:val="60860929"/>
    <w:rsid w:val="60955F1C"/>
    <w:rsid w:val="60B1558A"/>
    <w:rsid w:val="60CC405A"/>
    <w:rsid w:val="60EE0200"/>
    <w:rsid w:val="60F01B96"/>
    <w:rsid w:val="60F36193"/>
    <w:rsid w:val="60F8214E"/>
    <w:rsid w:val="60FE664A"/>
    <w:rsid w:val="61254F5D"/>
    <w:rsid w:val="61296A83"/>
    <w:rsid w:val="615C11FA"/>
    <w:rsid w:val="61AC1CA4"/>
    <w:rsid w:val="61AD00BB"/>
    <w:rsid w:val="61B00BDF"/>
    <w:rsid w:val="61BD775D"/>
    <w:rsid w:val="61D03DA9"/>
    <w:rsid w:val="61E215D8"/>
    <w:rsid w:val="61EE5FDE"/>
    <w:rsid w:val="620B05DD"/>
    <w:rsid w:val="621B3775"/>
    <w:rsid w:val="622317B3"/>
    <w:rsid w:val="62364782"/>
    <w:rsid w:val="623A400D"/>
    <w:rsid w:val="62471ACA"/>
    <w:rsid w:val="628B0133"/>
    <w:rsid w:val="629A0F5D"/>
    <w:rsid w:val="62CE410D"/>
    <w:rsid w:val="62D71BE1"/>
    <w:rsid w:val="62F87FB3"/>
    <w:rsid w:val="62FA0FEC"/>
    <w:rsid w:val="63066AC4"/>
    <w:rsid w:val="631D5363"/>
    <w:rsid w:val="633435BB"/>
    <w:rsid w:val="635527B8"/>
    <w:rsid w:val="63655185"/>
    <w:rsid w:val="6394356A"/>
    <w:rsid w:val="63A26051"/>
    <w:rsid w:val="63AE3C76"/>
    <w:rsid w:val="63B03E93"/>
    <w:rsid w:val="63C61B2C"/>
    <w:rsid w:val="63CB44F5"/>
    <w:rsid w:val="63D40BE9"/>
    <w:rsid w:val="63DE41F1"/>
    <w:rsid w:val="640779B7"/>
    <w:rsid w:val="64102431"/>
    <w:rsid w:val="644F2866"/>
    <w:rsid w:val="648019F7"/>
    <w:rsid w:val="649E64A2"/>
    <w:rsid w:val="64A5243A"/>
    <w:rsid w:val="64DF5F0E"/>
    <w:rsid w:val="64EB73D3"/>
    <w:rsid w:val="64F531DE"/>
    <w:rsid w:val="651824B8"/>
    <w:rsid w:val="651E4E2C"/>
    <w:rsid w:val="652A4208"/>
    <w:rsid w:val="65373578"/>
    <w:rsid w:val="654D68CA"/>
    <w:rsid w:val="656D2F25"/>
    <w:rsid w:val="656F36A8"/>
    <w:rsid w:val="658C7769"/>
    <w:rsid w:val="65BA285A"/>
    <w:rsid w:val="65BF6897"/>
    <w:rsid w:val="65C362F9"/>
    <w:rsid w:val="65C94317"/>
    <w:rsid w:val="65F831A0"/>
    <w:rsid w:val="66133F82"/>
    <w:rsid w:val="66154C8C"/>
    <w:rsid w:val="66373BCB"/>
    <w:rsid w:val="666D1871"/>
    <w:rsid w:val="66822D1D"/>
    <w:rsid w:val="66AA007D"/>
    <w:rsid w:val="66E459E8"/>
    <w:rsid w:val="66ED1A86"/>
    <w:rsid w:val="66FF144C"/>
    <w:rsid w:val="671F124A"/>
    <w:rsid w:val="67361805"/>
    <w:rsid w:val="673C43AE"/>
    <w:rsid w:val="67436647"/>
    <w:rsid w:val="6754576B"/>
    <w:rsid w:val="67554767"/>
    <w:rsid w:val="677A33C6"/>
    <w:rsid w:val="67827BDA"/>
    <w:rsid w:val="67951162"/>
    <w:rsid w:val="67B35CFF"/>
    <w:rsid w:val="67B908A1"/>
    <w:rsid w:val="681F6961"/>
    <w:rsid w:val="68285B75"/>
    <w:rsid w:val="68391BBB"/>
    <w:rsid w:val="68610A2F"/>
    <w:rsid w:val="686D36D4"/>
    <w:rsid w:val="68805514"/>
    <w:rsid w:val="688651C2"/>
    <w:rsid w:val="68866F70"/>
    <w:rsid w:val="68B00491"/>
    <w:rsid w:val="68BB45DA"/>
    <w:rsid w:val="68C36B43"/>
    <w:rsid w:val="68D63A25"/>
    <w:rsid w:val="68F9371C"/>
    <w:rsid w:val="6915095D"/>
    <w:rsid w:val="69316E2F"/>
    <w:rsid w:val="694E2071"/>
    <w:rsid w:val="69511E82"/>
    <w:rsid w:val="69632E82"/>
    <w:rsid w:val="69766163"/>
    <w:rsid w:val="697A3B33"/>
    <w:rsid w:val="698F62F8"/>
    <w:rsid w:val="699265D1"/>
    <w:rsid w:val="699C0F47"/>
    <w:rsid w:val="69A41DA4"/>
    <w:rsid w:val="69B072A4"/>
    <w:rsid w:val="69C72169"/>
    <w:rsid w:val="69D44760"/>
    <w:rsid w:val="69E06B73"/>
    <w:rsid w:val="69E84F29"/>
    <w:rsid w:val="69F4279F"/>
    <w:rsid w:val="6A484E25"/>
    <w:rsid w:val="6A520EC7"/>
    <w:rsid w:val="6A52770E"/>
    <w:rsid w:val="6A8A032F"/>
    <w:rsid w:val="6AF87E20"/>
    <w:rsid w:val="6B322639"/>
    <w:rsid w:val="6B363641"/>
    <w:rsid w:val="6B843AB4"/>
    <w:rsid w:val="6BEC19D8"/>
    <w:rsid w:val="6BFB5234"/>
    <w:rsid w:val="6C034C6B"/>
    <w:rsid w:val="6C5C714C"/>
    <w:rsid w:val="6C636C38"/>
    <w:rsid w:val="6C7E59BE"/>
    <w:rsid w:val="6C956CAB"/>
    <w:rsid w:val="6CA53567"/>
    <w:rsid w:val="6CAD0258"/>
    <w:rsid w:val="6CBC0332"/>
    <w:rsid w:val="6CBE12B4"/>
    <w:rsid w:val="6CFD12DD"/>
    <w:rsid w:val="6D01204D"/>
    <w:rsid w:val="6D05528D"/>
    <w:rsid w:val="6D127803"/>
    <w:rsid w:val="6D466497"/>
    <w:rsid w:val="6D4A0EB4"/>
    <w:rsid w:val="6D4A5A0B"/>
    <w:rsid w:val="6D4E3543"/>
    <w:rsid w:val="6D7D03EF"/>
    <w:rsid w:val="6D8E09D2"/>
    <w:rsid w:val="6DB34098"/>
    <w:rsid w:val="6DB545B6"/>
    <w:rsid w:val="6DD34202"/>
    <w:rsid w:val="6DD90074"/>
    <w:rsid w:val="6DE02FB4"/>
    <w:rsid w:val="6DF8680A"/>
    <w:rsid w:val="6E3F653F"/>
    <w:rsid w:val="6E514CED"/>
    <w:rsid w:val="6E71184D"/>
    <w:rsid w:val="6E866F50"/>
    <w:rsid w:val="6EB563D5"/>
    <w:rsid w:val="6ED92677"/>
    <w:rsid w:val="6F225983"/>
    <w:rsid w:val="6F256B20"/>
    <w:rsid w:val="6F3456C0"/>
    <w:rsid w:val="6F4B4BED"/>
    <w:rsid w:val="6F81368C"/>
    <w:rsid w:val="6F86580D"/>
    <w:rsid w:val="6FB204CD"/>
    <w:rsid w:val="6FE05B47"/>
    <w:rsid w:val="6FF44A91"/>
    <w:rsid w:val="6FF646E6"/>
    <w:rsid w:val="6FF677BA"/>
    <w:rsid w:val="6FF84BF7"/>
    <w:rsid w:val="6FFC5590"/>
    <w:rsid w:val="70381EFA"/>
    <w:rsid w:val="706D1DD0"/>
    <w:rsid w:val="706F478E"/>
    <w:rsid w:val="70746064"/>
    <w:rsid w:val="707C0EE4"/>
    <w:rsid w:val="70856B87"/>
    <w:rsid w:val="708C742C"/>
    <w:rsid w:val="70934920"/>
    <w:rsid w:val="709F5073"/>
    <w:rsid w:val="70D47B01"/>
    <w:rsid w:val="70D527EE"/>
    <w:rsid w:val="70E60FFB"/>
    <w:rsid w:val="710E0CCB"/>
    <w:rsid w:val="71151311"/>
    <w:rsid w:val="712258C0"/>
    <w:rsid w:val="715B5300"/>
    <w:rsid w:val="715C7408"/>
    <w:rsid w:val="715F3A1A"/>
    <w:rsid w:val="717164AD"/>
    <w:rsid w:val="71D27F8A"/>
    <w:rsid w:val="72287836"/>
    <w:rsid w:val="72553024"/>
    <w:rsid w:val="728C3273"/>
    <w:rsid w:val="72967534"/>
    <w:rsid w:val="72C814D8"/>
    <w:rsid w:val="72CB643B"/>
    <w:rsid w:val="72DD1E82"/>
    <w:rsid w:val="73072C8E"/>
    <w:rsid w:val="73122968"/>
    <w:rsid w:val="73140B86"/>
    <w:rsid w:val="731F5D5E"/>
    <w:rsid w:val="733F3556"/>
    <w:rsid w:val="73432774"/>
    <w:rsid w:val="7363682B"/>
    <w:rsid w:val="738D2935"/>
    <w:rsid w:val="73974727"/>
    <w:rsid w:val="73BF0C2F"/>
    <w:rsid w:val="73C51AD5"/>
    <w:rsid w:val="73E9629C"/>
    <w:rsid w:val="740C1432"/>
    <w:rsid w:val="741E793C"/>
    <w:rsid w:val="743A7F99"/>
    <w:rsid w:val="743B495C"/>
    <w:rsid w:val="745E3944"/>
    <w:rsid w:val="747061F2"/>
    <w:rsid w:val="748C05C3"/>
    <w:rsid w:val="74903254"/>
    <w:rsid w:val="749C247C"/>
    <w:rsid w:val="74D05CF7"/>
    <w:rsid w:val="74DC779C"/>
    <w:rsid w:val="75221B8F"/>
    <w:rsid w:val="75695E80"/>
    <w:rsid w:val="757B161B"/>
    <w:rsid w:val="75EA57F5"/>
    <w:rsid w:val="75F904C2"/>
    <w:rsid w:val="76090EF8"/>
    <w:rsid w:val="76120ED7"/>
    <w:rsid w:val="7623488B"/>
    <w:rsid w:val="7635099D"/>
    <w:rsid w:val="764547A0"/>
    <w:rsid w:val="764B1CEB"/>
    <w:rsid w:val="76CA1C18"/>
    <w:rsid w:val="76CC20CD"/>
    <w:rsid w:val="770A47AC"/>
    <w:rsid w:val="77620166"/>
    <w:rsid w:val="77762421"/>
    <w:rsid w:val="777D409E"/>
    <w:rsid w:val="779B2CD1"/>
    <w:rsid w:val="77B56B1F"/>
    <w:rsid w:val="77CA0A7C"/>
    <w:rsid w:val="77D921B0"/>
    <w:rsid w:val="77FC77C3"/>
    <w:rsid w:val="7806339E"/>
    <w:rsid w:val="780F09F4"/>
    <w:rsid w:val="782718AE"/>
    <w:rsid w:val="784A0269"/>
    <w:rsid w:val="786170B2"/>
    <w:rsid w:val="788D43FF"/>
    <w:rsid w:val="78A90480"/>
    <w:rsid w:val="795C16CB"/>
    <w:rsid w:val="79930A75"/>
    <w:rsid w:val="79A67472"/>
    <w:rsid w:val="7A087846"/>
    <w:rsid w:val="7A364017"/>
    <w:rsid w:val="7A5332FA"/>
    <w:rsid w:val="7A551921"/>
    <w:rsid w:val="7A5520B9"/>
    <w:rsid w:val="7A5E1AFB"/>
    <w:rsid w:val="7A776DF3"/>
    <w:rsid w:val="7A8265E1"/>
    <w:rsid w:val="7AAB784E"/>
    <w:rsid w:val="7AE37E58"/>
    <w:rsid w:val="7B003269"/>
    <w:rsid w:val="7B01696F"/>
    <w:rsid w:val="7B166428"/>
    <w:rsid w:val="7B564D14"/>
    <w:rsid w:val="7B601FDA"/>
    <w:rsid w:val="7B686D42"/>
    <w:rsid w:val="7B7B7FB9"/>
    <w:rsid w:val="7B841746"/>
    <w:rsid w:val="7BC41E31"/>
    <w:rsid w:val="7BDD0C54"/>
    <w:rsid w:val="7C1A4BC7"/>
    <w:rsid w:val="7C2B3597"/>
    <w:rsid w:val="7C2C45D7"/>
    <w:rsid w:val="7C6C5AC7"/>
    <w:rsid w:val="7C89483C"/>
    <w:rsid w:val="7C8D6AC4"/>
    <w:rsid w:val="7C932FEE"/>
    <w:rsid w:val="7CC6544B"/>
    <w:rsid w:val="7CDD1D31"/>
    <w:rsid w:val="7CDE5C5F"/>
    <w:rsid w:val="7CE840C9"/>
    <w:rsid w:val="7CF60F14"/>
    <w:rsid w:val="7CFB49F1"/>
    <w:rsid w:val="7CFE4B12"/>
    <w:rsid w:val="7D0239FF"/>
    <w:rsid w:val="7D0746CC"/>
    <w:rsid w:val="7D091C65"/>
    <w:rsid w:val="7D2412EB"/>
    <w:rsid w:val="7D3101F6"/>
    <w:rsid w:val="7D5E40CD"/>
    <w:rsid w:val="7DCD56F2"/>
    <w:rsid w:val="7E06543D"/>
    <w:rsid w:val="7E0C2FDF"/>
    <w:rsid w:val="7E1D2A95"/>
    <w:rsid w:val="7E5A648D"/>
    <w:rsid w:val="7E7333C9"/>
    <w:rsid w:val="7E7E5604"/>
    <w:rsid w:val="7E9E66E6"/>
    <w:rsid w:val="7EA4511D"/>
    <w:rsid w:val="7ECB797B"/>
    <w:rsid w:val="7EF026B4"/>
    <w:rsid w:val="7F001CE7"/>
    <w:rsid w:val="7F0271B1"/>
    <w:rsid w:val="7F491BB1"/>
    <w:rsid w:val="7F5339C7"/>
    <w:rsid w:val="7F5867C0"/>
    <w:rsid w:val="7F995383"/>
    <w:rsid w:val="7FA06DF2"/>
    <w:rsid w:val="7FA82672"/>
    <w:rsid w:val="7FCC6BB1"/>
    <w:rsid w:val="7FDA5C0C"/>
    <w:rsid w:val="7FE47E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nhideWhenUsed="0" w:uiPriority="0" w:semiHidden="0" w:name="footnote text" w:locked="1"/>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sdException w:unhideWhenUsed="0" w:uiPriority="0" w:semiHidden="0" w:name="line number" w:locked="1"/>
    <w:lsdException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sdException w:unhideWhenUsed="0" w:uiPriority="0" w:semiHidden="0" w:name="Body Text First Indent" w:locked="1"/>
    <w:lsdException w:unhideWhenUsed="0" w:uiPriority="0" w:semiHidden="0" w:name="Body Text First Indent 2"/>
    <w:lsdException w:unhideWhenUsed="0" w:uiPriority="0" w:semiHidden="0" w:name="Note Heading"/>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ocked="1"/>
    <w:lsdException w:unhideWhenUsed="0" w:uiPriority="0" w:semiHidden="0" w:name="HTML Sample"/>
    <w:lsdException w:unhideWhenUsed="0" w:uiPriority="0" w:semiHidden="0" w:name="HTML Typewriter" w:locked="1"/>
    <w:lsdException w:unhideWhenUsed="0" w:uiPriority="0" w:semiHidden="0" w:name="HTML Variable" w:locked="1"/>
    <w:lsdException w:unhideWhenUsed="0" w:uiPriority="0" w:name="Normal Table"/>
    <w:lsdException w:qFormat="1" w:unhideWhenUsed="0" w:uiPriority="0" w:semiHidden="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semiHidden="0" w:name="Balloon Text"/>
    <w:lsdException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3"/>
    <w:basedOn w:val="1"/>
    <w:next w:val="4"/>
    <w:qFormat/>
    <w:locked/>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0">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pPr>
    <w:rPr>
      <w:szCs w:val="20"/>
    </w:rPr>
  </w:style>
  <w:style w:type="paragraph" w:styleId="5">
    <w:name w:val="annotation text"/>
    <w:basedOn w:val="1"/>
    <w:link w:val="12"/>
    <w:qFormat/>
    <w:uiPriority w:val="0"/>
    <w:pPr>
      <w:jc w:val="left"/>
    </w:pPr>
  </w:style>
  <w:style w:type="paragraph" w:styleId="6">
    <w:name w:val="Balloon Text"/>
    <w:basedOn w:val="1"/>
    <w:link w:val="14"/>
    <w:qFormat/>
    <w:uiPriority w:val="0"/>
    <w:rPr>
      <w:sz w:val="18"/>
      <w:szCs w:val="18"/>
    </w:rPr>
  </w:style>
  <w:style w:type="paragraph" w:styleId="7">
    <w:name w:val="annotation subject"/>
    <w:basedOn w:val="5"/>
    <w:next w:val="5"/>
    <w:link w:val="13"/>
    <w:qFormat/>
    <w:uiPriority w:val="0"/>
    <w:rPr>
      <w:b/>
      <w:bCs/>
    </w:rPr>
  </w:style>
  <w:style w:type="table" w:styleId="9">
    <w:name w:val="Table Grid"/>
    <w:basedOn w:val="8"/>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uiPriority w:val="0"/>
    <w:rPr>
      <w:sz w:val="21"/>
      <w:szCs w:val="21"/>
    </w:rPr>
  </w:style>
  <w:style w:type="character" w:customStyle="1" w:styleId="12">
    <w:name w:val="批注文字 Char"/>
    <w:link w:val="5"/>
    <w:qFormat/>
    <w:uiPriority w:val="0"/>
    <w:rPr>
      <w:kern w:val="2"/>
      <w:sz w:val="21"/>
      <w:szCs w:val="24"/>
    </w:rPr>
  </w:style>
  <w:style w:type="character" w:customStyle="1" w:styleId="13">
    <w:name w:val="批注主题 Char"/>
    <w:link w:val="7"/>
    <w:qFormat/>
    <w:uiPriority w:val="0"/>
    <w:rPr>
      <w:b/>
      <w:bCs/>
      <w:kern w:val="2"/>
      <w:sz w:val="21"/>
      <w:szCs w:val="24"/>
    </w:rPr>
  </w:style>
  <w:style w:type="character" w:customStyle="1" w:styleId="14">
    <w:name w:val="批注框文本 Char"/>
    <w:link w:val="6"/>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12.wmf"/><Relationship Id="rId26" Type="http://schemas.openxmlformats.org/officeDocument/2006/relationships/oleObject" Target="embeddings/oleObject10.bin"/><Relationship Id="rId25" Type="http://schemas.openxmlformats.org/officeDocument/2006/relationships/image" Target="media/image11.wmf"/><Relationship Id="rId24" Type="http://schemas.openxmlformats.org/officeDocument/2006/relationships/oleObject" Target="embeddings/oleObject9.bin"/><Relationship Id="rId23" Type="http://schemas.openxmlformats.org/officeDocument/2006/relationships/image" Target="media/image10.wmf"/><Relationship Id="rId22" Type="http://schemas.openxmlformats.org/officeDocument/2006/relationships/oleObject" Target="embeddings/oleObject8.bin"/><Relationship Id="rId21" Type="http://schemas.openxmlformats.org/officeDocument/2006/relationships/image" Target="media/image9.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6.bin"/><Relationship Id="rId17" Type="http://schemas.openxmlformats.org/officeDocument/2006/relationships/image" Target="media/image7.wmf"/><Relationship Id="rId16" Type="http://schemas.openxmlformats.org/officeDocument/2006/relationships/oleObject" Target="embeddings/oleObject5.bin"/><Relationship Id="rId15" Type="http://schemas.openxmlformats.org/officeDocument/2006/relationships/image" Target="media/image6.wmf"/><Relationship Id="rId14" Type="http://schemas.openxmlformats.org/officeDocument/2006/relationships/oleObject" Target="embeddings/oleObject4.bin"/><Relationship Id="rId13" Type="http://schemas.openxmlformats.org/officeDocument/2006/relationships/image" Target="media/image5.wmf"/><Relationship Id="rId12" Type="http://schemas.openxmlformats.org/officeDocument/2006/relationships/oleObject" Target="embeddings/oleObject3.bin"/><Relationship Id="rId11" Type="http://schemas.openxmlformats.org/officeDocument/2006/relationships/image" Target="media/image4.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34269</Words>
  <Characters>39583</Characters>
  <Lines>314</Lines>
  <Paragraphs>88</Paragraphs>
  <TotalTime>1</TotalTime>
  <ScaleCrop>false</ScaleCrop>
  <LinksUpToDate>false</LinksUpToDate>
  <CharactersWithSpaces>39738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听海</dc:creator>
  <cp:lastModifiedBy>Administrator</cp:lastModifiedBy>
  <cp:lastPrinted>2020-12-29T02:43:00Z</cp:lastPrinted>
  <dcterms:modified xsi:type="dcterms:W3CDTF">2023-05-22T00:54:15Z</dcterms:modified>
  <dc:title>建设项目环境影响报告表（污染影响类）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B81BE859420E451FBBB69BD45AAF83FC_13</vt:lpwstr>
  </property>
</Properties>
</file>