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media/image11.svg" ContentType="image/svg+xml"/>
  <Override PartName="/word/media/image3.svg" ContentType="image/svg+xml"/>
  <Override PartName="/word/media/image5.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C8765">
      <w:pPr>
        <w:rPr>
          <w:rFonts w:ascii="仿宋_GB2312" w:hAnsi="仿宋_GB2312" w:eastAsia="仿宋_GB2312" w:cs="仿宋_GB2312"/>
          <w:color w:val="auto"/>
          <w:sz w:val="36"/>
          <w:szCs w:val="36"/>
        </w:rPr>
      </w:pPr>
    </w:p>
    <w:p w14:paraId="245C713F">
      <w:pPr>
        <w:rPr>
          <w:rFonts w:ascii="仿宋_GB2312" w:hAnsi="仿宋_GB2312" w:eastAsia="仿宋_GB2312" w:cs="仿宋_GB2312"/>
          <w:color w:val="auto"/>
          <w:sz w:val="36"/>
          <w:szCs w:val="36"/>
        </w:rPr>
      </w:pPr>
    </w:p>
    <w:p w14:paraId="10749A31">
      <w:pPr>
        <w:rPr>
          <w:rFonts w:ascii="仿宋_GB2312" w:hAnsi="仿宋_GB2312" w:eastAsia="仿宋_GB2312" w:cs="仿宋_GB2312"/>
          <w:color w:val="auto"/>
          <w:sz w:val="36"/>
          <w:szCs w:val="36"/>
        </w:rPr>
      </w:pPr>
    </w:p>
    <w:p w14:paraId="06E61C1E">
      <w:pPr>
        <w:rPr>
          <w:rFonts w:ascii="仿宋_GB2312" w:hAnsi="仿宋_GB2312" w:eastAsia="仿宋_GB2312" w:cs="仿宋_GB2312"/>
          <w:color w:val="auto"/>
          <w:sz w:val="36"/>
          <w:szCs w:val="36"/>
        </w:rPr>
      </w:pPr>
    </w:p>
    <w:p w14:paraId="4A49796D">
      <w:pPr>
        <w:rPr>
          <w:rFonts w:hint="eastAsia" w:ascii="仿宋_GB2312" w:hAnsi="仿宋_GB2312" w:eastAsia="仿宋_GB2312" w:cs="仿宋_GB2312"/>
          <w:color w:val="auto"/>
          <w:sz w:val="36"/>
          <w:szCs w:val="36"/>
        </w:rPr>
      </w:pPr>
    </w:p>
    <w:p w14:paraId="2107AB41">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123CE6B7">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4B30C46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ascii="华文仿宋" w:hAnsi="华文仿宋" w:eastAsia="华文仿宋" w:cs="华文仿宋"/>
          <w:color w:val="auto"/>
          <w:kern w:val="44"/>
          <w:sz w:val="44"/>
          <w:szCs w:val="44"/>
        </w:rPr>
      </w:pPr>
    </w:p>
    <w:p w14:paraId="63FF8417">
      <w:pPr>
        <w:ind w:firstLine="1040"/>
        <w:rPr>
          <w:rFonts w:eastAsia="仿宋"/>
          <w:color w:val="auto"/>
          <w:sz w:val="44"/>
          <w:szCs w:val="44"/>
        </w:rPr>
      </w:pPr>
    </w:p>
    <w:p w14:paraId="5E06E79C">
      <w:pPr>
        <w:ind w:firstLine="1040"/>
        <w:rPr>
          <w:rFonts w:eastAsia="仿宋"/>
          <w:color w:val="auto"/>
          <w:sz w:val="44"/>
          <w:szCs w:val="44"/>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23"/>
        <w:gridCol w:w="1118"/>
        <w:gridCol w:w="5346"/>
      </w:tblGrid>
      <w:tr w14:paraId="52AEA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3" w:type="dxa"/>
            <w:tcBorders>
              <w:tl2br w:val="nil"/>
              <w:tr2bl w:val="nil"/>
            </w:tcBorders>
            <w:noWrap w:val="0"/>
            <w:vAlign w:val="center"/>
          </w:tcPr>
          <w:p w14:paraId="5BBDA18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项目名称：</w:t>
            </w:r>
          </w:p>
        </w:tc>
        <w:tc>
          <w:tcPr>
            <w:tcW w:w="6464" w:type="dxa"/>
            <w:gridSpan w:val="2"/>
            <w:tcBorders>
              <w:tl2br w:val="nil"/>
              <w:tr2bl w:val="nil"/>
            </w:tcBorders>
            <w:noWrap w:val="0"/>
            <w:vAlign w:val="center"/>
          </w:tcPr>
          <w:p w14:paraId="1339CF31">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u w:val="single"/>
                <w:lang w:val="en-US" w:eastAsia="zh-CN"/>
              </w:rPr>
              <w:t>宁都县源盛液化石油气有限公司液化石油气储配站项目</w:t>
            </w:r>
          </w:p>
        </w:tc>
      </w:tr>
      <w:tr w14:paraId="1BFB6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041" w:type="dxa"/>
            <w:gridSpan w:val="2"/>
            <w:tcBorders>
              <w:tl2br w:val="nil"/>
              <w:tr2bl w:val="nil"/>
            </w:tcBorders>
            <w:noWrap w:val="0"/>
            <w:vAlign w:val="center"/>
          </w:tcPr>
          <w:p w14:paraId="24D3160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建设单位（盖章）：</w:t>
            </w:r>
          </w:p>
        </w:tc>
        <w:tc>
          <w:tcPr>
            <w:tcW w:w="5346" w:type="dxa"/>
            <w:tcBorders>
              <w:tl2br w:val="nil"/>
              <w:tr2bl w:val="nil"/>
            </w:tcBorders>
            <w:noWrap w:val="0"/>
            <w:vAlign w:val="center"/>
          </w:tcPr>
          <w:p w14:paraId="65DD09D0">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仿宋" w:hAnsi="仿宋" w:eastAsia="仿宋" w:cs="仿宋"/>
                <w:color w:val="auto"/>
                <w:sz w:val="36"/>
                <w:szCs w:val="36"/>
                <w:lang w:val="en-US" w:eastAsia="zh-CN"/>
              </w:rPr>
            </w:pPr>
            <w:r>
              <w:rPr>
                <w:rFonts w:hint="eastAsia" w:ascii="仿宋" w:hAnsi="仿宋" w:eastAsia="仿宋" w:cs="仿宋"/>
                <w:color w:val="auto"/>
                <w:sz w:val="36"/>
                <w:szCs w:val="36"/>
                <w:u w:val="single"/>
                <w:lang w:val="en-US" w:eastAsia="zh-CN"/>
              </w:rPr>
              <w:t xml:space="preserve">宁都县源盛液化石油气有限公司       </w:t>
            </w:r>
          </w:p>
        </w:tc>
      </w:tr>
      <w:tr w14:paraId="795B2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23" w:type="dxa"/>
            <w:tcBorders>
              <w:tl2br w:val="nil"/>
              <w:tr2bl w:val="nil"/>
            </w:tcBorders>
            <w:noWrap w:val="0"/>
            <w:vAlign w:val="center"/>
          </w:tcPr>
          <w:p w14:paraId="28530B5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36"/>
                <w:szCs w:val="36"/>
                <w:lang w:val="en-US" w:eastAsia="zh-CN"/>
              </w:rPr>
            </w:pPr>
            <w:r>
              <w:rPr>
                <w:rFonts w:hint="eastAsia" w:ascii="仿宋" w:hAnsi="仿宋" w:eastAsia="仿宋" w:cs="仿宋"/>
                <w:color w:val="auto"/>
                <w:sz w:val="36"/>
                <w:szCs w:val="36"/>
                <w:lang w:val="en-US" w:eastAsia="zh-CN"/>
              </w:rPr>
              <w:t>编制日期：</w:t>
            </w:r>
          </w:p>
        </w:tc>
        <w:tc>
          <w:tcPr>
            <w:tcW w:w="6464" w:type="dxa"/>
            <w:gridSpan w:val="2"/>
            <w:tcBorders>
              <w:tl2br w:val="nil"/>
              <w:tr2bl w:val="nil"/>
            </w:tcBorders>
            <w:noWrap w:val="0"/>
            <w:vAlign w:val="center"/>
          </w:tcPr>
          <w:p w14:paraId="3123BD59">
            <w:pPr>
              <w:keepNext w:val="0"/>
              <w:keepLines w:val="0"/>
              <w:pageBreakBefore w:val="0"/>
              <w:widowControl w:val="0"/>
              <w:kinsoku/>
              <w:wordWrap/>
              <w:overflowPunct/>
              <w:topLinePunct w:val="0"/>
              <w:autoSpaceDE/>
              <w:autoSpaceDN/>
              <w:bidi w:val="0"/>
              <w:adjustRightInd w:val="0"/>
              <w:snapToGrid w:val="0"/>
              <w:spacing w:line="288" w:lineRule="auto"/>
              <w:jc w:val="both"/>
              <w:textAlignment w:val="auto"/>
              <w:rPr>
                <w:rFonts w:hint="default" w:ascii="仿宋" w:hAnsi="仿宋" w:eastAsia="仿宋" w:cs="仿宋"/>
                <w:color w:val="auto"/>
                <w:sz w:val="36"/>
                <w:szCs w:val="36"/>
                <w:u w:val="single"/>
                <w:lang w:val="en-US" w:eastAsia="zh-CN"/>
              </w:rPr>
            </w:pPr>
            <w:r>
              <w:rPr>
                <w:rFonts w:hint="eastAsia" w:ascii="仿宋" w:hAnsi="仿宋" w:eastAsia="仿宋" w:cs="仿宋"/>
                <w:color w:val="auto"/>
                <w:sz w:val="36"/>
                <w:szCs w:val="36"/>
                <w:u w:val="single"/>
                <w:lang w:val="en-US" w:eastAsia="zh-CN"/>
              </w:rPr>
              <w:t xml:space="preserve">2024年9月                         </w:t>
            </w:r>
          </w:p>
        </w:tc>
      </w:tr>
    </w:tbl>
    <w:p w14:paraId="05937E40">
      <w:pPr>
        <w:adjustRightInd w:val="0"/>
        <w:snapToGrid w:val="0"/>
        <w:spacing w:line="288" w:lineRule="auto"/>
        <w:ind w:firstLine="1040"/>
        <w:rPr>
          <w:rFonts w:ascii="仿宋_GB2312" w:eastAsia="仿宋_GB2312"/>
          <w:color w:val="auto"/>
          <w:sz w:val="36"/>
          <w:szCs w:val="36"/>
          <w:u w:val="single"/>
        </w:rPr>
      </w:pPr>
      <w:bookmarkStart w:id="0" w:name="_Hlk57884087"/>
    </w:p>
    <w:p w14:paraId="16C4921D">
      <w:pPr>
        <w:adjustRightInd w:val="0"/>
        <w:snapToGrid w:val="0"/>
        <w:spacing w:line="288" w:lineRule="auto"/>
        <w:ind w:firstLine="1040"/>
        <w:rPr>
          <w:rFonts w:ascii="仿宋_GB2312" w:eastAsia="仿宋_GB2312"/>
          <w:color w:val="auto"/>
          <w:sz w:val="36"/>
          <w:szCs w:val="36"/>
        </w:rPr>
      </w:pPr>
    </w:p>
    <w:p w14:paraId="559471AA">
      <w:pPr>
        <w:adjustRightInd w:val="0"/>
        <w:snapToGrid w:val="0"/>
        <w:spacing w:line="288" w:lineRule="auto"/>
        <w:ind w:firstLine="1040"/>
        <w:rPr>
          <w:rFonts w:ascii="仿宋_GB2312" w:eastAsia="仿宋_GB2312"/>
          <w:color w:val="auto"/>
          <w:sz w:val="36"/>
          <w:szCs w:val="36"/>
        </w:rPr>
      </w:pPr>
    </w:p>
    <w:p w14:paraId="20358E76">
      <w:pPr>
        <w:adjustRightInd w:val="0"/>
        <w:snapToGrid w:val="0"/>
        <w:spacing w:line="288" w:lineRule="auto"/>
        <w:ind w:firstLine="1040"/>
        <w:rPr>
          <w:rFonts w:hint="eastAsia" w:ascii="仿宋_GB2312" w:eastAsia="仿宋_GB2312"/>
          <w:color w:val="auto"/>
          <w:sz w:val="36"/>
          <w:szCs w:val="36"/>
        </w:rPr>
      </w:pPr>
    </w:p>
    <w:p w14:paraId="30E242A3">
      <w:pPr>
        <w:adjustRightInd w:val="0"/>
        <w:snapToGrid w:val="0"/>
        <w:spacing w:line="288" w:lineRule="auto"/>
        <w:ind w:firstLine="1040"/>
        <w:rPr>
          <w:rFonts w:hint="eastAsia" w:ascii="仿宋_GB2312" w:eastAsia="仿宋_GB2312"/>
          <w:color w:val="auto"/>
          <w:sz w:val="36"/>
          <w:szCs w:val="36"/>
        </w:rPr>
      </w:pPr>
    </w:p>
    <w:bookmarkEnd w:id="0"/>
    <w:p w14:paraId="0E488DAB">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649894C5">
      <w:pPr>
        <w:pStyle w:val="13"/>
        <w:rPr>
          <w:rFonts w:hint="eastAsia" w:ascii="楷体_GB2312" w:eastAsia="楷体_GB2312"/>
          <w:color w:val="auto"/>
          <w:sz w:val="36"/>
          <w:szCs w:val="36"/>
        </w:rPr>
      </w:pPr>
    </w:p>
    <w:p w14:paraId="32513A8C">
      <w:pPr>
        <w:rPr>
          <w:rFonts w:hint="eastAsia" w:ascii="楷体_GB2312" w:eastAsia="楷体_GB2312"/>
          <w:color w:val="auto"/>
          <w:sz w:val="36"/>
          <w:szCs w:val="36"/>
        </w:rPr>
      </w:pPr>
    </w:p>
    <w:p w14:paraId="007DCE0B">
      <w:pPr>
        <w:pStyle w:val="13"/>
        <w:rPr>
          <w:rFonts w:hint="eastAsia"/>
          <w:color w:val="auto"/>
        </w:rPr>
      </w:pPr>
    </w:p>
    <w:p w14:paraId="347E10DC">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5" w:h="16838"/>
          <w:pgMar w:top="1440" w:right="1304" w:bottom="1440" w:left="1304" w:header="851" w:footer="1077" w:gutter="0"/>
          <w:pgBorders>
            <w:top w:val="none" w:sz="0" w:space="0"/>
            <w:left w:val="none" w:sz="0" w:space="0"/>
            <w:bottom w:val="none" w:sz="0" w:space="0"/>
            <w:right w:val="none" w:sz="0" w:space="0"/>
          </w:pgBorders>
          <w:pgNumType w:start="3"/>
          <w:cols w:space="720" w:num="1"/>
          <w:rtlGutter w:val="0"/>
          <w:docGrid w:type="linesAndChars" w:linePitch="312" w:charSpace="0"/>
        </w:sectPr>
      </w:pPr>
    </w:p>
    <w:p w14:paraId="0F2CCC6E">
      <w:pPr>
        <w:pStyle w:val="32"/>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6"/>
        <w:tblW w:w="496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7"/>
        <w:gridCol w:w="2305"/>
        <w:gridCol w:w="2110"/>
        <w:gridCol w:w="2982"/>
      </w:tblGrid>
      <w:tr w14:paraId="555BB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003" w:type="pct"/>
            <w:noWrap w:val="0"/>
            <w:tcMar>
              <w:top w:w="16" w:type="dxa"/>
              <w:left w:w="16" w:type="dxa"/>
              <w:right w:w="16" w:type="dxa"/>
            </w:tcMar>
            <w:vAlign w:val="center"/>
          </w:tcPr>
          <w:p w14:paraId="7BD260F0">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建设项目名称</w:t>
            </w:r>
          </w:p>
        </w:tc>
        <w:tc>
          <w:tcPr>
            <w:tcW w:w="3996" w:type="pct"/>
            <w:gridSpan w:val="3"/>
            <w:noWrap w:val="0"/>
            <w:vAlign w:val="center"/>
          </w:tcPr>
          <w:p w14:paraId="490B5E19">
            <w:pPr>
              <w:adjustRightInd w:val="0"/>
              <w:snapToGrid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eastAsia="zh-CN"/>
              </w:rPr>
              <w:t>宁都县源盛液化石油气有限公司液化石油气储配站项目</w:t>
            </w:r>
          </w:p>
        </w:tc>
      </w:tr>
      <w:tr w14:paraId="322B6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3" w:type="pct"/>
            <w:noWrap w:val="0"/>
            <w:tcMar>
              <w:top w:w="16" w:type="dxa"/>
              <w:left w:w="16" w:type="dxa"/>
              <w:right w:w="16" w:type="dxa"/>
            </w:tcMar>
            <w:vAlign w:val="center"/>
          </w:tcPr>
          <w:p w14:paraId="1D3519DC">
            <w:pPr>
              <w:adjustRightInd w:val="0"/>
              <w:snapToGrid w:val="0"/>
              <w:jc w:val="center"/>
              <w:rPr>
                <w:rFonts w:ascii="宋体" w:hAnsi="宋体" w:cs="宋体"/>
                <w:color w:val="auto"/>
                <w:sz w:val="24"/>
                <w:szCs w:val="24"/>
              </w:rPr>
            </w:pPr>
            <w:r>
              <w:rPr>
                <w:rFonts w:hint="eastAsia" w:ascii="宋体" w:hAnsi="宋体" w:cs="宋体"/>
                <w:color w:val="auto"/>
                <w:sz w:val="24"/>
                <w:szCs w:val="24"/>
              </w:rPr>
              <w:t>项目代码</w:t>
            </w:r>
          </w:p>
        </w:tc>
        <w:tc>
          <w:tcPr>
            <w:tcW w:w="3996" w:type="pct"/>
            <w:gridSpan w:val="3"/>
            <w:noWrap w:val="0"/>
            <w:vAlign w:val="center"/>
          </w:tcPr>
          <w:p w14:paraId="6F943064">
            <w:pPr>
              <w:adjustRightInd w:val="0"/>
              <w:snapToGrid w:val="0"/>
              <w:jc w:val="center"/>
              <w:rPr>
                <w:rFonts w:hint="eastAsia" w:ascii="Times New Roman" w:hAnsi="Times New Roman" w:eastAsia="宋体" w:cs="Times New Roman"/>
                <w:color w:val="auto"/>
                <w:sz w:val="24"/>
                <w:szCs w:val="24"/>
                <w:lang w:val="en-US" w:eastAsia="zh-CN"/>
              </w:rPr>
            </w:pPr>
            <w:r>
              <w:rPr>
                <w:rFonts w:hint="eastAsia"/>
                <w:color w:val="auto"/>
                <w:sz w:val="24"/>
                <w:szCs w:val="24"/>
                <w:lang w:val="en-US" w:eastAsia="zh-CN"/>
              </w:rPr>
              <w:t>2311-360730-04-01-700311</w:t>
            </w:r>
          </w:p>
        </w:tc>
      </w:tr>
      <w:tr w14:paraId="221D1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3" w:type="pct"/>
            <w:noWrap w:val="0"/>
            <w:tcMar>
              <w:top w:w="16" w:type="dxa"/>
              <w:left w:w="16" w:type="dxa"/>
              <w:right w:w="16" w:type="dxa"/>
            </w:tcMar>
            <w:vAlign w:val="center"/>
          </w:tcPr>
          <w:p w14:paraId="5FFEBCEA">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建设单位联系人</w:t>
            </w:r>
          </w:p>
        </w:tc>
        <w:tc>
          <w:tcPr>
            <w:tcW w:w="1245" w:type="pct"/>
            <w:noWrap w:val="0"/>
            <w:vAlign w:val="center"/>
          </w:tcPr>
          <w:p w14:paraId="6EF02FDA">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温颖</w:t>
            </w:r>
          </w:p>
        </w:tc>
        <w:tc>
          <w:tcPr>
            <w:tcW w:w="1140" w:type="pct"/>
            <w:noWrap w:val="0"/>
            <w:vAlign w:val="center"/>
          </w:tcPr>
          <w:p w14:paraId="3D473DD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1610" w:type="pct"/>
            <w:noWrap w:val="0"/>
            <w:vAlign w:val="center"/>
          </w:tcPr>
          <w:p w14:paraId="19EB22A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13576782821</w:t>
            </w:r>
          </w:p>
        </w:tc>
      </w:tr>
      <w:tr w14:paraId="23D1D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3" w:type="pct"/>
            <w:noWrap w:val="0"/>
            <w:tcMar>
              <w:top w:w="16" w:type="dxa"/>
              <w:left w:w="16" w:type="dxa"/>
              <w:right w:w="16" w:type="dxa"/>
            </w:tcMar>
            <w:vAlign w:val="center"/>
          </w:tcPr>
          <w:p w14:paraId="292B6142">
            <w:pPr>
              <w:adjustRightInd w:val="0"/>
              <w:snapToGrid w:val="0"/>
              <w:jc w:val="center"/>
              <w:rPr>
                <w:rFonts w:ascii="宋体" w:hAnsi="宋体" w:cs="宋体"/>
                <w:color w:val="auto"/>
                <w:sz w:val="24"/>
                <w:szCs w:val="24"/>
              </w:rPr>
            </w:pPr>
            <w:r>
              <w:rPr>
                <w:rFonts w:hint="eastAsia" w:ascii="宋体" w:hAnsi="宋体" w:cs="宋体"/>
                <w:color w:val="auto"/>
                <w:sz w:val="24"/>
                <w:szCs w:val="24"/>
              </w:rPr>
              <w:t>建设地点</w:t>
            </w:r>
          </w:p>
        </w:tc>
        <w:tc>
          <w:tcPr>
            <w:tcW w:w="3996" w:type="pct"/>
            <w:gridSpan w:val="3"/>
            <w:noWrap w:val="0"/>
            <w:vAlign w:val="center"/>
          </w:tcPr>
          <w:p w14:paraId="065E4471">
            <w:pPr>
              <w:adjustRightInd w:val="0"/>
              <w:snapToGrid w:val="0"/>
              <w:jc w:val="center"/>
              <w:rPr>
                <w:rFonts w:hint="default" w:ascii="Times New Roman" w:hAnsi="Times New Roman" w:cs="Times New Roman"/>
                <w:color w:val="auto"/>
                <w:sz w:val="24"/>
                <w:szCs w:val="24"/>
              </w:rPr>
            </w:pPr>
            <w:r>
              <w:rPr>
                <w:rFonts w:hint="eastAsia" w:eastAsia="宋体"/>
                <w:color w:val="auto"/>
                <w:sz w:val="24"/>
                <w:szCs w:val="24"/>
                <w:lang w:val="en-US" w:eastAsia="zh-CN"/>
              </w:rPr>
              <w:t>江西省赣州市</w:t>
            </w:r>
            <w:r>
              <w:rPr>
                <w:rFonts w:hint="eastAsia" w:eastAsia="Times New Roman"/>
                <w:color w:val="auto"/>
                <w:sz w:val="24"/>
                <w:szCs w:val="24"/>
                <w:lang w:val="zh-CN"/>
              </w:rPr>
              <w:t>宁都县翠微峰大道以西，永宁路以南</w:t>
            </w:r>
          </w:p>
        </w:tc>
      </w:tr>
      <w:tr w14:paraId="14CF6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3" w:type="pct"/>
            <w:noWrap w:val="0"/>
            <w:tcMar>
              <w:top w:w="16" w:type="dxa"/>
              <w:left w:w="16" w:type="dxa"/>
              <w:right w:w="16" w:type="dxa"/>
            </w:tcMar>
            <w:vAlign w:val="center"/>
          </w:tcPr>
          <w:p w14:paraId="1A82E868">
            <w:pPr>
              <w:adjustRightInd w:val="0"/>
              <w:snapToGrid w:val="0"/>
              <w:jc w:val="center"/>
              <w:rPr>
                <w:rFonts w:ascii="宋体" w:hAnsi="宋体" w:cs="宋体"/>
                <w:color w:val="auto"/>
                <w:sz w:val="24"/>
                <w:szCs w:val="24"/>
              </w:rPr>
            </w:pPr>
            <w:r>
              <w:rPr>
                <w:rFonts w:hint="eastAsia" w:ascii="宋体" w:hAnsi="宋体" w:cs="宋体"/>
                <w:color w:val="auto"/>
                <w:sz w:val="24"/>
                <w:szCs w:val="24"/>
              </w:rPr>
              <w:t>地理坐标</w:t>
            </w:r>
          </w:p>
        </w:tc>
        <w:tc>
          <w:tcPr>
            <w:tcW w:w="3996" w:type="pct"/>
            <w:gridSpan w:val="3"/>
            <w:noWrap w:val="0"/>
            <w:vAlign w:val="center"/>
          </w:tcPr>
          <w:p w14:paraId="4EA681B6">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1"/>
                <w:lang w:eastAsia="zh-CN"/>
              </w:rPr>
              <w:t>E115°59′24.622″,</w:t>
            </w:r>
            <w:r>
              <w:rPr>
                <w:rFonts w:hint="eastAsia" w:cs="Times New Roman"/>
                <w:color w:val="auto"/>
                <w:sz w:val="24"/>
                <w:szCs w:val="21"/>
                <w:lang w:val="en-US" w:eastAsia="zh-CN"/>
              </w:rPr>
              <w:t>N</w:t>
            </w:r>
            <w:r>
              <w:rPr>
                <w:rFonts w:hint="default" w:ascii="Times New Roman" w:hAnsi="Times New Roman" w:cs="Times New Roman"/>
                <w:color w:val="auto"/>
                <w:sz w:val="24"/>
                <w:szCs w:val="21"/>
                <w:lang w:eastAsia="zh-CN"/>
              </w:rPr>
              <w:t>26°27′20.72</w:t>
            </w:r>
            <w:r>
              <w:rPr>
                <w:rFonts w:hint="eastAsia" w:cs="Times New Roman"/>
                <w:color w:val="auto"/>
                <w:sz w:val="24"/>
                <w:szCs w:val="21"/>
                <w:lang w:val="en-US" w:eastAsia="zh-CN"/>
              </w:rPr>
              <w:t>3</w:t>
            </w:r>
            <w:r>
              <w:rPr>
                <w:rFonts w:hint="default" w:ascii="Times New Roman" w:hAnsi="Times New Roman" w:cs="Times New Roman"/>
                <w:color w:val="auto"/>
                <w:sz w:val="24"/>
                <w:szCs w:val="21"/>
                <w:lang w:eastAsia="zh-CN"/>
              </w:rPr>
              <w:t>″</w:t>
            </w:r>
          </w:p>
        </w:tc>
      </w:tr>
      <w:tr w14:paraId="6B3D8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3" w:type="pct"/>
            <w:noWrap w:val="0"/>
            <w:tcMar>
              <w:top w:w="16" w:type="dxa"/>
              <w:left w:w="16" w:type="dxa"/>
              <w:right w:w="16" w:type="dxa"/>
            </w:tcMar>
            <w:vAlign w:val="center"/>
          </w:tcPr>
          <w:p w14:paraId="0B9AAEF0">
            <w:pPr>
              <w:adjustRightInd w:val="0"/>
              <w:snapToGrid w:val="0"/>
              <w:jc w:val="center"/>
              <w:rPr>
                <w:rFonts w:hint="eastAsia" w:ascii="宋体" w:hAnsi="宋体" w:cs="宋体"/>
                <w:color w:val="auto"/>
                <w:sz w:val="24"/>
                <w:szCs w:val="24"/>
              </w:rPr>
            </w:pPr>
            <w:bookmarkStart w:id="1" w:name="OLE_LINK3"/>
            <w:r>
              <w:rPr>
                <w:rFonts w:hint="eastAsia" w:ascii="宋体" w:hAnsi="宋体" w:cs="宋体"/>
                <w:color w:val="auto"/>
                <w:sz w:val="24"/>
                <w:szCs w:val="24"/>
              </w:rPr>
              <w:t>国民经济</w:t>
            </w:r>
          </w:p>
          <w:p w14:paraId="621CB467">
            <w:pPr>
              <w:adjustRightInd w:val="0"/>
              <w:snapToGrid w:val="0"/>
              <w:jc w:val="center"/>
              <w:rPr>
                <w:rFonts w:ascii="宋体" w:hAnsi="宋体" w:cs="宋体"/>
                <w:color w:val="auto"/>
                <w:sz w:val="24"/>
                <w:szCs w:val="24"/>
              </w:rPr>
            </w:pPr>
            <w:r>
              <w:rPr>
                <w:rFonts w:hint="eastAsia" w:ascii="宋体" w:hAnsi="宋体" w:cs="宋体"/>
                <w:color w:val="auto"/>
                <w:sz w:val="24"/>
                <w:szCs w:val="24"/>
              </w:rPr>
              <w:t>行业类别</w:t>
            </w:r>
            <w:bookmarkEnd w:id="1"/>
          </w:p>
        </w:tc>
        <w:tc>
          <w:tcPr>
            <w:tcW w:w="1245" w:type="pct"/>
            <w:noWrap w:val="0"/>
            <w:vAlign w:val="center"/>
          </w:tcPr>
          <w:p w14:paraId="0FBA0DEB">
            <w:pPr>
              <w:adjustRightInd w:val="0"/>
              <w:snapToGrid w:val="0"/>
              <w:jc w:val="center"/>
              <w:rPr>
                <w:color w:val="auto"/>
              </w:rPr>
            </w:pPr>
            <w:r>
              <w:rPr>
                <w:rFonts w:hint="eastAsia" w:ascii="Times New Roman" w:hAnsi="Times New Roman" w:cs="Times New Roman"/>
                <w:bCs/>
                <w:color w:val="auto"/>
                <w:sz w:val="24"/>
                <w:lang w:val="en-US" w:eastAsia="zh-CN"/>
              </w:rPr>
              <w:t>D4512</w:t>
            </w:r>
            <w:bookmarkStart w:id="2" w:name="OLE_LINK1"/>
            <w:r>
              <w:rPr>
                <w:rFonts w:hint="eastAsia" w:ascii="Times New Roman" w:hAnsi="Times New Roman" w:cs="Times New Roman"/>
                <w:bCs/>
                <w:color w:val="auto"/>
                <w:sz w:val="24"/>
                <w:lang w:val="en-US" w:eastAsia="zh-CN"/>
              </w:rPr>
              <w:t>液化石油气生产和供应业</w:t>
            </w:r>
            <w:bookmarkEnd w:id="2"/>
          </w:p>
          <w:p w14:paraId="615A1C52">
            <w:pPr>
              <w:pStyle w:val="2"/>
              <w:rPr>
                <w:rFonts w:hint="default" w:eastAsia="宋体"/>
                <w:color w:val="auto"/>
                <w:lang w:val="en-US" w:eastAsia="zh-CN"/>
              </w:rPr>
            </w:pPr>
            <w:r>
              <w:rPr>
                <w:rFonts w:hint="eastAsia" w:ascii="Times New Roman" w:hAnsi="Times New Roman" w:eastAsia="宋体" w:cs="Times New Roman"/>
                <w:bCs/>
                <w:color w:val="auto"/>
                <w:kern w:val="2"/>
                <w:sz w:val="24"/>
                <w:szCs w:val="24"/>
                <w:lang w:val="en-US" w:eastAsia="zh-CN" w:bidi="ar-SA"/>
              </w:rPr>
              <w:t>G5941</w:t>
            </w:r>
            <w:r>
              <w:rPr>
                <w:rFonts w:hint="default" w:ascii="Times New Roman" w:hAnsi="Times New Roman" w:eastAsia="宋体" w:cs="Times New Roman"/>
                <w:color w:val="auto"/>
                <w:sz w:val="24"/>
                <w:szCs w:val="24"/>
                <w:lang w:val="en-US" w:eastAsia="zh-CN"/>
              </w:rPr>
              <w:t>油气仓储</w:t>
            </w:r>
          </w:p>
        </w:tc>
        <w:tc>
          <w:tcPr>
            <w:tcW w:w="1140" w:type="pct"/>
            <w:noWrap w:val="0"/>
            <w:vAlign w:val="center"/>
          </w:tcPr>
          <w:p w14:paraId="640031B8">
            <w:pPr>
              <w:adjustRightInd w:val="0"/>
              <w:snapToGrid w:val="0"/>
              <w:jc w:val="center"/>
              <w:rPr>
                <w:rFonts w:hint="default" w:ascii="Times New Roman" w:hAnsi="Times New Roman" w:cs="Times New Roman"/>
                <w:color w:val="auto"/>
                <w:sz w:val="24"/>
                <w:szCs w:val="24"/>
              </w:rPr>
            </w:pPr>
            <w:bookmarkStart w:id="3" w:name="_Hlk49843745"/>
            <w:bookmarkStart w:id="4" w:name="OLE_LINK4"/>
            <w:r>
              <w:rPr>
                <w:rFonts w:hint="default" w:ascii="Times New Roman" w:hAnsi="Times New Roman" w:cs="Times New Roman"/>
                <w:color w:val="auto"/>
                <w:sz w:val="24"/>
                <w:szCs w:val="24"/>
              </w:rPr>
              <w:t>建设项目</w:t>
            </w:r>
          </w:p>
          <w:p w14:paraId="2D5B353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3"/>
            <w:bookmarkEnd w:id="4"/>
          </w:p>
        </w:tc>
        <w:tc>
          <w:tcPr>
            <w:tcW w:w="1610" w:type="pct"/>
            <w:noWrap w:val="0"/>
            <w:vAlign w:val="center"/>
          </w:tcPr>
          <w:p w14:paraId="56877FEA">
            <w:pPr>
              <w:adjustRightInd w:val="0"/>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五十三、</w:t>
            </w:r>
            <w:bookmarkStart w:id="5" w:name="OLE_LINK5"/>
            <w:r>
              <w:rPr>
                <w:rFonts w:hint="eastAsia" w:ascii="Times New Roman" w:hAnsi="Times New Roman" w:cs="Times New Roman"/>
                <w:color w:val="auto"/>
                <w:sz w:val="24"/>
                <w:szCs w:val="24"/>
                <w:lang w:val="en-US" w:eastAsia="zh-CN"/>
              </w:rPr>
              <w:t>装卸搬运和仓储业</w:t>
            </w:r>
            <w:bookmarkEnd w:id="5"/>
          </w:p>
          <w:p w14:paraId="24F8DD67">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149</w:t>
            </w:r>
            <w:bookmarkStart w:id="6" w:name="OLE_LINK2"/>
            <w:r>
              <w:rPr>
                <w:rFonts w:hint="default" w:ascii="Times New Roman" w:hAnsi="Times New Roman" w:eastAsia="宋体" w:cs="Times New Roman"/>
                <w:color w:val="auto"/>
                <w:sz w:val="24"/>
                <w:szCs w:val="24"/>
                <w:lang w:val="en-US" w:eastAsia="zh-CN"/>
              </w:rPr>
              <w:t>危险品仓储</w:t>
            </w:r>
            <w:bookmarkEnd w:id="6"/>
            <w:r>
              <w:rPr>
                <w:rFonts w:hint="default" w:ascii="Times New Roman" w:hAnsi="Times New Roman" w:eastAsia="宋体" w:cs="Times New Roman"/>
                <w:color w:val="auto"/>
                <w:sz w:val="24"/>
                <w:szCs w:val="24"/>
                <w:lang w:val="en-US" w:eastAsia="zh-CN"/>
              </w:rPr>
              <w:t>594（不含加油站的油库；不含加气站的气库）中其他（含有毒、有害、危险品的仓储；含液化天然气库）</w:t>
            </w:r>
          </w:p>
        </w:tc>
      </w:tr>
      <w:tr w14:paraId="6DA77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3" w:type="pct"/>
            <w:noWrap w:val="0"/>
            <w:tcMar>
              <w:top w:w="16" w:type="dxa"/>
              <w:left w:w="16" w:type="dxa"/>
              <w:right w:w="16" w:type="dxa"/>
            </w:tcMar>
            <w:vAlign w:val="center"/>
          </w:tcPr>
          <w:p w14:paraId="55D99CD4">
            <w:pPr>
              <w:adjustRightInd w:val="0"/>
              <w:snapToGrid w:val="0"/>
              <w:jc w:val="center"/>
              <w:rPr>
                <w:rFonts w:ascii="宋体" w:hAnsi="宋体" w:cs="宋体"/>
                <w:color w:val="auto"/>
                <w:sz w:val="24"/>
                <w:szCs w:val="24"/>
              </w:rPr>
            </w:pPr>
            <w:r>
              <w:rPr>
                <w:rFonts w:hint="eastAsia" w:ascii="宋体" w:hAnsi="宋体" w:cs="宋体"/>
                <w:color w:val="auto"/>
                <w:sz w:val="24"/>
                <w:szCs w:val="24"/>
              </w:rPr>
              <w:t>建设性质</w:t>
            </w:r>
          </w:p>
        </w:tc>
        <w:tc>
          <w:tcPr>
            <w:tcW w:w="1245" w:type="pct"/>
            <w:noWrap w:val="0"/>
            <w:vAlign w:val="center"/>
          </w:tcPr>
          <w:p w14:paraId="20AE6928">
            <w:pPr>
              <w:jc w:val="left"/>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新建（迁建）</w:t>
            </w:r>
          </w:p>
          <w:p w14:paraId="7307056F">
            <w:pPr>
              <w:jc w:val="left"/>
              <w:rPr>
                <w:rFonts w:hint="eastAsia"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改建</w:t>
            </w:r>
          </w:p>
          <w:p w14:paraId="798F1286">
            <w:pPr>
              <w:jc w:val="left"/>
              <w:rPr>
                <w:rFonts w:hint="eastAsia"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扩建</w:t>
            </w:r>
          </w:p>
          <w:p w14:paraId="2437CEEE">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技术改造</w:t>
            </w:r>
          </w:p>
        </w:tc>
        <w:tc>
          <w:tcPr>
            <w:tcW w:w="1140" w:type="pct"/>
            <w:noWrap w:val="0"/>
            <w:vAlign w:val="center"/>
          </w:tcPr>
          <w:p w14:paraId="0FE3ECE0">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建设项目</w:t>
            </w:r>
          </w:p>
          <w:p w14:paraId="7797D0B8">
            <w:pPr>
              <w:adjustRightInd w:val="0"/>
              <w:snapToGrid w:val="0"/>
              <w:jc w:val="center"/>
              <w:rPr>
                <w:rFonts w:ascii="宋体" w:hAnsi="宋体" w:cs="宋体"/>
                <w:color w:val="auto"/>
                <w:sz w:val="24"/>
                <w:szCs w:val="24"/>
              </w:rPr>
            </w:pPr>
            <w:r>
              <w:rPr>
                <w:rFonts w:hint="eastAsia" w:ascii="宋体" w:hAnsi="宋体" w:cs="宋体"/>
                <w:color w:val="auto"/>
                <w:sz w:val="24"/>
                <w:szCs w:val="24"/>
              </w:rPr>
              <w:t>申报情形</w:t>
            </w:r>
          </w:p>
        </w:tc>
        <w:tc>
          <w:tcPr>
            <w:tcW w:w="1610" w:type="pct"/>
            <w:noWrap w:val="0"/>
            <w:vAlign w:val="center"/>
          </w:tcPr>
          <w:p w14:paraId="3BAFE263">
            <w:pPr>
              <w:jc w:val="left"/>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首次申报项目</w:t>
            </w:r>
          </w:p>
          <w:p w14:paraId="5B729A63">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不予批准后再次申报项目</w:t>
            </w:r>
          </w:p>
          <w:p w14:paraId="73B4220B">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超五年重新审核项目</w:t>
            </w:r>
          </w:p>
          <w:p w14:paraId="608BB8F3">
            <w:pPr>
              <w:jc w:val="left"/>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重大变动重新报批项目</w:t>
            </w:r>
          </w:p>
        </w:tc>
      </w:tr>
      <w:tr w14:paraId="2E0F0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3" w:type="pct"/>
            <w:noWrap w:val="0"/>
            <w:tcMar>
              <w:top w:w="16" w:type="dxa"/>
              <w:left w:w="16" w:type="dxa"/>
              <w:right w:w="16" w:type="dxa"/>
            </w:tcMar>
            <w:vAlign w:val="center"/>
          </w:tcPr>
          <w:p w14:paraId="1BD2271E">
            <w:pPr>
              <w:adjustRightInd w:val="0"/>
              <w:snapToGrid w:val="0"/>
              <w:jc w:val="center"/>
              <w:rPr>
                <w:rFonts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r>
              <w:rPr>
                <w:rFonts w:hint="eastAsia" w:ascii="宋体" w:hAnsi="宋体" w:cs="宋体"/>
                <w:color w:val="auto"/>
                <w:sz w:val="24"/>
                <w:szCs w:val="24"/>
              </w:rPr>
              <w:t>备案）部门（选填）</w:t>
            </w:r>
          </w:p>
        </w:tc>
        <w:tc>
          <w:tcPr>
            <w:tcW w:w="1245" w:type="pct"/>
            <w:noWrap w:val="0"/>
            <w:vAlign w:val="center"/>
          </w:tcPr>
          <w:p w14:paraId="3B01D22A">
            <w:pPr>
              <w:adjustRightInd w:val="0"/>
              <w:snapToGrid w:val="0"/>
              <w:jc w:val="center"/>
              <w:rPr>
                <w:rFonts w:hint="default" w:ascii="宋体" w:hAnsi="宋体" w:eastAsia="宋体" w:cs="宋体"/>
                <w:color w:val="auto"/>
                <w:sz w:val="24"/>
                <w:szCs w:val="24"/>
                <w:lang w:val="en-US" w:eastAsia="zh-CN"/>
              </w:rPr>
            </w:pPr>
            <w:r>
              <w:rPr>
                <w:rFonts w:hint="eastAsia" w:eastAsia="宋体"/>
                <w:color w:val="auto"/>
                <w:sz w:val="24"/>
                <w:szCs w:val="24"/>
                <w:lang w:val="en-US" w:eastAsia="zh-CN"/>
              </w:rPr>
              <w:t>宁都县</w:t>
            </w:r>
            <w:r>
              <w:rPr>
                <w:rFonts w:hint="default" w:ascii="Times New Roman" w:hAnsi="Times New Roman" w:eastAsia="Times New Roman"/>
                <w:color w:val="auto"/>
                <w:sz w:val="24"/>
                <w:szCs w:val="24"/>
                <w:lang w:val="zh-CN"/>
              </w:rPr>
              <w:t>行政审批局</w:t>
            </w:r>
          </w:p>
        </w:tc>
        <w:tc>
          <w:tcPr>
            <w:tcW w:w="1140" w:type="pct"/>
            <w:noWrap w:val="0"/>
            <w:vAlign w:val="center"/>
          </w:tcPr>
          <w:p w14:paraId="1D41100E">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项目审批（核准</w:t>
            </w:r>
            <w:r>
              <w:rPr>
                <w:rFonts w:ascii="宋体" w:hAnsi="宋体" w:cs="宋体"/>
                <w:color w:val="auto"/>
                <w:sz w:val="24"/>
                <w:szCs w:val="24"/>
              </w:rPr>
              <w:t>/</w:t>
            </w:r>
            <w:r>
              <w:rPr>
                <w:rFonts w:hint="eastAsia" w:ascii="宋体" w:hAnsi="宋体" w:cs="宋体"/>
                <w:color w:val="auto"/>
                <w:sz w:val="24"/>
                <w:szCs w:val="24"/>
              </w:rPr>
              <w:t>备案）文号（选填）</w:t>
            </w:r>
          </w:p>
        </w:tc>
        <w:tc>
          <w:tcPr>
            <w:tcW w:w="1610" w:type="pct"/>
            <w:noWrap w:val="0"/>
            <w:vAlign w:val="center"/>
          </w:tcPr>
          <w:p w14:paraId="36AE9A07">
            <w:pPr>
              <w:adjustRightInd w:val="0"/>
              <w:snapToGrid w:val="0"/>
              <w:jc w:val="center"/>
              <w:rPr>
                <w:rFonts w:hint="default" w:ascii="宋体" w:hAnsi="宋体" w:eastAsia="宋体" w:cs="宋体"/>
                <w:color w:val="auto"/>
                <w:sz w:val="24"/>
                <w:szCs w:val="24"/>
                <w:lang w:val="en-US" w:eastAsia="zh-CN"/>
              </w:rPr>
            </w:pPr>
            <w:r>
              <w:rPr>
                <w:rFonts w:hint="eastAsia" w:cs="Times New Roman"/>
                <w:color w:val="auto"/>
                <w:sz w:val="24"/>
                <w:szCs w:val="24"/>
                <w:lang w:val="en-US" w:eastAsia="zh-CN"/>
              </w:rPr>
              <w:t>/</w:t>
            </w:r>
          </w:p>
        </w:tc>
      </w:tr>
      <w:tr w14:paraId="522F6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3" w:type="pct"/>
            <w:noWrap w:val="0"/>
            <w:tcMar>
              <w:top w:w="16" w:type="dxa"/>
              <w:left w:w="16" w:type="dxa"/>
              <w:right w:w="16" w:type="dxa"/>
            </w:tcMar>
            <w:vAlign w:val="center"/>
          </w:tcPr>
          <w:p w14:paraId="3FE973F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245" w:type="pct"/>
            <w:noWrap w:val="0"/>
            <w:vAlign w:val="center"/>
          </w:tcPr>
          <w:p w14:paraId="72A45C7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1700</w:t>
            </w:r>
          </w:p>
        </w:tc>
        <w:tc>
          <w:tcPr>
            <w:tcW w:w="1140" w:type="pct"/>
            <w:noWrap w:val="0"/>
            <w:tcMar>
              <w:top w:w="16" w:type="dxa"/>
              <w:left w:w="16" w:type="dxa"/>
              <w:right w:w="16" w:type="dxa"/>
            </w:tcMar>
            <w:vAlign w:val="center"/>
          </w:tcPr>
          <w:p w14:paraId="2A62244F">
            <w:pPr>
              <w:adjustRightInd w:val="0"/>
              <w:snapToGrid w:val="0"/>
              <w:jc w:val="center"/>
              <w:rPr>
                <w:rFonts w:ascii="宋体" w:hAnsi="宋体" w:cs="宋体"/>
                <w:color w:val="auto"/>
                <w:sz w:val="24"/>
                <w:szCs w:val="24"/>
                <w:highlight w:val="yellow"/>
              </w:rPr>
            </w:pPr>
            <w:r>
              <w:rPr>
                <w:rFonts w:hint="eastAsia" w:ascii="宋体" w:hAnsi="宋体" w:cs="宋体"/>
                <w:color w:val="auto"/>
                <w:sz w:val="24"/>
                <w:szCs w:val="24"/>
                <w:highlight w:val="none"/>
              </w:rPr>
              <w:t>环保投资（万元）</w:t>
            </w:r>
          </w:p>
        </w:tc>
        <w:tc>
          <w:tcPr>
            <w:tcW w:w="1610" w:type="pct"/>
            <w:noWrap w:val="0"/>
            <w:vAlign w:val="center"/>
          </w:tcPr>
          <w:p w14:paraId="565C3255">
            <w:pPr>
              <w:adjustRightInd w:val="0"/>
              <w:snapToGrid w:val="0"/>
              <w:jc w:val="center"/>
              <w:rPr>
                <w:rFonts w:hint="default" w:ascii="宋体" w:hAnsi="宋体" w:eastAsia="宋体" w:cs="宋体"/>
                <w:color w:val="auto"/>
                <w:sz w:val="24"/>
                <w:szCs w:val="24"/>
                <w:highlight w:val="yellow"/>
                <w:lang w:val="en-US" w:eastAsia="zh-CN"/>
              </w:rPr>
            </w:pPr>
            <w:r>
              <w:rPr>
                <w:rFonts w:hint="eastAsia" w:cs="Times New Roman"/>
                <w:color w:val="auto"/>
                <w:sz w:val="24"/>
                <w:szCs w:val="24"/>
                <w:highlight w:val="none"/>
                <w:lang w:val="en-US" w:eastAsia="zh-CN"/>
              </w:rPr>
              <w:t>21</w:t>
            </w:r>
          </w:p>
        </w:tc>
      </w:tr>
      <w:tr w14:paraId="60C6C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3" w:type="pct"/>
            <w:noWrap w:val="0"/>
            <w:tcMar>
              <w:top w:w="16" w:type="dxa"/>
              <w:left w:w="16" w:type="dxa"/>
              <w:right w:w="16" w:type="dxa"/>
            </w:tcMar>
            <w:vAlign w:val="center"/>
          </w:tcPr>
          <w:p w14:paraId="524CABA8">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环保投资占比（%）</w:t>
            </w:r>
          </w:p>
        </w:tc>
        <w:tc>
          <w:tcPr>
            <w:tcW w:w="1245" w:type="pct"/>
            <w:noWrap w:val="0"/>
            <w:vAlign w:val="center"/>
          </w:tcPr>
          <w:p w14:paraId="2CF5C24C">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1.24</w:t>
            </w:r>
          </w:p>
        </w:tc>
        <w:tc>
          <w:tcPr>
            <w:tcW w:w="1140" w:type="pct"/>
            <w:noWrap w:val="0"/>
            <w:tcMar>
              <w:top w:w="16" w:type="dxa"/>
              <w:left w:w="16" w:type="dxa"/>
              <w:right w:w="16" w:type="dxa"/>
            </w:tcMar>
            <w:vAlign w:val="center"/>
          </w:tcPr>
          <w:p w14:paraId="43A2371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1610" w:type="pct"/>
            <w:noWrap w:val="0"/>
            <w:vAlign w:val="center"/>
          </w:tcPr>
          <w:p w14:paraId="43AA4653">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6个月</w:t>
            </w:r>
          </w:p>
        </w:tc>
      </w:tr>
      <w:tr w14:paraId="74286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1003" w:type="pct"/>
            <w:noWrap w:val="0"/>
            <w:tcMar>
              <w:top w:w="16" w:type="dxa"/>
              <w:left w:w="16" w:type="dxa"/>
              <w:right w:w="16" w:type="dxa"/>
            </w:tcMar>
            <w:vAlign w:val="center"/>
          </w:tcPr>
          <w:p w14:paraId="5AF4435E">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是否开工建设</w:t>
            </w:r>
          </w:p>
        </w:tc>
        <w:tc>
          <w:tcPr>
            <w:tcW w:w="1245" w:type="pct"/>
            <w:noWrap w:val="0"/>
            <w:vAlign w:val="center"/>
          </w:tcPr>
          <w:p w14:paraId="79269FC3">
            <w:pPr>
              <w:adjustRightInd w:val="0"/>
              <w:snapToGrid w:val="0"/>
              <w:rPr>
                <w:rFonts w:ascii="宋体" w:hAnsi="宋体" w:cs="宋体"/>
                <w:color w:val="auto"/>
                <w:sz w:val="24"/>
                <w:szCs w:val="24"/>
              </w:rPr>
            </w:pPr>
            <w:r>
              <w:rPr>
                <w:rFonts w:hint="eastAsia" w:ascii="宋体" w:hAnsi="宋体" w:cs="宋体"/>
                <w:color w:val="auto"/>
                <w:sz w:val="24"/>
                <w:szCs w:val="24"/>
              </w:rPr>
              <w:sym w:font="Wingdings 2" w:char="00A3"/>
            </w:r>
            <w:r>
              <w:rPr>
                <w:rFonts w:hint="eastAsia" w:ascii="宋体" w:hAnsi="宋体" w:cs="宋体"/>
                <w:color w:val="auto"/>
                <w:sz w:val="24"/>
                <w:szCs w:val="24"/>
              </w:rPr>
              <w:t>否</w:t>
            </w:r>
          </w:p>
          <w:p w14:paraId="10A62246">
            <w:pPr>
              <w:adjustRightInd w:val="0"/>
              <w:snapToGrid w:val="0"/>
              <w:rPr>
                <w:rFonts w:hint="default" w:ascii="宋体" w:hAnsi="宋体" w:eastAsia="宋体" w:cs="宋体"/>
                <w:color w:val="auto"/>
                <w:sz w:val="24"/>
                <w:szCs w:val="24"/>
                <w:lang w:val="en-US" w:eastAsia="zh-CN"/>
              </w:rPr>
            </w:pPr>
            <w:r>
              <w:rPr>
                <w:rFonts w:hint="eastAsia" w:ascii="宋体" w:hAnsi="宋体" w:cs="宋体"/>
                <w:color w:val="auto"/>
                <w:sz w:val="24"/>
                <w:szCs w:val="24"/>
              </w:rPr>
              <w:sym w:font="Wingdings 2" w:char="0052"/>
            </w:r>
            <w:r>
              <w:rPr>
                <w:rFonts w:hint="eastAsia" w:ascii="宋体" w:hAnsi="宋体" w:cs="宋体"/>
                <w:color w:val="auto"/>
                <w:sz w:val="24"/>
                <w:szCs w:val="24"/>
              </w:rPr>
              <w:t>是</w:t>
            </w:r>
            <w:r>
              <w:rPr>
                <w:rFonts w:hint="eastAsia" w:ascii="宋体" w:hAnsi="宋体" w:cs="宋体"/>
                <w:color w:val="auto"/>
                <w:sz w:val="24"/>
                <w:szCs w:val="24"/>
                <w:lang w:eastAsia="zh-CN"/>
              </w:rPr>
              <w:t>：</w:t>
            </w:r>
            <w:r>
              <w:rPr>
                <w:rFonts w:hint="eastAsia" w:ascii="宋体" w:hAnsi="宋体" w:cs="宋体"/>
                <w:color w:val="auto"/>
                <w:sz w:val="24"/>
                <w:szCs w:val="24"/>
                <w:u w:val="single"/>
                <w:lang w:val="en-US" w:eastAsia="zh-CN"/>
              </w:rPr>
              <w:t>目前企业已进行土地平整，现场未布置生产线</w:t>
            </w:r>
          </w:p>
        </w:tc>
        <w:tc>
          <w:tcPr>
            <w:tcW w:w="1140" w:type="pct"/>
            <w:noWrap w:val="0"/>
            <w:tcMar>
              <w:top w:w="16" w:type="dxa"/>
              <w:left w:w="16" w:type="dxa"/>
              <w:right w:w="16" w:type="dxa"/>
            </w:tcMar>
            <w:vAlign w:val="center"/>
          </w:tcPr>
          <w:p w14:paraId="1C069980">
            <w:pPr>
              <w:adjustRightInd w:val="0"/>
              <w:snapToGrid w:val="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用地（用海）</w:t>
            </w:r>
          </w:p>
          <w:p w14:paraId="718B3352">
            <w:pPr>
              <w:adjustRightInd w:val="0"/>
              <w:snapToGrid w:val="0"/>
              <w:jc w:val="center"/>
              <w:rPr>
                <w:rFonts w:hint="eastAsia" w:ascii="宋体" w:hAnsi="宋体" w:cs="宋体"/>
                <w:color w:val="auto"/>
                <w:sz w:val="24"/>
                <w:szCs w:val="24"/>
                <w:highlight w:val="none"/>
              </w:rPr>
            </w:pPr>
            <w:r>
              <w:rPr>
                <w:rFonts w:hint="eastAsia" w:ascii="宋体" w:hAnsi="宋体" w:cs="宋体"/>
                <w:color w:val="auto"/>
                <w:spacing w:val="-6"/>
                <w:sz w:val="24"/>
                <w:szCs w:val="24"/>
                <w:highlight w:val="none"/>
              </w:rPr>
              <w:t>面积（</w:t>
            </w:r>
            <w:r>
              <w:rPr>
                <w:rFonts w:hint="default" w:ascii="Times New Roman" w:hAnsi="Times New Roman" w:cs="Times New Roman"/>
                <w:color w:val="auto"/>
                <w:spacing w:val="-6"/>
                <w:sz w:val="24"/>
                <w:szCs w:val="24"/>
                <w:highlight w:val="none"/>
              </w:rPr>
              <w:t>m</w:t>
            </w:r>
            <w:r>
              <w:rPr>
                <w:rFonts w:hint="default" w:ascii="Times New Roman" w:hAnsi="Times New Roman" w:cs="Times New Roman"/>
                <w:color w:val="auto"/>
                <w:spacing w:val="-6"/>
                <w:sz w:val="24"/>
                <w:szCs w:val="24"/>
                <w:highlight w:val="none"/>
                <w:vertAlign w:val="superscript"/>
              </w:rPr>
              <w:t>2</w:t>
            </w:r>
            <w:r>
              <w:rPr>
                <w:rFonts w:hint="eastAsia" w:ascii="宋体" w:hAnsi="宋体" w:cs="宋体"/>
                <w:color w:val="auto"/>
                <w:spacing w:val="-6"/>
                <w:sz w:val="24"/>
                <w:szCs w:val="24"/>
                <w:highlight w:val="none"/>
              </w:rPr>
              <w:t>）</w:t>
            </w:r>
          </w:p>
        </w:tc>
        <w:tc>
          <w:tcPr>
            <w:tcW w:w="1610" w:type="pct"/>
            <w:noWrap w:val="0"/>
            <w:vAlign w:val="center"/>
          </w:tcPr>
          <w:p w14:paraId="6815FC8C">
            <w:pPr>
              <w:adjustRightInd w:val="0"/>
              <w:snapToGrid w:val="0"/>
              <w:jc w:val="center"/>
              <w:rPr>
                <w:rFonts w:hint="eastAsia" w:ascii="宋体" w:hAnsi="宋体" w:eastAsia="宋体" w:cs="宋体"/>
                <w:color w:val="auto"/>
                <w:sz w:val="24"/>
                <w:szCs w:val="24"/>
                <w:highlight w:val="none"/>
                <w:vertAlign w:val="baseline"/>
                <w:lang w:val="en-US" w:eastAsia="zh-CN"/>
              </w:rPr>
            </w:pPr>
            <w:r>
              <w:rPr>
                <w:rFonts w:hint="eastAsia" w:cs="Times New Roman"/>
                <w:color w:val="auto"/>
                <w:spacing w:val="-6"/>
                <w:sz w:val="24"/>
                <w:szCs w:val="24"/>
                <w:highlight w:val="none"/>
                <w:lang w:val="en-US" w:eastAsia="zh-CN"/>
              </w:rPr>
              <w:t>15355</w:t>
            </w:r>
            <w:r>
              <w:rPr>
                <w:rFonts w:hint="default" w:ascii="Times New Roman" w:hAnsi="Times New Roman" w:cs="Times New Roman"/>
                <w:color w:val="auto"/>
                <w:spacing w:val="-6"/>
                <w:sz w:val="24"/>
                <w:szCs w:val="24"/>
                <w:highlight w:val="none"/>
              </w:rPr>
              <w:t xml:space="preserve"> m</w:t>
            </w:r>
            <w:r>
              <w:rPr>
                <w:rFonts w:hint="default" w:ascii="Times New Roman" w:hAnsi="Times New Roman" w:cs="Times New Roman"/>
                <w:color w:val="auto"/>
                <w:spacing w:val="-6"/>
                <w:sz w:val="24"/>
                <w:szCs w:val="24"/>
                <w:highlight w:val="none"/>
                <w:vertAlign w:val="superscript"/>
              </w:rPr>
              <w:t>2</w:t>
            </w:r>
          </w:p>
        </w:tc>
      </w:tr>
      <w:tr w14:paraId="7C9CB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3" w:type="pct"/>
            <w:noWrap w:val="0"/>
            <w:vAlign w:val="center"/>
          </w:tcPr>
          <w:p w14:paraId="30FBC533">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专项评价设置情况</w:t>
            </w:r>
          </w:p>
        </w:tc>
        <w:tc>
          <w:tcPr>
            <w:tcW w:w="3996" w:type="pct"/>
            <w:gridSpan w:val="3"/>
            <w:noWrap w:val="0"/>
            <w:vAlign w:val="center"/>
          </w:tcPr>
          <w:p w14:paraId="39C820D9">
            <w:pPr>
              <w:pStyle w:val="71"/>
              <w:bidi w:val="0"/>
              <w:rPr>
                <w:rFonts w:hint="default"/>
                <w:color w:val="auto"/>
                <w:lang w:val="en-US" w:eastAsia="zh-CN"/>
              </w:rPr>
            </w:pPr>
            <w:r>
              <w:rPr>
                <w:rFonts w:hint="eastAsia"/>
                <w:color w:val="auto"/>
                <w:lang w:val="en-US" w:eastAsia="zh-CN"/>
              </w:rPr>
              <w:t>根据《建设项目环境影响报告表编制技术指南（污染影响类）》（试行）专项评价设置原则，本项目专项评价设置分析见表1-1。</w:t>
            </w:r>
          </w:p>
          <w:p w14:paraId="665E4B53">
            <w:pPr>
              <w:widowControl w:val="0"/>
              <w:bidi w:val="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表1-1污染影响类项目专项设置分析一览表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310"/>
              <w:gridCol w:w="2254"/>
              <w:gridCol w:w="1136"/>
            </w:tblGrid>
            <w:tr w14:paraId="7D73F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30" w:type="pct"/>
                  <w:tcBorders>
                    <w:tl2br w:val="nil"/>
                    <w:tr2bl w:val="nil"/>
                  </w:tcBorders>
                  <w:noWrap w:val="0"/>
                  <w:vAlign w:val="center"/>
                </w:tcPr>
                <w:p w14:paraId="08FA0FAB">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专项评价类别</w:t>
                  </w:r>
                </w:p>
              </w:tc>
              <w:tc>
                <w:tcPr>
                  <w:tcW w:w="1609" w:type="pct"/>
                  <w:tcBorders>
                    <w:tl2br w:val="nil"/>
                    <w:tr2bl w:val="nil"/>
                  </w:tcBorders>
                  <w:noWrap w:val="0"/>
                  <w:vAlign w:val="center"/>
                </w:tcPr>
                <w:p w14:paraId="372D683E">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设置原则</w:t>
                  </w:r>
                </w:p>
              </w:tc>
              <w:tc>
                <w:tcPr>
                  <w:tcW w:w="1570" w:type="pct"/>
                  <w:tcBorders>
                    <w:tl2br w:val="nil"/>
                    <w:tr2bl w:val="nil"/>
                  </w:tcBorders>
                  <w:noWrap w:val="0"/>
                  <w:vAlign w:val="center"/>
                </w:tcPr>
                <w:p w14:paraId="2419E398">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w:t>
                  </w:r>
                </w:p>
              </w:tc>
              <w:tc>
                <w:tcPr>
                  <w:tcW w:w="789" w:type="pct"/>
                  <w:tcBorders>
                    <w:tl2br w:val="nil"/>
                    <w:tr2bl w:val="nil"/>
                  </w:tcBorders>
                  <w:noWrap w:val="0"/>
                  <w:vAlign w:val="center"/>
                </w:tcPr>
                <w:p w14:paraId="14D76560">
                  <w:pPr>
                    <w:widowControl w:val="0"/>
                    <w:bidi w:val="0"/>
                    <w:spacing w:line="264" w:lineRule="auto"/>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是否设置</w:t>
                  </w:r>
                </w:p>
              </w:tc>
            </w:tr>
            <w:tr w14:paraId="4FFF8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tcBorders>
                    <w:tl2br w:val="nil"/>
                    <w:tr2bl w:val="nil"/>
                  </w:tcBorders>
                  <w:noWrap w:val="0"/>
                  <w:vAlign w:val="center"/>
                </w:tcPr>
                <w:p w14:paraId="024A2CC3">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大气</w:t>
                  </w:r>
                </w:p>
              </w:tc>
              <w:tc>
                <w:tcPr>
                  <w:tcW w:w="1609" w:type="pct"/>
                  <w:tcBorders>
                    <w:tl2br w:val="nil"/>
                    <w:tr2bl w:val="nil"/>
                  </w:tcBorders>
                  <w:noWrap w:val="0"/>
                  <w:vAlign w:val="center"/>
                </w:tcPr>
                <w:p w14:paraId="103CAD3C">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排放废气含有毒有害污染物</w:t>
                  </w:r>
                  <w:r>
                    <w:rPr>
                      <w:rFonts w:hint="default" w:ascii="Times New Roman" w:hAnsi="Times New Roman" w:eastAsia="宋体" w:cs="Times New Roman"/>
                      <w:color w:val="auto"/>
                      <w:kern w:val="2"/>
                      <w:sz w:val="21"/>
                      <w:szCs w:val="21"/>
                      <w:vertAlign w:val="superscript"/>
                      <w:lang w:val="en-US" w:eastAsia="zh-CN" w:bidi="ar-SA"/>
                    </w:rPr>
                    <w:t>1</w:t>
                  </w:r>
                  <w:r>
                    <w:rPr>
                      <w:rFonts w:hint="default" w:ascii="Times New Roman" w:hAnsi="Times New Roman" w:eastAsia="宋体" w:cs="Times New Roman"/>
                      <w:color w:val="auto"/>
                      <w:kern w:val="2"/>
                      <w:sz w:val="21"/>
                      <w:szCs w:val="21"/>
                      <w:lang w:val="en-US" w:eastAsia="zh-CN" w:bidi="ar-SA"/>
                    </w:rPr>
                    <w:t>、二噁英、苯并[a]芘、氰化物、氯气且厂界外500米范围内有环境空气保护目标</w:t>
                  </w:r>
                  <w:r>
                    <w:rPr>
                      <w:rFonts w:hint="eastAsia"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的建设项目</w:t>
                  </w:r>
                </w:p>
              </w:tc>
              <w:tc>
                <w:tcPr>
                  <w:tcW w:w="1570" w:type="pct"/>
                  <w:tcBorders>
                    <w:tl2br w:val="nil"/>
                    <w:tr2bl w:val="nil"/>
                  </w:tcBorders>
                  <w:noWrap w:val="0"/>
                  <w:vAlign w:val="center"/>
                </w:tcPr>
                <w:p w14:paraId="4E6AB618">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本项目排放废气不涉及相关污染物</w:t>
                  </w:r>
                </w:p>
              </w:tc>
              <w:tc>
                <w:tcPr>
                  <w:tcW w:w="789" w:type="pct"/>
                  <w:tcBorders>
                    <w:tl2br w:val="nil"/>
                    <w:tr2bl w:val="nil"/>
                  </w:tcBorders>
                  <w:noWrap w:val="0"/>
                  <w:vAlign w:val="center"/>
                </w:tcPr>
                <w:p w14:paraId="7FD4DDC1">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298B7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tcBorders>
                    <w:tl2br w:val="nil"/>
                    <w:tr2bl w:val="nil"/>
                  </w:tcBorders>
                  <w:noWrap w:val="0"/>
                  <w:vAlign w:val="center"/>
                </w:tcPr>
                <w:p w14:paraId="7DDBBE68">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地表水</w:t>
                  </w:r>
                </w:p>
              </w:tc>
              <w:tc>
                <w:tcPr>
                  <w:tcW w:w="1609" w:type="pct"/>
                  <w:tcBorders>
                    <w:tl2br w:val="nil"/>
                    <w:tr2bl w:val="nil"/>
                  </w:tcBorders>
                  <w:noWrap w:val="0"/>
                  <w:vAlign w:val="center"/>
                </w:tcPr>
                <w:p w14:paraId="4BDF1B0A">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新增工业废水直排建设项目（槽罐车外送污水处理厂的除外）；新增废水直排的污水集中处理厂</w:t>
                  </w:r>
                </w:p>
              </w:tc>
              <w:tc>
                <w:tcPr>
                  <w:tcW w:w="1570" w:type="pct"/>
                  <w:tcBorders>
                    <w:tl2br w:val="nil"/>
                    <w:tr2bl w:val="nil"/>
                  </w:tcBorders>
                  <w:noWrap w:val="0"/>
                  <w:vAlign w:val="center"/>
                </w:tcPr>
                <w:p w14:paraId="770D5D65">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本项目生活污水</w:t>
                  </w:r>
                  <w:r>
                    <w:rPr>
                      <w:rFonts w:hint="eastAsia"/>
                      <w:color w:val="auto"/>
                      <w:lang w:val="en-US" w:eastAsia="zh-CN"/>
                    </w:rPr>
                    <w:t>隔油池+</w:t>
                  </w:r>
                  <w:r>
                    <w:rPr>
                      <w:rFonts w:hint="eastAsia" w:ascii="Times New Roman" w:hAnsi="Times New Roman" w:eastAsia="宋体" w:cs="Times New Roman"/>
                      <w:color w:val="auto"/>
                      <w:kern w:val="2"/>
                      <w:sz w:val="21"/>
                      <w:szCs w:val="21"/>
                      <w:lang w:val="en-US" w:eastAsia="zh-CN" w:bidi="ar-SA"/>
                    </w:rPr>
                    <w:t>三级化粪池处理后用于周边农作物施肥，不外排</w:t>
                  </w:r>
                </w:p>
              </w:tc>
              <w:tc>
                <w:tcPr>
                  <w:tcW w:w="789" w:type="pct"/>
                  <w:tcBorders>
                    <w:tl2br w:val="nil"/>
                    <w:tr2bl w:val="nil"/>
                  </w:tcBorders>
                  <w:noWrap w:val="0"/>
                  <w:vAlign w:val="center"/>
                </w:tcPr>
                <w:p w14:paraId="0DB184CF">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7577D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tcBorders>
                    <w:tl2br w:val="nil"/>
                    <w:tr2bl w:val="nil"/>
                  </w:tcBorders>
                  <w:noWrap w:val="0"/>
                  <w:vAlign w:val="center"/>
                </w:tcPr>
                <w:p w14:paraId="179C53D4">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环境风险</w:t>
                  </w:r>
                </w:p>
              </w:tc>
              <w:tc>
                <w:tcPr>
                  <w:tcW w:w="1609" w:type="pct"/>
                  <w:tcBorders>
                    <w:tl2br w:val="nil"/>
                    <w:tr2bl w:val="nil"/>
                  </w:tcBorders>
                  <w:noWrap w:val="0"/>
                  <w:vAlign w:val="center"/>
                </w:tcPr>
                <w:p w14:paraId="5EF8F5CA">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有毒有害和易燃易爆危险物质存储量超过临界量</w:t>
                  </w:r>
                  <w:r>
                    <w:rPr>
                      <w:rFonts w:hint="eastAsia"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的建设项目</w:t>
                  </w:r>
                </w:p>
              </w:tc>
              <w:tc>
                <w:tcPr>
                  <w:tcW w:w="1570" w:type="pct"/>
                  <w:tcBorders>
                    <w:tl2br w:val="nil"/>
                    <w:tr2bl w:val="nil"/>
                  </w:tcBorders>
                  <w:noWrap w:val="0"/>
                  <w:vAlign w:val="center"/>
                </w:tcPr>
                <w:p w14:paraId="4E6314C7">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根据计算，本项目涉及的环境风险物质</w:t>
                  </w:r>
                  <w:r>
                    <w:rPr>
                      <w:rFonts w:hint="default" w:ascii="Times New Roman" w:hAnsi="Times New Roman" w:eastAsia="宋体" w:cs="Times New Roman"/>
                      <w:color w:val="auto"/>
                      <w:kern w:val="2"/>
                      <w:sz w:val="21"/>
                      <w:szCs w:val="21"/>
                      <w:lang w:val="en-US" w:eastAsia="zh-CN" w:bidi="ar-SA"/>
                    </w:rPr>
                    <w:t>存储量</w:t>
                  </w:r>
                  <w:r>
                    <w:rPr>
                      <w:rFonts w:hint="eastAsia" w:ascii="Times New Roman" w:hAnsi="Times New Roman" w:eastAsia="宋体" w:cs="Times New Roman"/>
                      <w:color w:val="auto"/>
                      <w:kern w:val="2"/>
                      <w:sz w:val="21"/>
                      <w:szCs w:val="21"/>
                      <w:lang w:val="en-US" w:eastAsia="zh-CN" w:bidi="ar-SA"/>
                    </w:rPr>
                    <w:t>超过临界量</w:t>
                  </w:r>
                </w:p>
              </w:tc>
              <w:tc>
                <w:tcPr>
                  <w:tcW w:w="789" w:type="pct"/>
                  <w:tcBorders>
                    <w:tl2br w:val="nil"/>
                    <w:tr2bl w:val="nil"/>
                  </w:tcBorders>
                  <w:noWrap w:val="0"/>
                  <w:vAlign w:val="center"/>
                </w:tcPr>
                <w:p w14:paraId="0AE11F67">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设置</w:t>
                  </w:r>
                </w:p>
              </w:tc>
            </w:tr>
            <w:tr w14:paraId="7B173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tcBorders>
                    <w:tl2br w:val="nil"/>
                    <w:tr2bl w:val="nil"/>
                  </w:tcBorders>
                  <w:noWrap w:val="0"/>
                  <w:vAlign w:val="center"/>
                </w:tcPr>
                <w:p w14:paraId="71152710">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生态</w:t>
                  </w:r>
                </w:p>
              </w:tc>
              <w:tc>
                <w:tcPr>
                  <w:tcW w:w="1609" w:type="pct"/>
                  <w:tcBorders>
                    <w:tl2br w:val="nil"/>
                    <w:tr2bl w:val="nil"/>
                  </w:tcBorders>
                  <w:noWrap w:val="0"/>
                  <w:vAlign w:val="center"/>
                </w:tcPr>
                <w:p w14:paraId="7FD959DF">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取水口下游500米范围内有重要水生生物的自然产卵场、索饵场、越冬场和洄游通道的新增河道取水的污染类建设项目</w:t>
                  </w:r>
                </w:p>
              </w:tc>
              <w:tc>
                <w:tcPr>
                  <w:tcW w:w="1570" w:type="pct"/>
                  <w:tcBorders>
                    <w:tl2br w:val="nil"/>
                    <w:tr2bl w:val="nil"/>
                  </w:tcBorders>
                  <w:noWrap w:val="0"/>
                  <w:vAlign w:val="center"/>
                </w:tcPr>
                <w:p w14:paraId="3929E4C2">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不属于</w:t>
                  </w:r>
                </w:p>
              </w:tc>
              <w:tc>
                <w:tcPr>
                  <w:tcW w:w="789" w:type="pct"/>
                  <w:tcBorders>
                    <w:tl2br w:val="nil"/>
                    <w:tr2bl w:val="nil"/>
                  </w:tcBorders>
                  <w:noWrap w:val="0"/>
                  <w:vAlign w:val="center"/>
                </w:tcPr>
                <w:p w14:paraId="3D4FB507">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48EAE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0" w:type="pct"/>
                  <w:tcBorders>
                    <w:tl2br w:val="nil"/>
                    <w:tr2bl w:val="nil"/>
                  </w:tcBorders>
                  <w:noWrap w:val="0"/>
                  <w:vAlign w:val="center"/>
                </w:tcPr>
                <w:p w14:paraId="2F8997CE">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海洋</w:t>
                  </w:r>
                </w:p>
              </w:tc>
              <w:tc>
                <w:tcPr>
                  <w:tcW w:w="1609" w:type="pct"/>
                  <w:tcBorders>
                    <w:tl2br w:val="nil"/>
                    <w:tr2bl w:val="nil"/>
                  </w:tcBorders>
                  <w:noWrap w:val="0"/>
                  <w:vAlign w:val="center"/>
                </w:tcPr>
                <w:p w14:paraId="5620C08A">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直接向海排放污染物的海洋工程建设项目</w:t>
                  </w:r>
                </w:p>
              </w:tc>
              <w:tc>
                <w:tcPr>
                  <w:tcW w:w="1570" w:type="pct"/>
                  <w:tcBorders>
                    <w:tl2br w:val="nil"/>
                    <w:tr2bl w:val="nil"/>
                  </w:tcBorders>
                  <w:noWrap w:val="0"/>
                  <w:vAlign w:val="center"/>
                </w:tcPr>
                <w:p w14:paraId="649CEE67">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不属于</w:t>
                  </w:r>
                </w:p>
              </w:tc>
              <w:tc>
                <w:tcPr>
                  <w:tcW w:w="789" w:type="pct"/>
                  <w:tcBorders>
                    <w:tl2br w:val="nil"/>
                    <w:tr2bl w:val="nil"/>
                  </w:tcBorders>
                  <w:noWrap w:val="0"/>
                  <w:vAlign w:val="center"/>
                </w:tcPr>
                <w:p w14:paraId="1EB33213">
                  <w:pPr>
                    <w:widowControl w:val="0"/>
                    <w:bidi w:val="0"/>
                    <w:snapToGrid/>
                    <w:spacing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不设置</w:t>
                  </w:r>
                </w:p>
              </w:tc>
            </w:tr>
            <w:tr w14:paraId="60678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noWrap w:val="0"/>
                  <w:vAlign w:val="center"/>
                </w:tcPr>
                <w:p w14:paraId="41115599">
                  <w:pPr>
                    <w:widowControl w:val="0"/>
                    <w:bidi w:val="0"/>
                    <w:snapToGrid/>
                    <w:spacing w:line="240" w:lineRule="auto"/>
                    <w:ind w:left="0" w:leftChars="0" w:right="0" w:right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注1.废气中有毒有害污染物指纳入《有毒有害大气污染物名录》的污染物（不包括无排放标准的污染物）。</w:t>
                  </w:r>
                </w:p>
                <w:p w14:paraId="23DCCB29">
                  <w:pPr>
                    <w:widowControl w:val="0"/>
                    <w:numPr>
                      <w:ilvl w:val="0"/>
                      <w:numId w:val="0"/>
                    </w:numPr>
                    <w:bidi w:val="0"/>
                    <w:snapToGrid/>
                    <w:spacing w:line="240" w:lineRule="auto"/>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2.环境空气保护目标指自然保护区、风景名胜区、居住区、文化区和农村地区中人群较集中的区域。</w:t>
                  </w:r>
                </w:p>
                <w:p w14:paraId="390E9395">
                  <w:pPr>
                    <w:widowControl w:val="0"/>
                    <w:numPr>
                      <w:ilvl w:val="0"/>
                      <w:numId w:val="0"/>
                    </w:numPr>
                    <w:bidi w:val="0"/>
                    <w:snapToGrid/>
                    <w:spacing w:line="240" w:lineRule="auto"/>
                    <w:ind w:left="0" w:leftChars="0" w:right="0" w:right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3.临界量及其计算方法可参考《建设项目环境风险评价技术导则》（HJ169）附录B、附录C</w:t>
                  </w:r>
                </w:p>
              </w:tc>
            </w:tr>
          </w:tbl>
          <w:p w14:paraId="468A206B">
            <w:pPr>
              <w:pStyle w:val="71"/>
              <w:bidi w:val="0"/>
              <w:jc w:val="both"/>
              <w:rPr>
                <w:rFonts w:hint="default"/>
                <w:color w:val="auto"/>
                <w:lang w:val="en-US" w:eastAsia="zh-CN"/>
              </w:rPr>
            </w:pPr>
            <w:r>
              <w:rPr>
                <w:rFonts w:hint="eastAsia"/>
                <w:color w:val="auto"/>
                <w:lang w:val="en-US" w:eastAsia="zh-CN"/>
              </w:rPr>
              <w:t>根据表1-1分析，本项目需设置环境风险专项评价，详见环境风险专项评价章节。</w:t>
            </w:r>
          </w:p>
        </w:tc>
      </w:tr>
      <w:tr w14:paraId="18966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3" w:type="pct"/>
            <w:noWrap w:val="0"/>
            <w:vAlign w:val="center"/>
          </w:tcPr>
          <w:p w14:paraId="6761852D">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sz w:val="24"/>
                <w:szCs w:val="24"/>
              </w:rPr>
              <w:t>规划情况</w:t>
            </w:r>
          </w:p>
        </w:tc>
        <w:tc>
          <w:tcPr>
            <w:tcW w:w="3996" w:type="pct"/>
            <w:gridSpan w:val="3"/>
            <w:noWrap w:val="0"/>
            <w:vAlign w:val="center"/>
          </w:tcPr>
          <w:p w14:paraId="7A310532">
            <w:pPr>
              <w:pStyle w:val="71"/>
              <w:bidi w:val="0"/>
              <w:ind w:left="0" w:leftChars="0" w:firstLine="0" w:firstLineChars="0"/>
              <w:jc w:val="center"/>
              <w:rPr>
                <w:rFonts w:hint="default" w:ascii="宋体" w:hAnsi="宋体" w:eastAsia="宋体" w:cs="宋体"/>
                <w:color w:val="auto"/>
                <w:kern w:val="0"/>
                <w:szCs w:val="24"/>
                <w:lang w:val="en-US" w:eastAsia="zh-CN"/>
              </w:rPr>
            </w:pPr>
            <w:r>
              <w:rPr>
                <w:rFonts w:hint="eastAsia"/>
                <w:color w:val="auto"/>
                <w:lang w:val="en-US" w:eastAsia="zh-CN"/>
              </w:rPr>
              <w:t>无</w:t>
            </w:r>
          </w:p>
        </w:tc>
      </w:tr>
      <w:tr w14:paraId="28358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3" w:type="pct"/>
            <w:noWrap w:val="0"/>
            <w:vAlign w:val="center"/>
          </w:tcPr>
          <w:p w14:paraId="27E84F1F">
            <w:pPr>
              <w:adjustRightInd w:val="0"/>
              <w:snapToGrid w:val="0"/>
              <w:jc w:val="center"/>
              <w:rPr>
                <w:rFonts w:hint="eastAsia" w:ascii="宋体" w:hAnsi="宋体" w:cs="宋体"/>
                <w:color w:val="auto"/>
                <w:kern w:val="0"/>
                <w:sz w:val="24"/>
                <w:szCs w:val="24"/>
              </w:rPr>
            </w:pPr>
            <w:r>
              <w:rPr>
                <w:rFonts w:hint="eastAsia" w:ascii="宋体" w:hAnsi="宋体" w:cs="宋体"/>
                <w:color w:val="auto"/>
                <w:sz w:val="24"/>
                <w:szCs w:val="24"/>
              </w:rPr>
              <w:t>规划环境影响评价情况</w:t>
            </w:r>
          </w:p>
        </w:tc>
        <w:tc>
          <w:tcPr>
            <w:tcW w:w="3996" w:type="pct"/>
            <w:gridSpan w:val="3"/>
            <w:noWrap w:val="0"/>
            <w:vAlign w:val="center"/>
          </w:tcPr>
          <w:p w14:paraId="46B79FDA">
            <w:pPr>
              <w:bidi w:val="0"/>
              <w:spacing w:line="360" w:lineRule="auto"/>
              <w:jc w:val="center"/>
              <w:rPr>
                <w:rFonts w:hint="default"/>
                <w:color w:val="auto"/>
                <w:sz w:val="24"/>
                <w:szCs w:val="24"/>
                <w:lang w:val="en-US" w:eastAsia="zh-CN"/>
              </w:rPr>
            </w:pPr>
            <w:r>
              <w:rPr>
                <w:rFonts w:hint="eastAsia"/>
                <w:color w:val="auto"/>
                <w:sz w:val="24"/>
                <w:szCs w:val="24"/>
                <w:lang w:val="en-US" w:eastAsia="zh-CN"/>
              </w:rPr>
              <w:t>无</w:t>
            </w:r>
          </w:p>
        </w:tc>
      </w:tr>
      <w:tr w14:paraId="148D7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3" w:type="pct"/>
            <w:noWrap w:val="0"/>
            <w:vAlign w:val="center"/>
          </w:tcPr>
          <w:p w14:paraId="1D640EE7">
            <w:pPr>
              <w:autoSpaceDE w:val="0"/>
              <w:autoSpaceDN w:val="0"/>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规划及规划环境影响评价符合性分析</w:t>
            </w:r>
          </w:p>
        </w:tc>
        <w:tc>
          <w:tcPr>
            <w:tcW w:w="3996" w:type="pct"/>
            <w:gridSpan w:val="3"/>
            <w:noWrap w:val="0"/>
            <w:vAlign w:val="center"/>
          </w:tcPr>
          <w:p w14:paraId="093CD102">
            <w:pPr>
              <w:pStyle w:val="71"/>
              <w:bidi w:val="0"/>
              <w:ind w:left="0" w:leftChars="0" w:firstLine="0" w:firstLineChars="0"/>
              <w:jc w:val="center"/>
              <w:rPr>
                <w:rFonts w:hint="default"/>
                <w:color w:val="auto"/>
                <w:lang w:val="en-US" w:eastAsia="zh-CN"/>
              </w:rPr>
            </w:pPr>
            <w:r>
              <w:rPr>
                <w:rFonts w:hint="eastAsia"/>
                <w:color w:val="auto"/>
                <w:lang w:val="en-US" w:eastAsia="zh-CN"/>
              </w:rPr>
              <w:t>无</w:t>
            </w:r>
          </w:p>
        </w:tc>
      </w:tr>
      <w:tr w14:paraId="79D1D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3" w:type="pct"/>
            <w:noWrap w:val="0"/>
            <w:vAlign w:val="center"/>
          </w:tcPr>
          <w:p w14:paraId="36C501C2">
            <w:pPr>
              <w:autoSpaceDE w:val="0"/>
              <w:autoSpaceDN w:val="0"/>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其他符合性分析</w:t>
            </w:r>
          </w:p>
        </w:tc>
        <w:tc>
          <w:tcPr>
            <w:tcW w:w="3996" w:type="pct"/>
            <w:gridSpan w:val="3"/>
            <w:noWrap w:val="0"/>
            <w:vAlign w:val="center"/>
          </w:tcPr>
          <w:p w14:paraId="5D81BDDF">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（一）产业政策符合性分析</w:t>
            </w:r>
          </w:p>
          <w:p w14:paraId="7CC98662">
            <w:pPr>
              <w:pStyle w:val="71"/>
              <w:bidi w:val="0"/>
              <w:rPr>
                <w:rFonts w:hint="eastAsia"/>
                <w:color w:val="auto"/>
                <w:lang w:val="en-US" w:eastAsia="zh-CN"/>
              </w:rPr>
            </w:pPr>
            <w:r>
              <w:rPr>
                <w:rFonts w:hint="eastAsia"/>
                <w:color w:val="auto"/>
                <w:lang w:val="en-US" w:eastAsia="zh-CN"/>
              </w:rPr>
              <w:t>项目建设液化气站，</w:t>
            </w:r>
            <w:r>
              <w:rPr>
                <w:rFonts w:hint="default" w:ascii="Times New Roman" w:hAnsi="Times New Roman" w:eastAsia="宋体" w:cs="Times New Roman"/>
                <w:color w:val="auto"/>
                <w:sz w:val="24"/>
                <w:szCs w:val="24"/>
                <w:highlight w:val="none"/>
                <w:lang w:val="en-US" w:eastAsia="zh-CN"/>
              </w:rPr>
              <w:t>经查</w:t>
            </w:r>
            <w:r>
              <w:rPr>
                <w:rFonts w:hint="default" w:ascii="Times New Roman" w:hAnsi="Times New Roman" w:cs="Times New Roman"/>
                <w:color w:val="auto"/>
                <w:lang w:val="en-US" w:eastAsia="zh-CN"/>
              </w:rPr>
              <w:t>《</w:t>
            </w:r>
            <w:bookmarkStart w:id="7" w:name="OLE_LINK6"/>
            <w:r>
              <w:rPr>
                <w:rFonts w:hint="default" w:ascii="Times New Roman" w:hAnsi="Times New Roman" w:cs="Times New Roman"/>
                <w:color w:val="auto"/>
                <w:lang w:val="en-US" w:eastAsia="zh-CN"/>
              </w:rPr>
              <w:t>产业结构调整指导目录</w:t>
            </w:r>
            <w:r>
              <w:rPr>
                <w:rFonts w:hint="default" w:ascii="Times New Roman" w:hAnsi="Times New Roman" w:eastAsia="宋体" w:cs="Times New Roman"/>
                <w:color w:val="auto"/>
                <w:sz w:val="24"/>
                <w:szCs w:val="24"/>
                <w:highlight w:val="none"/>
                <w:lang w:val="en-US" w:eastAsia="zh-CN"/>
              </w:rPr>
              <w:t>（2024年本）</w:t>
            </w:r>
            <w:bookmarkEnd w:id="7"/>
            <w:r>
              <w:rPr>
                <w:rFonts w:hint="default" w:ascii="Times New Roman" w:hAnsi="Times New Roman" w:cs="Times New Roman"/>
                <w:color w:val="auto"/>
                <w:lang w:val="en-US" w:eastAsia="zh-CN"/>
              </w:rPr>
              <w:t>》</w:t>
            </w:r>
            <w:r>
              <w:rPr>
                <w:rFonts w:hint="default" w:ascii="Times New Roman" w:hAnsi="Times New Roman" w:eastAsia="宋体" w:cs="Times New Roman"/>
                <w:color w:val="auto"/>
                <w:sz w:val="24"/>
                <w:szCs w:val="24"/>
                <w:highlight w:val="none"/>
              </w:rPr>
              <w:t>和《市场准入负面清单（20</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年版）》，本项目不属于鼓励类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限制类和淘汰类，</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lang w:val="en-US" w:eastAsia="zh-CN"/>
              </w:rPr>
              <w:t>允许类。</w:t>
            </w:r>
            <w:r>
              <w:rPr>
                <w:rFonts w:hint="default" w:ascii="Times New Roman" w:hAnsi="Times New Roman" w:cs="Times New Roman"/>
                <w:color w:val="auto"/>
                <w:highlight w:val="none"/>
                <w:lang w:val="en-US" w:eastAsia="zh-CN"/>
              </w:rPr>
              <w:t>本项目已获得</w:t>
            </w:r>
            <w:r>
              <w:rPr>
                <w:rFonts w:hint="eastAsia" w:ascii="Times New Roman" w:hAnsi="Times New Roman" w:cs="Times New Roman"/>
                <w:color w:val="auto"/>
                <w:highlight w:val="none"/>
                <w:lang w:val="en-US" w:eastAsia="zh-CN"/>
              </w:rPr>
              <w:t>宁</w:t>
            </w:r>
            <w:r>
              <w:rPr>
                <w:rFonts w:hint="default" w:ascii="Times New Roman" w:hAnsi="Times New Roman" w:cs="Times New Roman"/>
                <w:color w:val="auto"/>
                <w:highlight w:val="none"/>
                <w:lang w:val="en-US" w:eastAsia="zh-CN"/>
              </w:rPr>
              <w:t>都县行政审批局</w:t>
            </w:r>
            <w:r>
              <w:rPr>
                <w:rFonts w:hint="default" w:ascii="Times New Roman" w:hAnsi="Times New Roman" w:eastAsia="宋体" w:cs="Times New Roman"/>
                <w:color w:val="auto"/>
                <w:highlight w:val="none"/>
                <w:lang w:val="en-US" w:eastAsia="zh-CN"/>
              </w:rPr>
              <w:t>的立项备案文件（详见附件</w:t>
            </w: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），项目统一代码为：</w:t>
            </w:r>
            <w:r>
              <w:rPr>
                <w:rFonts w:hint="eastAsia"/>
                <w:color w:val="auto"/>
                <w:sz w:val="24"/>
                <w:szCs w:val="24"/>
                <w:lang w:val="en-US" w:eastAsia="zh-CN"/>
              </w:rPr>
              <w:t>2311-360730 04 01-700311</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因此本项目的建设</w:t>
            </w:r>
            <w:r>
              <w:rPr>
                <w:rFonts w:hint="default" w:ascii="Times New Roman" w:hAnsi="Times New Roman" w:cs="Times New Roman"/>
                <w:color w:val="auto"/>
                <w:highlight w:val="none"/>
                <w:lang w:val="en-US" w:eastAsia="zh-CN"/>
              </w:rPr>
              <w:t>符合</w:t>
            </w:r>
            <w:r>
              <w:rPr>
                <w:rFonts w:hint="default" w:ascii="Times New Roman" w:hAnsi="Times New Roman" w:cs="Times New Roman"/>
                <w:color w:val="auto"/>
                <w:highlight w:val="none"/>
              </w:rPr>
              <w:t>国家</w:t>
            </w:r>
            <w:r>
              <w:rPr>
                <w:rFonts w:hint="default" w:ascii="Times New Roman" w:hAnsi="Times New Roman" w:cs="Times New Roman"/>
                <w:color w:val="auto"/>
                <w:highlight w:val="none"/>
                <w:lang w:val="en-US" w:eastAsia="zh-CN"/>
              </w:rPr>
              <w:t>和地方</w:t>
            </w:r>
            <w:r>
              <w:rPr>
                <w:rFonts w:hint="default" w:ascii="Times New Roman" w:hAnsi="Times New Roman" w:cs="Times New Roman"/>
                <w:color w:val="auto"/>
                <w:highlight w:val="none"/>
              </w:rPr>
              <w:t>相关产业政策的规定</w:t>
            </w:r>
            <w:r>
              <w:rPr>
                <w:rFonts w:hint="default" w:ascii="Times New Roman" w:hAnsi="Times New Roman" w:cs="Times New Roman"/>
                <w:color w:val="auto"/>
                <w:highlight w:val="none"/>
                <w:lang w:val="en-US" w:eastAsia="zh-CN"/>
              </w:rPr>
              <w:t>。</w:t>
            </w:r>
          </w:p>
          <w:p w14:paraId="664B5CF7">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（二）“三线一单”符合性分析</w:t>
            </w:r>
          </w:p>
          <w:p w14:paraId="4E200C3A">
            <w:pPr>
              <w:pStyle w:val="71"/>
              <w:bidi w:val="0"/>
              <w:rPr>
                <w:rFonts w:hint="default"/>
                <w:color w:val="auto"/>
                <w:lang w:val="en-US" w:eastAsia="zh-CN"/>
              </w:rPr>
            </w:pPr>
            <w:r>
              <w:rPr>
                <w:rFonts w:hint="eastAsia"/>
                <w:color w:val="auto"/>
                <w:lang w:val="en-US" w:eastAsia="zh-CN"/>
              </w:rPr>
              <w:t>1、生态保护红线</w:t>
            </w:r>
          </w:p>
          <w:p w14:paraId="5729A5D2">
            <w:pPr>
              <w:pStyle w:val="71"/>
              <w:bidi w:val="0"/>
              <w:rPr>
                <w:rFonts w:hint="eastAsia" w:ascii="Times New Roman" w:hAnsi="Times New Roman" w:cs="Times New Roman"/>
                <w:color w:val="auto"/>
                <w:sz w:val="24"/>
                <w:szCs w:val="24"/>
                <w:lang w:val="en-US" w:eastAsia="zh-CN"/>
              </w:rPr>
            </w:pPr>
            <w:r>
              <w:rPr>
                <w:rFonts w:hint="eastAsia"/>
                <w:color w:val="auto"/>
                <w:lang w:val="en-US" w:eastAsia="zh-CN"/>
              </w:rPr>
              <w:t>本项目位于</w:t>
            </w:r>
            <w:r>
              <w:rPr>
                <w:rFonts w:hint="eastAsia" w:eastAsia="Times New Roman"/>
                <w:color w:val="auto"/>
                <w:sz w:val="24"/>
                <w:szCs w:val="24"/>
                <w:lang w:val="zh-CN"/>
              </w:rPr>
              <w:t>宁都县翠微峰大道以西，永宁路以南</w:t>
            </w:r>
            <w:r>
              <w:rPr>
                <w:rFonts w:hint="eastAsia" w:ascii="Times New Roman" w:hAnsi="Times New Roman" w:cs="Times New Roman"/>
                <w:color w:val="auto"/>
                <w:sz w:val="24"/>
                <w:szCs w:val="24"/>
                <w:lang w:val="en-US" w:eastAsia="zh-CN"/>
              </w:rPr>
              <w:t>，不在名胜古迹、风景名胜区、自然保护区、饮用水源保护区</w:t>
            </w:r>
            <w:r>
              <w:rPr>
                <w:rFonts w:hint="eastAsia" w:cs="Times New Roman"/>
                <w:color w:val="auto"/>
                <w:sz w:val="24"/>
                <w:szCs w:val="24"/>
                <w:lang w:val="en-US" w:eastAsia="zh-CN"/>
              </w:rPr>
              <w:t>等</w:t>
            </w:r>
            <w:r>
              <w:rPr>
                <w:rFonts w:hint="eastAsia" w:ascii="Times New Roman" w:hAnsi="Times New Roman" w:cs="Times New Roman"/>
                <w:color w:val="auto"/>
                <w:sz w:val="24"/>
                <w:szCs w:val="24"/>
                <w:lang w:val="en-US" w:eastAsia="zh-CN"/>
              </w:rPr>
              <w:t>范围内；依据江西省生态保护红线规划分区，</w:t>
            </w:r>
            <w:r>
              <w:rPr>
                <w:rFonts w:hint="eastAsia"/>
                <w:color w:val="auto"/>
                <w:lang w:val="en-US" w:eastAsia="zh-CN"/>
              </w:rPr>
              <w:t>本项目</w:t>
            </w:r>
            <w:r>
              <w:rPr>
                <w:rFonts w:hint="eastAsia" w:ascii="Times New Roman" w:hAnsi="Times New Roman" w:cs="Times New Roman"/>
                <w:color w:val="auto"/>
                <w:sz w:val="24"/>
                <w:szCs w:val="24"/>
                <w:lang w:val="en-US" w:eastAsia="zh-CN"/>
              </w:rPr>
              <w:t>不在</w:t>
            </w:r>
            <w:r>
              <w:rPr>
                <w:rFonts w:hint="eastAsia" w:cs="Times New Roman"/>
                <w:color w:val="auto"/>
                <w:sz w:val="24"/>
                <w:szCs w:val="24"/>
                <w:lang w:val="en-US" w:eastAsia="zh-CN"/>
              </w:rPr>
              <w:t>宁都县</w:t>
            </w:r>
            <w:r>
              <w:rPr>
                <w:rFonts w:hint="eastAsia" w:ascii="Times New Roman" w:hAnsi="Times New Roman" w:cs="Times New Roman"/>
                <w:color w:val="auto"/>
                <w:sz w:val="24"/>
                <w:szCs w:val="24"/>
                <w:lang w:val="en-US" w:eastAsia="zh-CN"/>
              </w:rPr>
              <w:t>生态保护红线划定范围内，符合生态保护红线要求。</w:t>
            </w:r>
          </w:p>
          <w:p w14:paraId="0DE7A258">
            <w:pPr>
              <w:pStyle w:val="71"/>
              <w:bidi w:val="0"/>
              <w:rPr>
                <w:rFonts w:hint="eastAsia"/>
                <w:color w:val="auto"/>
                <w:lang w:val="en-US" w:eastAsia="zh-CN"/>
              </w:rPr>
            </w:pPr>
            <w:r>
              <w:rPr>
                <w:rFonts w:hint="eastAsia"/>
                <w:color w:val="auto"/>
                <w:lang w:val="en-US" w:eastAsia="zh-CN"/>
              </w:rPr>
              <w:t>2、环境质量底线</w:t>
            </w:r>
          </w:p>
          <w:p w14:paraId="0E9CAD5B">
            <w:pPr>
              <w:pStyle w:val="71"/>
              <w:bidi w:val="0"/>
              <w:rPr>
                <w:rFonts w:hint="default"/>
                <w:color w:val="auto"/>
                <w:lang w:val="en-US" w:eastAsia="zh-CN"/>
              </w:rPr>
            </w:pPr>
            <w:r>
              <w:rPr>
                <w:rFonts w:hint="eastAsia"/>
                <w:color w:val="auto"/>
                <w:lang w:val="en-US" w:eastAsia="zh-CN"/>
              </w:rPr>
              <w:t>《长江经济带战略环境评价江西省“三线一单”研究报告》、《长江经济带战略环境评价江西省赣州市“三线一单”划定技术报告》，对宁都县大气环境质量、水环境质量及土壤环境风险防控提出了底线要求，现将有关要求梳理如下：</w:t>
            </w:r>
          </w:p>
          <w:p w14:paraId="24D81EC4">
            <w:pPr>
              <w:pStyle w:val="85"/>
              <w:bidi w:val="0"/>
              <w:rPr>
                <w:rFonts w:hint="eastAsia"/>
                <w:color w:val="auto"/>
              </w:rPr>
            </w:pPr>
            <w:r>
              <w:rPr>
                <w:rFonts w:hint="eastAsia"/>
                <w:color w:val="auto"/>
              </w:rPr>
              <w:t>表1-</w:t>
            </w:r>
            <w:r>
              <w:rPr>
                <w:rFonts w:hint="eastAsia"/>
                <w:color w:val="auto"/>
                <w:lang w:val="en-US" w:eastAsia="zh-CN"/>
              </w:rPr>
              <w:t>2</w:t>
            </w:r>
            <w:r>
              <w:rPr>
                <w:rFonts w:hint="eastAsia"/>
                <w:color w:val="auto"/>
              </w:rPr>
              <w:t>江西省赣州市“三线一单”中关于</w:t>
            </w:r>
            <w:r>
              <w:rPr>
                <w:rFonts w:hint="eastAsia"/>
                <w:color w:val="auto"/>
                <w:lang w:val="en-US" w:eastAsia="zh-CN"/>
              </w:rPr>
              <w:t>宁都县</w:t>
            </w:r>
            <w:r>
              <w:rPr>
                <w:rFonts w:hint="eastAsia"/>
                <w:color w:val="auto"/>
              </w:rPr>
              <w:t>环境质量底线目标</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359"/>
              <w:gridCol w:w="1746"/>
              <w:gridCol w:w="1727"/>
            </w:tblGrid>
            <w:tr w14:paraId="555025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708" w:type="dxa"/>
                  <w:gridSpan w:val="2"/>
                  <w:tcBorders>
                    <w:tl2br w:val="nil"/>
                    <w:tr2bl w:val="nil"/>
                  </w:tcBorders>
                  <w:noWrap w:val="0"/>
                  <w:vAlign w:val="center"/>
                </w:tcPr>
                <w:p w14:paraId="4BA1E9C0">
                  <w:pPr>
                    <w:pStyle w:val="69"/>
                    <w:bidi w:val="0"/>
                    <w:rPr>
                      <w:rFonts w:hint="default"/>
                      <w:color w:val="auto"/>
                      <w:lang w:val="en-US" w:eastAsia="zh-CN"/>
                    </w:rPr>
                  </w:pPr>
                  <w:r>
                    <w:rPr>
                      <w:rFonts w:hint="default"/>
                      <w:color w:val="auto"/>
                      <w:lang w:val="en-US" w:eastAsia="zh-CN"/>
                    </w:rPr>
                    <w:t>环境质量底线要求</w:t>
                  </w:r>
                </w:p>
              </w:tc>
              <w:tc>
                <w:tcPr>
                  <w:tcW w:w="1746" w:type="dxa"/>
                  <w:tcBorders>
                    <w:tl2br w:val="nil"/>
                    <w:tr2bl w:val="nil"/>
                  </w:tcBorders>
                  <w:noWrap w:val="0"/>
                  <w:vAlign w:val="center"/>
                </w:tcPr>
                <w:p w14:paraId="75DD8F68">
                  <w:pPr>
                    <w:pStyle w:val="69"/>
                    <w:bidi w:val="0"/>
                    <w:rPr>
                      <w:rFonts w:hint="default"/>
                      <w:color w:val="auto"/>
                      <w:lang w:val="en-US" w:eastAsia="zh-CN"/>
                    </w:rPr>
                  </w:pPr>
                  <w:r>
                    <w:rPr>
                      <w:rFonts w:hint="default"/>
                      <w:color w:val="auto"/>
                      <w:lang w:val="en-US" w:eastAsia="zh-CN"/>
                    </w:rPr>
                    <w:t>2025年</w:t>
                  </w:r>
                </w:p>
              </w:tc>
              <w:tc>
                <w:tcPr>
                  <w:tcW w:w="1727" w:type="dxa"/>
                  <w:tcBorders>
                    <w:tl2br w:val="nil"/>
                    <w:tr2bl w:val="nil"/>
                  </w:tcBorders>
                  <w:noWrap w:val="0"/>
                  <w:vAlign w:val="center"/>
                </w:tcPr>
                <w:p w14:paraId="0CB9691F">
                  <w:pPr>
                    <w:pStyle w:val="69"/>
                    <w:bidi w:val="0"/>
                    <w:rPr>
                      <w:rFonts w:hint="default"/>
                      <w:color w:val="auto"/>
                      <w:lang w:val="en-US" w:eastAsia="zh-CN"/>
                    </w:rPr>
                  </w:pPr>
                  <w:r>
                    <w:rPr>
                      <w:rFonts w:hint="default"/>
                      <w:color w:val="auto"/>
                      <w:lang w:val="en-US" w:eastAsia="zh-CN"/>
                    </w:rPr>
                    <w:t>2035年</w:t>
                  </w:r>
                </w:p>
              </w:tc>
            </w:tr>
            <w:tr w14:paraId="6A408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49" w:type="dxa"/>
                  <w:tcBorders>
                    <w:tl2br w:val="nil"/>
                    <w:tr2bl w:val="nil"/>
                  </w:tcBorders>
                  <w:noWrap w:val="0"/>
                  <w:vAlign w:val="center"/>
                </w:tcPr>
                <w:p w14:paraId="3D8AC37C">
                  <w:pPr>
                    <w:pStyle w:val="69"/>
                    <w:bidi w:val="0"/>
                    <w:rPr>
                      <w:rFonts w:hint="default"/>
                      <w:color w:val="auto"/>
                      <w:lang w:val="en-US" w:eastAsia="zh-CN"/>
                    </w:rPr>
                  </w:pPr>
                  <w:r>
                    <w:rPr>
                      <w:rFonts w:hint="default"/>
                      <w:color w:val="auto"/>
                      <w:lang w:val="en-US" w:eastAsia="zh-CN"/>
                    </w:rPr>
                    <w:t>大气环境质量底线</w:t>
                  </w:r>
                </w:p>
              </w:tc>
              <w:tc>
                <w:tcPr>
                  <w:tcW w:w="2359" w:type="dxa"/>
                  <w:tcBorders>
                    <w:tl2br w:val="nil"/>
                    <w:tr2bl w:val="nil"/>
                  </w:tcBorders>
                  <w:noWrap w:val="0"/>
                  <w:vAlign w:val="center"/>
                </w:tcPr>
                <w:p w14:paraId="045E2F6D">
                  <w:pPr>
                    <w:pStyle w:val="69"/>
                    <w:bidi w:val="0"/>
                    <w:rPr>
                      <w:rFonts w:hint="default"/>
                      <w:color w:val="auto"/>
                      <w:lang w:val="en-US" w:eastAsia="zh-CN"/>
                    </w:rPr>
                  </w:pPr>
                  <w:r>
                    <w:rPr>
                      <w:rFonts w:hint="default"/>
                      <w:color w:val="auto"/>
                      <w:lang w:val="en-US" w:eastAsia="zh-CN"/>
                    </w:rPr>
                    <w:t>PM2.5浓度目标（μg/m</w:t>
                  </w:r>
                  <w:r>
                    <w:rPr>
                      <w:rFonts w:hint="default"/>
                      <w:color w:val="auto"/>
                      <w:vertAlign w:val="superscript"/>
                      <w:lang w:val="en-US" w:eastAsia="zh-CN"/>
                    </w:rPr>
                    <w:t>3</w:t>
                  </w:r>
                  <w:r>
                    <w:rPr>
                      <w:rFonts w:hint="default"/>
                      <w:color w:val="auto"/>
                      <w:lang w:val="en-US" w:eastAsia="zh-CN"/>
                    </w:rPr>
                    <w:t>）</w:t>
                  </w:r>
                </w:p>
              </w:tc>
              <w:tc>
                <w:tcPr>
                  <w:tcW w:w="1746" w:type="dxa"/>
                  <w:tcBorders>
                    <w:tl2br w:val="nil"/>
                    <w:tr2bl w:val="nil"/>
                  </w:tcBorders>
                  <w:noWrap w:val="0"/>
                  <w:vAlign w:val="center"/>
                </w:tcPr>
                <w:p w14:paraId="0F9CC89C">
                  <w:pPr>
                    <w:pStyle w:val="69"/>
                    <w:bidi w:val="0"/>
                    <w:rPr>
                      <w:rFonts w:hint="default"/>
                      <w:color w:val="auto"/>
                      <w:lang w:val="en-US" w:eastAsia="zh-CN"/>
                    </w:rPr>
                  </w:pPr>
                  <w:r>
                    <w:rPr>
                      <w:rFonts w:hint="eastAsia"/>
                      <w:color w:val="auto"/>
                      <w:lang w:val="en-US" w:eastAsia="zh-CN"/>
                    </w:rPr>
                    <w:t>28</w:t>
                  </w:r>
                </w:p>
              </w:tc>
              <w:tc>
                <w:tcPr>
                  <w:tcW w:w="1727" w:type="dxa"/>
                  <w:tcBorders>
                    <w:tl2br w:val="nil"/>
                    <w:tr2bl w:val="nil"/>
                  </w:tcBorders>
                  <w:noWrap w:val="0"/>
                  <w:vAlign w:val="center"/>
                </w:tcPr>
                <w:p w14:paraId="5B145643">
                  <w:pPr>
                    <w:pStyle w:val="69"/>
                    <w:bidi w:val="0"/>
                    <w:rPr>
                      <w:rFonts w:hint="default"/>
                      <w:color w:val="auto"/>
                      <w:lang w:val="en-US" w:eastAsia="zh-CN"/>
                    </w:rPr>
                  </w:pPr>
                  <w:r>
                    <w:rPr>
                      <w:rFonts w:hint="eastAsia"/>
                      <w:color w:val="auto"/>
                      <w:lang w:val="en-US" w:eastAsia="zh-CN"/>
                    </w:rPr>
                    <w:t>28</w:t>
                  </w:r>
                </w:p>
              </w:tc>
            </w:tr>
            <w:tr w14:paraId="7E267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349" w:type="dxa"/>
                  <w:vMerge w:val="restart"/>
                  <w:tcBorders>
                    <w:tl2br w:val="nil"/>
                    <w:tr2bl w:val="nil"/>
                  </w:tcBorders>
                  <w:noWrap w:val="0"/>
                  <w:vAlign w:val="center"/>
                </w:tcPr>
                <w:p w14:paraId="2CBCAC70">
                  <w:pPr>
                    <w:pStyle w:val="69"/>
                    <w:bidi w:val="0"/>
                    <w:rPr>
                      <w:rFonts w:hint="default"/>
                      <w:color w:val="auto"/>
                      <w:lang w:val="en-US" w:eastAsia="zh-CN"/>
                    </w:rPr>
                  </w:pPr>
                  <w:r>
                    <w:rPr>
                      <w:rFonts w:hint="default"/>
                      <w:color w:val="auto"/>
                      <w:lang w:val="en-US" w:eastAsia="zh-CN"/>
                    </w:rPr>
                    <w:t>水环境质量底线</w:t>
                  </w:r>
                </w:p>
              </w:tc>
              <w:tc>
                <w:tcPr>
                  <w:tcW w:w="2359" w:type="dxa"/>
                  <w:tcBorders>
                    <w:tl2br w:val="nil"/>
                    <w:tr2bl w:val="nil"/>
                  </w:tcBorders>
                  <w:noWrap w:val="0"/>
                  <w:vAlign w:val="center"/>
                </w:tcPr>
                <w:p w14:paraId="6092F7EB">
                  <w:pPr>
                    <w:pStyle w:val="69"/>
                    <w:bidi w:val="0"/>
                    <w:rPr>
                      <w:rFonts w:hint="default"/>
                      <w:color w:val="auto"/>
                      <w:lang w:val="en-US" w:eastAsia="zh-CN"/>
                    </w:rPr>
                  </w:pPr>
                  <w:r>
                    <w:rPr>
                      <w:rFonts w:hint="default"/>
                      <w:color w:val="auto"/>
                      <w:lang w:val="en-US" w:eastAsia="zh-CN"/>
                    </w:rPr>
                    <w:t>断面名称</w:t>
                  </w:r>
                </w:p>
              </w:tc>
              <w:tc>
                <w:tcPr>
                  <w:tcW w:w="1746" w:type="dxa"/>
                  <w:tcBorders>
                    <w:tl2br w:val="nil"/>
                    <w:tr2bl w:val="nil"/>
                  </w:tcBorders>
                  <w:noWrap w:val="0"/>
                  <w:vAlign w:val="center"/>
                </w:tcPr>
                <w:p w14:paraId="2D4AD306">
                  <w:pPr>
                    <w:pStyle w:val="69"/>
                    <w:bidi w:val="0"/>
                    <w:rPr>
                      <w:rFonts w:hint="default"/>
                      <w:color w:val="auto"/>
                      <w:lang w:val="en-US" w:eastAsia="zh-CN"/>
                    </w:rPr>
                  </w:pPr>
                  <w:r>
                    <w:rPr>
                      <w:rFonts w:hint="default"/>
                      <w:color w:val="auto"/>
                      <w:lang w:val="en-US" w:eastAsia="zh-CN"/>
                    </w:rPr>
                    <w:t>2025年</w:t>
                  </w:r>
                </w:p>
              </w:tc>
              <w:tc>
                <w:tcPr>
                  <w:tcW w:w="1727" w:type="dxa"/>
                  <w:tcBorders>
                    <w:tl2br w:val="nil"/>
                    <w:tr2bl w:val="nil"/>
                  </w:tcBorders>
                  <w:noWrap w:val="0"/>
                  <w:vAlign w:val="center"/>
                </w:tcPr>
                <w:p w14:paraId="32CE2EC7">
                  <w:pPr>
                    <w:pStyle w:val="69"/>
                    <w:bidi w:val="0"/>
                    <w:rPr>
                      <w:rFonts w:hint="default"/>
                      <w:color w:val="auto"/>
                      <w:lang w:val="en-US" w:eastAsia="zh-CN"/>
                    </w:rPr>
                  </w:pPr>
                  <w:r>
                    <w:rPr>
                      <w:rFonts w:hint="default"/>
                      <w:color w:val="auto"/>
                      <w:lang w:val="en-US" w:eastAsia="zh-CN"/>
                    </w:rPr>
                    <w:t>2035年</w:t>
                  </w:r>
                </w:p>
              </w:tc>
            </w:tr>
            <w:tr w14:paraId="1781E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49" w:type="dxa"/>
                  <w:vMerge w:val="continue"/>
                  <w:tcBorders>
                    <w:tl2br w:val="nil"/>
                    <w:tr2bl w:val="nil"/>
                  </w:tcBorders>
                  <w:noWrap w:val="0"/>
                  <w:vAlign w:val="center"/>
                </w:tcPr>
                <w:p w14:paraId="685B24AE">
                  <w:pPr>
                    <w:pStyle w:val="69"/>
                    <w:bidi w:val="0"/>
                    <w:rPr>
                      <w:rFonts w:hint="default"/>
                      <w:color w:val="auto"/>
                      <w:highlight w:val="none"/>
                      <w:lang w:val="en-US" w:eastAsia="zh-CN"/>
                    </w:rPr>
                  </w:pPr>
                </w:p>
              </w:tc>
              <w:tc>
                <w:tcPr>
                  <w:tcW w:w="2359" w:type="dxa"/>
                  <w:tcBorders>
                    <w:tl2br w:val="nil"/>
                    <w:tr2bl w:val="nil"/>
                  </w:tcBorders>
                  <w:noWrap w:val="0"/>
                  <w:vAlign w:val="center"/>
                </w:tcPr>
                <w:p w14:paraId="1BA293BD">
                  <w:pPr>
                    <w:pStyle w:val="69"/>
                    <w:bidi w:val="0"/>
                    <w:rPr>
                      <w:rFonts w:hint="default"/>
                      <w:color w:val="auto"/>
                      <w:highlight w:val="none"/>
                      <w:lang w:val="en-US" w:eastAsia="zh-CN"/>
                    </w:rPr>
                  </w:pPr>
                  <w:r>
                    <w:rPr>
                      <w:rFonts w:hint="eastAsia"/>
                      <w:color w:val="auto"/>
                      <w:highlight w:val="none"/>
                      <w:lang w:val="en-US" w:eastAsia="zh-CN"/>
                    </w:rPr>
                    <w:t>下员布</w:t>
                  </w:r>
                </w:p>
              </w:tc>
              <w:tc>
                <w:tcPr>
                  <w:tcW w:w="3473" w:type="dxa"/>
                  <w:gridSpan w:val="2"/>
                  <w:tcBorders>
                    <w:tl2br w:val="nil"/>
                    <w:tr2bl w:val="nil"/>
                  </w:tcBorders>
                  <w:noWrap w:val="0"/>
                  <w:vAlign w:val="center"/>
                </w:tcPr>
                <w:p w14:paraId="4F44A96C">
                  <w:pPr>
                    <w:pStyle w:val="69"/>
                    <w:bidi w:val="0"/>
                    <w:rPr>
                      <w:rFonts w:hint="default"/>
                      <w:color w:val="auto"/>
                      <w:highlight w:val="none"/>
                    </w:rPr>
                  </w:pPr>
                  <w:r>
                    <w:rPr>
                      <w:rFonts w:hint="default"/>
                      <w:color w:val="auto"/>
                      <w:highlight w:val="none"/>
                    </w:rPr>
                    <w:t>Ⅲ</w:t>
                  </w:r>
                </w:p>
              </w:tc>
            </w:tr>
            <w:tr w14:paraId="11B8A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9" w:type="dxa"/>
                  <w:vMerge w:val="restart"/>
                  <w:tcBorders>
                    <w:tl2br w:val="nil"/>
                    <w:tr2bl w:val="nil"/>
                  </w:tcBorders>
                  <w:noWrap w:val="0"/>
                  <w:vAlign w:val="center"/>
                </w:tcPr>
                <w:p w14:paraId="2C7867A5">
                  <w:pPr>
                    <w:pStyle w:val="69"/>
                    <w:bidi w:val="0"/>
                    <w:rPr>
                      <w:rFonts w:hint="default"/>
                      <w:color w:val="auto"/>
                      <w:highlight w:val="none"/>
                      <w:lang w:val="en-US" w:eastAsia="zh-CN"/>
                    </w:rPr>
                  </w:pPr>
                  <w:r>
                    <w:rPr>
                      <w:rFonts w:hint="default"/>
                      <w:color w:val="auto"/>
                      <w:highlight w:val="none"/>
                    </w:rPr>
                    <w:t>土壤环境风险防控底线</w:t>
                  </w:r>
                </w:p>
              </w:tc>
              <w:tc>
                <w:tcPr>
                  <w:tcW w:w="2359" w:type="dxa"/>
                  <w:tcBorders>
                    <w:tl2br w:val="nil"/>
                    <w:tr2bl w:val="nil"/>
                  </w:tcBorders>
                  <w:noWrap w:val="0"/>
                  <w:vAlign w:val="center"/>
                </w:tcPr>
                <w:p w14:paraId="59CC11E2">
                  <w:pPr>
                    <w:pStyle w:val="69"/>
                    <w:bidi w:val="0"/>
                    <w:rPr>
                      <w:rFonts w:hint="default"/>
                      <w:color w:val="auto"/>
                      <w:highlight w:val="none"/>
                    </w:rPr>
                  </w:pPr>
                  <w:r>
                    <w:rPr>
                      <w:rFonts w:hint="default"/>
                      <w:color w:val="auto"/>
                      <w:highlight w:val="none"/>
                    </w:rPr>
                    <w:t>受污染耕地安全利用率</w:t>
                  </w:r>
                </w:p>
              </w:tc>
              <w:tc>
                <w:tcPr>
                  <w:tcW w:w="1746" w:type="dxa"/>
                  <w:tcBorders>
                    <w:tl2br w:val="nil"/>
                    <w:tr2bl w:val="nil"/>
                  </w:tcBorders>
                  <w:noWrap w:val="0"/>
                  <w:vAlign w:val="center"/>
                </w:tcPr>
                <w:p w14:paraId="6CAC3F43">
                  <w:pPr>
                    <w:pStyle w:val="69"/>
                    <w:bidi w:val="0"/>
                    <w:rPr>
                      <w:rFonts w:hint="default"/>
                      <w:color w:val="auto"/>
                      <w:highlight w:val="none"/>
                    </w:rPr>
                  </w:pPr>
                  <w:r>
                    <w:rPr>
                      <w:rFonts w:hint="default"/>
                      <w:color w:val="auto"/>
                      <w:highlight w:val="none"/>
                    </w:rPr>
                    <w:t>达到省政府下达的指标要求</w:t>
                  </w:r>
                </w:p>
              </w:tc>
              <w:tc>
                <w:tcPr>
                  <w:tcW w:w="1727" w:type="dxa"/>
                  <w:tcBorders>
                    <w:tl2br w:val="nil"/>
                    <w:tr2bl w:val="nil"/>
                  </w:tcBorders>
                  <w:noWrap w:val="0"/>
                  <w:vAlign w:val="center"/>
                </w:tcPr>
                <w:p w14:paraId="390B8732">
                  <w:pPr>
                    <w:pStyle w:val="69"/>
                    <w:bidi w:val="0"/>
                    <w:rPr>
                      <w:rFonts w:hint="default"/>
                      <w:color w:val="auto"/>
                      <w:highlight w:val="none"/>
                    </w:rPr>
                  </w:pPr>
                  <w:r>
                    <w:rPr>
                      <w:rFonts w:hint="default"/>
                      <w:color w:val="auto"/>
                      <w:highlight w:val="none"/>
                    </w:rPr>
                    <w:t>95%</w:t>
                  </w:r>
                </w:p>
              </w:tc>
            </w:tr>
            <w:tr w14:paraId="75CBE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49" w:type="dxa"/>
                  <w:vMerge w:val="continue"/>
                  <w:tcBorders>
                    <w:tl2br w:val="nil"/>
                    <w:tr2bl w:val="nil"/>
                  </w:tcBorders>
                  <w:noWrap w:val="0"/>
                  <w:vAlign w:val="center"/>
                </w:tcPr>
                <w:p w14:paraId="3BDD3C9A">
                  <w:pPr>
                    <w:pStyle w:val="69"/>
                    <w:bidi w:val="0"/>
                    <w:rPr>
                      <w:rFonts w:hint="default"/>
                      <w:color w:val="auto"/>
                      <w:highlight w:val="none"/>
                      <w:lang w:val="en-US" w:eastAsia="zh-CN"/>
                    </w:rPr>
                  </w:pPr>
                </w:p>
              </w:tc>
              <w:tc>
                <w:tcPr>
                  <w:tcW w:w="2359" w:type="dxa"/>
                  <w:tcBorders>
                    <w:tl2br w:val="nil"/>
                    <w:tr2bl w:val="nil"/>
                  </w:tcBorders>
                  <w:noWrap w:val="0"/>
                  <w:vAlign w:val="center"/>
                </w:tcPr>
                <w:p w14:paraId="1FC96A80">
                  <w:pPr>
                    <w:pStyle w:val="69"/>
                    <w:bidi w:val="0"/>
                    <w:rPr>
                      <w:rFonts w:hint="default"/>
                      <w:color w:val="auto"/>
                      <w:highlight w:val="none"/>
                    </w:rPr>
                  </w:pPr>
                  <w:r>
                    <w:rPr>
                      <w:rFonts w:hint="default"/>
                      <w:color w:val="auto"/>
                      <w:highlight w:val="none"/>
                    </w:rPr>
                    <w:t>污染地块安全利用率</w:t>
                  </w:r>
                </w:p>
              </w:tc>
              <w:tc>
                <w:tcPr>
                  <w:tcW w:w="1746" w:type="dxa"/>
                  <w:tcBorders>
                    <w:tl2br w:val="nil"/>
                    <w:tr2bl w:val="nil"/>
                  </w:tcBorders>
                  <w:noWrap w:val="0"/>
                  <w:vAlign w:val="center"/>
                </w:tcPr>
                <w:p w14:paraId="2C62E9F1">
                  <w:pPr>
                    <w:pStyle w:val="69"/>
                    <w:bidi w:val="0"/>
                    <w:rPr>
                      <w:rFonts w:hint="default"/>
                      <w:color w:val="auto"/>
                      <w:highlight w:val="none"/>
                    </w:rPr>
                  </w:pPr>
                  <w:r>
                    <w:rPr>
                      <w:rFonts w:hint="default"/>
                      <w:color w:val="auto"/>
                      <w:highlight w:val="none"/>
                    </w:rPr>
                    <w:t>90%</w:t>
                  </w:r>
                </w:p>
              </w:tc>
              <w:tc>
                <w:tcPr>
                  <w:tcW w:w="1727" w:type="dxa"/>
                  <w:tcBorders>
                    <w:tl2br w:val="nil"/>
                    <w:tr2bl w:val="nil"/>
                  </w:tcBorders>
                  <w:noWrap w:val="0"/>
                  <w:vAlign w:val="center"/>
                </w:tcPr>
                <w:p w14:paraId="0940CDC0">
                  <w:pPr>
                    <w:pStyle w:val="69"/>
                    <w:bidi w:val="0"/>
                    <w:rPr>
                      <w:rFonts w:hint="default"/>
                      <w:color w:val="auto"/>
                      <w:highlight w:val="none"/>
                    </w:rPr>
                  </w:pPr>
                  <w:r>
                    <w:rPr>
                      <w:rFonts w:hint="default"/>
                      <w:color w:val="auto"/>
                      <w:highlight w:val="none"/>
                    </w:rPr>
                    <w:t>95%</w:t>
                  </w:r>
                </w:p>
              </w:tc>
            </w:tr>
          </w:tbl>
          <w:p w14:paraId="7EAFF0D4">
            <w:pPr>
              <w:pStyle w:val="71"/>
              <w:bidi w:val="0"/>
              <w:rPr>
                <w:color w:val="auto"/>
                <w:highlight w:val="none"/>
              </w:rPr>
            </w:pPr>
            <w:r>
              <w:rPr>
                <w:rFonts w:hint="eastAsia"/>
                <w:b/>
                <w:bCs/>
                <w:color w:val="auto"/>
                <w:highlight w:val="none"/>
                <w:lang w:val="en-US" w:eastAsia="zh-CN"/>
              </w:rPr>
              <w:t>环境空气质量底线：</w:t>
            </w:r>
            <w:r>
              <w:rPr>
                <w:rFonts w:hint="eastAsia"/>
                <w:color w:val="auto"/>
                <w:highlight w:val="none"/>
                <w:lang w:val="en-US" w:eastAsia="zh-CN"/>
              </w:rPr>
              <w:t>根据江西省生态环境厅发布的《2023年江西省各县（市、区）六项污染物浓度年均值》中大气环境质量现状内容，宁都县六项污染物年均值已达到环境空气质量二级标准限值要求，</w:t>
            </w:r>
            <w:r>
              <w:rPr>
                <w:rFonts w:hint="default"/>
                <w:color w:val="auto"/>
                <w:highlight w:val="none"/>
                <w:lang w:val="en-US" w:eastAsia="zh-CN"/>
              </w:rPr>
              <w:t>PM</w:t>
            </w:r>
            <w:r>
              <w:rPr>
                <w:rFonts w:hint="default"/>
                <w:color w:val="auto"/>
                <w:highlight w:val="none"/>
                <w:vertAlign w:val="subscript"/>
                <w:lang w:val="en-US" w:eastAsia="zh-CN"/>
              </w:rPr>
              <w:t>2.5</w:t>
            </w:r>
            <w:r>
              <w:rPr>
                <w:rFonts w:hint="eastAsia"/>
                <w:color w:val="auto"/>
                <w:highlight w:val="none"/>
                <w:lang w:val="en-US" w:eastAsia="zh-CN"/>
              </w:rPr>
              <w:t>浓度已达到“三线一单”中的环境质量底线要求。本项目施工期产生的粉尘采取洒水等抑尘措施后，对环境的影响较小，符合环境空气质量底线的要求。</w:t>
            </w:r>
          </w:p>
          <w:p w14:paraId="60D2BFA7">
            <w:pPr>
              <w:pStyle w:val="71"/>
              <w:bidi w:val="0"/>
              <w:rPr>
                <w:rFonts w:hint="default"/>
                <w:color w:val="auto"/>
                <w:lang w:val="en-US" w:eastAsia="zh-CN"/>
              </w:rPr>
            </w:pPr>
            <w:r>
              <w:rPr>
                <w:rFonts w:hint="eastAsia"/>
                <w:b/>
                <w:bCs/>
                <w:color w:val="auto"/>
                <w:highlight w:val="none"/>
                <w:lang w:val="en-US" w:eastAsia="zh-CN"/>
              </w:rPr>
              <w:t>水环境质量底线：</w:t>
            </w:r>
            <w:r>
              <w:rPr>
                <w:rFonts w:hint="eastAsia"/>
                <w:color w:val="auto"/>
                <w:highlight w:val="none"/>
                <w:lang w:val="en-US" w:eastAsia="zh-CN"/>
              </w:rPr>
              <w:t>本项目周边地表水水体为梅江。根据《2023年赣州市环境质量年报》中断面水质达标状况可知，2023年</w:t>
            </w:r>
            <w:r>
              <w:rPr>
                <w:rFonts w:hint="eastAsia"/>
                <w:color w:val="auto"/>
                <w:highlight w:val="none"/>
                <w:lang w:val="en-US" w:eastAsia="zh-CN"/>
              </w:rPr>
              <w:t>下员布</w:t>
            </w:r>
            <w:r>
              <w:rPr>
                <w:rFonts w:hint="eastAsia"/>
                <w:color w:val="auto"/>
                <w:highlight w:val="none"/>
                <w:lang w:val="en-US" w:eastAsia="zh-CN"/>
              </w:rPr>
              <w:t>断面</w:t>
            </w:r>
            <w:r>
              <w:rPr>
                <w:rFonts w:hint="default" w:ascii="Times New Roman" w:hAnsi="Times New Roman" w:cs="Times New Roman"/>
                <w:color w:val="auto"/>
                <w:highlight w:val="none"/>
                <w:lang w:eastAsia="zh-CN"/>
              </w:rPr>
              <w:t>能满足《地表水环境质量标准》（GB3838-2002）</w:t>
            </w:r>
            <w:r>
              <w:rPr>
                <w:rFonts w:hint="default" w:ascii="Times New Roman" w:hAnsi="Times New Roman" w:cs="Times New Roman"/>
                <w:color w:val="auto"/>
                <w:highlight w:val="none"/>
                <w:lang w:val="en-US" w:eastAsia="zh-CN"/>
              </w:rPr>
              <w:t>Ⅱ</w:t>
            </w:r>
            <w:r>
              <w:rPr>
                <w:rFonts w:hint="default" w:ascii="Times New Roman" w:hAnsi="Times New Roman" w:cs="Times New Roman"/>
                <w:color w:val="auto"/>
                <w:highlight w:val="none"/>
                <w:lang w:eastAsia="zh-CN"/>
              </w:rPr>
              <w:t>类标准</w:t>
            </w:r>
            <w:r>
              <w:rPr>
                <w:rFonts w:hint="eastAsia" w:cs="Times New Roman"/>
                <w:color w:val="auto"/>
                <w:highlight w:val="none"/>
                <w:lang w:eastAsia="zh-CN"/>
              </w:rPr>
              <w:t>，</w:t>
            </w:r>
            <w:r>
              <w:rPr>
                <w:rFonts w:hint="eastAsia" w:cs="Times New Roman"/>
                <w:color w:val="auto"/>
                <w:highlight w:val="none"/>
                <w:lang w:val="en-US" w:eastAsia="zh-CN"/>
              </w:rPr>
              <w:t>全年均未出现超标情况，</w:t>
            </w:r>
            <w:r>
              <w:rPr>
                <w:rFonts w:hint="default" w:ascii="Times New Roman" w:hAnsi="Times New Roman" w:eastAsia="宋体" w:cs="Times New Roman"/>
                <w:color w:val="auto"/>
                <w:highlight w:val="none"/>
                <w:lang w:val="en-US" w:eastAsia="zh-CN"/>
              </w:rPr>
              <w:t>区域</w:t>
            </w:r>
            <w:r>
              <w:rPr>
                <w:rFonts w:hint="eastAsia" w:ascii="Times New Roman" w:hAnsi="Times New Roman" w:eastAsia="宋体" w:cs="Times New Roman"/>
                <w:color w:val="auto"/>
                <w:highlight w:val="none"/>
                <w:lang w:val="en-US" w:eastAsia="zh-CN"/>
              </w:rPr>
              <w:t>地表水</w:t>
            </w:r>
            <w:r>
              <w:rPr>
                <w:rFonts w:hint="default" w:ascii="Times New Roman" w:hAnsi="Times New Roman" w:eastAsia="宋体" w:cs="Times New Roman"/>
                <w:color w:val="auto"/>
                <w:highlight w:val="none"/>
                <w:lang w:val="en-US" w:eastAsia="zh-CN"/>
              </w:rPr>
              <w:t>环境质量现状较</w:t>
            </w:r>
            <w:r>
              <w:rPr>
                <w:rFonts w:hint="eastAsia" w:ascii="Times New Roman" w:hAnsi="Times New Roman" w:cs="Times New Roman"/>
                <w:color w:val="auto"/>
                <w:highlight w:val="none"/>
                <w:lang w:val="en-US" w:eastAsia="zh-CN"/>
              </w:rPr>
              <w:t>好。本项目施工期废水、运营期废水均不外排，不会对现状水环境造成影响，符合水</w:t>
            </w:r>
            <w:r>
              <w:rPr>
                <w:rFonts w:hint="eastAsia" w:ascii="Times New Roman" w:hAnsi="Times New Roman" w:cs="Times New Roman"/>
                <w:color w:val="auto"/>
                <w:lang w:val="en-US" w:eastAsia="zh-CN"/>
              </w:rPr>
              <w:t>环境质量底线要求。</w:t>
            </w:r>
          </w:p>
          <w:p w14:paraId="34D80531">
            <w:pPr>
              <w:pStyle w:val="71"/>
              <w:bidi w:val="0"/>
              <w:rPr>
                <w:rFonts w:hint="eastAsia"/>
                <w:color w:val="auto"/>
                <w:lang w:val="en-US" w:eastAsia="zh-CN"/>
              </w:rPr>
            </w:pPr>
            <w:r>
              <w:rPr>
                <w:b/>
                <w:bCs/>
                <w:color w:val="auto"/>
              </w:rPr>
              <w:t>土壤环境风险防控底线</w:t>
            </w:r>
            <w:r>
              <w:rPr>
                <w:rFonts w:hint="eastAsia"/>
                <w:b/>
                <w:bCs/>
                <w:color w:val="auto"/>
                <w:lang w:eastAsia="zh-CN"/>
              </w:rPr>
              <w:t>：</w:t>
            </w:r>
            <w:r>
              <w:rPr>
                <w:rFonts w:hint="eastAsia"/>
                <w:color w:val="auto"/>
                <w:lang w:val="en-US" w:eastAsia="zh-CN"/>
              </w:rPr>
              <w:t>本</w:t>
            </w:r>
            <w:r>
              <w:rPr>
                <w:rFonts w:hint="default"/>
                <w:color w:val="auto"/>
                <w:lang w:val="en-US" w:eastAsia="zh-CN"/>
              </w:rPr>
              <w:t>项目要求建设单位做好分区防渗措施，防止污染土壤，土壤环境风险防控可满足三线一单要求</w:t>
            </w:r>
            <w:r>
              <w:rPr>
                <w:rFonts w:hint="eastAsia" w:ascii="Times New Roman" w:hAnsi="Times New Roman" w:eastAsia="宋体" w:cs="宋体"/>
                <w:color w:val="auto"/>
                <w:kern w:val="0"/>
                <w:sz w:val="24"/>
                <w:szCs w:val="24"/>
                <w:lang w:eastAsia="zh-CN"/>
              </w:rPr>
              <w:t>。</w:t>
            </w:r>
          </w:p>
          <w:p w14:paraId="3769DA23">
            <w:pPr>
              <w:pStyle w:val="71"/>
              <w:bidi w:val="0"/>
              <w:rPr>
                <w:rFonts w:hint="default"/>
                <w:color w:val="auto"/>
                <w:lang w:val="en-US" w:eastAsia="zh-CN"/>
              </w:rPr>
            </w:pPr>
            <w:r>
              <w:rPr>
                <w:rFonts w:hint="eastAsia"/>
                <w:color w:val="auto"/>
                <w:lang w:val="en-US" w:eastAsia="zh-CN"/>
              </w:rPr>
              <w:t>3、资源利用上线</w:t>
            </w:r>
          </w:p>
          <w:p w14:paraId="529817B4">
            <w:pPr>
              <w:pStyle w:val="71"/>
              <w:bidi w:val="0"/>
              <w:rPr>
                <w:rFonts w:hint="eastAsia"/>
                <w:color w:val="auto"/>
                <w:lang w:val="en-US" w:eastAsia="zh-CN"/>
              </w:rPr>
            </w:pPr>
            <w:r>
              <w:rPr>
                <w:rFonts w:hint="eastAsia"/>
                <w:color w:val="auto"/>
                <w:lang w:val="en-US" w:eastAsia="zh-CN"/>
              </w:rPr>
              <w:t>《长江经济带战略环境评价江西省赣州市“三线一单”划定技术报告》对宁都县水资源、土地资源、能源利用上线提出管控目标，现将有关要求梳理如下：</w:t>
            </w:r>
          </w:p>
          <w:p w14:paraId="1E42468D">
            <w:pPr>
              <w:pStyle w:val="85"/>
              <w:bidi w:val="0"/>
              <w:rPr>
                <w:rFonts w:hint="default"/>
                <w:color w:val="auto"/>
                <w:lang w:val="en-US"/>
              </w:rPr>
            </w:pPr>
            <w:r>
              <w:rPr>
                <w:rFonts w:hint="eastAsia"/>
                <w:color w:val="auto"/>
              </w:rPr>
              <w:t>表1-</w:t>
            </w:r>
            <w:r>
              <w:rPr>
                <w:rFonts w:hint="eastAsia"/>
                <w:color w:val="auto"/>
                <w:lang w:val="en-US" w:eastAsia="zh-CN"/>
              </w:rPr>
              <w:t>3</w:t>
            </w:r>
            <w:r>
              <w:rPr>
                <w:rFonts w:hint="eastAsia"/>
                <w:color w:val="auto"/>
              </w:rPr>
              <w:t>江西省赣州市“三线一单”中关于</w:t>
            </w:r>
            <w:r>
              <w:rPr>
                <w:rFonts w:hint="eastAsia"/>
                <w:color w:val="auto"/>
                <w:lang w:val="en-US" w:eastAsia="zh-CN"/>
              </w:rPr>
              <w:t>宁都县资源利用上线管控目标</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262"/>
              <w:gridCol w:w="1571"/>
              <w:gridCol w:w="1728"/>
              <w:gridCol w:w="1420"/>
            </w:tblGrid>
            <w:tr w14:paraId="267F1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2" w:type="pct"/>
                  <w:gridSpan w:val="2"/>
                  <w:tcBorders>
                    <w:tl2br w:val="nil"/>
                    <w:tr2bl w:val="nil"/>
                  </w:tcBorders>
                  <w:noWrap w:val="0"/>
                  <w:vAlign w:val="center"/>
                </w:tcPr>
                <w:p w14:paraId="53B1E9A6">
                  <w:pPr>
                    <w:pStyle w:val="67"/>
                    <w:bidi w:val="0"/>
                    <w:rPr>
                      <w:rFonts w:hint="default"/>
                      <w:color w:val="auto"/>
                      <w:lang w:val="en-US" w:eastAsia="zh-CN"/>
                    </w:rPr>
                  </w:pPr>
                  <w:r>
                    <w:rPr>
                      <w:rFonts w:hint="eastAsia"/>
                      <w:color w:val="auto"/>
                      <w:lang w:val="en-US" w:eastAsia="zh-CN"/>
                    </w:rPr>
                    <w:t>项目</w:t>
                  </w:r>
                </w:p>
              </w:tc>
              <w:tc>
                <w:tcPr>
                  <w:tcW w:w="3287" w:type="pct"/>
                  <w:gridSpan w:val="3"/>
                  <w:tcBorders>
                    <w:tl2br w:val="nil"/>
                    <w:tr2bl w:val="nil"/>
                  </w:tcBorders>
                  <w:noWrap w:val="0"/>
                  <w:vAlign w:val="center"/>
                </w:tcPr>
                <w:p w14:paraId="68FBB7AD">
                  <w:pPr>
                    <w:pStyle w:val="67"/>
                    <w:bidi w:val="0"/>
                    <w:rPr>
                      <w:rFonts w:hint="default"/>
                      <w:color w:val="auto"/>
                      <w:lang w:val="en-US" w:eastAsia="zh-CN"/>
                    </w:rPr>
                  </w:pPr>
                  <w:r>
                    <w:rPr>
                      <w:rFonts w:hint="eastAsia"/>
                      <w:color w:val="auto"/>
                      <w:lang w:val="en-US" w:eastAsia="zh-CN"/>
                    </w:rPr>
                    <w:t>资源利用上线管控目标</w:t>
                  </w:r>
                </w:p>
              </w:tc>
            </w:tr>
            <w:tr w14:paraId="36EF9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pct"/>
                  <w:vMerge w:val="restart"/>
                  <w:tcBorders>
                    <w:tl2br w:val="nil"/>
                    <w:tr2bl w:val="nil"/>
                  </w:tcBorders>
                  <w:noWrap w:val="0"/>
                  <w:vAlign w:val="center"/>
                </w:tcPr>
                <w:p w14:paraId="39DC7A69">
                  <w:pPr>
                    <w:pStyle w:val="67"/>
                    <w:bidi w:val="0"/>
                    <w:rPr>
                      <w:rFonts w:hint="default"/>
                      <w:color w:val="auto"/>
                      <w:lang w:val="en-US" w:eastAsia="zh-CN"/>
                    </w:rPr>
                  </w:pPr>
                  <w:r>
                    <w:rPr>
                      <w:rFonts w:hint="eastAsia"/>
                      <w:color w:val="auto"/>
                      <w:lang w:val="en-US" w:eastAsia="zh-CN"/>
                    </w:rPr>
                    <w:t>水资源</w:t>
                  </w:r>
                </w:p>
              </w:tc>
              <w:tc>
                <w:tcPr>
                  <w:tcW w:w="879" w:type="pct"/>
                  <w:vMerge w:val="restart"/>
                  <w:tcBorders>
                    <w:tl2br w:val="nil"/>
                    <w:tr2bl w:val="nil"/>
                  </w:tcBorders>
                  <w:noWrap w:val="0"/>
                  <w:vAlign w:val="center"/>
                </w:tcPr>
                <w:p w14:paraId="2A7916AB">
                  <w:pPr>
                    <w:pStyle w:val="66"/>
                    <w:bidi w:val="0"/>
                    <w:ind w:left="18" w:leftChars="9" w:right="18" w:rightChars="9"/>
                    <w:rPr>
                      <w:rFonts w:hint="eastAsia" w:ascii="Times New Roman" w:hAnsi="Times New Roman" w:eastAsia="宋体"/>
                      <w:color w:val="auto"/>
                      <w:kern w:val="2"/>
                      <w:sz w:val="21"/>
                      <w:szCs w:val="21"/>
                      <w:lang w:val="en-US" w:eastAsia="zh-CN" w:bidi="ar-SA"/>
                    </w:rPr>
                  </w:pPr>
                  <w:r>
                    <w:rPr>
                      <w:rFonts w:hint="eastAsia"/>
                      <w:color w:val="auto"/>
                      <w:lang w:val="en-US" w:eastAsia="zh-CN"/>
                    </w:rPr>
                    <w:t>用水总量</w:t>
                  </w:r>
                </w:p>
              </w:tc>
              <w:tc>
                <w:tcPr>
                  <w:tcW w:w="3287" w:type="pct"/>
                  <w:gridSpan w:val="3"/>
                  <w:tcBorders>
                    <w:tl2br w:val="nil"/>
                    <w:tr2bl w:val="nil"/>
                  </w:tcBorders>
                  <w:noWrap w:val="0"/>
                  <w:vAlign w:val="center"/>
                </w:tcPr>
                <w:p w14:paraId="23F5CACF">
                  <w:pPr>
                    <w:pStyle w:val="66"/>
                    <w:bidi w:val="0"/>
                    <w:rPr>
                      <w:rFonts w:hint="default"/>
                      <w:color w:val="auto"/>
                      <w:lang w:val="en-US" w:eastAsia="zh-CN"/>
                    </w:rPr>
                  </w:pPr>
                  <w:r>
                    <w:rPr>
                      <w:rFonts w:hint="eastAsia"/>
                      <w:color w:val="auto"/>
                      <w:lang w:val="en-US" w:eastAsia="zh-CN"/>
                    </w:rPr>
                    <w:t>2030年</w:t>
                  </w:r>
                </w:p>
              </w:tc>
            </w:tr>
            <w:tr w14:paraId="59209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pct"/>
                  <w:vMerge w:val="continue"/>
                  <w:tcBorders>
                    <w:tl2br w:val="nil"/>
                    <w:tr2bl w:val="nil"/>
                  </w:tcBorders>
                  <w:noWrap w:val="0"/>
                  <w:vAlign w:val="center"/>
                </w:tcPr>
                <w:p w14:paraId="70C70BDB">
                  <w:pPr>
                    <w:pStyle w:val="67"/>
                    <w:bidi w:val="0"/>
                    <w:rPr>
                      <w:rFonts w:hint="eastAsia"/>
                      <w:color w:val="auto"/>
                      <w:lang w:val="en-US" w:eastAsia="zh-CN"/>
                    </w:rPr>
                  </w:pPr>
                </w:p>
              </w:tc>
              <w:tc>
                <w:tcPr>
                  <w:tcW w:w="879" w:type="pct"/>
                  <w:vMerge w:val="continue"/>
                  <w:tcBorders>
                    <w:tl2br w:val="nil"/>
                    <w:tr2bl w:val="nil"/>
                  </w:tcBorders>
                  <w:noWrap w:val="0"/>
                  <w:vAlign w:val="center"/>
                </w:tcPr>
                <w:p w14:paraId="1B2B3EF5">
                  <w:pPr>
                    <w:pStyle w:val="66"/>
                    <w:bidi w:val="0"/>
                    <w:ind w:left="18" w:leftChars="9" w:right="18" w:rightChars="9"/>
                    <w:rPr>
                      <w:rFonts w:hint="eastAsia" w:ascii="Times New Roman" w:hAnsi="Times New Roman" w:eastAsia="宋体"/>
                      <w:color w:val="auto"/>
                      <w:kern w:val="2"/>
                      <w:sz w:val="21"/>
                      <w:szCs w:val="21"/>
                      <w:lang w:val="en-US" w:eastAsia="zh-CN" w:bidi="ar-SA"/>
                    </w:rPr>
                  </w:pPr>
                </w:p>
              </w:tc>
              <w:tc>
                <w:tcPr>
                  <w:tcW w:w="3287" w:type="pct"/>
                  <w:gridSpan w:val="3"/>
                  <w:tcBorders>
                    <w:tl2br w:val="nil"/>
                    <w:tr2bl w:val="nil"/>
                  </w:tcBorders>
                  <w:noWrap w:val="0"/>
                  <w:vAlign w:val="center"/>
                </w:tcPr>
                <w:p w14:paraId="6683D235">
                  <w:pPr>
                    <w:pStyle w:val="66"/>
                    <w:bidi w:val="0"/>
                    <w:ind w:left="0" w:leftChars="0" w:right="18" w:rightChars="9"/>
                    <w:rPr>
                      <w:rFonts w:hint="eastAsia" w:ascii="Times New Roman" w:hAnsi="Times New Roman" w:eastAsia="宋体"/>
                      <w:color w:val="auto"/>
                      <w:kern w:val="2"/>
                      <w:sz w:val="21"/>
                      <w:szCs w:val="21"/>
                      <w:lang w:val="en-US" w:eastAsia="zh-CN" w:bidi="ar-SA"/>
                    </w:rPr>
                  </w:pPr>
                  <w:r>
                    <w:rPr>
                      <w:rFonts w:hint="eastAsia"/>
                      <w:color w:val="auto"/>
                      <w:lang w:val="en-US" w:eastAsia="zh-CN"/>
                    </w:rPr>
                    <w:t>3.57亿m</w:t>
                  </w:r>
                  <w:r>
                    <w:rPr>
                      <w:rFonts w:hint="eastAsia"/>
                      <w:color w:val="auto"/>
                      <w:vertAlign w:val="superscript"/>
                      <w:lang w:val="en-US" w:eastAsia="zh-CN"/>
                    </w:rPr>
                    <w:t>3</w:t>
                  </w:r>
                </w:p>
              </w:tc>
            </w:tr>
            <w:tr w14:paraId="2CD1A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pct"/>
                  <w:tcBorders>
                    <w:tl2br w:val="nil"/>
                    <w:tr2bl w:val="nil"/>
                  </w:tcBorders>
                  <w:noWrap w:val="0"/>
                  <w:vAlign w:val="center"/>
                </w:tcPr>
                <w:p w14:paraId="2B153D54">
                  <w:pPr>
                    <w:pStyle w:val="67"/>
                    <w:bidi w:val="0"/>
                    <w:rPr>
                      <w:rFonts w:hint="default"/>
                      <w:color w:val="auto"/>
                      <w:lang w:val="en-US" w:eastAsia="zh-CN"/>
                    </w:rPr>
                  </w:pPr>
                  <w:r>
                    <w:rPr>
                      <w:rFonts w:hint="eastAsia"/>
                      <w:color w:val="auto"/>
                      <w:lang w:val="en-US" w:eastAsia="zh-CN"/>
                    </w:rPr>
                    <w:t>土地资源</w:t>
                  </w:r>
                </w:p>
              </w:tc>
              <w:tc>
                <w:tcPr>
                  <w:tcW w:w="879" w:type="pct"/>
                  <w:tcBorders>
                    <w:tl2br w:val="nil"/>
                    <w:tr2bl w:val="nil"/>
                  </w:tcBorders>
                  <w:noWrap w:val="0"/>
                  <w:vAlign w:val="center"/>
                </w:tcPr>
                <w:p w14:paraId="443FECCD">
                  <w:pPr>
                    <w:pStyle w:val="66"/>
                    <w:bidi w:val="0"/>
                    <w:rPr>
                      <w:rFonts w:hint="default"/>
                      <w:color w:val="auto"/>
                      <w:lang w:val="en-US" w:eastAsia="zh-CN"/>
                    </w:rPr>
                  </w:pPr>
                  <w:r>
                    <w:rPr>
                      <w:rFonts w:hint="eastAsia"/>
                      <w:color w:val="auto"/>
                      <w:lang w:val="en-US" w:eastAsia="zh-CN"/>
                    </w:rPr>
                    <w:t>建设用地控制总量</w:t>
                  </w:r>
                </w:p>
              </w:tc>
              <w:tc>
                <w:tcPr>
                  <w:tcW w:w="3287" w:type="pct"/>
                  <w:gridSpan w:val="3"/>
                  <w:tcBorders>
                    <w:tl2br w:val="nil"/>
                    <w:tr2bl w:val="nil"/>
                  </w:tcBorders>
                  <w:noWrap w:val="0"/>
                  <w:vAlign w:val="center"/>
                </w:tcPr>
                <w:p w14:paraId="2BED4B4D">
                  <w:pPr>
                    <w:pStyle w:val="66"/>
                    <w:bidi w:val="0"/>
                    <w:rPr>
                      <w:rFonts w:hint="default"/>
                      <w:color w:val="auto"/>
                      <w:lang w:val="en-US" w:eastAsia="zh-CN"/>
                    </w:rPr>
                  </w:pPr>
                  <w:r>
                    <w:rPr>
                      <w:rFonts w:hint="eastAsia"/>
                      <w:color w:val="auto"/>
                      <w:lang w:val="en-US" w:eastAsia="zh-CN"/>
                    </w:rPr>
                    <w:t>16600公顷</w:t>
                  </w:r>
                </w:p>
              </w:tc>
            </w:tr>
            <w:tr w14:paraId="597ED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pct"/>
                  <w:vMerge w:val="restart"/>
                  <w:tcBorders>
                    <w:tl2br w:val="nil"/>
                    <w:tr2bl w:val="nil"/>
                  </w:tcBorders>
                  <w:noWrap w:val="0"/>
                  <w:vAlign w:val="center"/>
                </w:tcPr>
                <w:p w14:paraId="2EFFE873">
                  <w:pPr>
                    <w:pStyle w:val="67"/>
                    <w:bidi w:val="0"/>
                    <w:rPr>
                      <w:rFonts w:hint="default"/>
                      <w:color w:val="auto"/>
                      <w:lang w:val="en-US" w:eastAsia="zh-CN"/>
                    </w:rPr>
                  </w:pPr>
                  <w:r>
                    <w:rPr>
                      <w:rFonts w:hint="eastAsia"/>
                      <w:color w:val="auto"/>
                      <w:lang w:val="en-US" w:eastAsia="zh-CN"/>
                    </w:rPr>
                    <w:t>能源</w:t>
                  </w:r>
                </w:p>
              </w:tc>
              <w:tc>
                <w:tcPr>
                  <w:tcW w:w="879" w:type="pct"/>
                  <w:vMerge w:val="restart"/>
                  <w:tcBorders>
                    <w:tl2br w:val="nil"/>
                    <w:tr2bl w:val="nil"/>
                  </w:tcBorders>
                  <w:noWrap w:val="0"/>
                  <w:vAlign w:val="center"/>
                </w:tcPr>
                <w:p w14:paraId="4BC30E09">
                  <w:pPr>
                    <w:pStyle w:val="66"/>
                    <w:bidi w:val="0"/>
                    <w:rPr>
                      <w:rFonts w:hint="default"/>
                      <w:color w:val="auto"/>
                      <w:lang w:val="en-US" w:eastAsia="zh-CN"/>
                    </w:rPr>
                  </w:pPr>
                  <w:r>
                    <w:rPr>
                      <w:rFonts w:hint="eastAsia"/>
                      <w:color w:val="auto"/>
                      <w:lang w:val="en-US" w:eastAsia="zh-CN"/>
                    </w:rPr>
                    <w:t>能耗强度减低目标</w:t>
                  </w:r>
                </w:p>
              </w:tc>
              <w:tc>
                <w:tcPr>
                  <w:tcW w:w="1094" w:type="pct"/>
                  <w:tcBorders>
                    <w:tl2br w:val="nil"/>
                    <w:tr2bl w:val="nil"/>
                  </w:tcBorders>
                  <w:noWrap w:val="0"/>
                  <w:vAlign w:val="center"/>
                </w:tcPr>
                <w:p w14:paraId="23174258">
                  <w:pPr>
                    <w:pStyle w:val="66"/>
                    <w:bidi w:val="0"/>
                    <w:rPr>
                      <w:rFonts w:hint="default"/>
                      <w:color w:val="auto"/>
                      <w:lang w:val="en-US" w:eastAsia="zh-CN"/>
                    </w:rPr>
                  </w:pPr>
                  <w:r>
                    <w:rPr>
                      <w:rFonts w:hint="eastAsia"/>
                      <w:color w:val="auto"/>
                      <w:lang w:val="en-US" w:eastAsia="zh-CN"/>
                    </w:rPr>
                    <w:t>2015能源消耗总量（万吨标准煤）</w:t>
                  </w:r>
                </w:p>
              </w:tc>
              <w:tc>
                <w:tcPr>
                  <w:tcW w:w="1203" w:type="pct"/>
                  <w:tcBorders>
                    <w:tl2br w:val="nil"/>
                    <w:tr2bl w:val="nil"/>
                  </w:tcBorders>
                  <w:noWrap w:val="0"/>
                  <w:vAlign w:val="center"/>
                </w:tcPr>
                <w:p w14:paraId="537A215A">
                  <w:pPr>
                    <w:pStyle w:val="66"/>
                    <w:bidi w:val="0"/>
                    <w:rPr>
                      <w:rFonts w:hint="default"/>
                      <w:color w:val="auto"/>
                      <w:lang w:val="en-US" w:eastAsia="zh-CN"/>
                    </w:rPr>
                  </w:pPr>
                  <w:r>
                    <w:rPr>
                      <w:rFonts w:hint="eastAsia"/>
                      <w:color w:val="auto"/>
                      <w:lang w:val="en-US" w:eastAsia="zh-CN"/>
                    </w:rPr>
                    <w:t>“十三五”能源增量控制目标（万吨标准煤）</w:t>
                  </w:r>
                </w:p>
              </w:tc>
              <w:tc>
                <w:tcPr>
                  <w:tcW w:w="989" w:type="pct"/>
                  <w:tcBorders>
                    <w:tl2br w:val="nil"/>
                    <w:tr2bl w:val="nil"/>
                  </w:tcBorders>
                  <w:noWrap w:val="0"/>
                  <w:vAlign w:val="center"/>
                </w:tcPr>
                <w:p w14:paraId="45AD2217">
                  <w:pPr>
                    <w:pStyle w:val="66"/>
                    <w:bidi w:val="0"/>
                    <w:rPr>
                      <w:rFonts w:hint="default"/>
                      <w:color w:val="auto"/>
                      <w:lang w:val="en-US" w:eastAsia="zh-CN"/>
                    </w:rPr>
                  </w:pPr>
                  <w:r>
                    <w:rPr>
                      <w:rFonts w:hint="eastAsia"/>
                      <w:color w:val="auto"/>
                      <w:lang w:val="en-US" w:eastAsia="zh-CN"/>
                    </w:rPr>
                    <w:t>“十三五”能耗强度减低比例（%）</w:t>
                  </w:r>
                </w:p>
              </w:tc>
            </w:tr>
            <w:tr w14:paraId="4CCD1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3" w:type="pct"/>
                  <w:vMerge w:val="continue"/>
                  <w:tcBorders>
                    <w:tl2br w:val="nil"/>
                    <w:tr2bl w:val="nil"/>
                  </w:tcBorders>
                  <w:noWrap w:val="0"/>
                  <w:vAlign w:val="center"/>
                </w:tcPr>
                <w:p w14:paraId="049A0806">
                  <w:pPr>
                    <w:pStyle w:val="66"/>
                    <w:bidi w:val="0"/>
                    <w:rPr>
                      <w:rFonts w:hint="default"/>
                      <w:color w:val="auto"/>
                      <w:lang w:val="en-US" w:eastAsia="zh-CN"/>
                    </w:rPr>
                  </w:pPr>
                </w:p>
              </w:tc>
              <w:tc>
                <w:tcPr>
                  <w:tcW w:w="879" w:type="pct"/>
                  <w:vMerge w:val="continue"/>
                  <w:tcBorders>
                    <w:tl2br w:val="nil"/>
                    <w:tr2bl w:val="nil"/>
                  </w:tcBorders>
                  <w:noWrap w:val="0"/>
                  <w:vAlign w:val="center"/>
                </w:tcPr>
                <w:p w14:paraId="2C9A2984">
                  <w:pPr>
                    <w:pStyle w:val="66"/>
                    <w:bidi w:val="0"/>
                    <w:rPr>
                      <w:rFonts w:hint="default"/>
                      <w:color w:val="auto"/>
                      <w:lang w:val="en-US" w:eastAsia="zh-CN"/>
                    </w:rPr>
                  </w:pPr>
                </w:p>
              </w:tc>
              <w:tc>
                <w:tcPr>
                  <w:tcW w:w="1094" w:type="pct"/>
                  <w:tcBorders>
                    <w:tl2br w:val="nil"/>
                    <w:tr2bl w:val="nil"/>
                  </w:tcBorders>
                  <w:noWrap w:val="0"/>
                  <w:vAlign w:val="center"/>
                </w:tcPr>
                <w:p w14:paraId="7C8D47DF">
                  <w:pPr>
                    <w:pStyle w:val="66"/>
                    <w:bidi w:val="0"/>
                    <w:rPr>
                      <w:rFonts w:hint="default"/>
                      <w:color w:val="auto"/>
                      <w:lang w:val="en-US" w:eastAsia="zh-CN"/>
                    </w:rPr>
                  </w:pPr>
                  <w:r>
                    <w:rPr>
                      <w:rFonts w:hint="eastAsia"/>
                      <w:color w:val="auto"/>
                      <w:lang w:val="en-US" w:eastAsia="zh-CN"/>
                    </w:rPr>
                    <w:t>39.81</w:t>
                  </w:r>
                </w:p>
              </w:tc>
              <w:tc>
                <w:tcPr>
                  <w:tcW w:w="1203" w:type="pct"/>
                  <w:tcBorders>
                    <w:tl2br w:val="nil"/>
                    <w:tr2bl w:val="nil"/>
                  </w:tcBorders>
                  <w:noWrap w:val="0"/>
                  <w:vAlign w:val="center"/>
                </w:tcPr>
                <w:p w14:paraId="6CD561B2">
                  <w:pPr>
                    <w:pStyle w:val="66"/>
                    <w:bidi w:val="0"/>
                    <w:rPr>
                      <w:rFonts w:hint="default"/>
                      <w:color w:val="auto"/>
                      <w:lang w:val="en-US" w:eastAsia="zh-CN"/>
                    </w:rPr>
                  </w:pPr>
                  <w:r>
                    <w:rPr>
                      <w:rFonts w:hint="eastAsia"/>
                      <w:color w:val="auto"/>
                      <w:lang w:val="en-US" w:eastAsia="zh-CN"/>
                    </w:rPr>
                    <w:t>6.35</w:t>
                  </w:r>
                </w:p>
              </w:tc>
              <w:tc>
                <w:tcPr>
                  <w:tcW w:w="989" w:type="pct"/>
                  <w:tcBorders>
                    <w:tl2br w:val="nil"/>
                    <w:tr2bl w:val="nil"/>
                  </w:tcBorders>
                  <w:noWrap w:val="0"/>
                  <w:vAlign w:val="center"/>
                </w:tcPr>
                <w:p w14:paraId="41250167">
                  <w:pPr>
                    <w:pStyle w:val="66"/>
                    <w:bidi w:val="0"/>
                    <w:rPr>
                      <w:rFonts w:hint="default"/>
                      <w:color w:val="auto"/>
                      <w:lang w:val="en-US" w:eastAsia="zh-CN"/>
                    </w:rPr>
                  </w:pPr>
                  <w:r>
                    <w:rPr>
                      <w:rFonts w:hint="eastAsia"/>
                      <w:color w:val="auto"/>
                      <w:lang w:val="en-US" w:eastAsia="zh-CN"/>
                    </w:rPr>
                    <w:t>15</w:t>
                  </w:r>
                </w:p>
              </w:tc>
            </w:tr>
          </w:tbl>
          <w:p w14:paraId="1288C97D">
            <w:pPr>
              <w:pStyle w:val="71"/>
              <w:bidi w:val="0"/>
              <w:rPr>
                <w:rFonts w:hint="default"/>
                <w:color w:val="auto"/>
                <w:vertAlign w:val="baseline"/>
                <w:lang w:val="en-US" w:eastAsia="zh-CN"/>
              </w:rPr>
            </w:pPr>
            <w:r>
              <w:rPr>
                <w:rFonts w:hint="eastAsia"/>
                <w:color w:val="auto"/>
                <w:lang w:val="en-US" w:eastAsia="zh-CN"/>
              </w:rPr>
              <w:t>本项目占地</w:t>
            </w:r>
            <w:r>
              <w:rPr>
                <w:rFonts w:hint="eastAsia"/>
                <w:color w:val="auto"/>
                <w:highlight w:val="none"/>
                <w:lang w:val="en-US" w:eastAsia="zh-CN"/>
              </w:rPr>
              <w:t>约15355m</w:t>
            </w:r>
            <w:r>
              <w:rPr>
                <w:rFonts w:hint="eastAsia"/>
                <w:color w:val="auto"/>
                <w:highlight w:val="none"/>
                <w:vertAlign w:val="superscript"/>
                <w:lang w:val="en-US" w:eastAsia="zh-CN"/>
              </w:rPr>
              <w:t>2</w:t>
            </w:r>
            <w:r>
              <w:rPr>
                <w:rFonts w:hint="eastAsia"/>
                <w:color w:val="auto"/>
                <w:highlight w:val="none"/>
                <w:lang w:val="en-US" w:eastAsia="zh-CN"/>
              </w:rPr>
              <w:t>，建</w:t>
            </w:r>
            <w:r>
              <w:rPr>
                <w:rFonts w:hint="default"/>
                <w:color w:val="auto"/>
                <w:highlight w:val="none"/>
                <w:lang w:val="en-US" w:eastAsia="zh-CN"/>
              </w:rPr>
              <w:t>成</w:t>
            </w:r>
            <w:r>
              <w:rPr>
                <w:rFonts w:hint="default"/>
                <w:color w:val="auto"/>
                <w:lang w:val="en-US" w:eastAsia="zh-CN"/>
              </w:rPr>
              <w:t>运行后通过内部管理、设备选择、原辅材料的选用和管理、废物回收利用、污染治理等多方面采取可行的防治措施，以</w:t>
            </w:r>
            <w:r>
              <w:rPr>
                <w:rFonts w:hint="eastAsia"/>
                <w:color w:val="auto"/>
                <w:lang w:val="en-US" w:eastAsia="zh-CN"/>
              </w:rPr>
              <w:t>“</w:t>
            </w:r>
            <w:r>
              <w:rPr>
                <w:rFonts w:hint="default"/>
                <w:color w:val="auto"/>
                <w:lang w:val="en-US" w:eastAsia="zh-CN"/>
              </w:rPr>
              <w:t>节能、降耗、减污</w:t>
            </w:r>
            <w:r>
              <w:rPr>
                <w:rFonts w:hint="eastAsia"/>
                <w:color w:val="auto"/>
                <w:lang w:val="en-US" w:eastAsia="zh-CN"/>
              </w:rPr>
              <w:t>”</w:t>
            </w:r>
            <w:r>
              <w:rPr>
                <w:rFonts w:hint="default"/>
                <w:color w:val="auto"/>
                <w:lang w:val="en-US" w:eastAsia="zh-CN"/>
              </w:rPr>
              <w:t>为目标，</w:t>
            </w:r>
            <w:r>
              <w:rPr>
                <w:rFonts w:hint="eastAsia"/>
                <w:color w:val="auto"/>
                <w:lang w:val="en-US" w:eastAsia="zh-CN"/>
              </w:rPr>
              <w:t>有效</w:t>
            </w:r>
            <w:r>
              <w:rPr>
                <w:rFonts w:hint="default"/>
                <w:color w:val="auto"/>
                <w:lang w:val="en-US" w:eastAsia="zh-CN"/>
              </w:rPr>
              <w:t>地控制污染</w:t>
            </w:r>
            <w:r>
              <w:rPr>
                <w:rFonts w:hint="eastAsia"/>
                <w:color w:val="auto"/>
                <w:lang w:val="en-US" w:eastAsia="zh-CN"/>
              </w:rPr>
              <w:t>，不会突破土地资源、能源上线管控目标要求。</w:t>
            </w:r>
          </w:p>
          <w:p w14:paraId="1E1085ED">
            <w:pPr>
              <w:pStyle w:val="71"/>
              <w:bidi w:val="0"/>
              <w:rPr>
                <w:rFonts w:hint="default"/>
                <w:color w:val="auto"/>
                <w:lang w:val="en-US" w:eastAsia="zh-CN"/>
              </w:rPr>
            </w:pPr>
            <w:r>
              <w:rPr>
                <w:rFonts w:hint="eastAsia"/>
                <w:color w:val="auto"/>
                <w:lang w:val="en-US" w:eastAsia="zh-CN"/>
              </w:rPr>
              <w:t>4、生态</w:t>
            </w:r>
            <w:bookmarkStart w:id="8" w:name="OLE_LINK7"/>
            <w:r>
              <w:rPr>
                <w:rFonts w:hint="eastAsia"/>
                <w:color w:val="auto"/>
                <w:lang w:val="en-US" w:eastAsia="zh-CN"/>
              </w:rPr>
              <w:t>环境准入清单</w:t>
            </w:r>
            <w:bookmarkEnd w:id="8"/>
          </w:p>
          <w:p w14:paraId="0179CD44">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根据</w:t>
            </w:r>
            <w:r>
              <w:rPr>
                <w:rFonts w:hint="default" w:ascii="Times New Roman" w:hAnsi="Times New Roman" w:cs="Times New Roman"/>
                <w:color w:val="auto"/>
                <w:highlight w:val="none"/>
                <w:lang w:val="en-US" w:eastAsia="zh-CN"/>
              </w:rPr>
              <w:t>《赣州市生态环境总体准入要求》（2023年动态更新成果）</w:t>
            </w:r>
            <w:r>
              <w:rPr>
                <w:rFonts w:hint="eastAsia" w:cs="Times New Roman"/>
                <w:color w:val="auto"/>
                <w:highlight w:val="none"/>
                <w:lang w:val="en-US" w:eastAsia="zh-CN"/>
              </w:rPr>
              <w:t>以</w:t>
            </w:r>
            <w:r>
              <w:rPr>
                <w:rFonts w:hint="default" w:ascii="Times New Roman" w:hAnsi="Times New Roman" w:cs="Times New Roman"/>
                <w:color w:val="auto"/>
                <w:highlight w:val="none"/>
                <w:lang w:val="en-US" w:eastAsia="zh-CN"/>
              </w:rPr>
              <w:t>及《赣州市环境管控单元生态环境准入清单》</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t>本项目位于江西省</w:t>
            </w:r>
            <w:r>
              <w:rPr>
                <w:rFonts w:hint="default" w:ascii="Times New Roman" w:hAnsi="Times New Roman" w:cs="Times New Roman"/>
                <w:color w:val="auto"/>
                <w:highlight w:val="none"/>
                <w:lang w:val="en-US" w:eastAsia="zh-CN"/>
              </w:rPr>
              <w:t>赣州市</w:t>
            </w:r>
            <w:r>
              <w:rPr>
                <w:rFonts w:hint="eastAsia" w:ascii="Times New Roman" w:hAnsi="Times New Roman" w:cs="Times New Roman"/>
                <w:color w:val="auto"/>
                <w:highlight w:val="none"/>
                <w:lang w:val="en-US" w:eastAsia="zh-CN"/>
              </w:rPr>
              <w:t>宁都</w:t>
            </w:r>
            <w:r>
              <w:rPr>
                <w:rFonts w:hint="default" w:ascii="Times New Roman" w:hAnsi="Times New Roman" w:cs="Times New Roman"/>
                <w:color w:val="auto"/>
                <w:highlight w:val="none"/>
                <w:lang w:val="en-US" w:eastAsia="zh-CN"/>
              </w:rPr>
              <w:t>县重点控单元</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（环境管控单元编码ZH36073</w:t>
            </w:r>
            <w:r>
              <w:rPr>
                <w:rFonts w:hint="eastAsia" w:ascii="Times New Roman" w:hAnsi="Times New Roman" w:cs="Times New Roman"/>
                <w:color w:val="auto"/>
                <w:highlight w:val="none"/>
                <w:lang w:val="en-US" w:eastAsia="zh-CN"/>
              </w:rPr>
              <w:t>020001</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lang w:val="en-US" w:eastAsia="zh-CN"/>
              </w:rPr>
              <w:t>，</w:t>
            </w:r>
            <w:r>
              <w:rPr>
                <w:rFonts w:hint="eastAsia"/>
                <w:color w:val="auto"/>
                <w:lang w:val="en-US" w:eastAsia="zh-CN"/>
              </w:rPr>
              <w:t>本</w:t>
            </w:r>
            <w:r>
              <w:rPr>
                <w:rFonts w:hint="default"/>
                <w:color w:val="auto"/>
                <w:lang w:val="en-US" w:eastAsia="zh-CN"/>
              </w:rPr>
              <w:t>项目与管控单元环境准入清单符合性见</w:t>
            </w:r>
            <w:r>
              <w:rPr>
                <w:rFonts w:hint="eastAsia"/>
                <w:color w:val="auto"/>
                <w:lang w:val="en-US" w:eastAsia="zh-CN"/>
              </w:rPr>
              <w:t>下表</w:t>
            </w:r>
            <w:r>
              <w:rPr>
                <w:rFonts w:hint="eastAsia"/>
                <w:color w:val="auto"/>
                <w:lang w:val="en-US" w:eastAsia="zh-CN"/>
              </w:rPr>
              <w:t>。</w:t>
            </w:r>
          </w:p>
          <w:p w14:paraId="3D433D6F">
            <w:pPr>
              <w:pStyle w:val="96"/>
              <w:keepNext/>
              <w:keepLines w:val="0"/>
              <w:pageBreakBefore w:val="0"/>
              <w:widowControl/>
              <w:kinsoku/>
              <w:wordWrap/>
              <w:overflowPunct/>
              <w:topLinePunct w:val="0"/>
              <w:autoSpaceDE/>
              <w:autoSpaceDN/>
              <w:bidi w:val="0"/>
              <w:adjustRightInd w:val="0"/>
              <w:snapToGrid w:val="0"/>
              <w:spacing w:before="0" w:beforeLines="0" w:after="0"/>
              <w:ind w:right="0"/>
              <w:textAlignment w:val="auto"/>
              <w:rPr>
                <w:rFonts w:hint="eastAsia"/>
                <w:color w:val="auto"/>
                <w:sz w:val="21"/>
                <w:szCs w:val="21"/>
                <w:lang w:val="en-US" w:eastAsia="zh-CN"/>
              </w:rPr>
            </w:pPr>
            <w:r>
              <w:rPr>
                <w:rFonts w:hint="default" w:ascii="Times New Roman" w:hAnsi="Times New Roman" w:cs="Times New Roman"/>
                <w:color w:val="auto"/>
                <w:sz w:val="21"/>
                <w:szCs w:val="21"/>
                <w:lang w:val="en-US" w:eastAsia="zh-CN"/>
              </w:rPr>
              <w:t>表1-</w:t>
            </w:r>
            <w:r>
              <w:rPr>
                <w:rFonts w:hint="eastAsia" w:ascii="Times New Roman" w:hAnsi="Times New Roman" w:cs="Times New Roman"/>
                <w:color w:val="auto"/>
                <w:sz w:val="21"/>
                <w:szCs w:val="21"/>
                <w:lang w:val="en-US" w:eastAsia="zh-CN"/>
              </w:rPr>
              <w:t>4</w:t>
            </w:r>
            <w:r>
              <w:rPr>
                <w:color w:val="auto"/>
                <w:sz w:val="21"/>
                <w:szCs w:val="21"/>
              </w:rPr>
              <w:t>与《赣州市生态环境总体准入要求》符合性分析</w:t>
            </w:r>
          </w:p>
          <w:tbl>
            <w:tblPr>
              <w:tblStyle w:val="36"/>
              <w:tblW w:w="49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8"/>
              <w:gridCol w:w="721"/>
              <w:gridCol w:w="530"/>
              <w:gridCol w:w="2457"/>
              <w:gridCol w:w="1909"/>
              <w:gridCol w:w="997"/>
            </w:tblGrid>
            <w:tr w14:paraId="3E462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3" w:type="pct"/>
                  <w:tcBorders>
                    <w:tl2br w:val="nil"/>
                    <w:tr2bl w:val="nil"/>
                  </w:tcBorders>
                  <w:noWrap w:val="0"/>
                  <w:tcMar>
                    <w:top w:w="0" w:type="dxa"/>
                    <w:left w:w="108" w:type="dxa"/>
                    <w:bottom w:w="0" w:type="dxa"/>
                    <w:right w:w="108" w:type="dxa"/>
                  </w:tcMar>
                  <w:vAlign w:val="center"/>
                </w:tcPr>
                <w:p w14:paraId="02C478BA">
                  <w:pPr>
                    <w:pStyle w:val="67"/>
                    <w:bidi w:val="0"/>
                    <w:spacing w:line="240" w:lineRule="auto"/>
                    <w:rPr>
                      <w:rFonts w:hint="default" w:ascii="Times New Roman" w:hAnsi="Times New Roman" w:cs="Times New Roman"/>
                      <w:color w:val="auto"/>
                    </w:rPr>
                  </w:pPr>
                  <w:r>
                    <w:rPr>
                      <w:rFonts w:hint="default" w:ascii="Times New Roman" w:hAnsi="Times New Roman" w:cs="Times New Roman"/>
                      <w:color w:val="auto"/>
                    </w:rPr>
                    <w:t>维度</w:t>
                  </w:r>
                </w:p>
              </w:tc>
              <w:tc>
                <w:tcPr>
                  <w:tcW w:w="509" w:type="pct"/>
                  <w:tcBorders>
                    <w:tl2br w:val="nil"/>
                    <w:tr2bl w:val="nil"/>
                  </w:tcBorders>
                  <w:noWrap w:val="0"/>
                  <w:tcMar>
                    <w:top w:w="0" w:type="dxa"/>
                    <w:left w:w="108" w:type="dxa"/>
                    <w:bottom w:w="0" w:type="dxa"/>
                    <w:right w:w="108" w:type="dxa"/>
                  </w:tcMar>
                  <w:vAlign w:val="center"/>
                </w:tcPr>
                <w:p w14:paraId="63B052F1">
                  <w:pPr>
                    <w:pStyle w:val="67"/>
                    <w:bidi w:val="0"/>
                    <w:spacing w:line="240" w:lineRule="auto"/>
                    <w:rPr>
                      <w:rFonts w:hint="default" w:ascii="Times New Roman" w:hAnsi="Times New Roman" w:cs="Times New Roman"/>
                      <w:color w:val="auto"/>
                    </w:rPr>
                  </w:pPr>
                  <w:r>
                    <w:rPr>
                      <w:rFonts w:hint="default" w:ascii="Times New Roman" w:hAnsi="Times New Roman" w:cs="Times New Roman"/>
                      <w:color w:val="auto"/>
                    </w:rPr>
                    <w:t>清单编制要求</w:t>
                  </w:r>
                </w:p>
              </w:tc>
              <w:tc>
                <w:tcPr>
                  <w:tcW w:w="374" w:type="pct"/>
                  <w:tcBorders>
                    <w:tl2br w:val="nil"/>
                    <w:tr2bl w:val="nil"/>
                  </w:tcBorders>
                  <w:noWrap w:val="0"/>
                  <w:tcMar>
                    <w:top w:w="0" w:type="dxa"/>
                    <w:left w:w="108" w:type="dxa"/>
                    <w:bottom w:w="0" w:type="dxa"/>
                    <w:right w:w="108" w:type="dxa"/>
                  </w:tcMar>
                  <w:vAlign w:val="center"/>
                </w:tcPr>
                <w:p w14:paraId="0C922281">
                  <w:pPr>
                    <w:pStyle w:val="67"/>
                    <w:bidi w:val="0"/>
                    <w:spacing w:line="240" w:lineRule="auto"/>
                    <w:rPr>
                      <w:rFonts w:hint="default" w:ascii="Times New Roman" w:hAnsi="Times New Roman" w:cs="Times New Roman"/>
                      <w:color w:val="auto"/>
                    </w:rPr>
                  </w:pPr>
                  <w:r>
                    <w:rPr>
                      <w:rFonts w:hint="default" w:ascii="Times New Roman" w:hAnsi="Times New Roman" w:cs="Times New Roman"/>
                      <w:color w:val="auto"/>
                    </w:rPr>
                    <w:t>序号</w:t>
                  </w:r>
                </w:p>
              </w:tc>
              <w:tc>
                <w:tcPr>
                  <w:tcW w:w="1737" w:type="pct"/>
                  <w:tcBorders>
                    <w:tl2br w:val="nil"/>
                    <w:tr2bl w:val="nil"/>
                  </w:tcBorders>
                  <w:noWrap w:val="0"/>
                  <w:tcMar>
                    <w:top w:w="0" w:type="dxa"/>
                    <w:left w:w="108" w:type="dxa"/>
                    <w:bottom w:w="0" w:type="dxa"/>
                    <w:right w:w="108" w:type="dxa"/>
                  </w:tcMar>
                  <w:vAlign w:val="center"/>
                </w:tcPr>
                <w:p w14:paraId="36C72D79">
                  <w:pPr>
                    <w:pStyle w:val="67"/>
                    <w:bidi w:val="0"/>
                    <w:spacing w:line="240" w:lineRule="auto"/>
                    <w:rPr>
                      <w:rFonts w:hint="default" w:ascii="Times New Roman" w:hAnsi="Times New Roman" w:cs="Times New Roman"/>
                      <w:color w:val="auto"/>
                    </w:rPr>
                  </w:pPr>
                  <w:r>
                    <w:rPr>
                      <w:rFonts w:hint="default" w:ascii="Times New Roman" w:hAnsi="Times New Roman" w:cs="Times New Roman"/>
                      <w:color w:val="auto"/>
                    </w:rPr>
                    <w:t>准入要求</w:t>
                  </w:r>
                </w:p>
              </w:tc>
              <w:tc>
                <w:tcPr>
                  <w:tcW w:w="1349" w:type="pct"/>
                  <w:tcBorders>
                    <w:tl2br w:val="nil"/>
                    <w:tr2bl w:val="nil"/>
                  </w:tcBorders>
                  <w:noWrap w:val="0"/>
                  <w:vAlign w:val="center"/>
                </w:tcPr>
                <w:p w14:paraId="4D2EBD11">
                  <w:pPr>
                    <w:pStyle w:val="67"/>
                    <w:bidi w:val="0"/>
                    <w:spacing w:line="240" w:lineRule="auto"/>
                    <w:rPr>
                      <w:rFonts w:hint="default" w:ascii="Times New Roman" w:hAnsi="Times New Roman" w:cs="Times New Roman"/>
                      <w:color w:val="auto"/>
                    </w:rPr>
                  </w:pPr>
                  <w:r>
                    <w:rPr>
                      <w:rFonts w:hint="default" w:ascii="Times New Roman" w:hAnsi="Times New Roman" w:eastAsia="宋体" w:cs="Times New Roman"/>
                      <w:b/>
                      <w:bCs/>
                      <w:i w:val="0"/>
                      <w:iCs w:val="0"/>
                      <w:color w:val="auto"/>
                      <w:kern w:val="0"/>
                      <w:sz w:val="21"/>
                      <w:szCs w:val="21"/>
                      <w:u w:val="none"/>
                      <w:lang w:val="en-US" w:eastAsia="zh-CN" w:bidi="ar"/>
                    </w:rPr>
                    <w:t>本项目情况</w:t>
                  </w:r>
                </w:p>
              </w:tc>
              <w:tc>
                <w:tcPr>
                  <w:tcW w:w="704" w:type="pct"/>
                  <w:tcBorders>
                    <w:tl2br w:val="nil"/>
                    <w:tr2bl w:val="nil"/>
                  </w:tcBorders>
                  <w:noWrap w:val="0"/>
                  <w:vAlign w:val="center"/>
                </w:tcPr>
                <w:p w14:paraId="48200DF2">
                  <w:pPr>
                    <w:pStyle w:val="67"/>
                    <w:bidi w:val="0"/>
                    <w:spacing w:line="240" w:lineRule="auto"/>
                    <w:rPr>
                      <w:rFonts w:hint="default" w:ascii="Times New Roman" w:hAnsi="Times New Roman" w:cs="Times New Roman"/>
                      <w:color w:val="auto"/>
                    </w:rPr>
                  </w:pPr>
                  <w:r>
                    <w:rPr>
                      <w:rFonts w:hint="default" w:ascii="Times New Roman" w:hAnsi="Times New Roman" w:cs="Times New Roman"/>
                      <w:color w:val="auto"/>
                    </w:rPr>
                    <w:t>是否准入</w:t>
                  </w:r>
                </w:p>
              </w:tc>
            </w:tr>
            <w:tr w14:paraId="7461C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58CC9B91">
                  <w:pPr>
                    <w:pStyle w:val="66"/>
                    <w:bidi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509" w:type="pct"/>
                  <w:vMerge w:val="restart"/>
                  <w:tcBorders>
                    <w:tl2br w:val="nil"/>
                    <w:tr2bl w:val="nil"/>
                  </w:tcBorders>
                  <w:noWrap w:val="0"/>
                  <w:tcMar>
                    <w:top w:w="0" w:type="dxa"/>
                    <w:left w:w="108" w:type="dxa"/>
                    <w:bottom w:w="0" w:type="dxa"/>
                    <w:right w:w="108" w:type="dxa"/>
                  </w:tcMar>
                  <w:vAlign w:val="center"/>
                </w:tcPr>
                <w:p w14:paraId="0D67E1A2">
                  <w:pPr>
                    <w:pStyle w:val="66"/>
                    <w:bidi w:val="0"/>
                    <w:rPr>
                      <w:rFonts w:hint="default" w:ascii="Times New Roman" w:hAnsi="Times New Roman" w:cs="Times New Roman"/>
                      <w:color w:val="auto"/>
                    </w:rPr>
                  </w:pPr>
                  <w:r>
                    <w:rPr>
                      <w:rFonts w:hint="default" w:ascii="Times New Roman" w:hAnsi="Times New Roman" w:cs="Times New Roman"/>
                      <w:color w:val="auto"/>
                    </w:rPr>
                    <w:t>禁止开发建设活动的要求</w:t>
                  </w:r>
                </w:p>
              </w:tc>
              <w:tc>
                <w:tcPr>
                  <w:tcW w:w="374" w:type="pct"/>
                  <w:vMerge w:val="restart"/>
                  <w:tcBorders>
                    <w:tl2br w:val="nil"/>
                    <w:tr2bl w:val="nil"/>
                  </w:tcBorders>
                  <w:noWrap w:val="0"/>
                  <w:tcMar>
                    <w:top w:w="0" w:type="dxa"/>
                    <w:left w:w="108" w:type="dxa"/>
                    <w:bottom w:w="0" w:type="dxa"/>
                    <w:right w:w="108" w:type="dxa"/>
                  </w:tcMar>
                  <w:vAlign w:val="center"/>
                </w:tcPr>
                <w:p w14:paraId="4F2DF1AC">
                  <w:pPr>
                    <w:pStyle w:val="66"/>
                    <w:bidi w:val="0"/>
                    <w:rPr>
                      <w:rFonts w:hint="default" w:ascii="Times New Roman" w:hAnsi="Times New Roman" w:cs="Times New Roman"/>
                      <w:color w:val="auto"/>
                    </w:rPr>
                  </w:pPr>
                  <w:r>
                    <w:rPr>
                      <w:rFonts w:hint="default" w:ascii="Times New Roman" w:hAnsi="Times New Roman" w:cs="Times New Roman"/>
                      <w:color w:val="auto"/>
                    </w:rPr>
                    <w:t>1</w:t>
                  </w:r>
                </w:p>
              </w:tc>
              <w:tc>
                <w:tcPr>
                  <w:tcW w:w="1737" w:type="pct"/>
                  <w:tcBorders>
                    <w:tl2br w:val="nil"/>
                    <w:tr2bl w:val="nil"/>
                  </w:tcBorders>
                  <w:noWrap w:val="0"/>
                  <w:tcMar>
                    <w:top w:w="0" w:type="dxa"/>
                    <w:left w:w="108" w:type="dxa"/>
                    <w:bottom w:w="0" w:type="dxa"/>
                    <w:right w:w="108" w:type="dxa"/>
                  </w:tcMar>
                  <w:vAlign w:val="center"/>
                </w:tcPr>
                <w:p w14:paraId="320695ED">
                  <w:pPr>
                    <w:pStyle w:val="66"/>
                    <w:bidi w:val="0"/>
                    <w:rPr>
                      <w:rFonts w:hint="default" w:ascii="Times New Roman" w:hAnsi="Times New Roman" w:cs="Times New Roman"/>
                      <w:color w:val="auto"/>
                    </w:rPr>
                  </w:pPr>
                  <w:r>
                    <w:rPr>
                      <w:rFonts w:hint="default" w:ascii="Times New Roman" w:hAnsi="Times New Roman" w:cs="Times New Roman"/>
                      <w:color w:val="auto"/>
                    </w:rPr>
                    <w:t>1、禁止新建、改扩建《产业结构调整指导目录》规定的淘汰类产业。</w:t>
                  </w:r>
                </w:p>
              </w:tc>
              <w:tc>
                <w:tcPr>
                  <w:tcW w:w="1349" w:type="pct"/>
                  <w:tcBorders>
                    <w:tl2br w:val="nil"/>
                    <w:tr2bl w:val="nil"/>
                  </w:tcBorders>
                  <w:noWrap w:val="0"/>
                  <w:vAlign w:val="center"/>
                </w:tcPr>
                <w:p w14:paraId="52DE704B">
                  <w:pPr>
                    <w:pStyle w:val="66"/>
                    <w:bidi w:val="0"/>
                    <w:rPr>
                      <w:rFonts w:hint="default" w:ascii="Times New Roman" w:hAnsi="Times New Roman" w:cs="Times New Roman"/>
                      <w:color w:val="auto"/>
                    </w:rPr>
                  </w:pPr>
                  <w:r>
                    <w:rPr>
                      <w:rFonts w:hint="default" w:ascii="Times New Roman" w:hAnsi="Times New Roman" w:cs="Times New Roman"/>
                      <w:color w:val="auto"/>
                    </w:rPr>
                    <w:t>根据《产业结构调整指导名录（20</w:t>
                  </w:r>
                  <w:r>
                    <w:rPr>
                      <w:rFonts w:hint="default" w:ascii="Times New Roman" w:hAnsi="Times New Roman" w:cs="Times New Roman"/>
                      <w:color w:val="auto"/>
                      <w:lang w:val="en-US" w:eastAsia="zh-CN"/>
                    </w:rPr>
                    <w:t>24</w:t>
                  </w:r>
                  <w:r>
                    <w:rPr>
                      <w:rFonts w:hint="default" w:ascii="Times New Roman" w:hAnsi="Times New Roman" w:cs="Times New Roman"/>
                      <w:color w:val="auto"/>
                    </w:rPr>
                    <w:t>年本）》，本项目不属于鼓励类、限制类及淘汰类项目，属允许类</w:t>
                  </w:r>
                </w:p>
              </w:tc>
              <w:tc>
                <w:tcPr>
                  <w:tcW w:w="704" w:type="pct"/>
                  <w:tcBorders>
                    <w:tl2br w:val="nil"/>
                    <w:tr2bl w:val="nil"/>
                  </w:tcBorders>
                  <w:noWrap w:val="0"/>
                  <w:vAlign w:val="center"/>
                </w:tcPr>
                <w:p w14:paraId="28754171">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2F0A2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2A5400AE">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287E2E66">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603399BD">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00737DC2">
                  <w:pPr>
                    <w:pStyle w:val="66"/>
                    <w:bidi w:val="0"/>
                    <w:rPr>
                      <w:rFonts w:hint="default" w:ascii="Times New Roman" w:hAnsi="Times New Roman" w:cs="Times New Roman"/>
                      <w:color w:val="auto"/>
                    </w:rPr>
                  </w:pPr>
                  <w:r>
                    <w:rPr>
                      <w:rFonts w:hint="default" w:ascii="Times New Roman" w:hAnsi="Times New Roman" w:cs="Times New Roman"/>
                      <w:color w:val="auto"/>
                    </w:rPr>
                    <w:t>2、大余县、上犹县、崇义县、龙南市、全南县、定南县、安远县和寻乌县禁止新建、改扩建江西省国家重点生态功能区产业准入负面清单（第一批）中禁止类项目；石城县禁止新建、改扩建江西省国家重点生态功能区产业准入负面清单（第二批）中禁止类项目。</w:t>
                  </w:r>
                </w:p>
              </w:tc>
              <w:tc>
                <w:tcPr>
                  <w:tcW w:w="1349" w:type="pct"/>
                  <w:tcBorders>
                    <w:tl2br w:val="nil"/>
                    <w:tr2bl w:val="nil"/>
                  </w:tcBorders>
                  <w:noWrap w:val="0"/>
                  <w:vAlign w:val="center"/>
                </w:tcPr>
                <w:p w14:paraId="43871DFA">
                  <w:pPr>
                    <w:pStyle w:val="66"/>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本项目位于</w:t>
                  </w:r>
                  <w:r>
                    <w:rPr>
                      <w:rFonts w:hint="eastAsia" w:ascii="Times New Roman" w:hAnsi="Times New Roman" w:cs="Times New Roman"/>
                      <w:color w:val="auto"/>
                      <w:lang w:val="en-US" w:eastAsia="zh-CN"/>
                    </w:rPr>
                    <w:t>宁都</w:t>
                  </w:r>
                  <w:r>
                    <w:rPr>
                      <w:rFonts w:hint="default" w:ascii="Times New Roman" w:hAnsi="Times New Roman" w:cs="Times New Roman"/>
                      <w:color w:val="auto"/>
                      <w:lang w:val="en-US" w:eastAsia="zh-CN"/>
                    </w:rPr>
                    <w:t>县，</w:t>
                  </w:r>
                  <w:r>
                    <w:rPr>
                      <w:rFonts w:hint="eastAsia" w:ascii="Times New Roman" w:hAnsi="Times New Roman" w:cs="Times New Roman"/>
                      <w:color w:val="auto"/>
                      <w:lang w:val="en-US" w:eastAsia="zh-CN"/>
                    </w:rPr>
                    <w:t>宁都</w:t>
                  </w:r>
                  <w:r>
                    <w:rPr>
                      <w:rFonts w:hint="default" w:ascii="Times New Roman" w:hAnsi="Times New Roman" w:cs="Times New Roman"/>
                      <w:color w:val="auto"/>
                      <w:lang w:val="en-US" w:eastAsia="zh-CN"/>
                    </w:rPr>
                    <w:t>县不属于</w:t>
                  </w:r>
                  <w:r>
                    <w:rPr>
                      <w:rFonts w:hint="default" w:ascii="Times New Roman" w:hAnsi="Times New Roman" w:cs="Times New Roman"/>
                      <w:color w:val="auto"/>
                    </w:rPr>
                    <w:t>国家重点生态功能区</w:t>
                  </w:r>
                </w:p>
              </w:tc>
              <w:tc>
                <w:tcPr>
                  <w:tcW w:w="704" w:type="pct"/>
                  <w:tcBorders>
                    <w:tl2br w:val="nil"/>
                    <w:tr2bl w:val="nil"/>
                  </w:tcBorders>
                  <w:noWrap w:val="0"/>
                  <w:vAlign w:val="center"/>
                </w:tcPr>
                <w:p w14:paraId="294995C1">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410B8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3" w:type="pct"/>
                  <w:vMerge w:val="continue"/>
                  <w:tcBorders>
                    <w:tl2br w:val="nil"/>
                    <w:tr2bl w:val="nil"/>
                  </w:tcBorders>
                  <w:noWrap w:val="0"/>
                  <w:vAlign w:val="center"/>
                </w:tcPr>
                <w:p w14:paraId="6DD8B1BD">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57EDCF9E">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1D956DB8">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71303210">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禁止在长江干支流、重要湖泊岸线一公里范围内新建、扩建化工园区和化工项目。东江（定南水）源、东江（寻乌水）源、赣江（章江）源、赣江（贡江）源源头保护区内禁止新建污染企业等不符合源头保护区生态功能定位的活动。</w:t>
                  </w:r>
                </w:p>
              </w:tc>
              <w:tc>
                <w:tcPr>
                  <w:tcW w:w="1349" w:type="pct"/>
                  <w:tcBorders>
                    <w:tl2br w:val="nil"/>
                    <w:tr2bl w:val="nil"/>
                  </w:tcBorders>
                  <w:noWrap w:val="0"/>
                  <w:vAlign w:val="center"/>
                </w:tcPr>
                <w:p w14:paraId="3EA969DF">
                  <w:pPr>
                    <w:pStyle w:val="66"/>
                    <w:bidi w:val="0"/>
                    <w:rPr>
                      <w:rFonts w:hint="default" w:ascii="Times New Roman" w:hAnsi="Times New Roman" w:eastAsia="宋体" w:cs="Times New Roman"/>
                      <w:color w:val="auto"/>
                      <w:lang w:val="en-US" w:eastAsia="zh-CN"/>
                    </w:rPr>
                  </w:pPr>
                  <w:r>
                    <w:rPr>
                      <w:color w:val="auto"/>
                      <w:szCs w:val="21"/>
                      <w:highlight w:val="none"/>
                    </w:rPr>
                    <w:t>本项目不位于水源源头保护区</w:t>
                  </w:r>
                </w:p>
              </w:tc>
              <w:tc>
                <w:tcPr>
                  <w:tcW w:w="704" w:type="pct"/>
                  <w:tcBorders>
                    <w:tl2br w:val="nil"/>
                    <w:tr2bl w:val="nil"/>
                  </w:tcBorders>
                  <w:noWrap w:val="0"/>
                  <w:vAlign w:val="center"/>
                </w:tcPr>
                <w:p w14:paraId="79111FD1">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24113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16721D9F">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7D49E675">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1154D85C">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3BD9DBAC">
                  <w:pPr>
                    <w:pStyle w:val="66"/>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4、不得引进产业规划禁止类项目进入园区。</w:t>
                  </w:r>
                </w:p>
              </w:tc>
              <w:tc>
                <w:tcPr>
                  <w:tcW w:w="1349" w:type="pct"/>
                  <w:tcBorders>
                    <w:tl2br w:val="nil"/>
                    <w:tr2bl w:val="nil"/>
                  </w:tcBorders>
                  <w:noWrap w:val="0"/>
                  <w:vAlign w:val="center"/>
                </w:tcPr>
                <w:p w14:paraId="096CD92E">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w:t>
                  </w:r>
                  <w:r>
                    <w:rPr>
                      <w:color w:val="auto"/>
                      <w:szCs w:val="21"/>
                      <w:highlight w:val="none"/>
                    </w:rPr>
                    <w:t>项目</w:t>
                  </w:r>
                  <w:r>
                    <w:rPr>
                      <w:rFonts w:hint="eastAsia"/>
                      <w:color w:val="auto"/>
                      <w:szCs w:val="21"/>
                      <w:highlight w:val="none"/>
                    </w:rPr>
                    <w:t>不属于</w:t>
                  </w:r>
                  <w:r>
                    <w:rPr>
                      <w:color w:val="auto"/>
                      <w:szCs w:val="21"/>
                      <w:highlight w:val="none"/>
                    </w:rPr>
                    <w:t>工业园区</w:t>
                  </w:r>
                </w:p>
              </w:tc>
              <w:tc>
                <w:tcPr>
                  <w:tcW w:w="704" w:type="pct"/>
                  <w:tcBorders>
                    <w:tl2br w:val="nil"/>
                    <w:tr2bl w:val="nil"/>
                  </w:tcBorders>
                  <w:noWrap w:val="0"/>
                  <w:vAlign w:val="center"/>
                </w:tcPr>
                <w:p w14:paraId="138F061F">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771C3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29C5B197">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71B79AA1">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510784E2">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4D1E81AF">
                  <w:pPr>
                    <w:pStyle w:val="66"/>
                    <w:bidi w:val="0"/>
                    <w:rPr>
                      <w:rFonts w:hint="default" w:ascii="Times New Roman" w:hAnsi="Times New Roman" w:cs="Times New Roman"/>
                      <w:color w:val="auto"/>
                    </w:rPr>
                  </w:pPr>
                  <w:r>
                    <w:rPr>
                      <w:rFonts w:hint="default" w:ascii="Times New Roman" w:hAnsi="Times New Roman" w:cs="Times New Roman"/>
                      <w:color w:val="auto"/>
                    </w:rPr>
                    <w:t>5、禁养区内禁止建设规模化养殖场或养殖小区。</w:t>
                  </w:r>
                </w:p>
              </w:tc>
              <w:tc>
                <w:tcPr>
                  <w:tcW w:w="1349" w:type="pct"/>
                  <w:tcBorders>
                    <w:tl2br w:val="nil"/>
                    <w:tr2bl w:val="nil"/>
                  </w:tcBorders>
                  <w:noWrap w:val="0"/>
                  <w:vAlign w:val="center"/>
                </w:tcPr>
                <w:p w14:paraId="4EB18784">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本项目不属于养殖类项目</w:t>
                  </w:r>
                </w:p>
              </w:tc>
              <w:tc>
                <w:tcPr>
                  <w:tcW w:w="704" w:type="pct"/>
                  <w:tcBorders>
                    <w:tl2br w:val="nil"/>
                    <w:tr2bl w:val="nil"/>
                  </w:tcBorders>
                  <w:noWrap w:val="0"/>
                  <w:vAlign w:val="center"/>
                </w:tcPr>
                <w:p w14:paraId="6C097065">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49CE7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38614BC1">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3418E092">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172ECF59">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3399FDEE">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6、</w:t>
                  </w:r>
                  <w:r>
                    <w:rPr>
                      <w:rFonts w:hint="default" w:ascii="Times New Roman" w:hAnsi="Times New Roman" w:eastAsia="宋体" w:cs="Times New Roman"/>
                      <w:color w:val="auto"/>
                      <w:kern w:val="2"/>
                      <w:sz w:val="21"/>
                      <w:szCs w:val="21"/>
                      <w:lang w:val="en-US" w:eastAsia="zh-CN" w:bidi="ar-SA"/>
                    </w:rPr>
                    <w:t>生态保护红线内，自然保护地核心保护区原则上禁止人为活动；自然保护地核心保护区外，</w:t>
                  </w:r>
                </w:p>
                <w:p w14:paraId="0017ED0A">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禁止开发性、生产性建设活动，在符合法律法规前提下，仅允许对生态功能不造成破坏的9类有限人为活动。生态保护红线内允许的有限人为活动，应当征求相关主管部门或具有审批权限的相关机构的意见。</w:t>
                  </w:r>
                </w:p>
                <w:p w14:paraId="627CBB17">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1.管护巡护、保护执法、科学研究、调查监测、测绘导航、防灾减灾救灾、军事国防、疫情防控等活动及相关的必要设施修筑。</w:t>
                  </w:r>
                </w:p>
                <w:p w14:paraId="3343C331">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2.原住居民和其他合法权益主体，允许在不扩大现有建设用地、耕地、水产养殖规模和放牧强度（符合草畜平衡管理规定）的前提下，开展种植、放牧、捕捞、养殖等活动，修筑生产生活设施。</w:t>
                  </w:r>
                </w:p>
                <w:p w14:paraId="6E3F74EA">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3.经依法批准的考古调查发掘、古生物化石调查发掘、标本采集和文物保护活动。</w:t>
                  </w:r>
                </w:p>
                <w:p w14:paraId="756B48FD">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4.按规定对人工商品林进行抚育采伐，或以提升森林质量、优化栖息地、建设生物防火隔离带等为目的的树种更新，依法开展的竹林采伐经营。</w:t>
                  </w:r>
                </w:p>
                <w:p w14:paraId="39A8B62C">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5.不破坏生态功能的适度参观旅游、科普宣教及符合相关规划的配套性服务设施和相关的必要</w:t>
                  </w:r>
                </w:p>
                <w:p w14:paraId="6C44479E">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公共设施建设及维护。</w:t>
                  </w:r>
                </w:p>
                <w:p w14:paraId="3C8B86B3">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6.必须且无法避让、符合县级以上国土空间规划的线性基础设施、通讯和防洪、供水设施建设</w:t>
                  </w:r>
                </w:p>
                <w:p w14:paraId="29E79D86">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和船舶航行、航道疏浚清淤等活动；已有的合法水利、交通运输等设施运行维护改造。</w:t>
                  </w:r>
                </w:p>
                <w:p w14:paraId="266FDF80">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7.地质调查与矿产资源勘查开采。包括：基础地质调查和战略性矿产资源远景调查等公益性工</w:t>
                  </w:r>
                </w:p>
                <w:p w14:paraId="66A3FE3A">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作；铀矿勘查开采活动，可办理矿业权登记；已依法设立的油气探矿权继续勘查活动，可办理探矿权延续、变更（不含扩大勘查区块范围）、保留、注销，当发现可供开采油气资源并探明储量时，可将开采拟占用的地表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6BF38772">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8.依据县级以上国土空间规划和生态保护修复专项规划开展的生态修复。</w:t>
                  </w:r>
                </w:p>
                <w:p w14:paraId="4F0E0E14">
                  <w:pPr>
                    <w:spacing w:beforeLines="0" w:afterLine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9.法律法规规定允许的其他人为活动。</w:t>
                  </w:r>
                </w:p>
              </w:tc>
              <w:tc>
                <w:tcPr>
                  <w:tcW w:w="1349" w:type="pct"/>
                  <w:tcBorders>
                    <w:tl2br w:val="nil"/>
                    <w:tr2bl w:val="nil"/>
                  </w:tcBorders>
                  <w:noWrap w:val="0"/>
                  <w:vAlign w:val="center"/>
                </w:tcPr>
                <w:p w14:paraId="57E79730">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本项目不在生态红线范围内</w:t>
                  </w:r>
                </w:p>
              </w:tc>
              <w:tc>
                <w:tcPr>
                  <w:tcW w:w="704" w:type="pct"/>
                  <w:tcBorders>
                    <w:tl2br w:val="nil"/>
                    <w:tr2bl w:val="nil"/>
                  </w:tcBorders>
                  <w:noWrap w:val="0"/>
                  <w:vAlign w:val="center"/>
                </w:tcPr>
                <w:p w14:paraId="00646CD1">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1F768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5BB44095">
                  <w:pPr>
                    <w:pStyle w:val="66"/>
                    <w:bidi w:val="0"/>
                    <w:rPr>
                      <w:rFonts w:hint="default" w:ascii="Times New Roman" w:hAnsi="Times New Roman" w:cs="Times New Roman"/>
                      <w:color w:val="auto"/>
                    </w:rPr>
                  </w:pPr>
                  <w:r>
                    <w:rPr>
                      <w:rFonts w:hint="default" w:ascii="Times New Roman" w:hAnsi="Times New Roman" w:cs="Times New Roman"/>
                      <w:color w:val="auto"/>
                    </w:rPr>
                    <w:t>空间布局约束</w:t>
                  </w:r>
                </w:p>
              </w:tc>
              <w:tc>
                <w:tcPr>
                  <w:tcW w:w="509" w:type="pct"/>
                  <w:vMerge w:val="restart"/>
                  <w:tcBorders>
                    <w:tl2br w:val="nil"/>
                    <w:tr2bl w:val="nil"/>
                  </w:tcBorders>
                  <w:noWrap w:val="0"/>
                  <w:tcMar>
                    <w:top w:w="0" w:type="dxa"/>
                    <w:left w:w="108" w:type="dxa"/>
                    <w:bottom w:w="0" w:type="dxa"/>
                    <w:right w:w="108" w:type="dxa"/>
                  </w:tcMar>
                  <w:vAlign w:val="center"/>
                </w:tcPr>
                <w:p w14:paraId="2A5B20B1">
                  <w:pPr>
                    <w:pStyle w:val="66"/>
                    <w:bidi w:val="0"/>
                    <w:rPr>
                      <w:rFonts w:hint="default" w:ascii="Times New Roman" w:hAnsi="Times New Roman" w:cs="Times New Roman"/>
                      <w:color w:val="auto"/>
                    </w:rPr>
                  </w:pPr>
                  <w:r>
                    <w:rPr>
                      <w:rFonts w:hint="default" w:ascii="Times New Roman" w:hAnsi="Times New Roman" w:cs="Times New Roman"/>
                      <w:color w:val="auto"/>
                    </w:rPr>
                    <w:t>限制开发建设活动的要求</w:t>
                  </w:r>
                </w:p>
              </w:tc>
              <w:tc>
                <w:tcPr>
                  <w:tcW w:w="374" w:type="pct"/>
                  <w:tcBorders>
                    <w:tl2br w:val="nil"/>
                    <w:tr2bl w:val="nil"/>
                  </w:tcBorders>
                  <w:noWrap w:val="0"/>
                  <w:tcMar>
                    <w:top w:w="0" w:type="dxa"/>
                    <w:left w:w="108" w:type="dxa"/>
                    <w:bottom w:w="0" w:type="dxa"/>
                    <w:right w:w="108" w:type="dxa"/>
                  </w:tcMar>
                  <w:vAlign w:val="center"/>
                </w:tcPr>
                <w:p w14:paraId="51BAD24A">
                  <w:pPr>
                    <w:pStyle w:val="66"/>
                    <w:bidi w:val="0"/>
                    <w:rPr>
                      <w:rFonts w:hint="default" w:ascii="Times New Roman" w:hAnsi="Times New Roman" w:cs="Times New Roman"/>
                      <w:color w:val="auto"/>
                    </w:rPr>
                  </w:pPr>
                  <w:r>
                    <w:rPr>
                      <w:rFonts w:hint="default" w:ascii="Times New Roman" w:hAnsi="Times New Roman" w:cs="Times New Roman"/>
                      <w:color w:val="auto"/>
                    </w:rPr>
                    <w:t>2</w:t>
                  </w:r>
                </w:p>
              </w:tc>
              <w:tc>
                <w:tcPr>
                  <w:tcW w:w="1737" w:type="pct"/>
                  <w:tcBorders>
                    <w:tl2br w:val="nil"/>
                    <w:tr2bl w:val="nil"/>
                  </w:tcBorders>
                  <w:noWrap w:val="0"/>
                  <w:tcMar>
                    <w:top w:w="0" w:type="dxa"/>
                    <w:left w:w="108" w:type="dxa"/>
                    <w:bottom w:w="0" w:type="dxa"/>
                    <w:right w:w="108" w:type="dxa"/>
                  </w:tcMar>
                  <w:vAlign w:val="center"/>
                </w:tcPr>
                <w:p w14:paraId="51D0F56A">
                  <w:pPr>
                    <w:pStyle w:val="66"/>
                    <w:bidi w:val="0"/>
                    <w:rPr>
                      <w:rFonts w:hint="default" w:ascii="Times New Roman" w:hAnsi="Times New Roman" w:cs="Times New Roman"/>
                      <w:color w:val="auto"/>
                    </w:rPr>
                  </w:pPr>
                  <w:r>
                    <w:rPr>
                      <w:rFonts w:hint="default" w:ascii="Times New Roman" w:hAnsi="Times New Roman" w:cs="Times New Roman"/>
                      <w:color w:val="auto"/>
                    </w:rPr>
                    <w:t>不得新建规模不符合各行业准入条件的项目。</w:t>
                  </w:r>
                </w:p>
              </w:tc>
              <w:tc>
                <w:tcPr>
                  <w:tcW w:w="1349" w:type="pct"/>
                  <w:tcBorders>
                    <w:tl2br w:val="nil"/>
                    <w:tr2bl w:val="nil"/>
                  </w:tcBorders>
                  <w:noWrap w:val="0"/>
                  <w:vAlign w:val="center"/>
                </w:tcPr>
                <w:p w14:paraId="3A8C0146">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本项目符合行业准入条件</w:t>
                  </w:r>
                </w:p>
              </w:tc>
              <w:tc>
                <w:tcPr>
                  <w:tcW w:w="704" w:type="pct"/>
                  <w:tcBorders>
                    <w:tl2br w:val="nil"/>
                    <w:tr2bl w:val="nil"/>
                  </w:tcBorders>
                  <w:noWrap w:val="0"/>
                  <w:vAlign w:val="center"/>
                </w:tcPr>
                <w:p w14:paraId="7D52BC77">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48F27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628DDD0A">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2D1F0DD4">
                  <w:pPr>
                    <w:pStyle w:val="66"/>
                    <w:bidi w:val="0"/>
                    <w:rPr>
                      <w:rFonts w:hint="default" w:ascii="Times New Roman" w:hAnsi="Times New Roman" w:cs="Times New Roman"/>
                      <w:color w:val="auto"/>
                    </w:rPr>
                  </w:pPr>
                </w:p>
              </w:tc>
              <w:tc>
                <w:tcPr>
                  <w:tcW w:w="374" w:type="pct"/>
                  <w:tcBorders>
                    <w:tl2br w:val="nil"/>
                    <w:tr2bl w:val="nil"/>
                  </w:tcBorders>
                  <w:noWrap w:val="0"/>
                  <w:tcMar>
                    <w:top w:w="0" w:type="dxa"/>
                    <w:left w:w="108" w:type="dxa"/>
                    <w:bottom w:w="0" w:type="dxa"/>
                    <w:right w:w="108" w:type="dxa"/>
                  </w:tcMar>
                  <w:vAlign w:val="center"/>
                </w:tcPr>
                <w:p w14:paraId="422A06FE">
                  <w:pPr>
                    <w:pStyle w:val="66"/>
                    <w:bidi w:val="0"/>
                    <w:rPr>
                      <w:rFonts w:hint="default" w:ascii="Times New Roman" w:hAnsi="Times New Roman" w:cs="Times New Roman"/>
                      <w:color w:val="auto"/>
                    </w:rPr>
                  </w:pPr>
                  <w:r>
                    <w:rPr>
                      <w:rFonts w:hint="default" w:ascii="Times New Roman" w:hAnsi="Times New Roman" w:cs="Times New Roman"/>
                      <w:color w:val="auto"/>
                    </w:rPr>
                    <w:t>3</w:t>
                  </w:r>
                </w:p>
              </w:tc>
              <w:tc>
                <w:tcPr>
                  <w:tcW w:w="1737" w:type="pct"/>
                  <w:tcBorders>
                    <w:tl2br w:val="nil"/>
                    <w:tr2bl w:val="nil"/>
                  </w:tcBorders>
                  <w:noWrap w:val="0"/>
                  <w:tcMar>
                    <w:top w:w="0" w:type="dxa"/>
                    <w:left w:w="108" w:type="dxa"/>
                    <w:bottom w:w="0" w:type="dxa"/>
                    <w:right w:w="108" w:type="dxa"/>
                  </w:tcMar>
                  <w:vAlign w:val="center"/>
                </w:tcPr>
                <w:p w14:paraId="1BAA11E6">
                  <w:pPr>
                    <w:pStyle w:val="66"/>
                    <w:bidi w:val="0"/>
                    <w:rPr>
                      <w:rFonts w:hint="default" w:ascii="Times New Roman" w:hAnsi="Times New Roman" w:cs="Times New Roman"/>
                      <w:color w:val="auto"/>
                    </w:rPr>
                  </w:pPr>
                  <w:r>
                    <w:rPr>
                      <w:rFonts w:hint="default" w:ascii="Times New Roman" w:hAnsi="Times New Roman" w:cs="Times New Roman"/>
                      <w:color w:val="auto"/>
                    </w:rPr>
                    <w:t>不得新建《国家淘汰落后生产能力、工艺和产品的目录》等名录中淘汰工艺和装备。</w:t>
                  </w:r>
                </w:p>
              </w:tc>
              <w:tc>
                <w:tcPr>
                  <w:tcW w:w="1349" w:type="pct"/>
                  <w:tcBorders>
                    <w:tl2br w:val="nil"/>
                    <w:tr2bl w:val="nil"/>
                  </w:tcBorders>
                  <w:noWrap w:val="0"/>
                  <w:vAlign w:val="center"/>
                </w:tcPr>
                <w:p w14:paraId="224BDE0A">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本项目不属于</w:t>
                  </w:r>
                  <w:r>
                    <w:rPr>
                      <w:rFonts w:hint="default" w:ascii="Times New Roman" w:hAnsi="Times New Roman" w:cs="Times New Roman"/>
                      <w:color w:val="auto"/>
                    </w:rPr>
                    <w:t>《国家淘汰落后生产能力、工艺和产品的目录》等名录中淘汰工艺和装备</w:t>
                  </w:r>
                </w:p>
              </w:tc>
              <w:tc>
                <w:tcPr>
                  <w:tcW w:w="704" w:type="pct"/>
                  <w:tcBorders>
                    <w:tl2br w:val="nil"/>
                    <w:tr2bl w:val="nil"/>
                  </w:tcBorders>
                  <w:noWrap w:val="0"/>
                  <w:vAlign w:val="center"/>
                </w:tcPr>
                <w:p w14:paraId="159A0774">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3400B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7" w:hRule="atLeast"/>
                <w:jc w:val="center"/>
              </w:trPr>
              <w:tc>
                <w:tcPr>
                  <w:tcW w:w="323" w:type="pct"/>
                  <w:vMerge w:val="continue"/>
                  <w:tcBorders>
                    <w:tl2br w:val="nil"/>
                    <w:tr2bl w:val="nil"/>
                  </w:tcBorders>
                  <w:noWrap w:val="0"/>
                  <w:vAlign w:val="center"/>
                </w:tcPr>
                <w:p w14:paraId="3E6A1F3F">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47C2BB69">
                  <w:pPr>
                    <w:pStyle w:val="66"/>
                    <w:bidi w:val="0"/>
                    <w:rPr>
                      <w:rFonts w:hint="default" w:ascii="Times New Roman" w:hAnsi="Times New Roman" w:cs="Times New Roman"/>
                      <w:color w:val="auto"/>
                    </w:rPr>
                  </w:pPr>
                </w:p>
              </w:tc>
              <w:tc>
                <w:tcPr>
                  <w:tcW w:w="374" w:type="pct"/>
                  <w:tcBorders>
                    <w:tl2br w:val="nil"/>
                    <w:tr2bl w:val="nil"/>
                  </w:tcBorders>
                  <w:noWrap w:val="0"/>
                  <w:tcMar>
                    <w:top w:w="0" w:type="dxa"/>
                    <w:left w:w="108" w:type="dxa"/>
                    <w:bottom w:w="0" w:type="dxa"/>
                    <w:right w:w="108" w:type="dxa"/>
                  </w:tcMar>
                  <w:vAlign w:val="center"/>
                </w:tcPr>
                <w:p w14:paraId="1A39E415">
                  <w:pPr>
                    <w:pStyle w:val="66"/>
                    <w:bidi w:val="0"/>
                    <w:rPr>
                      <w:rFonts w:hint="default" w:ascii="Times New Roman" w:hAnsi="Times New Roman" w:cs="Times New Roman"/>
                      <w:color w:val="auto"/>
                    </w:rPr>
                  </w:pPr>
                  <w:r>
                    <w:rPr>
                      <w:rFonts w:hint="default" w:ascii="Times New Roman" w:hAnsi="Times New Roman" w:cs="Times New Roman"/>
                      <w:color w:val="auto"/>
                    </w:rPr>
                    <w:t>4</w:t>
                  </w:r>
                </w:p>
              </w:tc>
              <w:tc>
                <w:tcPr>
                  <w:tcW w:w="1737" w:type="pct"/>
                  <w:tcBorders>
                    <w:tl2br w:val="nil"/>
                    <w:tr2bl w:val="nil"/>
                  </w:tcBorders>
                  <w:noWrap w:val="0"/>
                  <w:tcMar>
                    <w:top w:w="0" w:type="dxa"/>
                    <w:left w:w="108" w:type="dxa"/>
                    <w:bottom w:w="0" w:type="dxa"/>
                    <w:right w:w="108" w:type="dxa"/>
                  </w:tcMar>
                  <w:vAlign w:val="center"/>
                </w:tcPr>
                <w:p w14:paraId="39BBEA7A">
                  <w:pPr>
                    <w:pStyle w:val="66"/>
                    <w:bidi w:val="0"/>
                    <w:rPr>
                      <w:rFonts w:hint="default" w:ascii="Times New Roman" w:hAnsi="Times New Roman" w:cs="Times New Roman"/>
                      <w:color w:val="auto"/>
                    </w:rPr>
                  </w:pPr>
                  <w:r>
                    <w:rPr>
                      <w:rFonts w:hint="default" w:ascii="Times New Roman" w:hAnsi="Times New Roman" w:cs="Times New Roman"/>
                      <w:color w:val="auto"/>
                    </w:rPr>
                    <w:t>江西省国家重点生态功能区产业准入负面清单（第一批）中限制类项目，大余县、上犹县、崇义县、龙南市、全南县、定南县、安远县和寻乌县按准入条件建设；江西省国家重点生态功能区产业准入负面清单（第二批）中限制类项目，石城县按准入条件建设。</w:t>
                  </w:r>
                </w:p>
              </w:tc>
              <w:tc>
                <w:tcPr>
                  <w:tcW w:w="1349" w:type="pct"/>
                  <w:tcBorders>
                    <w:tl2br w:val="nil"/>
                    <w:tr2bl w:val="nil"/>
                  </w:tcBorders>
                  <w:noWrap w:val="0"/>
                  <w:vAlign w:val="center"/>
                </w:tcPr>
                <w:p w14:paraId="33097BE0">
                  <w:pPr>
                    <w:pStyle w:val="66"/>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本项目位于</w:t>
                  </w:r>
                  <w:r>
                    <w:rPr>
                      <w:rFonts w:hint="eastAsia" w:ascii="Times New Roman" w:hAnsi="Times New Roman" w:cs="Times New Roman"/>
                      <w:color w:val="auto"/>
                      <w:lang w:val="en-US" w:eastAsia="zh-CN"/>
                    </w:rPr>
                    <w:t>宁</w:t>
                  </w:r>
                  <w:r>
                    <w:rPr>
                      <w:rFonts w:hint="default" w:ascii="Times New Roman" w:hAnsi="Times New Roman" w:cs="Times New Roman"/>
                      <w:color w:val="auto"/>
                      <w:lang w:val="en-US" w:eastAsia="zh-CN"/>
                    </w:rPr>
                    <w:t>都县，于都县不属于</w:t>
                  </w:r>
                  <w:r>
                    <w:rPr>
                      <w:rFonts w:hint="default" w:ascii="Times New Roman" w:hAnsi="Times New Roman" w:cs="Times New Roman"/>
                      <w:color w:val="auto"/>
                    </w:rPr>
                    <w:t>国家重点生态功能区</w:t>
                  </w:r>
                </w:p>
              </w:tc>
              <w:tc>
                <w:tcPr>
                  <w:tcW w:w="704" w:type="pct"/>
                  <w:tcBorders>
                    <w:tl2br w:val="nil"/>
                    <w:tr2bl w:val="nil"/>
                  </w:tcBorders>
                  <w:noWrap w:val="0"/>
                  <w:vAlign w:val="center"/>
                </w:tcPr>
                <w:p w14:paraId="549E3CF5">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0F957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004860E6">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65AF0AB6">
                  <w:pPr>
                    <w:pStyle w:val="66"/>
                    <w:bidi w:val="0"/>
                    <w:rPr>
                      <w:rFonts w:hint="default" w:ascii="Times New Roman" w:hAnsi="Times New Roman" w:cs="Times New Roman"/>
                      <w:color w:val="auto"/>
                    </w:rPr>
                  </w:pPr>
                </w:p>
              </w:tc>
              <w:tc>
                <w:tcPr>
                  <w:tcW w:w="374" w:type="pct"/>
                  <w:tcBorders>
                    <w:tl2br w:val="nil"/>
                    <w:tr2bl w:val="nil"/>
                  </w:tcBorders>
                  <w:noWrap w:val="0"/>
                  <w:tcMar>
                    <w:top w:w="0" w:type="dxa"/>
                    <w:left w:w="108" w:type="dxa"/>
                    <w:bottom w:w="0" w:type="dxa"/>
                    <w:right w:w="108" w:type="dxa"/>
                  </w:tcMar>
                  <w:vAlign w:val="center"/>
                </w:tcPr>
                <w:p w14:paraId="5559DDB5">
                  <w:pPr>
                    <w:pStyle w:val="66"/>
                    <w:bidi w:val="0"/>
                    <w:rPr>
                      <w:rFonts w:hint="default" w:ascii="Times New Roman" w:hAnsi="Times New Roman" w:cs="Times New Roman"/>
                      <w:color w:val="auto"/>
                    </w:rPr>
                  </w:pPr>
                  <w:r>
                    <w:rPr>
                      <w:rFonts w:hint="default" w:ascii="Times New Roman" w:hAnsi="Times New Roman" w:cs="Times New Roman"/>
                      <w:color w:val="auto"/>
                    </w:rPr>
                    <w:t>5</w:t>
                  </w:r>
                </w:p>
              </w:tc>
              <w:tc>
                <w:tcPr>
                  <w:tcW w:w="1737" w:type="pct"/>
                  <w:tcBorders>
                    <w:tl2br w:val="nil"/>
                    <w:tr2bl w:val="nil"/>
                  </w:tcBorders>
                  <w:noWrap w:val="0"/>
                  <w:tcMar>
                    <w:top w:w="0" w:type="dxa"/>
                    <w:left w:w="108" w:type="dxa"/>
                    <w:bottom w:w="0" w:type="dxa"/>
                    <w:right w:w="108" w:type="dxa"/>
                  </w:tcMar>
                  <w:vAlign w:val="center"/>
                </w:tcPr>
                <w:p w14:paraId="06F4C6BE">
                  <w:pPr>
                    <w:pStyle w:val="66"/>
                    <w:bidi w:val="0"/>
                    <w:rPr>
                      <w:rFonts w:hint="default" w:ascii="Times New Roman" w:hAnsi="Times New Roman" w:cs="Times New Roman"/>
                      <w:color w:val="auto"/>
                    </w:rPr>
                  </w:pPr>
                  <w:r>
                    <w:rPr>
                      <w:rFonts w:hint="default" w:ascii="Times New Roman" w:hAnsi="Times New Roman" w:cs="Times New Roman"/>
                      <w:color w:val="auto"/>
                    </w:rPr>
                    <w:t>禁止在饮用水水源一级保护区内新建、改建、扩建与供水设施和保护水源无关的建设项目。</w:t>
                  </w:r>
                </w:p>
              </w:tc>
              <w:tc>
                <w:tcPr>
                  <w:tcW w:w="1349" w:type="pct"/>
                  <w:tcBorders>
                    <w:tl2br w:val="nil"/>
                    <w:tr2bl w:val="nil"/>
                  </w:tcBorders>
                  <w:noWrap w:val="0"/>
                  <w:vAlign w:val="center"/>
                </w:tcPr>
                <w:p w14:paraId="76CF4BC7">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本项目不在饮用水水源一级保护区内</w:t>
                  </w:r>
                </w:p>
              </w:tc>
              <w:tc>
                <w:tcPr>
                  <w:tcW w:w="704" w:type="pct"/>
                  <w:tcBorders>
                    <w:tl2br w:val="nil"/>
                    <w:tr2bl w:val="nil"/>
                  </w:tcBorders>
                  <w:noWrap w:val="0"/>
                  <w:vAlign w:val="center"/>
                </w:tcPr>
                <w:p w14:paraId="459FCAA0">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2F951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528B8395">
                  <w:pPr>
                    <w:pStyle w:val="66"/>
                    <w:bidi w:val="0"/>
                    <w:rPr>
                      <w:rFonts w:hint="default" w:ascii="Times New Roman" w:hAnsi="Times New Roman" w:cs="Times New Roman"/>
                      <w:color w:val="auto"/>
                    </w:rPr>
                  </w:pPr>
                </w:p>
              </w:tc>
              <w:tc>
                <w:tcPr>
                  <w:tcW w:w="509" w:type="pct"/>
                  <w:vMerge w:val="restart"/>
                  <w:tcBorders>
                    <w:tl2br w:val="nil"/>
                    <w:tr2bl w:val="nil"/>
                  </w:tcBorders>
                  <w:noWrap w:val="0"/>
                  <w:tcMar>
                    <w:top w:w="0" w:type="dxa"/>
                    <w:left w:w="108" w:type="dxa"/>
                    <w:bottom w:w="0" w:type="dxa"/>
                    <w:right w:w="108" w:type="dxa"/>
                  </w:tcMar>
                  <w:vAlign w:val="center"/>
                </w:tcPr>
                <w:p w14:paraId="3E82FBB3">
                  <w:pPr>
                    <w:pStyle w:val="66"/>
                    <w:bidi w:val="0"/>
                    <w:rPr>
                      <w:rFonts w:hint="default" w:ascii="Times New Roman" w:hAnsi="Times New Roman" w:cs="Times New Roman"/>
                      <w:color w:val="auto"/>
                    </w:rPr>
                  </w:pPr>
                  <w:r>
                    <w:rPr>
                      <w:rFonts w:hint="default" w:ascii="Times New Roman" w:hAnsi="Times New Roman" w:cs="Times New Roman"/>
                      <w:color w:val="auto"/>
                    </w:rPr>
                    <w:t>不符合空间布局要求活动的退出要求</w:t>
                  </w:r>
                </w:p>
              </w:tc>
              <w:tc>
                <w:tcPr>
                  <w:tcW w:w="374" w:type="pct"/>
                  <w:vMerge w:val="restart"/>
                  <w:tcBorders>
                    <w:tl2br w:val="nil"/>
                    <w:tr2bl w:val="nil"/>
                  </w:tcBorders>
                  <w:noWrap w:val="0"/>
                  <w:tcMar>
                    <w:top w:w="0" w:type="dxa"/>
                    <w:left w:w="108" w:type="dxa"/>
                    <w:bottom w:w="0" w:type="dxa"/>
                    <w:right w:w="108" w:type="dxa"/>
                  </w:tcMar>
                  <w:vAlign w:val="center"/>
                </w:tcPr>
                <w:p w14:paraId="1720D7E7">
                  <w:pPr>
                    <w:pStyle w:val="66"/>
                    <w:bidi w:val="0"/>
                    <w:rPr>
                      <w:rFonts w:hint="default" w:ascii="Times New Roman" w:hAnsi="Times New Roman" w:cs="Times New Roman"/>
                      <w:color w:val="auto"/>
                    </w:rPr>
                  </w:pPr>
                  <w:r>
                    <w:rPr>
                      <w:rFonts w:hint="default" w:ascii="Times New Roman" w:hAnsi="Times New Roman" w:cs="Times New Roman"/>
                      <w:color w:val="auto"/>
                    </w:rPr>
                    <w:t>6</w:t>
                  </w:r>
                </w:p>
              </w:tc>
              <w:tc>
                <w:tcPr>
                  <w:tcW w:w="1737" w:type="pct"/>
                  <w:tcBorders>
                    <w:tl2br w:val="nil"/>
                    <w:tr2bl w:val="nil"/>
                  </w:tcBorders>
                  <w:noWrap w:val="0"/>
                  <w:tcMar>
                    <w:top w:w="0" w:type="dxa"/>
                    <w:left w:w="108" w:type="dxa"/>
                    <w:bottom w:w="0" w:type="dxa"/>
                    <w:right w:w="108" w:type="dxa"/>
                  </w:tcMar>
                  <w:vAlign w:val="center"/>
                </w:tcPr>
                <w:p w14:paraId="2CB84887">
                  <w:pPr>
                    <w:pStyle w:val="66"/>
                    <w:bidi w:val="0"/>
                    <w:rPr>
                      <w:rFonts w:hint="default" w:ascii="Times New Roman" w:hAnsi="Times New Roman" w:cs="Times New Roman"/>
                      <w:color w:val="auto"/>
                    </w:rPr>
                  </w:pPr>
                  <w:r>
                    <w:rPr>
                      <w:rFonts w:hint="default" w:ascii="Times New Roman" w:hAnsi="Times New Roman" w:cs="Times New Roman"/>
                      <w:color w:val="auto"/>
                    </w:rPr>
                    <w:t>生态保护红线经国务院批准后，对需逐步有序退出的矿业权、建设用地、人工商品林、耕地</w:t>
                  </w:r>
                </w:p>
                <w:p w14:paraId="3EC76364">
                  <w:pPr>
                    <w:pStyle w:val="66"/>
                    <w:bidi w:val="0"/>
                    <w:rPr>
                      <w:rFonts w:hint="default" w:ascii="Times New Roman" w:hAnsi="Times New Roman" w:cs="Times New Roman"/>
                      <w:color w:val="auto"/>
                    </w:rPr>
                  </w:pPr>
                  <w:r>
                    <w:rPr>
                      <w:rFonts w:hint="default" w:ascii="Times New Roman" w:hAnsi="Times New Roman" w:cs="Times New Roman"/>
                      <w:color w:val="auto"/>
                    </w:rPr>
                    <w:t>等，按照尊重历史、实事求是、逐步退出的原则，报请省政府另行制定工作方案。</w:t>
                  </w:r>
                </w:p>
              </w:tc>
              <w:tc>
                <w:tcPr>
                  <w:tcW w:w="1349" w:type="pct"/>
                  <w:tcBorders>
                    <w:tl2br w:val="nil"/>
                    <w:tr2bl w:val="nil"/>
                  </w:tcBorders>
                  <w:noWrap w:val="0"/>
                  <w:vAlign w:val="center"/>
                </w:tcPr>
                <w:p w14:paraId="5896076B">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本项目不属于生态红线范围内</w:t>
                  </w:r>
                </w:p>
              </w:tc>
              <w:tc>
                <w:tcPr>
                  <w:tcW w:w="704" w:type="pct"/>
                  <w:tcBorders>
                    <w:tl2br w:val="nil"/>
                    <w:tr2bl w:val="nil"/>
                  </w:tcBorders>
                  <w:noWrap w:val="0"/>
                  <w:vAlign w:val="center"/>
                </w:tcPr>
                <w:p w14:paraId="4668A25E">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226B8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42" w:hRule="atLeast"/>
                <w:jc w:val="center"/>
              </w:trPr>
              <w:tc>
                <w:tcPr>
                  <w:tcW w:w="323" w:type="pct"/>
                  <w:vMerge w:val="continue"/>
                  <w:tcBorders>
                    <w:tl2br w:val="nil"/>
                    <w:tr2bl w:val="nil"/>
                  </w:tcBorders>
                  <w:noWrap w:val="0"/>
                  <w:vAlign w:val="center"/>
                </w:tcPr>
                <w:p w14:paraId="4DF07481">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380DD17D">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2EAB20B2">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692C81E9">
                  <w:pPr>
                    <w:pStyle w:val="66"/>
                    <w:bidi w:val="0"/>
                    <w:rPr>
                      <w:rFonts w:hint="default" w:ascii="Times New Roman" w:hAnsi="Times New Roman" w:cs="Times New Roman"/>
                      <w:color w:val="auto"/>
                    </w:rPr>
                  </w:pPr>
                  <w:r>
                    <w:rPr>
                      <w:rFonts w:hint="default" w:ascii="Times New Roman" w:hAnsi="Times New Roman" w:cs="Times New Roman"/>
                      <w:color w:val="auto"/>
                    </w:rPr>
                    <w:t>现有饮用水水源一级保护区内与供水设施和保护水源无关的建设项目拆除或关闭。</w:t>
                  </w:r>
                </w:p>
              </w:tc>
              <w:tc>
                <w:tcPr>
                  <w:tcW w:w="1349" w:type="pct"/>
                  <w:tcBorders>
                    <w:tl2br w:val="nil"/>
                    <w:tr2bl w:val="nil"/>
                  </w:tcBorders>
                  <w:noWrap w:val="0"/>
                  <w:vAlign w:val="center"/>
                </w:tcPr>
                <w:p w14:paraId="038B4692">
                  <w:pPr>
                    <w:pStyle w:val="66"/>
                    <w:bidi w:val="0"/>
                    <w:rPr>
                      <w:rFonts w:hint="default" w:ascii="Times New Roman" w:hAnsi="Times New Roman" w:cs="Times New Roman"/>
                      <w:color w:val="auto"/>
                    </w:rPr>
                  </w:pPr>
                  <w:r>
                    <w:rPr>
                      <w:rFonts w:hint="default" w:ascii="Times New Roman" w:hAnsi="Times New Roman" w:cs="Times New Roman"/>
                      <w:color w:val="auto"/>
                      <w:lang w:val="en-US" w:eastAsia="zh-CN"/>
                    </w:rPr>
                    <w:t>本项目不在饮用水水源一级保护区内</w:t>
                  </w:r>
                </w:p>
              </w:tc>
              <w:tc>
                <w:tcPr>
                  <w:tcW w:w="704" w:type="pct"/>
                  <w:tcBorders>
                    <w:tl2br w:val="nil"/>
                    <w:tr2bl w:val="nil"/>
                  </w:tcBorders>
                  <w:noWrap w:val="0"/>
                  <w:vAlign w:val="center"/>
                </w:tcPr>
                <w:p w14:paraId="272110A8">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66BD2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tcBorders>
                    <w:tl2br w:val="nil"/>
                    <w:tr2bl w:val="nil"/>
                  </w:tcBorders>
                  <w:noWrap w:val="0"/>
                  <w:vAlign w:val="center"/>
                </w:tcPr>
                <w:p w14:paraId="48936736">
                  <w:pPr>
                    <w:pStyle w:val="66"/>
                    <w:bidi w:val="0"/>
                    <w:rPr>
                      <w:rFonts w:hint="default" w:ascii="Times New Roman" w:hAnsi="Times New Roman" w:cs="Times New Roman"/>
                      <w:color w:val="auto"/>
                      <w:sz w:val="18"/>
                      <w:szCs w:val="18"/>
                    </w:rPr>
                  </w:pPr>
                </w:p>
              </w:tc>
              <w:tc>
                <w:tcPr>
                  <w:tcW w:w="509" w:type="pct"/>
                  <w:tcBorders>
                    <w:tl2br w:val="nil"/>
                    <w:tr2bl w:val="nil"/>
                  </w:tcBorders>
                  <w:noWrap w:val="0"/>
                  <w:vAlign w:val="center"/>
                </w:tcPr>
                <w:p w14:paraId="4315BD81">
                  <w:pPr>
                    <w:spacing w:beforeLines="0" w:afterLines="0"/>
                    <w:jc w:val="center"/>
                    <w:rPr>
                      <w:rFonts w:hint="default" w:ascii="Times New Roman" w:hAnsi="Times New Roman" w:cs="Times New Roman"/>
                      <w:color w:val="auto"/>
                      <w:sz w:val="18"/>
                      <w:szCs w:val="21"/>
                    </w:rPr>
                  </w:pPr>
                  <w:r>
                    <w:rPr>
                      <w:rFonts w:hint="default" w:ascii="Times New Roman" w:hAnsi="Times New Roman" w:eastAsia="宋体" w:cs="Times New Roman"/>
                      <w:color w:val="auto"/>
                      <w:sz w:val="21"/>
                      <w:szCs w:val="21"/>
                    </w:rPr>
                    <w:t>其他空间布局约束要求</w:t>
                  </w:r>
                </w:p>
              </w:tc>
              <w:tc>
                <w:tcPr>
                  <w:tcW w:w="374" w:type="pct"/>
                  <w:tcBorders>
                    <w:tl2br w:val="nil"/>
                    <w:tr2bl w:val="nil"/>
                  </w:tcBorders>
                  <w:noWrap w:val="0"/>
                  <w:vAlign w:val="center"/>
                </w:tcPr>
                <w:p w14:paraId="611163EA">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w:t>
                  </w:r>
                </w:p>
              </w:tc>
              <w:tc>
                <w:tcPr>
                  <w:tcW w:w="1737" w:type="pct"/>
                  <w:tcBorders>
                    <w:tl2br w:val="nil"/>
                    <w:tr2bl w:val="nil"/>
                  </w:tcBorders>
                  <w:noWrap w:val="0"/>
                  <w:tcMar>
                    <w:top w:w="0" w:type="dxa"/>
                    <w:left w:w="108" w:type="dxa"/>
                    <w:bottom w:w="0" w:type="dxa"/>
                    <w:right w:w="108" w:type="dxa"/>
                  </w:tcMar>
                  <w:vAlign w:val="center"/>
                </w:tcPr>
                <w:p w14:paraId="071CD726">
                  <w:pPr>
                    <w:pStyle w:val="66"/>
                    <w:bidi w:val="0"/>
                    <w:rPr>
                      <w:rFonts w:hint="default" w:ascii="Times New Roman" w:hAnsi="Times New Roman" w:cs="Times New Roman"/>
                      <w:color w:val="auto"/>
                    </w:rPr>
                  </w:pPr>
                  <w:r>
                    <w:rPr>
                      <w:rFonts w:hint="default" w:ascii="Times New Roman" w:hAnsi="Times New Roman" w:cs="Times New Roman"/>
                      <w:color w:val="auto"/>
                    </w:rPr>
                    <w:t>一般生态空间中零散城镇村建设用地、永久基本农田、特殊用地等，按国土空间规划的要求开展相关活动和开发行为。</w:t>
                  </w:r>
                </w:p>
              </w:tc>
              <w:tc>
                <w:tcPr>
                  <w:tcW w:w="1349" w:type="pct"/>
                  <w:tcBorders>
                    <w:tl2br w:val="nil"/>
                    <w:tr2bl w:val="nil"/>
                  </w:tcBorders>
                  <w:noWrap w:val="0"/>
                  <w:vAlign w:val="center"/>
                </w:tcPr>
                <w:p w14:paraId="0BE58793">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w:t>
                  </w:r>
                  <w:r>
                    <w:rPr>
                      <w:color w:val="auto"/>
                      <w:szCs w:val="21"/>
                      <w:highlight w:val="none"/>
                    </w:rPr>
                    <w:t>建设于</w:t>
                  </w:r>
                  <w:r>
                    <w:rPr>
                      <w:rFonts w:hint="eastAsia"/>
                      <w:color w:val="auto"/>
                      <w:szCs w:val="21"/>
                      <w:highlight w:val="none"/>
                      <w:lang w:val="zh-CN"/>
                    </w:rPr>
                    <w:t>宁都县翠微峰大道以西，永宁路以南</w:t>
                  </w:r>
                  <w:r>
                    <w:rPr>
                      <w:rFonts w:hint="default" w:ascii="Times New Roman" w:hAnsi="Times New Roman" w:cs="Times New Roman"/>
                      <w:color w:val="auto"/>
                      <w:lang w:val="en-US" w:eastAsia="zh-CN"/>
                    </w:rPr>
                    <w:t>，</w:t>
                  </w:r>
                  <w:r>
                    <w:rPr>
                      <w:rFonts w:hint="default" w:ascii="Times New Roman" w:hAnsi="Times New Roman" w:cs="Times New Roman"/>
                      <w:color w:val="auto"/>
                      <w:highlight w:val="none"/>
                      <w:lang w:val="en-US" w:eastAsia="zh-CN"/>
                    </w:rPr>
                    <w:t>属于</w:t>
                  </w:r>
                  <w:r>
                    <w:rPr>
                      <w:rFonts w:hint="eastAsia" w:cs="Times New Roman"/>
                      <w:color w:val="auto"/>
                      <w:highlight w:val="none"/>
                      <w:lang w:val="en-US" w:eastAsia="zh-CN"/>
                    </w:rPr>
                    <w:t>公用设施用地</w:t>
                  </w:r>
                  <w:r>
                    <w:rPr>
                      <w:rFonts w:hint="eastAsia" w:cs="Times New Roman"/>
                      <w:color w:val="auto"/>
                      <w:highlight w:val="none"/>
                      <w:lang w:val="en-US" w:eastAsia="zh-CN"/>
                    </w:rPr>
                    <w:t>。</w:t>
                  </w:r>
                </w:p>
              </w:tc>
              <w:tc>
                <w:tcPr>
                  <w:tcW w:w="704" w:type="pct"/>
                  <w:tcBorders>
                    <w:tl2br w:val="nil"/>
                    <w:tr2bl w:val="nil"/>
                  </w:tcBorders>
                  <w:noWrap w:val="0"/>
                  <w:vAlign w:val="center"/>
                </w:tcPr>
                <w:p w14:paraId="4F9E10C9">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438C4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26AC1A77">
                  <w:pPr>
                    <w:pStyle w:val="66"/>
                    <w:bidi w:val="0"/>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509" w:type="pct"/>
                  <w:tcBorders>
                    <w:tl2br w:val="nil"/>
                    <w:tr2bl w:val="nil"/>
                  </w:tcBorders>
                  <w:noWrap w:val="0"/>
                  <w:tcMar>
                    <w:top w:w="0" w:type="dxa"/>
                    <w:left w:w="108" w:type="dxa"/>
                    <w:bottom w:w="0" w:type="dxa"/>
                    <w:right w:w="108" w:type="dxa"/>
                  </w:tcMar>
                  <w:vAlign w:val="center"/>
                </w:tcPr>
                <w:p w14:paraId="08AA563A">
                  <w:pPr>
                    <w:pStyle w:val="66"/>
                    <w:bidi w:val="0"/>
                    <w:jc w:val="center"/>
                    <w:rPr>
                      <w:rFonts w:hint="default" w:ascii="Times New Roman" w:hAnsi="Times New Roman" w:cs="Times New Roman"/>
                      <w:color w:val="auto"/>
                    </w:rPr>
                  </w:pPr>
                  <w:r>
                    <w:rPr>
                      <w:rFonts w:hint="default" w:ascii="Times New Roman" w:hAnsi="Times New Roman" w:cs="Times New Roman"/>
                      <w:color w:val="auto"/>
                    </w:rPr>
                    <w:t>允许排放量</w:t>
                  </w:r>
                </w:p>
                <w:p w14:paraId="781B44D4">
                  <w:pPr>
                    <w:pStyle w:val="66"/>
                    <w:bidi w:val="0"/>
                    <w:jc w:val="center"/>
                    <w:rPr>
                      <w:rFonts w:hint="default" w:ascii="Times New Roman" w:hAnsi="Times New Roman" w:cs="Times New Roman"/>
                      <w:color w:val="auto"/>
                    </w:rPr>
                  </w:pPr>
                  <w:r>
                    <w:rPr>
                      <w:rFonts w:hint="default" w:ascii="Times New Roman" w:hAnsi="Times New Roman" w:cs="Times New Roman"/>
                      <w:color w:val="auto"/>
                    </w:rPr>
                    <w:t>要求</w:t>
                  </w:r>
                </w:p>
              </w:tc>
              <w:tc>
                <w:tcPr>
                  <w:tcW w:w="374" w:type="pct"/>
                  <w:tcBorders>
                    <w:tl2br w:val="nil"/>
                    <w:tr2bl w:val="nil"/>
                  </w:tcBorders>
                  <w:noWrap w:val="0"/>
                  <w:tcMar>
                    <w:top w:w="0" w:type="dxa"/>
                    <w:left w:w="108" w:type="dxa"/>
                    <w:bottom w:w="0" w:type="dxa"/>
                    <w:right w:w="108" w:type="dxa"/>
                  </w:tcMar>
                  <w:vAlign w:val="center"/>
                </w:tcPr>
                <w:p w14:paraId="455A321A">
                  <w:pPr>
                    <w:pStyle w:val="66"/>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8</w:t>
                  </w:r>
                </w:p>
              </w:tc>
              <w:tc>
                <w:tcPr>
                  <w:tcW w:w="1737" w:type="pct"/>
                  <w:tcBorders>
                    <w:tl2br w:val="nil"/>
                    <w:tr2bl w:val="nil"/>
                  </w:tcBorders>
                  <w:noWrap w:val="0"/>
                  <w:tcMar>
                    <w:top w:w="0" w:type="dxa"/>
                    <w:left w:w="108" w:type="dxa"/>
                    <w:bottom w:w="0" w:type="dxa"/>
                    <w:right w:w="108" w:type="dxa"/>
                  </w:tcMar>
                  <w:vAlign w:val="center"/>
                </w:tcPr>
                <w:p w14:paraId="10CA0DC8">
                  <w:pPr>
                    <w:spacing w:beforeLines="0" w:afterLines="0"/>
                    <w:jc w:val="left"/>
                    <w:rPr>
                      <w:rFonts w:hint="default" w:ascii="Times New Roman" w:hAnsi="Times New Roman" w:cs="Times New Roman"/>
                      <w:color w:val="auto"/>
                    </w:rPr>
                  </w:pPr>
                  <w:r>
                    <w:rPr>
                      <w:rFonts w:hint="default" w:ascii="Times New Roman" w:hAnsi="Times New Roman" w:eastAsia="宋体" w:cs="Times New Roman"/>
                      <w:color w:val="auto"/>
                      <w:kern w:val="2"/>
                      <w:sz w:val="21"/>
                      <w:szCs w:val="21"/>
                      <w:lang w:val="en-US" w:eastAsia="zh-CN" w:bidi="ar-SA"/>
                    </w:rPr>
                    <w:t>到2025年，赣州市全市化学需氧量、氨氮、氮氧化物、挥发性有机物重点工程减排量分别为13451 吨、873 吨、873 吨、1518 吨。“十五五”及以后执行省级下达的管控指标要求。</w:t>
                  </w:r>
                </w:p>
              </w:tc>
              <w:tc>
                <w:tcPr>
                  <w:tcW w:w="1349" w:type="pct"/>
                  <w:tcBorders>
                    <w:tl2br w:val="nil"/>
                    <w:tr2bl w:val="nil"/>
                  </w:tcBorders>
                  <w:noWrap w:val="0"/>
                  <w:vAlign w:val="center"/>
                </w:tcPr>
                <w:p w14:paraId="227FBB77">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本项目生活废水经化粪池处理后</w:t>
                  </w:r>
                  <w:r>
                    <w:rPr>
                      <w:rFonts w:hint="eastAsia" w:ascii="Times New Roman" w:hAnsi="Times New Roman" w:cs="Times New Roman"/>
                      <w:color w:val="auto"/>
                      <w:lang w:val="en-US" w:eastAsia="zh-CN"/>
                    </w:rPr>
                    <w:t>回用，不外排</w:t>
                  </w:r>
                </w:p>
              </w:tc>
              <w:tc>
                <w:tcPr>
                  <w:tcW w:w="704" w:type="pct"/>
                  <w:tcBorders>
                    <w:tl2br w:val="nil"/>
                    <w:tr2bl w:val="nil"/>
                  </w:tcBorders>
                  <w:noWrap w:val="0"/>
                  <w:vAlign w:val="center"/>
                </w:tcPr>
                <w:p w14:paraId="37B27CC9">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4B04F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85" w:hRule="atLeast"/>
                <w:jc w:val="center"/>
              </w:trPr>
              <w:tc>
                <w:tcPr>
                  <w:tcW w:w="323" w:type="pct"/>
                  <w:vMerge w:val="continue"/>
                  <w:tcBorders>
                    <w:tl2br w:val="nil"/>
                    <w:tr2bl w:val="nil"/>
                  </w:tcBorders>
                  <w:noWrap w:val="0"/>
                  <w:vAlign w:val="center"/>
                </w:tcPr>
                <w:p w14:paraId="2D4A639F">
                  <w:pPr>
                    <w:pStyle w:val="66"/>
                    <w:bidi w:val="0"/>
                    <w:rPr>
                      <w:rFonts w:hint="default" w:ascii="Times New Roman" w:hAnsi="Times New Roman" w:cs="Times New Roman"/>
                      <w:color w:val="auto"/>
                    </w:rPr>
                  </w:pPr>
                </w:p>
              </w:tc>
              <w:tc>
                <w:tcPr>
                  <w:tcW w:w="509" w:type="pct"/>
                  <w:vMerge w:val="restart"/>
                  <w:tcBorders>
                    <w:tl2br w:val="nil"/>
                    <w:tr2bl w:val="nil"/>
                  </w:tcBorders>
                  <w:noWrap w:val="0"/>
                  <w:tcMar>
                    <w:top w:w="0" w:type="dxa"/>
                    <w:left w:w="108" w:type="dxa"/>
                    <w:bottom w:w="0" w:type="dxa"/>
                    <w:right w:w="108" w:type="dxa"/>
                  </w:tcMar>
                  <w:vAlign w:val="center"/>
                </w:tcPr>
                <w:p w14:paraId="2388D47D">
                  <w:pPr>
                    <w:pStyle w:val="66"/>
                    <w:bidi w:val="0"/>
                    <w:rPr>
                      <w:rFonts w:hint="default" w:ascii="Times New Roman" w:hAnsi="Times New Roman" w:cs="Times New Roman"/>
                      <w:color w:val="auto"/>
                    </w:rPr>
                  </w:pPr>
                  <w:r>
                    <w:rPr>
                      <w:rFonts w:hint="default" w:ascii="Times New Roman" w:hAnsi="Times New Roman" w:cs="Times New Roman"/>
                      <w:color w:val="auto"/>
                    </w:rPr>
                    <w:t>现有源提标</w:t>
                  </w:r>
                </w:p>
                <w:p w14:paraId="6398ACCF">
                  <w:pPr>
                    <w:pStyle w:val="66"/>
                    <w:bidi w:val="0"/>
                    <w:rPr>
                      <w:rFonts w:hint="default" w:ascii="Times New Roman" w:hAnsi="Times New Roman" w:cs="Times New Roman"/>
                      <w:color w:val="auto"/>
                    </w:rPr>
                  </w:pPr>
                  <w:r>
                    <w:rPr>
                      <w:rFonts w:hint="default" w:ascii="Times New Roman" w:hAnsi="Times New Roman" w:cs="Times New Roman"/>
                      <w:color w:val="auto"/>
                    </w:rPr>
                    <w:t>升级改造</w:t>
                  </w:r>
                </w:p>
              </w:tc>
              <w:tc>
                <w:tcPr>
                  <w:tcW w:w="374" w:type="pct"/>
                  <w:vMerge w:val="restart"/>
                  <w:tcBorders>
                    <w:tl2br w:val="nil"/>
                    <w:tr2bl w:val="nil"/>
                  </w:tcBorders>
                  <w:noWrap w:val="0"/>
                  <w:tcMar>
                    <w:top w:w="0" w:type="dxa"/>
                    <w:left w:w="108" w:type="dxa"/>
                    <w:bottom w:w="0" w:type="dxa"/>
                    <w:right w:w="108" w:type="dxa"/>
                  </w:tcMar>
                  <w:vAlign w:val="center"/>
                </w:tcPr>
                <w:p w14:paraId="6D200FC4">
                  <w:pPr>
                    <w:pStyle w:val="66"/>
                    <w:bidi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9</w:t>
                  </w:r>
                </w:p>
              </w:tc>
              <w:tc>
                <w:tcPr>
                  <w:tcW w:w="1737" w:type="pct"/>
                  <w:tcBorders>
                    <w:tl2br w:val="nil"/>
                    <w:tr2bl w:val="nil"/>
                  </w:tcBorders>
                  <w:noWrap w:val="0"/>
                  <w:tcMar>
                    <w:top w:w="0" w:type="dxa"/>
                    <w:left w:w="108" w:type="dxa"/>
                    <w:bottom w:w="0" w:type="dxa"/>
                    <w:right w:w="108" w:type="dxa"/>
                  </w:tcMar>
                  <w:vAlign w:val="center"/>
                </w:tcPr>
                <w:p w14:paraId="448291E8">
                  <w:pPr>
                    <w:pStyle w:val="66"/>
                    <w:bidi w:val="0"/>
                    <w:rPr>
                      <w:rFonts w:hint="default" w:ascii="Times New Roman" w:hAnsi="Times New Roman" w:cs="Times New Roman"/>
                      <w:color w:val="auto"/>
                    </w:rPr>
                  </w:pPr>
                  <w:r>
                    <w:rPr>
                      <w:rFonts w:hint="default" w:ascii="Times New Roman" w:hAnsi="Times New Roman" w:cs="Times New Roman"/>
                      <w:color w:val="auto"/>
                    </w:rPr>
                    <w:t>依法严把准入关，县级及以上城市建成区不再审批35蒸吨/小时及以下燃煤锅炉。</w:t>
                  </w:r>
                </w:p>
              </w:tc>
              <w:tc>
                <w:tcPr>
                  <w:tcW w:w="1349" w:type="pct"/>
                  <w:tcBorders>
                    <w:tl2br w:val="nil"/>
                    <w:tr2bl w:val="nil"/>
                  </w:tcBorders>
                  <w:noWrap w:val="0"/>
                  <w:vAlign w:val="center"/>
                </w:tcPr>
                <w:p w14:paraId="6DC51C2C">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本项目不涉及燃煤锅炉</w:t>
                  </w:r>
                </w:p>
              </w:tc>
              <w:tc>
                <w:tcPr>
                  <w:tcW w:w="704" w:type="pct"/>
                  <w:tcBorders>
                    <w:tl2br w:val="nil"/>
                    <w:tr2bl w:val="nil"/>
                  </w:tcBorders>
                  <w:noWrap w:val="0"/>
                  <w:vAlign w:val="center"/>
                </w:tcPr>
                <w:p w14:paraId="3CCAE28E">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75109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396A6EAA">
                  <w:pPr>
                    <w:pStyle w:val="66"/>
                    <w:bidi w:val="0"/>
                    <w:rPr>
                      <w:rFonts w:hint="default" w:ascii="Times New Roman" w:hAnsi="Times New Roman" w:cs="Times New Roman"/>
                      <w:color w:val="auto"/>
                    </w:rPr>
                  </w:pPr>
                  <w:r>
                    <w:rPr>
                      <w:rFonts w:hint="default" w:ascii="Times New Roman" w:hAnsi="Times New Roman" w:cs="Times New Roman"/>
                      <w:color w:val="auto"/>
                    </w:rPr>
                    <w:t>环境风险防控</w:t>
                  </w:r>
                </w:p>
              </w:tc>
              <w:tc>
                <w:tcPr>
                  <w:tcW w:w="509" w:type="pct"/>
                  <w:vMerge w:val="restart"/>
                  <w:tcBorders>
                    <w:tl2br w:val="nil"/>
                    <w:tr2bl w:val="nil"/>
                  </w:tcBorders>
                  <w:noWrap w:val="0"/>
                  <w:tcMar>
                    <w:top w:w="0" w:type="dxa"/>
                    <w:left w:w="108" w:type="dxa"/>
                    <w:bottom w:w="0" w:type="dxa"/>
                    <w:right w:w="108" w:type="dxa"/>
                  </w:tcMar>
                  <w:vAlign w:val="center"/>
                </w:tcPr>
                <w:p w14:paraId="76A3F288">
                  <w:pPr>
                    <w:pStyle w:val="66"/>
                    <w:bidi w:val="0"/>
                    <w:rPr>
                      <w:rFonts w:hint="default" w:ascii="Times New Roman" w:hAnsi="Times New Roman" w:cs="Times New Roman"/>
                      <w:color w:val="auto"/>
                    </w:rPr>
                  </w:pPr>
                  <w:r>
                    <w:rPr>
                      <w:rFonts w:hint="default" w:ascii="Times New Roman" w:hAnsi="Times New Roman" w:cs="Times New Roman"/>
                      <w:color w:val="auto"/>
                    </w:rPr>
                    <w:t>联防联控要求</w:t>
                  </w:r>
                </w:p>
                <w:p w14:paraId="7C8A0172">
                  <w:pPr>
                    <w:pStyle w:val="66"/>
                    <w:bidi w:val="0"/>
                    <w:rPr>
                      <w:rFonts w:hint="default" w:ascii="Times New Roman" w:hAnsi="Times New Roman" w:cs="Times New Roman"/>
                      <w:color w:val="auto"/>
                    </w:rPr>
                  </w:pPr>
                </w:p>
              </w:tc>
              <w:tc>
                <w:tcPr>
                  <w:tcW w:w="374" w:type="pct"/>
                  <w:vMerge w:val="restart"/>
                  <w:tcBorders>
                    <w:tl2br w:val="nil"/>
                    <w:tr2bl w:val="nil"/>
                  </w:tcBorders>
                  <w:noWrap w:val="0"/>
                  <w:tcMar>
                    <w:top w:w="0" w:type="dxa"/>
                    <w:left w:w="108" w:type="dxa"/>
                    <w:bottom w:w="0" w:type="dxa"/>
                    <w:right w:w="108" w:type="dxa"/>
                  </w:tcMar>
                  <w:vAlign w:val="center"/>
                </w:tcPr>
                <w:p w14:paraId="7E9E0682">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c>
                <w:tcPr>
                  <w:tcW w:w="1737" w:type="pct"/>
                  <w:tcBorders>
                    <w:tl2br w:val="nil"/>
                    <w:tr2bl w:val="nil"/>
                  </w:tcBorders>
                  <w:noWrap w:val="0"/>
                  <w:tcMar>
                    <w:top w:w="0" w:type="dxa"/>
                    <w:left w:w="108" w:type="dxa"/>
                    <w:bottom w:w="0" w:type="dxa"/>
                    <w:right w:w="108" w:type="dxa"/>
                  </w:tcMar>
                  <w:vAlign w:val="center"/>
                </w:tcPr>
                <w:p w14:paraId="35CD9679">
                  <w:pPr>
                    <w:pStyle w:val="66"/>
                    <w:bidi w:val="0"/>
                    <w:rPr>
                      <w:rFonts w:hint="default" w:ascii="Times New Roman" w:hAnsi="Times New Roman" w:cs="Times New Roman"/>
                      <w:color w:val="auto"/>
                    </w:rPr>
                  </w:pPr>
                  <w:r>
                    <w:rPr>
                      <w:rFonts w:hint="default" w:ascii="Times New Roman" w:hAnsi="Times New Roman" w:cs="Times New Roman"/>
                      <w:color w:val="auto"/>
                    </w:rPr>
                    <w:t>1、积极参与和龙岩市区域大气污染防治联防联控合作及和广东省跨界河流水污染联防联控协作工作，推动省界生态环境特征相似区域环境管控要求协调统一。</w:t>
                  </w:r>
                </w:p>
              </w:tc>
              <w:tc>
                <w:tcPr>
                  <w:tcW w:w="1349" w:type="pct"/>
                  <w:tcBorders>
                    <w:tl2br w:val="nil"/>
                    <w:tr2bl w:val="nil"/>
                  </w:tcBorders>
                  <w:noWrap w:val="0"/>
                  <w:vAlign w:val="center"/>
                </w:tcPr>
                <w:p w14:paraId="05926F6D">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本项目不属于</w:t>
                  </w:r>
                  <w:r>
                    <w:rPr>
                      <w:rFonts w:hint="default" w:ascii="Times New Roman" w:hAnsi="Times New Roman" w:cs="Times New Roman"/>
                      <w:color w:val="auto"/>
                    </w:rPr>
                    <w:t>省界生态环境特征相似区域</w:t>
                  </w:r>
                </w:p>
              </w:tc>
              <w:tc>
                <w:tcPr>
                  <w:tcW w:w="704" w:type="pct"/>
                  <w:tcBorders>
                    <w:tl2br w:val="nil"/>
                    <w:tr2bl w:val="nil"/>
                  </w:tcBorders>
                  <w:noWrap w:val="0"/>
                  <w:vAlign w:val="center"/>
                </w:tcPr>
                <w:p w14:paraId="6FCC3E90">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791AB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7D63978E">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667C4DF7">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3ADA4CBD">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78507E25">
                  <w:pPr>
                    <w:pStyle w:val="66"/>
                    <w:bidi w:val="0"/>
                    <w:rPr>
                      <w:rFonts w:hint="default" w:ascii="Times New Roman" w:hAnsi="Times New Roman" w:cs="Times New Roman"/>
                      <w:color w:val="auto"/>
                    </w:rPr>
                  </w:pPr>
                  <w:r>
                    <w:rPr>
                      <w:rFonts w:hint="default" w:ascii="Times New Roman" w:hAnsi="Times New Roman" w:cs="Times New Roman"/>
                      <w:color w:val="auto"/>
                    </w:rPr>
                    <w:t>2、严格落实重度污染区风险管控要求，严格管控区内禁止种植食用农产品。</w:t>
                  </w:r>
                </w:p>
              </w:tc>
              <w:tc>
                <w:tcPr>
                  <w:tcW w:w="1349" w:type="pct"/>
                  <w:tcBorders>
                    <w:tl2br w:val="nil"/>
                    <w:tr2bl w:val="nil"/>
                  </w:tcBorders>
                  <w:noWrap w:val="0"/>
                  <w:vAlign w:val="center"/>
                </w:tcPr>
                <w:p w14:paraId="2A0B570B">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本项目用地不占用农用地</w:t>
                  </w:r>
                </w:p>
              </w:tc>
              <w:tc>
                <w:tcPr>
                  <w:tcW w:w="704" w:type="pct"/>
                  <w:tcBorders>
                    <w:tl2br w:val="nil"/>
                    <w:tr2bl w:val="nil"/>
                  </w:tcBorders>
                  <w:noWrap w:val="0"/>
                  <w:vAlign w:val="center"/>
                </w:tcPr>
                <w:p w14:paraId="399EAA4B">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066B8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10C50613">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5BD6CD60">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61D394A7">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07A6E3AA">
                  <w:pPr>
                    <w:pStyle w:val="66"/>
                    <w:bidi w:val="0"/>
                    <w:rPr>
                      <w:rFonts w:hint="default" w:ascii="Times New Roman" w:hAnsi="Times New Roman" w:cs="Times New Roman"/>
                      <w:color w:val="auto"/>
                    </w:rPr>
                  </w:pPr>
                  <w:r>
                    <w:rPr>
                      <w:rFonts w:hint="default" w:ascii="Times New Roman" w:hAnsi="Times New Roman" w:cs="Times New Roman"/>
                      <w:color w:val="auto"/>
                    </w:rPr>
                    <w:t>3、纳入疑似污染地块的，应当依法开展土壤污染环境质量状况调查，确定为污染地块后，经治理与修复，并符合相应规划用地土壤环境质量标准要求后，方可进入用地程序。</w:t>
                  </w:r>
                </w:p>
              </w:tc>
              <w:tc>
                <w:tcPr>
                  <w:tcW w:w="1349" w:type="pct"/>
                  <w:tcBorders>
                    <w:tl2br w:val="nil"/>
                    <w:tr2bl w:val="nil"/>
                  </w:tcBorders>
                  <w:noWrap w:val="0"/>
                  <w:vAlign w:val="center"/>
                </w:tcPr>
                <w:p w14:paraId="5450796F">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本项目不涉及</w:t>
                  </w:r>
                </w:p>
              </w:tc>
              <w:tc>
                <w:tcPr>
                  <w:tcW w:w="704" w:type="pct"/>
                  <w:tcBorders>
                    <w:tl2br w:val="nil"/>
                    <w:tr2bl w:val="nil"/>
                  </w:tcBorders>
                  <w:noWrap w:val="0"/>
                  <w:vAlign w:val="center"/>
                </w:tcPr>
                <w:p w14:paraId="2CC867A1">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35BB9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36" w:hRule="atLeast"/>
                <w:jc w:val="center"/>
              </w:trPr>
              <w:tc>
                <w:tcPr>
                  <w:tcW w:w="323" w:type="pct"/>
                  <w:vMerge w:val="continue"/>
                  <w:tcBorders>
                    <w:tl2br w:val="nil"/>
                    <w:tr2bl w:val="nil"/>
                  </w:tcBorders>
                  <w:noWrap w:val="0"/>
                  <w:tcMar>
                    <w:top w:w="0" w:type="dxa"/>
                    <w:left w:w="108" w:type="dxa"/>
                    <w:bottom w:w="0" w:type="dxa"/>
                    <w:right w:w="108" w:type="dxa"/>
                  </w:tcMar>
                  <w:vAlign w:val="center"/>
                </w:tcPr>
                <w:p w14:paraId="59CA34A8">
                  <w:pPr>
                    <w:pStyle w:val="66"/>
                    <w:bidi w:val="0"/>
                    <w:rPr>
                      <w:rFonts w:hint="default" w:ascii="Times New Roman" w:hAnsi="Times New Roman" w:cs="Times New Roman"/>
                      <w:color w:val="auto"/>
                    </w:rPr>
                  </w:pPr>
                </w:p>
              </w:tc>
              <w:tc>
                <w:tcPr>
                  <w:tcW w:w="509" w:type="pct"/>
                  <w:vMerge w:val="continue"/>
                  <w:tcBorders>
                    <w:tl2br w:val="nil"/>
                    <w:tr2bl w:val="nil"/>
                  </w:tcBorders>
                  <w:noWrap w:val="0"/>
                  <w:tcMar>
                    <w:top w:w="0" w:type="dxa"/>
                    <w:left w:w="108" w:type="dxa"/>
                    <w:bottom w:w="0" w:type="dxa"/>
                    <w:right w:w="108" w:type="dxa"/>
                  </w:tcMar>
                  <w:vAlign w:val="center"/>
                </w:tcPr>
                <w:p w14:paraId="7F8C78C7">
                  <w:pPr>
                    <w:pStyle w:val="66"/>
                    <w:bidi w:val="0"/>
                    <w:rPr>
                      <w:rFonts w:hint="default" w:ascii="Times New Roman" w:hAnsi="Times New Roman" w:cs="Times New Roman"/>
                      <w:color w:val="auto"/>
                    </w:rPr>
                  </w:pPr>
                </w:p>
              </w:tc>
              <w:tc>
                <w:tcPr>
                  <w:tcW w:w="374" w:type="pct"/>
                  <w:vMerge w:val="continue"/>
                  <w:tcBorders>
                    <w:tl2br w:val="nil"/>
                    <w:tr2bl w:val="nil"/>
                  </w:tcBorders>
                  <w:noWrap w:val="0"/>
                  <w:tcMar>
                    <w:top w:w="0" w:type="dxa"/>
                    <w:left w:w="108" w:type="dxa"/>
                    <w:bottom w:w="0" w:type="dxa"/>
                    <w:right w:w="108" w:type="dxa"/>
                  </w:tcMar>
                  <w:vAlign w:val="center"/>
                </w:tcPr>
                <w:p w14:paraId="3E336C74">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6F831C50">
                  <w:pPr>
                    <w:pStyle w:val="66"/>
                    <w:bidi w:val="0"/>
                    <w:rPr>
                      <w:rFonts w:hint="default" w:ascii="Times New Roman" w:hAnsi="Times New Roman" w:cs="Times New Roman"/>
                      <w:color w:val="auto"/>
                    </w:rPr>
                  </w:pPr>
                  <w:r>
                    <w:rPr>
                      <w:rFonts w:hint="default" w:ascii="Times New Roman" w:hAnsi="Times New Roman" w:cs="Times New Roman"/>
                      <w:color w:val="auto"/>
                    </w:rPr>
                    <w:t>4、工业园区应建立三级环境风险防控体系。</w:t>
                  </w:r>
                </w:p>
              </w:tc>
              <w:tc>
                <w:tcPr>
                  <w:tcW w:w="1349" w:type="pct"/>
                  <w:tcBorders>
                    <w:tl2br w:val="nil"/>
                    <w:tr2bl w:val="nil"/>
                  </w:tcBorders>
                  <w:noWrap w:val="0"/>
                  <w:vAlign w:val="center"/>
                </w:tcPr>
                <w:p w14:paraId="2230A587">
                  <w:pPr>
                    <w:pStyle w:val="66"/>
                    <w:bidi w:val="0"/>
                    <w:rPr>
                      <w:rFonts w:hint="default" w:ascii="Times New Roman" w:hAnsi="Times New Roman" w:eastAsia="宋体" w:cs="Times New Roman"/>
                      <w:color w:val="auto"/>
                      <w:lang w:val="en-US" w:eastAsia="zh-CN"/>
                    </w:rPr>
                  </w:pPr>
                  <w:r>
                    <w:rPr>
                      <w:rFonts w:hint="eastAsia"/>
                      <w:color w:val="auto"/>
                      <w:szCs w:val="21"/>
                      <w:highlight w:val="none"/>
                      <w:lang w:val="en-US" w:eastAsia="zh-CN"/>
                    </w:rPr>
                    <w:t>本</w:t>
                  </w:r>
                  <w:r>
                    <w:rPr>
                      <w:color w:val="auto"/>
                      <w:szCs w:val="21"/>
                      <w:highlight w:val="none"/>
                    </w:rPr>
                    <w:t>项目</w:t>
                  </w:r>
                  <w:r>
                    <w:rPr>
                      <w:rFonts w:hint="eastAsia"/>
                      <w:color w:val="auto"/>
                      <w:szCs w:val="21"/>
                      <w:highlight w:val="none"/>
                    </w:rPr>
                    <w:t>不属于</w:t>
                  </w:r>
                  <w:r>
                    <w:rPr>
                      <w:color w:val="auto"/>
                      <w:szCs w:val="21"/>
                      <w:highlight w:val="none"/>
                    </w:rPr>
                    <w:t>工业园区</w:t>
                  </w:r>
                </w:p>
              </w:tc>
              <w:tc>
                <w:tcPr>
                  <w:tcW w:w="704" w:type="pct"/>
                  <w:tcBorders>
                    <w:tl2br w:val="nil"/>
                    <w:tr2bl w:val="nil"/>
                  </w:tcBorders>
                  <w:noWrap w:val="0"/>
                  <w:vAlign w:val="center"/>
                </w:tcPr>
                <w:p w14:paraId="0DBF2228">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266BD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19215D98">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706769E1">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3607C65E">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45A6FAC0">
                  <w:pPr>
                    <w:pStyle w:val="66"/>
                    <w:bidi w:val="0"/>
                    <w:rPr>
                      <w:rFonts w:hint="default" w:ascii="Times New Roman" w:hAnsi="Times New Roman" w:cs="Times New Roman"/>
                      <w:color w:val="auto"/>
                    </w:rPr>
                  </w:pPr>
                  <w:r>
                    <w:rPr>
                      <w:rFonts w:hint="default" w:ascii="Times New Roman" w:hAnsi="Times New Roman" w:cs="Times New Roman"/>
                      <w:color w:val="auto"/>
                    </w:rPr>
                    <w:t>5、紧邻居住、科教、医院等环境敏感点的工业用地，禁止规划环境风险等级高的建设项目。</w:t>
                  </w:r>
                </w:p>
              </w:tc>
              <w:tc>
                <w:tcPr>
                  <w:tcW w:w="1349" w:type="pct"/>
                  <w:tcBorders>
                    <w:tl2br w:val="nil"/>
                    <w:tr2bl w:val="nil"/>
                  </w:tcBorders>
                  <w:noWrap w:val="0"/>
                  <w:vAlign w:val="center"/>
                </w:tcPr>
                <w:p w14:paraId="1CE9C147">
                  <w:pPr>
                    <w:pStyle w:val="66"/>
                    <w:bidi w:val="0"/>
                    <w:rPr>
                      <w:rFonts w:hint="default" w:ascii="Times New Roman" w:hAnsi="Times New Roman" w:eastAsia="宋体" w:cs="Times New Roman"/>
                      <w:color w:val="auto"/>
                      <w:lang w:val="en-US" w:eastAsia="zh-CN"/>
                    </w:rPr>
                  </w:pPr>
                </w:p>
              </w:tc>
              <w:tc>
                <w:tcPr>
                  <w:tcW w:w="704" w:type="pct"/>
                  <w:tcBorders>
                    <w:tl2br w:val="nil"/>
                    <w:tr2bl w:val="nil"/>
                  </w:tcBorders>
                  <w:noWrap w:val="0"/>
                  <w:vAlign w:val="center"/>
                </w:tcPr>
                <w:p w14:paraId="307C693C">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71A2E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556E0F9D">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073B1D25">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75FC1ADD">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0FC96754">
                  <w:pPr>
                    <w:pStyle w:val="66"/>
                    <w:bidi w:val="0"/>
                    <w:rPr>
                      <w:rFonts w:hint="default" w:ascii="Times New Roman" w:hAnsi="Times New Roman" w:cs="Times New Roman"/>
                      <w:color w:val="auto"/>
                    </w:rPr>
                  </w:pPr>
                  <w:r>
                    <w:rPr>
                      <w:rFonts w:hint="default" w:ascii="Times New Roman" w:hAnsi="Times New Roman" w:cs="Times New Roman"/>
                      <w:color w:val="auto"/>
                    </w:rPr>
                    <w:t>6、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1349" w:type="pct"/>
                  <w:tcBorders>
                    <w:tl2br w:val="nil"/>
                    <w:tr2bl w:val="nil"/>
                  </w:tcBorders>
                  <w:noWrap w:val="0"/>
                  <w:vAlign w:val="center"/>
                </w:tcPr>
                <w:p w14:paraId="22B5F338">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本项目无生产废水；危险废物的存放和处置均按照《危险废物贮存污染控制标准》(GB18597-2023)中规定</w:t>
                  </w:r>
                </w:p>
              </w:tc>
              <w:tc>
                <w:tcPr>
                  <w:tcW w:w="704" w:type="pct"/>
                  <w:tcBorders>
                    <w:tl2br w:val="nil"/>
                    <w:tr2bl w:val="nil"/>
                  </w:tcBorders>
                  <w:noWrap w:val="0"/>
                  <w:vAlign w:val="center"/>
                </w:tcPr>
                <w:p w14:paraId="1ACEBD3C">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0D248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5ED89E03">
                  <w:pPr>
                    <w:pStyle w:val="66"/>
                    <w:bidi w:val="0"/>
                    <w:rPr>
                      <w:rFonts w:hint="default" w:ascii="Times New Roman" w:hAnsi="Times New Roman" w:cs="Times New Roman"/>
                      <w:color w:val="auto"/>
                    </w:rPr>
                  </w:pPr>
                  <w:r>
                    <w:rPr>
                      <w:rFonts w:hint="default" w:ascii="Times New Roman" w:hAnsi="Times New Roman" w:cs="Times New Roman"/>
                      <w:color w:val="auto"/>
                    </w:rPr>
                    <w:t>资源利用效率要求</w:t>
                  </w:r>
                </w:p>
              </w:tc>
              <w:tc>
                <w:tcPr>
                  <w:tcW w:w="509" w:type="pct"/>
                  <w:vMerge w:val="restart"/>
                  <w:tcBorders>
                    <w:tl2br w:val="nil"/>
                    <w:tr2bl w:val="nil"/>
                  </w:tcBorders>
                  <w:noWrap w:val="0"/>
                  <w:tcMar>
                    <w:top w:w="0" w:type="dxa"/>
                    <w:left w:w="108" w:type="dxa"/>
                    <w:bottom w:w="0" w:type="dxa"/>
                    <w:right w:w="108" w:type="dxa"/>
                  </w:tcMar>
                  <w:vAlign w:val="center"/>
                </w:tcPr>
                <w:p w14:paraId="7D53DD32">
                  <w:pPr>
                    <w:pStyle w:val="66"/>
                    <w:bidi w:val="0"/>
                    <w:rPr>
                      <w:rFonts w:hint="default" w:ascii="Times New Roman" w:hAnsi="Times New Roman" w:cs="Times New Roman"/>
                      <w:color w:val="auto"/>
                    </w:rPr>
                  </w:pPr>
                  <w:r>
                    <w:rPr>
                      <w:rFonts w:hint="default" w:ascii="Times New Roman" w:hAnsi="Times New Roman" w:cs="Times New Roman"/>
                      <w:color w:val="auto"/>
                    </w:rPr>
                    <w:t>水资源利用总量要求</w:t>
                  </w:r>
                </w:p>
              </w:tc>
              <w:tc>
                <w:tcPr>
                  <w:tcW w:w="374" w:type="pct"/>
                  <w:vMerge w:val="restart"/>
                  <w:tcBorders>
                    <w:tl2br w:val="nil"/>
                    <w:tr2bl w:val="nil"/>
                  </w:tcBorders>
                  <w:noWrap w:val="0"/>
                  <w:tcMar>
                    <w:top w:w="0" w:type="dxa"/>
                    <w:left w:w="108" w:type="dxa"/>
                    <w:bottom w:w="0" w:type="dxa"/>
                    <w:right w:w="108" w:type="dxa"/>
                  </w:tcMar>
                  <w:vAlign w:val="center"/>
                </w:tcPr>
                <w:p w14:paraId="70BA0A5E">
                  <w:pPr>
                    <w:pStyle w:val="66"/>
                    <w:bidi w:val="0"/>
                    <w:rPr>
                      <w:rFonts w:hint="default" w:ascii="Times New Roman" w:hAnsi="Times New Roman" w:eastAsia="宋体"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1</w:t>
                  </w:r>
                </w:p>
              </w:tc>
              <w:tc>
                <w:tcPr>
                  <w:tcW w:w="1737" w:type="pct"/>
                  <w:tcBorders>
                    <w:tl2br w:val="nil"/>
                    <w:tr2bl w:val="nil"/>
                  </w:tcBorders>
                  <w:noWrap w:val="0"/>
                  <w:tcMar>
                    <w:top w:w="0" w:type="dxa"/>
                    <w:left w:w="108" w:type="dxa"/>
                    <w:bottom w:w="0" w:type="dxa"/>
                    <w:right w:w="108" w:type="dxa"/>
                  </w:tcMar>
                  <w:vAlign w:val="center"/>
                </w:tcPr>
                <w:p w14:paraId="7C892B1E">
                  <w:pPr>
                    <w:pStyle w:val="66"/>
                    <w:bidi w:val="0"/>
                    <w:rPr>
                      <w:rFonts w:hint="default" w:ascii="Times New Roman" w:hAnsi="Times New Roman" w:cs="Times New Roman"/>
                      <w:color w:val="auto"/>
                    </w:rPr>
                  </w:pPr>
                  <w:r>
                    <w:rPr>
                      <w:rFonts w:hint="default" w:ascii="Times New Roman" w:hAnsi="Times New Roman" w:cs="Times New Roman"/>
                      <w:color w:val="auto"/>
                    </w:rPr>
                    <w:t>1、到2020年赣州市区域用水总量不得超过35.</w:t>
                  </w:r>
                  <w:r>
                    <w:rPr>
                      <w:rFonts w:hint="default" w:ascii="Times New Roman" w:hAnsi="Times New Roman" w:cs="Times New Roman"/>
                      <w:color w:val="auto"/>
                      <w:lang w:val="en-US" w:eastAsia="zh-CN"/>
                    </w:rPr>
                    <w:t>97</w:t>
                  </w:r>
                  <w:r>
                    <w:rPr>
                      <w:rFonts w:hint="default" w:ascii="Times New Roman" w:hAnsi="Times New Roman" w:cs="Times New Roman"/>
                      <w:color w:val="auto"/>
                    </w:rPr>
                    <w:t>亿立方米。</w:t>
                  </w:r>
                </w:p>
              </w:tc>
              <w:tc>
                <w:tcPr>
                  <w:tcW w:w="1349" w:type="pct"/>
                  <w:tcBorders>
                    <w:tl2br w:val="nil"/>
                    <w:tr2bl w:val="nil"/>
                  </w:tcBorders>
                  <w:noWrap w:val="0"/>
                  <w:vAlign w:val="center"/>
                </w:tcPr>
                <w:p w14:paraId="6D466C2D">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本项目用水符合区域用水总量标准</w:t>
                  </w:r>
                </w:p>
              </w:tc>
              <w:tc>
                <w:tcPr>
                  <w:tcW w:w="704" w:type="pct"/>
                  <w:tcBorders>
                    <w:tl2br w:val="nil"/>
                    <w:tr2bl w:val="nil"/>
                  </w:tcBorders>
                  <w:noWrap w:val="0"/>
                  <w:vAlign w:val="center"/>
                </w:tcPr>
                <w:p w14:paraId="1B9B35C0">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1E141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38873687">
                  <w:pPr>
                    <w:pStyle w:val="66"/>
                    <w:bidi w:val="0"/>
                    <w:rPr>
                      <w:rFonts w:hint="default" w:ascii="Times New Roman" w:hAnsi="Times New Roman" w:cs="Times New Roman"/>
                      <w:color w:val="auto"/>
                    </w:rPr>
                  </w:pPr>
                </w:p>
              </w:tc>
              <w:tc>
                <w:tcPr>
                  <w:tcW w:w="509" w:type="pct"/>
                  <w:vMerge w:val="continue"/>
                  <w:tcBorders>
                    <w:tl2br w:val="nil"/>
                    <w:tr2bl w:val="nil"/>
                  </w:tcBorders>
                  <w:noWrap w:val="0"/>
                  <w:vAlign w:val="center"/>
                </w:tcPr>
                <w:p w14:paraId="33B72EF5">
                  <w:pPr>
                    <w:pStyle w:val="66"/>
                    <w:bidi w:val="0"/>
                    <w:rPr>
                      <w:rFonts w:hint="default" w:ascii="Times New Roman" w:hAnsi="Times New Roman" w:cs="Times New Roman"/>
                      <w:color w:val="auto"/>
                    </w:rPr>
                  </w:pPr>
                </w:p>
              </w:tc>
              <w:tc>
                <w:tcPr>
                  <w:tcW w:w="374" w:type="pct"/>
                  <w:vMerge w:val="continue"/>
                  <w:tcBorders>
                    <w:tl2br w:val="nil"/>
                    <w:tr2bl w:val="nil"/>
                  </w:tcBorders>
                  <w:noWrap w:val="0"/>
                  <w:vAlign w:val="center"/>
                </w:tcPr>
                <w:p w14:paraId="67311C8E">
                  <w:pPr>
                    <w:pStyle w:val="66"/>
                    <w:bidi w:val="0"/>
                    <w:rPr>
                      <w:rFonts w:hint="default" w:ascii="Times New Roman" w:hAnsi="Times New Roman" w:cs="Times New Roman"/>
                      <w:color w:val="auto"/>
                    </w:rPr>
                  </w:pPr>
                </w:p>
              </w:tc>
              <w:tc>
                <w:tcPr>
                  <w:tcW w:w="1737" w:type="pct"/>
                  <w:tcBorders>
                    <w:tl2br w:val="nil"/>
                    <w:tr2bl w:val="nil"/>
                  </w:tcBorders>
                  <w:noWrap w:val="0"/>
                  <w:tcMar>
                    <w:top w:w="0" w:type="dxa"/>
                    <w:left w:w="108" w:type="dxa"/>
                    <w:bottom w:w="0" w:type="dxa"/>
                    <w:right w:w="108" w:type="dxa"/>
                  </w:tcMar>
                  <w:vAlign w:val="center"/>
                </w:tcPr>
                <w:p w14:paraId="250F2326">
                  <w:pPr>
                    <w:pStyle w:val="66"/>
                    <w:bidi w:val="0"/>
                    <w:rPr>
                      <w:rFonts w:hint="default" w:ascii="Times New Roman" w:hAnsi="Times New Roman" w:cs="Times New Roman"/>
                      <w:color w:val="auto"/>
                    </w:rPr>
                  </w:pPr>
                  <w:r>
                    <w:rPr>
                      <w:rFonts w:hint="default" w:ascii="Times New Roman" w:hAnsi="Times New Roman" w:cs="Times New Roman"/>
                      <w:color w:val="auto"/>
                    </w:rPr>
                    <w:t>2、农业灌溉水有效利用效率不低于0.5</w:t>
                  </w:r>
                  <w:r>
                    <w:rPr>
                      <w:rFonts w:hint="default" w:ascii="Times New Roman" w:hAnsi="Times New Roman" w:cs="Times New Roman"/>
                      <w:color w:val="auto"/>
                      <w:lang w:val="en-US" w:eastAsia="zh-CN"/>
                    </w:rPr>
                    <w:t>27</w:t>
                  </w:r>
                  <w:r>
                    <w:rPr>
                      <w:rFonts w:hint="default" w:ascii="Times New Roman" w:hAnsi="Times New Roman" w:cs="Times New Roman"/>
                      <w:color w:val="auto"/>
                    </w:rPr>
                    <w:t>。</w:t>
                  </w:r>
                </w:p>
              </w:tc>
              <w:tc>
                <w:tcPr>
                  <w:tcW w:w="1349" w:type="pct"/>
                  <w:tcBorders>
                    <w:tl2br w:val="nil"/>
                    <w:tr2bl w:val="nil"/>
                  </w:tcBorders>
                  <w:noWrap w:val="0"/>
                  <w:vAlign w:val="center"/>
                </w:tcPr>
                <w:p w14:paraId="6DFB86D0">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本项目不涉及</w:t>
                  </w:r>
                </w:p>
              </w:tc>
              <w:tc>
                <w:tcPr>
                  <w:tcW w:w="704" w:type="pct"/>
                  <w:tcBorders>
                    <w:tl2br w:val="nil"/>
                    <w:tr2bl w:val="nil"/>
                  </w:tcBorders>
                  <w:noWrap w:val="0"/>
                  <w:vAlign w:val="center"/>
                </w:tcPr>
                <w:p w14:paraId="2D0FC1D8">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36C25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00982BBD">
                  <w:pPr>
                    <w:pStyle w:val="66"/>
                    <w:bidi w:val="0"/>
                    <w:rPr>
                      <w:rFonts w:hint="default" w:ascii="Times New Roman" w:hAnsi="Times New Roman" w:cs="Times New Roman"/>
                      <w:color w:val="auto"/>
                    </w:rPr>
                  </w:pPr>
                </w:p>
              </w:tc>
              <w:tc>
                <w:tcPr>
                  <w:tcW w:w="509" w:type="pct"/>
                  <w:tcBorders>
                    <w:tl2br w:val="nil"/>
                    <w:tr2bl w:val="nil"/>
                  </w:tcBorders>
                  <w:noWrap w:val="0"/>
                  <w:tcMar>
                    <w:top w:w="0" w:type="dxa"/>
                    <w:left w:w="108" w:type="dxa"/>
                    <w:bottom w:w="0" w:type="dxa"/>
                    <w:right w:w="108" w:type="dxa"/>
                  </w:tcMar>
                  <w:vAlign w:val="center"/>
                </w:tcPr>
                <w:p w14:paraId="0F079436">
                  <w:pPr>
                    <w:pStyle w:val="66"/>
                    <w:bidi w:val="0"/>
                    <w:rPr>
                      <w:rFonts w:hint="default" w:ascii="Times New Roman" w:hAnsi="Times New Roman" w:cs="Times New Roman"/>
                      <w:color w:val="auto"/>
                    </w:rPr>
                  </w:pPr>
                  <w:r>
                    <w:rPr>
                      <w:rFonts w:hint="default" w:ascii="Times New Roman" w:hAnsi="Times New Roman" w:cs="Times New Roman"/>
                      <w:color w:val="auto"/>
                    </w:rPr>
                    <w:t>地下水开采</w:t>
                  </w:r>
                </w:p>
                <w:p w14:paraId="33343158">
                  <w:pPr>
                    <w:pStyle w:val="66"/>
                    <w:bidi w:val="0"/>
                    <w:rPr>
                      <w:rFonts w:hint="default" w:ascii="Times New Roman" w:hAnsi="Times New Roman" w:cs="Times New Roman"/>
                      <w:color w:val="auto"/>
                    </w:rPr>
                  </w:pPr>
                  <w:r>
                    <w:rPr>
                      <w:rFonts w:hint="default" w:ascii="Times New Roman" w:hAnsi="Times New Roman" w:cs="Times New Roman"/>
                      <w:color w:val="auto"/>
                    </w:rPr>
                    <w:t>要求</w:t>
                  </w:r>
                </w:p>
              </w:tc>
              <w:tc>
                <w:tcPr>
                  <w:tcW w:w="374" w:type="pct"/>
                  <w:tcBorders>
                    <w:tl2br w:val="nil"/>
                    <w:tr2bl w:val="nil"/>
                  </w:tcBorders>
                  <w:noWrap w:val="0"/>
                  <w:tcMar>
                    <w:top w:w="0" w:type="dxa"/>
                    <w:left w:w="108" w:type="dxa"/>
                    <w:bottom w:w="0" w:type="dxa"/>
                    <w:right w:w="108" w:type="dxa"/>
                  </w:tcMar>
                  <w:vAlign w:val="center"/>
                </w:tcPr>
                <w:p w14:paraId="7C019AEA">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12</w:t>
                  </w:r>
                </w:p>
              </w:tc>
              <w:tc>
                <w:tcPr>
                  <w:tcW w:w="1737" w:type="pct"/>
                  <w:tcBorders>
                    <w:tl2br w:val="nil"/>
                    <w:tr2bl w:val="nil"/>
                  </w:tcBorders>
                  <w:noWrap w:val="0"/>
                  <w:tcMar>
                    <w:top w:w="0" w:type="dxa"/>
                    <w:left w:w="108" w:type="dxa"/>
                    <w:bottom w:w="0" w:type="dxa"/>
                    <w:right w:w="108" w:type="dxa"/>
                  </w:tcMar>
                  <w:vAlign w:val="center"/>
                </w:tcPr>
                <w:p w14:paraId="7FF375DD">
                  <w:pPr>
                    <w:pStyle w:val="66"/>
                    <w:bidi w:val="0"/>
                    <w:rPr>
                      <w:rFonts w:hint="default" w:ascii="Times New Roman" w:hAnsi="Times New Roman" w:cs="Times New Roman"/>
                      <w:color w:val="auto"/>
                    </w:rPr>
                  </w:pPr>
                  <w:r>
                    <w:rPr>
                      <w:rFonts w:hint="default" w:ascii="Times New Roman" w:hAnsi="Times New Roman" w:cs="Times New Roman"/>
                      <w:color w:val="auto"/>
                    </w:rPr>
                    <w:t>未经允许禁止在赣州市中心城区新增取用地下水。</w:t>
                  </w:r>
                </w:p>
              </w:tc>
              <w:tc>
                <w:tcPr>
                  <w:tcW w:w="1349" w:type="pct"/>
                  <w:tcBorders>
                    <w:tl2br w:val="nil"/>
                    <w:tr2bl w:val="nil"/>
                  </w:tcBorders>
                  <w:noWrap w:val="0"/>
                  <w:vAlign w:val="center"/>
                </w:tcPr>
                <w:p w14:paraId="599BC4F1">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不涉及</w:t>
                  </w:r>
                </w:p>
              </w:tc>
              <w:tc>
                <w:tcPr>
                  <w:tcW w:w="704" w:type="pct"/>
                  <w:tcBorders>
                    <w:tl2br w:val="nil"/>
                    <w:tr2bl w:val="nil"/>
                  </w:tcBorders>
                  <w:noWrap w:val="0"/>
                  <w:vAlign w:val="center"/>
                </w:tcPr>
                <w:p w14:paraId="2B782DEB">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4507A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722B9CB9">
                  <w:pPr>
                    <w:pStyle w:val="66"/>
                    <w:bidi w:val="0"/>
                    <w:rPr>
                      <w:rFonts w:hint="default" w:ascii="Times New Roman" w:hAnsi="Times New Roman" w:cs="Times New Roman"/>
                      <w:color w:val="auto"/>
                    </w:rPr>
                  </w:pPr>
                </w:p>
              </w:tc>
              <w:tc>
                <w:tcPr>
                  <w:tcW w:w="509" w:type="pct"/>
                  <w:tcBorders>
                    <w:tl2br w:val="nil"/>
                    <w:tr2bl w:val="nil"/>
                  </w:tcBorders>
                  <w:noWrap w:val="0"/>
                  <w:tcMar>
                    <w:top w:w="0" w:type="dxa"/>
                    <w:left w:w="108" w:type="dxa"/>
                    <w:bottom w:w="0" w:type="dxa"/>
                    <w:right w:w="108" w:type="dxa"/>
                  </w:tcMar>
                  <w:vAlign w:val="center"/>
                </w:tcPr>
                <w:p w14:paraId="55F13393">
                  <w:pPr>
                    <w:pStyle w:val="66"/>
                    <w:bidi w:val="0"/>
                    <w:rPr>
                      <w:rFonts w:hint="default" w:ascii="Times New Roman" w:hAnsi="Times New Roman" w:cs="Times New Roman"/>
                      <w:color w:val="auto"/>
                    </w:rPr>
                  </w:pPr>
                  <w:r>
                    <w:rPr>
                      <w:rFonts w:hint="default" w:ascii="Times New Roman" w:hAnsi="Times New Roman" w:cs="Times New Roman"/>
                      <w:color w:val="auto"/>
                    </w:rPr>
                    <w:t>能源利用总量及效率要求</w:t>
                  </w:r>
                </w:p>
              </w:tc>
              <w:tc>
                <w:tcPr>
                  <w:tcW w:w="374" w:type="pct"/>
                  <w:tcBorders>
                    <w:tl2br w:val="nil"/>
                    <w:tr2bl w:val="nil"/>
                  </w:tcBorders>
                  <w:noWrap w:val="0"/>
                  <w:tcMar>
                    <w:top w:w="0" w:type="dxa"/>
                    <w:left w:w="108" w:type="dxa"/>
                    <w:bottom w:w="0" w:type="dxa"/>
                    <w:right w:w="108" w:type="dxa"/>
                  </w:tcMar>
                  <w:vAlign w:val="center"/>
                </w:tcPr>
                <w:p w14:paraId="15E76438">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13</w:t>
                  </w:r>
                </w:p>
              </w:tc>
              <w:tc>
                <w:tcPr>
                  <w:tcW w:w="1737" w:type="pct"/>
                  <w:tcBorders>
                    <w:tl2br w:val="nil"/>
                    <w:tr2bl w:val="nil"/>
                  </w:tcBorders>
                  <w:noWrap w:val="0"/>
                  <w:tcMar>
                    <w:top w:w="0" w:type="dxa"/>
                    <w:left w:w="108" w:type="dxa"/>
                    <w:bottom w:w="0" w:type="dxa"/>
                    <w:right w:w="108" w:type="dxa"/>
                  </w:tcMar>
                  <w:vAlign w:val="center"/>
                </w:tcPr>
                <w:p w14:paraId="29945731">
                  <w:pPr>
                    <w:pStyle w:val="66"/>
                    <w:bidi w:val="0"/>
                    <w:rPr>
                      <w:rFonts w:hint="default" w:ascii="Times New Roman" w:hAnsi="Times New Roman" w:cs="Times New Roman"/>
                      <w:color w:val="auto"/>
                    </w:rPr>
                  </w:pPr>
                  <w:r>
                    <w:rPr>
                      <w:rFonts w:hint="default" w:ascii="Times New Roman" w:hAnsi="Times New Roman" w:eastAsia="宋体" w:cs="Times New Roman"/>
                      <w:color w:val="auto"/>
                      <w:sz w:val="21"/>
                      <w:szCs w:val="21"/>
                    </w:rPr>
                    <w:t>到</w:t>
                  </w:r>
                  <w:r>
                    <w:rPr>
                      <w:rFonts w:hint="default" w:ascii="Times New Roman" w:hAnsi="Times New Roman" w:eastAsia="NimbusRomNo9L-Regu" w:cs="Times New Roman"/>
                      <w:color w:val="auto"/>
                      <w:sz w:val="21"/>
                      <w:szCs w:val="21"/>
                    </w:rPr>
                    <w:t xml:space="preserve">2025 </w:t>
                  </w:r>
                  <w:r>
                    <w:rPr>
                      <w:rFonts w:hint="default" w:ascii="Times New Roman" w:hAnsi="Times New Roman" w:eastAsia="宋体" w:cs="Times New Roman"/>
                      <w:color w:val="auto"/>
                      <w:sz w:val="21"/>
                      <w:szCs w:val="21"/>
                    </w:rPr>
                    <w:t>年，全市万元地区生产综治能耗比</w:t>
                  </w:r>
                  <w:r>
                    <w:rPr>
                      <w:rFonts w:hint="default" w:ascii="Times New Roman" w:hAnsi="Times New Roman" w:eastAsia="NimbusRomNo9L-Regu" w:cs="Times New Roman"/>
                      <w:color w:val="auto"/>
                      <w:sz w:val="21"/>
                      <w:szCs w:val="21"/>
                    </w:rPr>
                    <w:t xml:space="preserve">2020 </w:t>
                  </w:r>
                  <w:r>
                    <w:rPr>
                      <w:rFonts w:hint="default" w:ascii="Times New Roman" w:hAnsi="Times New Roman" w:eastAsia="宋体" w:cs="Times New Roman"/>
                      <w:color w:val="auto"/>
                      <w:sz w:val="21"/>
                      <w:szCs w:val="21"/>
                    </w:rPr>
                    <w:t>年基础目标下降</w:t>
                  </w:r>
                  <w:r>
                    <w:rPr>
                      <w:rFonts w:hint="default" w:ascii="Times New Roman" w:hAnsi="Times New Roman" w:eastAsia="NimbusRomNo9L-Regu" w:cs="Times New Roman"/>
                      <w:color w:val="auto"/>
                      <w:sz w:val="21"/>
                      <w:szCs w:val="21"/>
                    </w:rPr>
                    <w:t>12.5%</w:t>
                  </w:r>
                  <w:r>
                    <w:rPr>
                      <w:rFonts w:hint="default" w:ascii="Times New Roman" w:hAnsi="Times New Roman" w:eastAsia="宋体" w:cs="Times New Roman"/>
                      <w:color w:val="auto"/>
                      <w:sz w:val="21"/>
                      <w:szCs w:val="21"/>
                    </w:rPr>
                    <w:t>，激励目标下降</w:t>
                  </w:r>
                  <w:r>
                    <w:rPr>
                      <w:rFonts w:hint="default" w:ascii="Times New Roman" w:hAnsi="Times New Roman" w:eastAsia="NimbusRomNo9L-Regu" w:cs="Times New Roman"/>
                      <w:color w:val="auto"/>
                      <w:sz w:val="21"/>
                      <w:szCs w:val="21"/>
                    </w:rPr>
                    <w:t>13%</w:t>
                  </w:r>
                </w:p>
              </w:tc>
              <w:tc>
                <w:tcPr>
                  <w:tcW w:w="1349" w:type="pct"/>
                  <w:tcBorders>
                    <w:tl2br w:val="nil"/>
                    <w:tr2bl w:val="nil"/>
                  </w:tcBorders>
                  <w:noWrap w:val="0"/>
                  <w:vAlign w:val="center"/>
                </w:tcPr>
                <w:p w14:paraId="7B363AEE">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本项目符合区域能源规划</w:t>
                  </w:r>
                </w:p>
              </w:tc>
              <w:tc>
                <w:tcPr>
                  <w:tcW w:w="704" w:type="pct"/>
                  <w:tcBorders>
                    <w:tl2br w:val="nil"/>
                    <w:tr2bl w:val="nil"/>
                  </w:tcBorders>
                  <w:noWrap w:val="0"/>
                  <w:vAlign w:val="center"/>
                </w:tcPr>
                <w:p w14:paraId="2E14D903">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r w14:paraId="615205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3EA1F40C">
                  <w:pPr>
                    <w:pStyle w:val="66"/>
                    <w:bidi w:val="0"/>
                    <w:rPr>
                      <w:rFonts w:hint="default" w:ascii="Times New Roman" w:hAnsi="Times New Roman" w:cs="Times New Roman"/>
                      <w:color w:val="auto"/>
                    </w:rPr>
                  </w:pPr>
                </w:p>
              </w:tc>
              <w:tc>
                <w:tcPr>
                  <w:tcW w:w="509" w:type="pct"/>
                  <w:tcBorders>
                    <w:tl2br w:val="nil"/>
                    <w:tr2bl w:val="nil"/>
                  </w:tcBorders>
                  <w:noWrap w:val="0"/>
                  <w:tcMar>
                    <w:top w:w="0" w:type="dxa"/>
                    <w:left w:w="108" w:type="dxa"/>
                    <w:bottom w:w="0" w:type="dxa"/>
                    <w:right w:w="108" w:type="dxa"/>
                  </w:tcMar>
                  <w:vAlign w:val="center"/>
                </w:tcPr>
                <w:p w14:paraId="2AF3759D">
                  <w:pPr>
                    <w:pStyle w:val="66"/>
                    <w:bidi w:val="0"/>
                    <w:rPr>
                      <w:rFonts w:hint="default" w:ascii="Times New Roman" w:hAnsi="Times New Roman" w:cs="Times New Roman"/>
                      <w:color w:val="auto"/>
                    </w:rPr>
                  </w:pPr>
                  <w:r>
                    <w:rPr>
                      <w:rFonts w:hint="default" w:ascii="Times New Roman" w:hAnsi="Times New Roman" w:cs="Times New Roman"/>
                      <w:color w:val="auto"/>
                    </w:rPr>
                    <w:t>禁燃区要求</w:t>
                  </w:r>
                </w:p>
              </w:tc>
              <w:tc>
                <w:tcPr>
                  <w:tcW w:w="374" w:type="pct"/>
                  <w:tcBorders>
                    <w:tl2br w:val="nil"/>
                    <w:tr2bl w:val="nil"/>
                  </w:tcBorders>
                  <w:noWrap w:val="0"/>
                  <w:tcMar>
                    <w:top w:w="0" w:type="dxa"/>
                    <w:left w:w="108" w:type="dxa"/>
                    <w:bottom w:w="0" w:type="dxa"/>
                    <w:right w:w="108" w:type="dxa"/>
                  </w:tcMar>
                  <w:vAlign w:val="center"/>
                </w:tcPr>
                <w:p w14:paraId="315D6A3B">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w:t>
                  </w:r>
                </w:p>
              </w:tc>
              <w:tc>
                <w:tcPr>
                  <w:tcW w:w="1737" w:type="pct"/>
                  <w:tcBorders>
                    <w:tl2br w:val="nil"/>
                    <w:tr2bl w:val="nil"/>
                  </w:tcBorders>
                  <w:noWrap w:val="0"/>
                  <w:tcMar>
                    <w:top w:w="0" w:type="dxa"/>
                    <w:left w:w="108" w:type="dxa"/>
                    <w:bottom w:w="0" w:type="dxa"/>
                    <w:right w:w="108" w:type="dxa"/>
                  </w:tcMar>
                  <w:vAlign w:val="center"/>
                </w:tcPr>
                <w:p w14:paraId="2C17713E">
                  <w:pPr>
                    <w:pStyle w:val="66"/>
                    <w:bidi w:val="0"/>
                    <w:rPr>
                      <w:rFonts w:hint="default" w:ascii="Times New Roman" w:hAnsi="Times New Roman" w:cs="Times New Roman"/>
                      <w:color w:val="auto"/>
                    </w:rPr>
                  </w:pPr>
                  <w:r>
                    <w:rPr>
                      <w:rFonts w:hint="default" w:ascii="Times New Roman" w:hAnsi="Times New Roman" w:cs="Times New Roman"/>
                      <w:color w:val="auto"/>
                    </w:rPr>
                    <w:t>1、禁止在赣州市划定的高污染燃料禁燃区燃用高污染燃料，及新建、扩建燃用高污染燃料的项目和设施。</w:t>
                  </w:r>
                </w:p>
                <w:p w14:paraId="3DCB8259">
                  <w:pPr>
                    <w:pStyle w:val="66"/>
                    <w:bidi w:val="0"/>
                    <w:rPr>
                      <w:rFonts w:hint="default" w:ascii="Times New Roman" w:hAnsi="Times New Roman" w:cs="Times New Roman"/>
                      <w:color w:val="auto"/>
                    </w:rPr>
                  </w:pPr>
                  <w:r>
                    <w:rPr>
                      <w:rFonts w:hint="default" w:ascii="Times New Roman" w:hAnsi="Times New Roman" w:cs="Times New Roman"/>
                      <w:color w:val="auto"/>
                    </w:rPr>
                    <w:t>2、禁燃区内现有使用高污染燃料的区域应分期分批次淘汰或实施清洁能源改造。</w:t>
                  </w:r>
                </w:p>
              </w:tc>
              <w:tc>
                <w:tcPr>
                  <w:tcW w:w="1349" w:type="pct"/>
                  <w:tcBorders>
                    <w:tl2br w:val="nil"/>
                    <w:tr2bl w:val="nil"/>
                  </w:tcBorders>
                  <w:noWrap w:val="0"/>
                  <w:vAlign w:val="center"/>
                </w:tcPr>
                <w:p w14:paraId="16963138">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本项目不属于禁燃区</w:t>
                  </w:r>
                </w:p>
              </w:tc>
              <w:tc>
                <w:tcPr>
                  <w:tcW w:w="704" w:type="pct"/>
                  <w:tcBorders>
                    <w:tl2br w:val="nil"/>
                    <w:tr2bl w:val="nil"/>
                  </w:tcBorders>
                  <w:noWrap w:val="0"/>
                  <w:vAlign w:val="center"/>
                </w:tcPr>
                <w:p w14:paraId="4619F329">
                  <w:pPr>
                    <w:pStyle w:val="66"/>
                    <w:bidi w:val="0"/>
                    <w:rPr>
                      <w:rFonts w:hint="default" w:ascii="Times New Roman" w:hAnsi="Times New Roman" w:cs="Times New Roman"/>
                      <w:color w:val="auto"/>
                    </w:rPr>
                  </w:pPr>
                  <w:r>
                    <w:rPr>
                      <w:rFonts w:hint="default" w:ascii="Times New Roman" w:hAnsi="Times New Roman" w:cs="Times New Roman"/>
                      <w:color w:val="auto"/>
                    </w:rPr>
                    <w:t>准入</w:t>
                  </w:r>
                </w:p>
              </w:tc>
            </w:tr>
          </w:tbl>
          <w:p w14:paraId="32B90D90">
            <w:pPr>
              <w:pStyle w:val="96"/>
              <w:keepNext/>
              <w:keepLines w:val="0"/>
              <w:pageBreakBefore w:val="0"/>
              <w:widowControl/>
              <w:kinsoku/>
              <w:wordWrap/>
              <w:overflowPunct/>
              <w:topLinePunct w:val="0"/>
              <w:autoSpaceDE/>
              <w:autoSpaceDN/>
              <w:bidi w:val="0"/>
              <w:adjustRightInd w:val="0"/>
              <w:snapToGrid w:val="0"/>
              <w:spacing w:before="0" w:beforeLines="0" w:after="0"/>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表1-5 </w:t>
            </w:r>
            <w:r>
              <w:rPr>
                <w:rFonts w:hint="default" w:ascii="Times New Roman" w:hAnsi="Times New Roman" w:eastAsia="宋体" w:cs="Times New Roman"/>
                <w:color w:val="auto"/>
                <w:sz w:val="21"/>
                <w:szCs w:val="21"/>
                <w:lang w:val="en-US" w:eastAsia="zh-CN"/>
              </w:rPr>
              <w:t>项目与《赣州市环境管控单元生态环境准入清单》符合性分析</w:t>
            </w:r>
          </w:p>
          <w:tbl>
            <w:tblPr>
              <w:tblStyle w:val="36"/>
              <w:tblW w:w="49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7"/>
              <w:gridCol w:w="721"/>
              <w:gridCol w:w="530"/>
              <w:gridCol w:w="2457"/>
              <w:gridCol w:w="1910"/>
              <w:gridCol w:w="998"/>
            </w:tblGrid>
            <w:tr w14:paraId="70232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3" w:type="pct"/>
                  <w:tcBorders>
                    <w:tl2br w:val="nil"/>
                    <w:tr2bl w:val="nil"/>
                  </w:tcBorders>
                  <w:noWrap w:val="0"/>
                  <w:tcMar>
                    <w:top w:w="0" w:type="dxa"/>
                    <w:left w:w="108" w:type="dxa"/>
                    <w:bottom w:w="0" w:type="dxa"/>
                    <w:right w:w="108" w:type="dxa"/>
                  </w:tcMar>
                  <w:vAlign w:val="center"/>
                </w:tcPr>
                <w:p w14:paraId="4C5C4060">
                  <w:pPr>
                    <w:pStyle w:val="67"/>
                    <w:bidi w:val="0"/>
                    <w:spacing w:line="240" w:lineRule="auto"/>
                    <w:rPr>
                      <w:color w:val="auto"/>
                    </w:rPr>
                  </w:pPr>
                  <w:r>
                    <w:rPr>
                      <w:color w:val="auto"/>
                    </w:rPr>
                    <w:t>维度</w:t>
                  </w:r>
                </w:p>
              </w:tc>
              <w:tc>
                <w:tcPr>
                  <w:tcW w:w="509" w:type="pct"/>
                  <w:tcBorders>
                    <w:tl2br w:val="nil"/>
                    <w:tr2bl w:val="nil"/>
                  </w:tcBorders>
                  <w:noWrap w:val="0"/>
                  <w:tcMar>
                    <w:top w:w="0" w:type="dxa"/>
                    <w:left w:w="108" w:type="dxa"/>
                    <w:bottom w:w="0" w:type="dxa"/>
                    <w:right w:w="108" w:type="dxa"/>
                  </w:tcMar>
                  <w:vAlign w:val="center"/>
                </w:tcPr>
                <w:p w14:paraId="04750713">
                  <w:pPr>
                    <w:pStyle w:val="67"/>
                    <w:bidi w:val="0"/>
                    <w:spacing w:line="240" w:lineRule="auto"/>
                    <w:rPr>
                      <w:color w:val="auto"/>
                    </w:rPr>
                  </w:pPr>
                  <w:r>
                    <w:rPr>
                      <w:color w:val="auto"/>
                    </w:rPr>
                    <w:t>清单编制要求</w:t>
                  </w:r>
                </w:p>
              </w:tc>
              <w:tc>
                <w:tcPr>
                  <w:tcW w:w="374" w:type="pct"/>
                  <w:tcBorders>
                    <w:tl2br w:val="nil"/>
                    <w:tr2bl w:val="nil"/>
                  </w:tcBorders>
                  <w:noWrap w:val="0"/>
                  <w:tcMar>
                    <w:top w:w="0" w:type="dxa"/>
                    <w:left w:w="108" w:type="dxa"/>
                    <w:bottom w:w="0" w:type="dxa"/>
                    <w:right w:w="108" w:type="dxa"/>
                  </w:tcMar>
                  <w:vAlign w:val="center"/>
                </w:tcPr>
                <w:p w14:paraId="1572BB90">
                  <w:pPr>
                    <w:pStyle w:val="67"/>
                    <w:bidi w:val="0"/>
                    <w:spacing w:line="240" w:lineRule="auto"/>
                    <w:rPr>
                      <w:color w:val="auto"/>
                    </w:rPr>
                  </w:pPr>
                  <w:r>
                    <w:rPr>
                      <w:color w:val="auto"/>
                    </w:rPr>
                    <w:t>序号</w:t>
                  </w:r>
                </w:p>
              </w:tc>
              <w:tc>
                <w:tcPr>
                  <w:tcW w:w="1736" w:type="pct"/>
                  <w:tcBorders>
                    <w:tl2br w:val="nil"/>
                    <w:tr2bl w:val="nil"/>
                  </w:tcBorders>
                  <w:noWrap w:val="0"/>
                  <w:tcMar>
                    <w:top w:w="0" w:type="dxa"/>
                    <w:left w:w="108" w:type="dxa"/>
                    <w:bottom w:w="0" w:type="dxa"/>
                    <w:right w:w="108" w:type="dxa"/>
                  </w:tcMar>
                  <w:vAlign w:val="center"/>
                </w:tcPr>
                <w:p w14:paraId="7FD3909F">
                  <w:pPr>
                    <w:pStyle w:val="67"/>
                    <w:bidi w:val="0"/>
                    <w:spacing w:line="240" w:lineRule="auto"/>
                    <w:rPr>
                      <w:color w:val="auto"/>
                    </w:rPr>
                  </w:pPr>
                  <w:r>
                    <w:rPr>
                      <w:color w:val="auto"/>
                    </w:rPr>
                    <w:t>准入要求</w:t>
                  </w:r>
                </w:p>
              </w:tc>
              <w:tc>
                <w:tcPr>
                  <w:tcW w:w="1350" w:type="pct"/>
                  <w:tcBorders>
                    <w:tl2br w:val="nil"/>
                    <w:tr2bl w:val="nil"/>
                  </w:tcBorders>
                  <w:noWrap w:val="0"/>
                  <w:vAlign w:val="center"/>
                </w:tcPr>
                <w:p w14:paraId="75D876F8">
                  <w:pPr>
                    <w:pStyle w:val="67"/>
                    <w:bidi w:val="0"/>
                    <w:spacing w:line="240" w:lineRule="auto"/>
                    <w:rPr>
                      <w:color w:val="auto"/>
                    </w:rPr>
                  </w:pPr>
                  <w:r>
                    <w:rPr>
                      <w:rFonts w:hint="default" w:ascii="Times New Roman" w:hAnsi="Times New Roman" w:eastAsia="宋体" w:cs="Times New Roman"/>
                      <w:b/>
                      <w:bCs/>
                      <w:i w:val="0"/>
                      <w:iCs w:val="0"/>
                      <w:color w:val="auto"/>
                      <w:kern w:val="0"/>
                      <w:sz w:val="21"/>
                      <w:szCs w:val="21"/>
                      <w:u w:val="none"/>
                      <w:lang w:val="en-US" w:eastAsia="zh-CN" w:bidi="ar"/>
                    </w:rPr>
                    <w:t>本项目情况</w:t>
                  </w:r>
                </w:p>
              </w:tc>
              <w:tc>
                <w:tcPr>
                  <w:tcW w:w="705" w:type="pct"/>
                  <w:tcBorders>
                    <w:tl2br w:val="nil"/>
                    <w:tr2bl w:val="nil"/>
                  </w:tcBorders>
                  <w:noWrap w:val="0"/>
                  <w:vAlign w:val="center"/>
                </w:tcPr>
                <w:p w14:paraId="7F004064">
                  <w:pPr>
                    <w:pStyle w:val="67"/>
                    <w:bidi w:val="0"/>
                    <w:spacing w:line="240" w:lineRule="auto"/>
                    <w:rPr>
                      <w:color w:val="auto"/>
                    </w:rPr>
                  </w:pPr>
                  <w:r>
                    <w:rPr>
                      <w:color w:val="auto"/>
                    </w:rPr>
                    <w:t>是否准入</w:t>
                  </w:r>
                </w:p>
              </w:tc>
            </w:tr>
            <w:tr w14:paraId="27A6B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095284D9">
                  <w:pPr>
                    <w:pStyle w:val="66"/>
                    <w:bidi w:val="0"/>
                    <w:rPr>
                      <w:color w:val="auto"/>
                    </w:rPr>
                  </w:pPr>
                  <w:r>
                    <w:rPr>
                      <w:color w:val="auto"/>
                    </w:rPr>
                    <w:t>空间布局约束</w:t>
                  </w:r>
                </w:p>
              </w:tc>
              <w:tc>
                <w:tcPr>
                  <w:tcW w:w="509" w:type="pct"/>
                  <w:vMerge w:val="restart"/>
                  <w:tcBorders>
                    <w:tl2br w:val="nil"/>
                    <w:tr2bl w:val="nil"/>
                  </w:tcBorders>
                  <w:noWrap w:val="0"/>
                  <w:tcMar>
                    <w:top w:w="0" w:type="dxa"/>
                    <w:left w:w="108" w:type="dxa"/>
                    <w:bottom w:w="0" w:type="dxa"/>
                    <w:right w:w="108" w:type="dxa"/>
                  </w:tcMar>
                  <w:vAlign w:val="center"/>
                </w:tcPr>
                <w:p w14:paraId="1495C33D">
                  <w:pPr>
                    <w:pStyle w:val="66"/>
                    <w:bidi w:val="0"/>
                    <w:rPr>
                      <w:color w:val="auto"/>
                    </w:rPr>
                  </w:pPr>
                  <w:r>
                    <w:rPr>
                      <w:color w:val="auto"/>
                    </w:rPr>
                    <w:t>禁止开发建设活动的要求</w:t>
                  </w:r>
                </w:p>
              </w:tc>
              <w:tc>
                <w:tcPr>
                  <w:tcW w:w="374" w:type="pct"/>
                  <w:vMerge w:val="restart"/>
                  <w:tcBorders>
                    <w:tl2br w:val="nil"/>
                    <w:tr2bl w:val="nil"/>
                  </w:tcBorders>
                  <w:noWrap w:val="0"/>
                  <w:tcMar>
                    <w:top w:w="0" w:type="dxa"/>
                    <w:left w:w="108" w:type="dxa"/>
                    <w:bottom w:w="0" w:type="dxa"/>
                    <w:right w:w="108" w:type="dxa"/>
                  </w:tcMar>
                  <w:vAlign w:val="center"/>
                </w:tcPr>
                <w:p w14:paraId="42358BF2">
                  <w:pPr>
                    <w:pStyle w:val="66"/>
                    <w:bidi w:val="0"/>
                    <w:rPr>
                      <w:color w:val="auto"/>
                    </w:rPr>
                  </w:pPr>
                  <w:r>
                    <w:rPr>
                      <w:color w:val="auto"/>
                    </w:rPr>
                    <w:t>1</w:t>
                  </w:r>
                </w:p>
              </w:tc>
              <w:tc>
                <w:tcPr>
                  <w:tcW w:w="1736" w:type="pct"/>
                  <w:tcBorders>
                    <w:tl2br w:val="nil"/>
                    <w:tr2bl w:val="nil"/>
                  </w:tcBorders>
                  <w:noWrap w:val="0"/>
                  <w:tcMar>
                    <w:top w:w="0" w:type="dxa"/>
                    <w:left w:w="108" w:type="dxa"/>
                    <w:bottom w:w="0" w:type="dxa"/>
                    <w:right w:w="108" w:type="dxa"/>
                  </w:tcMar>
                  <w:vAlign w:val="center"/>
                </w:tcPr>
                <w:p w14:paraId="370B9F6C">
                  <w:pPr>
                    <w:pStyle w:val="66"/>
                    <w:bidi w:val="0"/>
                    <w:rPr>
                      <w:color w:val="auto"/>
                    </w:rPr>
                  </w:pPr>
                  <w:r>
                    <w:rPr>
                      <w:rFonts w:hint="eastAsia"/>
                      <w:color w:val="auto"/>
                    </w:rPr>
                    <w:t>1、宁都起义指挥部旧址国家级文化保护单位(CID001)禁止开采区和翠微峰省级禁止开采区(CJD018)区内实行生态环境保护优先，严格执行禁止开采区相关管理规定。</w:t>
                  </w:r>
                </w:p>
              </w:tc>
              <w:tc>
                <w:tcPr>
                  <w:tcW w:w="1350" w:type="pct"/>
                  <w:tcBorders>
                    <w:tl2br w:val="nil"/>
                    <w:tr2bl w:val="nil"/>
                  </w:tcBorders>
                  <w:noWrap w:val="0"/>
                  <w:vAlign w:val="center"/>
                </w:tcPr>
                <w:p w14:paraId="1D92C180">
                  <w:pPr>
                    <w:pStyle w:val="66"/>
                    <w:bidi w:val="0"/>
                    <w:rPr>
                      <w:rFonts w:hint="eastAsia" w:eastAsia="宋体"/>
                      <w:color w:val="auto"/>
                      <w:lang w:eastAsia="zh-CN"/>
                    </w:rPr>
                  </w:pPr>
                  <w:r>
                    <w:rPr>
                      <w:rFonts w:hint="eastAsia"/>
                      <w:color w:val="auto"/>
                    </w:rPr>
                    <w:t>本项目</w:t>
                  </w:r>
                  <w:r>
                    <w:rPr>
                      <w:rFonts w:hint="eastAsia"/>
                      <w:color w:val="auto"/>
                      <w:lang w:val="en-US" w:eastAsia="zh-CN"/>
                    </w:rPr>
                    <w:t>不属于采掘类项目</w:t>
                  </w:r>
                </w:p>
              </w:tc>
              <w:tc>
                <w:tcPr>
                  <w:tcW w:w="705" w:type="pct"/>
                  <w:tcBorders>
                    <w:tl2br w:val="nil"/>
                    <w:tr2bl w:val="nil"/>
                  </w:tcBorders>
                  <w:noWrap w:val="0"/>
                  <w:vAlign w:val="center"/>
                </w:tcPr>
                <w:p w14:paraId="12B27EEF">
                  <w:pPr>
                    <w:pStyle w:val="66"/>
                    <w:bidi w:val="0"/>
                    <w:rPr>
                      <w:color w:val="auto"/>
                    </w:rPr>
                  </w:pPr>
                  <w:r>
                    <w:rPr>
                      <w:color w:val="auto"/>
                    </w:rPr>
                    <w:t>准入</w:t>
                  </w:r>
                </w:p>
              </w:tc>
            </w:tr>
            <w:tr w14:paraId="51C56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4428A005">
                  <w:pPr>
                    <w:pStyle w:val="66"/>
                    <w:bidi w:val="0"/>
                    <w:rPr>
                      <w:color w:val="auto"/>
                    </w:rPr>
                  </w:pPr>
                </w:p>
              </w:tc>
              <w:tc>
                <w:tcPr>
                  <w:tcW w:w="509" w:type="pct"/>
                  <w:vMerge w:val="continue"/>
                  <w:tcBorders>
                    <w:tl2br w:val="nil"/>
                    <w:tr2bl w:val="nil"/>
                  </w:tcBorders>
                  <w:noWrap w:val="0"/>
                  <w:vAlign w:val="center"/>
                </w:tcPr>
                <w:p w14:paraId="77E66A42">
                  <w:pPr>
                    <w:pStyle w:val="66"/>
                    <w:bidi w:val="0"/>
                    <w:rPr>
                      <w:color w:val="auto"/>
                    </w:rPr>
                  </w:pPr>
                </w:p>
              </w:tc>
              <w:tc>
                <w:tcPr>
                  <w:tcW w:w="374" w:type="pct"/>
                  <w:vMerge w:val="continue"/>
                  <w:tcBorders>
                    <w:tl2br w:val="nil"/>
                    <w:tr2bl w:val="nil"/>
                  </w:tcBorders>
                  <w:noWrap w:val="0"/>
                  <w:vAlign w:val="center"/>
                </w:tcPr>
                <w:p w14:paraId="7C6D8B1F">
                  <w:pPr>
                    <w:pStyle w:val="66"/>
                    <w:bidi w:val="0"/>
                    <w:rPr>
                      <w:color w:val="auto"/>
                    </w:rPr>
                  </w:pPr>
                </w:p>
              </w:tc>
              <w:tc>
                <w:tcPr>
                  <w:tcW w:w="1736" w:type="pct"/>
                  <w:tcBorders>
                    <w:tl2br w:val="nil"/>
                    <w:tr2bl w:val="nil"/>
                  </w:tcBorders>
                  <w:noWrap w:val="0"/>
                  <w:tcMar>
                    <w:top w:w="0" w:type="dxa"/>
                    <w:left w:w="108" w:type="dxa"/>
                    <w:bottom w:w="0" w:type="dxa"/>
                    <w:right w:w="108" w:type="dxa"/>
                  </w:tcMar>
                  <w:vAlign w:val="center"/>
                </w:tcPr>
                <w:p w14:paraId="60223D68">
                  <w:pPr>
                    <w:pStyle w:val="66"/>
                    <w:bidi w:val="0"/>
                    <w:rPr>
                      <w:color w:val="auto"/>
                    </w:rPr>
                  </w:pPr>
                  <w:r>
                    <w:rPr>
                      <w:rFonts w:hint="eastAsia"/>
                      <w:color w:val="auto"/>
                      <w:lang w:val="en-US" w:eastAsia="zh-CN"/>
                    </w:rPr>
                    <w:t>2</w:t>
                  </w:r>
                  <w:r>
                    <w:rPr>
                      <w:rFonts w:hint="eastAsia"/>
                      <w:color w:val="auto"/>
                    </w:rPr>
                    <w:t>、生态保护红线范围执行生态保护红线的有关管理规定。</w:t>
                  </w:r>
                </w:p>
              </w:tc>
              <w:tc>
                <w:tcPr>
                  <w:tcW w:w="1350" w:type="pct"/>
                  <w:tcBorders>
                    <w:tl2br w:val="nil"/>
                    <w:tr2bl w:val="nil"/>
                  </w:tcBorders>
                  <w:noWrap w:val="0"/>
                  <w:vAlign w:val="center"/>
                </w:tcPr>
                <w:p w14:paraId="02EA3C36">
                  <w:pPr>
                    <w:pStyle w:val="66"/>
                    <w:bidi w:val="0"/>
                    <w:rPr>
                      <w:rFonts w:hint="default"/>
                      <w:color w:val="auto"/>
                      <w:lang w:val="en-US"/>
                    </w:rPr>
                  </w:pPr>
                  <w:r>
                    <w:rPr>
                      <w:rFonts w:hint="eastAsia"/>
                      <w:color w:val="auto"/>
                      <w:lang w:val="en-US" w:eastAsia="zh-CN"/>
                    </w:rPr>
                    <w:t>本项目不占用生态保护红线范围</w:t>
                  </w:r>
                </w:p>
              </w:tc>
              <w:tc>
                <w:tcPr>
                  <w:tcW w:w="705" w:type="pct"/>
                  <w:tcBorders>
                    <w:tl2br w:val="nil"/>
                    <w:tr2bl w:val="nil"/>
                  </w:tcBorders>
                  <w:noWrap w:val="0"/>
                  <w:vAlign w:val="center"/>
                </w:tcPr>
                <w:p w14:paraId="185F1098">
                  <w:pPr>
                    <w:pStyle w:val="66"/>
                    <w:bidi w:val="0"/>
                    <w:rPr>
                      <w:color w:val="auto"/>
                    </w:rPr>
                  </w:pPr>
                  <w:r>
                    <w:rPr>
                      <w:color w:val="auto"/>
                    </w:rPr>
                    <w:t>准入</w:t>
                  </w:r>
                </w:p>
              </w:tc>
            </w:tr>
            <w:tr w14:paraId="30A28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18" w:hRule="atLeast"/>
                <w:jc w:val="center"/>
              </w:trPr>
              <w:tc>
                <w:tcPr>
                  <w:tcW w:w="323" w:type="pct"/>
                  <w:vMerge w:val="continue"/>
                  <w:tcBorders>
                    <w:tl2br w:val="nil"/>
                    <w:tr2bl w:val="nil"/>
                  </w:tcBorders>
                  <w:noWrap w:val="0"/>
                  <w:vAlign w:val="center"/>
                </w:tcPr>
                <w:p w14:paraId="7ACB6E5F">
                  <w:pPr>
                    <w:pStyle w:val="66"/>
                    <w:bidi w:val="0"/>
                    <w:rPr>
                      <w:color w:val="auto"/>
                    </w:rPr>
                  </w:pPr>
                </w:p>
              </w:tc>
              <w:tc>
                <w:tcPr>
                  <w:tcW w:w="509" w:type="pct"/>
                  <w:vMerge w:val="continue"/>
                  <w:tcBorders>
                    <w:tl2br w:val="nil"/>
                    <w:tr2bl w:val="nil"/>
                  </w:tcBorders>
                  <w:noWrap w:val="0"/>
                  <w:vAlign w:val="center"/>
                </w:tcPr>
                <w:p w14:paraId="496D14D9">
                  <w:pPr>
                    <w:pStyle w:val="66"/>
                    <w:bidi w:val="0"/>
                    <w:rPr>
                      <w:color w:val="auto"/>
                    </w:rPr>
                  </w:pPr>
                </w:p>
              </w:tc>
              <w:tc>
                <w:tcPr>
                  <w:tcW w:w="374" w:type="pct"/>
                  <w:vMerge w:val="continue"/>
                  <w:tcBorders>
                    <w:tl2br w:val="nil"/>
                    <w:tr2bl w:val="nil"/>
                  </w:tcBorders>
                  <w:noWrap w:val="0"/>
                  <w:vAlign w:val="center"/>
                </w:tcPr>
                <w:p w14:paraId="492BF346">
                  <w:pPr>
                    <w:pStyle w:val="66"/>
                    <w:bidi w:val="0"/>
                    <w:rPr>
                      <w:color w:val="auto"/>
                    </w:rPr>
                  </w:pPr>
                </w:p>
              </w:tc>
              <w:tc>
                <w:tcPr>
                  <w:tcW w:w="1736" w:type="pct"/>
                  <w:tcBorders>
                    <w:tl2br w:val="nil"/>
                    <w:tr2bl w:val="nil"/>
                  </w:tcBorders>
                  <w:noWrap w:val="0"/>
                  <w:tcMar>
                    <w:top w:w="0" w:type="dxa"/>
                    <w:left w:w="108" w:type="dxa"/>
                    <w:bottom w:w="0" w:type="dxa"/>
                    <w:right w:w="108" w:type="dxa"/>
                  </w:tcMar>
                  <w:vAlign w:val="center"/>
                </w:tcPr>
                <w:p w14:paraId="1D1C66AE">
                  <w:pPr>
                    <w:pStyle w:val="66"/>
                    <w:bidi w:val="0"/>
                    <w:rPr>
                      <w:color w:val="auto"/>
                    </w:rPr>
                  </w:pPr>
                  <w:r>
                    <w:rPr>
                      <w:rFonts w:hint="eastAsia"/>
                      <w:color w:val="auto"/>
                    </w:rPr>
                    <w:t>3</w:t>
                  </w:r>
                  <w:r>
                    <w:rPr>
                      <w:rFonts w:hint="eastAsia"/>
                      <w:color w:val="auto"/>
                      <w:lang w:eastAsia="zh-CN"/>
                    </w:rPr>
                    <w:t>、</w:t>
                  </w:r>
                  <w:r>
                    <w:rPr>
                      <w:rFonts w:hint="eastAsia"/>
                      <w:color w:val="auto"/>
                      <w:lang w:val="en-US" w:eastAsia="zh-CN"/>
                    </w:rPr>
                    <w:t>禁养区禁止建设养殖场或</w:t>
                  </w:r>
                  <w:r>
                    <w:rPr>
                      <w:rFonts w:hint="eastAsia"/>
                      <w:color w:val="auto"/>
                    </w:rPr>
                    <w:t>禁止建设有污染物排放的养殖场。</w:t>
                  </w:r>
                </w:p>
              </w:tc>
              <w:tc>
                <w:tcPr>
                  <w:tcW w:w="1350" w:type="pct"/>
                  <w:tcBorders>
                    <w:tl2br w:val="nil"/>
                    <w:tr2bl w:val="nil"/>
                  </w:tcBorders>
                  <w:noWrap w:val="0"/>
                  <w:vAlign w:val="center"/>
                </w:tcPr>
                <w:p w14:paraId="1BCB1B95">
                  <w:pPr>
                    <w:pStyle w:val="66"/>
                    <w:bidi w:val="0"/>
                    <w:rPr>
                      <w:rFonts w:hint="default" w:eastAsia="宋体"/>
                      <w:color w:val="auto"/>
                      <w:lang w:val="en-US" w:eastAsia="zh-CN"/>
                    </w:rPr>
                  </w:pPr>
                  <w:r>
                    <w:rPr>
                      <w:rFonts w:hint="eastAsia"/>
                      <w:color w:val="auto"/>
                      <w:lang w:val="en-US" w:eastAsia="zh-CN"/>
                    </w:rPr>
                    <w:t>本项目不属于养殖类。</w:t>
                  </w:r>
                </w:p>
              </w:tc>
              <w:tc>
                <w:tcPr>
                  <w:tcW w:w="705" w:type="pct"/>
                  <w:tcBorders>
                    <w:tl2br w:val="nil"/>
                    <w:tr2bl w:val="nil"/>
                  </w:tcBorders>
                  <w:noWrap w:val="0"/>
                  <w:vAlign w:val="center"/>
                </w:tcPr>
                <w:p w14:paraId="5028C424">
                  <w:pPr>
                    <w:pStyle w:val="66"/>
                    <w:bidi w:val="0"/>
                    <w:rPr>
                      <w:color w:val="auto"/>
                    </w:rPr>
                  </w:pPr>
                  <w:r>
                    <w:rPr>
                      <w:color w:val="auto"/>
                    </w:rPr>
                    <w:t>准入</w:t>
                  </w:r>
                </w:p>
              </w:tc>
            </w:tr>
            <w:tr w14:paraId="7F378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68"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4C179FBE">
                  <w:pPr>
                    <w:pStyle w:val="66"/>
                    <w:bidi w:val="0"/>
                    <w:rPr>
                      <w:color w:val="auto"/>
                    </w:rPr>
                  </w:pPr>
                  <w:r>
                    <w:rPr>
                      <w:color w:val="auto"/>
                    </w:rPr>
                    <w:t>空间布局约束</w:t>
                  </w:r>
                </w:p>
              </w:tc>
              <w:tc>
                <w:tcPr>
                  <w:tcW w:w="509" w:type="pct"/>
                  <w:vMerge w:val="restart"/>
                  <w:tcBorders>
                    <w:tl2br w:val="nil"/>
                    <w:tr2bl w:val="nil"/>
                  </w:tcBorders>
                  <w:noWrap w:val="0"/>
                  <w:tcMar>
                    <w:top w:w="0" w:type="dxa"/>
                    <w:left w:w="108" w:type="dxa"/>
                    <w:bottom w:w="0" w:type="dxa"/>
                    <w:right w:w="108" w:type="dxa"/>
                  </w:tcMar>
                  <w:vAlign w:val="center"/>
                </w:tcPr>
                <w:p w14:paraId="3524B98A">
                  <w:pPr>
                    <w:pStyle w:val="66"/>
                    <w:bidi w:val="0"/>
                    <w:rPr>
                      <w:color w:val="auto"/>
                    </w:rPr>
                  </w:pPr>
                  <w:r>
                    <w:rPr>
                      <w:color w:val="auto"/>
                    </w:rPr>
                    <w:t>限制开发建设活动的要求</w:t>
                  </w:r>
                </w:p>
              </w:tc>
              <w:tc>
                <w:tcPr>
                  <w:tcW w:w="374" w:type="pct"/>
                  <w:vMerge w:val="restart"/>
                  <w:tcBorders>
                    <w:tl2br w:val="nil"/>
                    <w:tr2bl w:val="nil"/>
                  </w:tcBorders>
                  <w:noWrap w:val="0"/>
                  <w:tcMar>
                    <w:top w:w="0" w:type="dxa"/>
                    <w:left w:w="108" w:type="dxa"/>
                    <w:bottom w:w="0" w:type="dxa"/>
                    <w:right w:w="108" w:type="dxa"/>
                  </w:tcMar>
                  <w:vAlign w:val="center"/>
                </w:tcPr>
                <w:p w14:paraId="594D2753">
                  <w:pPr>
                    <w:pStyle w:val="66"/>
                    <w:bidi w:val="0"/>
                    <w:rPr>
                      <w:color w:val="auto"/>
                    </w:rPr>
                  </w:pPr>
                  <w:r>
                    <w:rPr>
                      <w:color w:val="auto"/>
                    </w:rPr>
                    <w:t>2</w:t>
                  </w:r>
                </w:p>
              </w:tc>
              <w:tc>
                <w:tcPr>
                  <w:tcW w:w="1736" w:type="pct"/>
                  <w:tcBorders>
                    <w:tl2br w:val="nil"/>
                    <w:tr2bl w:val="nil"/>
                  </w:tcBorders>
                  <w:noWrap w:val="0"/>
                  <w:tcMar>
                    <w:top w:w="0" w:type="dxa"/>
                    <w:left w:w="108" w:type="dxa"/>
                    <w:bottom w:w="0" w:type="dxa"/>
                    <w:right w:w="108" w:type="dxa"/>
                  </w:tcMar>
                  <w:vAlign w:val="center"/>
                </w:tcPr>
                <w:p w14:paraId="5B244DD6">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1、不得在集中供水工程和饮用水水源一级保护区内建设与供水设施和水源保护无关的建设项目。</w:t>
                  </w:r>
                </w:p>
              </w:tc>
              <w:tc>
                <w:tcPr>
                  <w:tcW w:w="1350" w:type="pct"/>
                  <w:tcBorders>
                    <w:tl2br w:val="nil"/>
                    <w:tr2bl w:val="nil"/>
                  </w:tcBorders>
                  <w:noWrap w:val="0"/>
                  <w:vAlign w:val="center"/>
                </w:tcPr>
                <w:p w14:paraId="7131F537">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本项目不涉及集中供水工程及饮用水源一级保护区内。</w:t>
                  </w:r>
                </w:p>
              </w:tc>
              <w:tc>
                <w:tcPr>
                  <w:tcW w:w="705" w:type="pct"/>
                  <w:tcBorders>
                    <w:tl2br w:val="nil"/>
                    <w:tr2bl w:val="nil"/>
                  </w:tcBorders>
                  <w:noWrap w:val="0"/>
                  <w:vAlign w:val="center"/>
                </w:tcPr>
                <w:p w14:paraId="7297BB92">
                  <w:pPr>
                    <w:pStyle w:val="66"/>
                    <w:bidi w:val="0"/>
                    <w:rPr>
                      <w:color w:val="auto"/>
                    </w:rPr>
                  </w:pPr>
                  <w:r>
                    <w:rPr>
                      <w:color w:val="auto"/>
                    </w:rPr>
                    <w:t>准入</w:t>
                  </w:r>
                </w:p>
              </w:tc>
            </w:tr>
            <w:tr w14:paraId="6D258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continue"/>
                  <w:tcBorders>
                    <w:tl2br w:val="nil"/>
                    <w:tr2bl w:val="nil"/>
                  </w:tcBorders>
                  <w:noWrap w:val="0"/>
                  <w:vAlign w:val="center"/>
                </w:tcPr>
                <w:p w14:paraId="5DE8D4A6">
                  <w:pPr>
                    <w:pStyle w:val="66"/>
                    <w:bidi w:val="0"/>
                    <w:rPr>
                      <w:color w:val="auto"/>
                    </w:rPr>
                  </w:pPr>
                </w:p>
              </w:tc>
              <w:tc>
                <w:tcPr>
                  <w:tcW w:w="509" w:type="pct"/>
                  <w:vMerge w:val="restart"/>
                  <w:tcBorders>
                    <w:tl2br w:val="nil"/>
                    <w:tr2bl w:val="nil"/>
                  </w:tcBorders>
                  <w:noWrap w:val="0"/>
                  <w:tcMar>
                    <w:top w:w="0" w:type="dxa"/>
                    <w:left w:w="108" w:type="dxa"/>
                    <w:bottom w:w="0" w:type="dxa"/>
                    <w:right w:w="108" w:type="dxa"/>
                  </w:tcMar>
                  <w:vAlign w:val="center"/>
                </w:tcPr>
                <w:p w14:paraId="228918F7">
                  <w:pPr>
                    <w:pStyle w:val="66"/>
                    <w:bidi w:val="0"/>
                    <w:rPr>
                      <w:color w:val="auto"/>
                    </w:rPr>
                  </w:pPr>
                  <w:r>
                    <w:rPr>
                      <w:color w:val="auto"/>
                    </w:rPr>
                    <w:t>不符合空间布局要求活动的退出要求</w:t>
                  </w:r>
                </w:p>
              </w:tc>
              <w:tc>
                <w:tcPr>
                  <w:tcW w:w="374" w:type="pct"/>
                  <w:vMerge w:val="restart"/>
                  <w:tcBorders>
                    <w:tl2br w:val="nil"/>
                    <w:tr2bl w:val="nil"/>
                  </w:tcBorders>
                  <w:noWrap w:val="0"/>
                  <w:tcMar>
                    <w:top w:w="0" w:type="dxa"/>
                    <w:left w:w="108" w:type="dxa"/>
                    <w:bottom w:w="0" w:type="dxa"/>
                    <w:right w:w="108" w:type="dxa"/>
                  </w:tcMar>
                  <w:vAlign w:val="center"/>
                </w:tcPr>
                <w:p w14:paraId="1D4C3D2F">
                  <w:pPr>
                    <w:pStyle w:val="66"/>
                    <w:bidi w:val="0"/>
                    <w:rPr>
                      <w:rFonts w:hint="eastAsia" w:eastAsia="宋体"/>
                      <w:color w:val="auto"/>
                      <w:lang w:eastAsia="zh-CN"/>
                    </w:rPr>
                  </w:pPr>
                  <w:r>
                    <w:rPr>
                      <w:rFonts w:hint="eastAsia"/>
                      <w:color w:val="auto"/>
                      <w:lang w:val="en-US" w:eastAsia="zh-CN"/>
                    </w:rPr>
                    <w:t>3</w:t>
                  </w:r>
                </w:p>
              </w:tc>
              <w:tc>
                <w:tcPr>
                  <w:tcW w:w="1736" w:type="pct"/>
                  <w:tcBorders>
                    <w:tl2br w:val="nil"/>
                    <w:tr2bl w:val="nil"/>
                  </w:tcBorders>
                  <w:noWrap w:val="0"/>
                  <w:tcMar>
                    <w:top w:w="0" w:type="dxa"/>
                    <w:left w:w="108" w:type="dxa"/>
                    <w:bottom w:w="0" w:type="dxa"/>
                    <w:right w:w="108" w:type="dxa"/>
                  </w:tcMar>
                  <w:vAlign w:val="center"/>
                </w:tcPr>
                <w:p w14:paraId="48A9EB37">
                  <w:pPr>
                    <w:pStyle w:val="66"/>
                    <w:bidi w:val="0"/>
                    <w:rPr>
                      <w:color w:val="auto"/>
                    </w:rPr>
                  </w:pPr>
                  <w:r>
                    <w:rPr>
                      <w:rFonts w:hint="eastAsia"/>
                      <w:color w:val="auto"/>
                    </w:rPr>
                    <w:t>1、经生态保护红线优化后不符合生态功能活动的，限期退出依法关停。</w:t>
                  </w:r>
                </w:p>
              </w:tc>
              <w:tc>
                <w:tcPr>
                  <w:tcW w:w="1350" w:type="pct"/>
                  <w:tcBorders>
                    <w:tl2br w:val="nil"/>
                    <w:tr2bl w:val="nil"/>
                  </w:tcBorders>
                  <w:noWrap w:val="0"/>
                  <w:vAlign w:val="center"/>
                </w:tcPr>
                <w:p w14:paraId="61698FA7">
                  <w:pPr>
                    <w:pStyle w:val="66"/>
                    <w:bidi w:val="0"/>
                    <w:rPr>
                      <w:rFonts w:hint="default" w:eastAsia="宋体"/>
                      <w:color w:val="auto"/>
                      <w:lang w:val="en-US" w:eastAsia="zh-CN"/>
                    </w:rPr>
                  </w:pPr>
                  <w:r>
                    <w:rPr>
                      <w:rFonts w:hint="default" w:eastAsia="宋体"/>
                      <w:color w:val="auto"/>
                      <w:lang w:val="en-US" w:eastAsia="zh-CN"/>
                    </w:rPr>
                    <w:t>本项目不占用生态保护红线范围。</w:t>
                  </w:r>
                </w:p>
              </w:tc>
              <w:tc>
                <w:tcPr>
                  <w:tcW w:w="705" w:type="pct"/>
                  <w:tcBorders>
                    <w:tl2br w:val="nil"/>
                    <w:tr2bl w:val="nil"/>
                  </w:tcBorders>
                  <w:noWrap w:val="0"/>
                  <w:vAlign w:val="center"/>
                </w:tcPr>
                <w:p w14:paraId="195E8327">
                  <w:pPr>
                    <w:pStyle w:val="66"/>
                    <w:bidi w:val="0"/>
                    <w:rPr>
                      <w:color w:val="auto"/>
                    </w:rPr>
                  </w:pPr>
                  <w:r>
                    <w:rPr>
                      <w:color w:val="auto"/>
                    </w:rPr>
                    <w:t>准入</w:t>
                  </w:r>
                </w:p>
              </w:tc>
            </w:tr>
            <w:tr w14:paraId="6DDB1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6" w:hRule="atLeast"/>
                <w:jc w:val="center"/>
              </w:trPr>
              <w:tc>
                <w:tcPr>
                  <w:tcW w:w="323" w:type="pct"/>
                  <w:vMerge w:val="continue"/>
                  <w:tcBorders>
                    <w:tl2br w:val="nil"/>
                    <w:tr2bl w:val="nil"/>
                  </w:tcBorders>
                  <w:noWrap w:val="0"/>
                  <w:vAlign w:val="center"/>
                </w:tcPr>
                <w:p w14:paraId="0685CC56">
                  <w:pPr>
                    <w:pStyle w:val="66"/>
                    <w:bidi w:val="0"/>
                    <w:rPr>
                      <w:color w:val="auto"/>
                    </w:rPr>
                  </w:pPr>
                </w:p>
              </w:tc>
              <w:tc>
                <w:tcPr>
                  <w:tcW w:w="509" w:type="pct"/>
                  <w:vMerge w:val="continue"/>
                  <w:tcBorders>
                    <w:tl2br w:val="nil"/>
                    <w:tr2bl w:val="nil"/>
                  </w:tcBorders>
                  <w:noWrap w:val="0"/>
                  <w:vAlign w:val="center"/>
                </w:tcPr>
                <w:p w14:paraId="451C1432">
                  <w:pPr>
                    <w:pStyle w:val="66"/>
                    <w:bidi w:val="0"/>
                    <w:rPr>
                      <w:color w:val="auto"/>
                    </w:rPr>
                  </w:pPr>
                </w:p>
              </w:tc>
              <w:tc>
                <w:tcPr>
                  <w:tcW w:w="374" w:type="pct"/>
                  <w:vMerge w:val="continue"/>
                  <w:tcBorders>
                    <w:tl2br w:val="nil"/>
                    <w:tr2bl w:val="nil"/>
                  </w:tcBorders>
                  <w:noWrap w:val="0"/>
                  <w:vAlign w:val="center"/>
                </w:tcPr>
                <w:p w14:paraId="6EE458D9">
                  <w:pPr>
                    <w:pStyle w:val="66"/>
                    <w:bidi w:val="0"/>
                    <w:rPr>
                      <w:color w:val="auto"/>
                    </w:rPr>
                  </w:pPr>
                </w:p>
              </w:tc>
              <w:tc>
                <w:tcPr>
                  <w:tcW w:w="1736" w:type="pct"/>
                  <w:tcBorders>
                    <w:tl2br w:val="nil"/>
                    <w:tr2bl w:val="nil"/>
                  </w:tcBorders>
                  <w:noWrap w:val="0"/>
                  <w:tcMar>
                    <w:top w:w="0" w:type="dxa"/>
                    <w:left w:w="108" w:type="dxa"/>
                    <w:bottom w:w="0" w:type="dxa"/>
                    <w:right w:w="108" w:type="dxa"/>
                  </w:tcMar>
                  <w:vAlign w:val="center"/>
                </w:tcPr>
                <w:p w14:paraId="4736E4D3">
                  <w:pPr>
                    <w:pStyle w:val="66"/>
                    <w:bidi w:val="0"/>
                    <w:rPr>
                      <w:color w:val="auto"/>
                    </w:rPr>
                  </w:pPr>
                  <w:r>
                    <w:rPr>
                      <w:rFonts w:hint="eastAsia"/>
                      <w:color w:val="auto"/>
                    </w:rPr>
                    <w:t>2、不合法的矿产资源开发应限期退出或关停。</w:t>
                  </w:r>
                </w:p>
              </w:tc>
              <w:tc>
                <w:tcPr>
                  <w:tcW w:w="1350" w:type="pct"/>
                  <w:tcBorders>
                    <w:tl2br w:val="nil"/>
                    <w:tr2bl w:val="nil"/>
                  </w:tcBorders>
                  <w:noWrap w:val="0"/>
                  <w:vAlign w:val="center"/>
                </w:tcPr>
                <w:p w14:paraId="552E8FD1">
                  <w:pPr>
                    <w:pStyle w:val="66"/>
                    <w:bidi w:val="0"/>
                    <w:rPr>
                      <w:color w:val="auto"/>
                    </w:rPr>
                  </w:pPr>
                  <w:r>
                    <w:rPr>
                      <w:rFonts w:hint="eastAsia"/>
                      <w:color w:val="auto"/>
                    </w:rPr>
                    <w:t>本项目不属于矿产资源开发。</w:t>
                  </w:r>
                </w:p>
              </w:tc>
              <w:tc>
                <w:tcPr>
                  <w:tcW w:w="705" w:type="pct"/>
                  <w:tcBorders>
                    <w:tl2br w:val="nil"/>
                    <w:tr2bl w:val="nil"/>
                  </w:tcBorders>
                  <w:noWrap w:val="0"/>
                  <w:vAlign w:val="center"/>
                </w:tcPr>
                <w:p w14:paraId="319DA874">
                  <w:pPr>
                    <w:pStyle w:val="66"/>
                    <w:bidi w:val="0"/>
                    <w:rPr>
                      <w:color w:val="auto"/>
                    </w:rPr>
                  </w:pPr>
                  <w:r>
                    <w:rPr>
                      <w:color w:val="auto"/>
                    </w:rPr>
                    <w:t>准入</w:t>
                  </w:r>
                </w:p>
              </w:tc>
            </w:tr>
            <w:tr w14:paraId="1D3B9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23" w:type="pct"/>
                  <w:vMerge w:val="restart"/>
                  <w:tcBorders>
                    <w:tl2br w:val="nil"/>
                    <w:tr2bl w:val="nil"/>
                  </w:tcBorders>
                  <w:noWrap w:val="0"/>
                  <w:tcMar>
                    <w:top w:w="0" w:type="dxa"/>
                    <w:left w:w="108" w:type="dxa"/>
                    <w:bottom w:w="0" w:type="dxa"/>
                    <w:right w:w="108" w:type="dxa"/>
                  </w:tcMar>
                  <w:vAlign w:val="center"/>
                </w:tcPr>
                <w:p w14:paraId="0A109450">
                  <w:pPr>
                    <w:pStyle w:val="66"/>
                    <w:bidi w:val="0"/>
                    <w:rPr>
                      <w:color w:val="auto"/>
                    </w:rPr>
                  </w:pPr>
                  <w:r>
                    <w:rPr>
                      <w:color w:val="auto"/>
                    </w:rPr>
                    <w:t>污染物排放管控</w:t>
                  </w:r>
                </w:p>
              </w:tc>
              <w:tc>
                <w:tcPr>
                  <w:tcW w:w="509" w:type="pct"/>
                  <w:vMerge w:val="restart"/>
                  <w:tcBorders>
                    <w:tl2br w:val="nil"/>
                    <w:tr2bl w:val="nil"/>
                  </w:tcBorders>
                  <w:noWrap w:val="0"/>
                  <w:tcMar>
                    <w:top w:w="0" w:type="dxa"/>
                    <w:left w:w="108" w:type="dxa"/>
                    <w:bottom w:w="0" w:type="dxa"/>
                    <w:right w:w="108" w:type="dxa"/>
                  </w:tcMar>
                  <w:vAlign w:val="center"/>
                </w:tcPr>
                <w:p w14:paraId="214FED96">
                  <w:pPr>
                    <w:pStyle w:val="66"/>
                    <w:bidi w:val="0"/>
                    <w:rPr>
                      <w:color w:val="auto"/>
                    </w:rPr>
                  </w:pPr>
                  <w:r>
                    <w:rPr>
                      <w:color w:val="auto"/>
                    </w:rPr>
                    <w:t>现有源提标</w:t>
                  </w:r>
                </w:p>
                <w:p w14:paraId="06FE68FF">
                  <w:pPr>
                    <w:pStyle w:val="66"/>
                    <w:bidi w:val="0"/>
                    <w:rPr>
                      <w:color w:val="auto"/>
                    </w:rPr>
                  </w:pPr>
                  <w:r>
                    <w:rPr>
                      <w:color w:val="auto"/>
                    </w:rPr>
                    <w:t>升级改造</w:t>
                  </w:r>
                </w:p>
              </w:tc>
              <w:tc>
                <w:tcPr>
                  <w:tcW w:w="374" w:type="pct"/>
                  <w:vMerge w:val="restart"/>
                  <w:tcBorders>
                    <w:tl2br w:val="nil"/>
                    <w:tr2bl w:val="nil"/>
                  </w:tcBorders>
                  <w:noWrap w:val="0"/>
                  <w:tcMar>
                    <w:top w:w="0" w:type="dxa"/>
                    <w:left w:w="108" w:type="dxa"/>
                    <w:bottom w:w="0" w:type="dxa"/>
                    <w:right w:w="108" w:type="dxa"/>
                  </w:tcMar>
                  <w:vAlign w:val="center"/>
                </w:tcPr>
                <w:p w14:paraId="4317E9B7">
                  <w:pPr>
                    <w:pStyle w:val="66"/>
                    <w:bidi w:val="0"/>
                    <w:rPr>
                      <w:rFonts w:hint="eastAsia" w:eastAsia="宋体"/>
                      <w:color w:val="auto"/>
                      <w:lang w:eastAsia="zh-CN"/>
                    </w:rPr>
                  </w:pPr>
                  <w:r>
                    <w:rPr>
                      <w:rFonts w:hint="eastAsia"/>
                      <w:color w:val="auto"/>
                      <w:lang w:val="en-US" w:eastAsia="zh-CN"/>
                    </w:rPr>
                    <w:t>4</w:t>
                  </w:r>
                </w:p>
              </w:tc>
              <w:tc>
                <w:tcPr>
                  <w:tcW w:w="1736" w:type="pct"/>
                  <w:tcBorders>
                    <w:tl2br w:val="nil"/>
                    <w:tr2bl w:val="nil"/>
                  </w:tcBorders>
                  <w:noWrap w:val="0"/>
                  <w:tcMar>
                    <w:top w:w="0" w:type="dxa"/>
                    <w:left w:w="108" w:type="dxa"/>
                    <w:bottom w:w="0" w:type="dxa"/>
                    <w:right w:w="108" w:type="dxa"/>
                  </w:tcMar>
                  <w:vAlign w:val="center"/>
                </w:tcPr>
                <w:p w14:paraId="4FFC1067">
                  <w:pPr>
                    <w:pStyle w:val="66"/>
                    <w:bidi w:val="0"/>
                    <w:rPr>
                      <w:rFonts w:hint="eastAsia"/>
                      <w:color w:val="auto"/>
                    </w:rPr>
                  </w:pPr>
                  <w:r>
                    <w:rPr>
                      <w:rFonts w:hint="eastAsia"/>
                      <w:color w:val="auto"/>
                      <w:lang w:val="en-US" w:eastAsia="zh-CN"/>
                    </w:rPr>
                    <w:t>1</w:t>
                  </w:r>
                  <w:r>
                    <w:rPr>
                      <w:rFonts w:hint="eastAsia"/>
                      <w:color w:val="auto"/>
                    </w:rPr>
                    <w:t>、大力推进城市建成区汽车维修行业VOCs专项整治，从源头上减少</w:t>
                  </w:r>
                </w:p>
                <w:p w14:paraId="5644CF9B">
                  <w:pPr>
                    <w:pStyle w:val="66"/>
                    <w:bidi w:val="0"/>
                    <w:rPr>
                      <w:color w:val="auto"/>
                    </w:rPr>
                  </w:pPr>
                  <w:r>
                    <w:rPr>
                      <w:rFonts w:hint="eastAsia"/>
                      <w:color w:val="auto"/>
                    </w:rPr>
                    <w:t>VOCs污染排放。</w:t>
                  </w:r>
                </w:p>
              </w:tc>
              <w:tc>
                <w:tcPr>
                  <w:tcW w:w="1350" w:type="pct"/>
                  <w:tcBorders>
                    <w:tl2br w:val="nil"/>
                    <w:tr2bl w:val="nil"/>
                  </w:tcBorders>
                  <w:noWrap w:val="0"/>
                  <w:vAlign w:val="center"/>
                </w:tcPr>
                <w:p w14:paraId="5DCD6F19">
                  <w:pPr>
                    <w:pStyle w:val="66"/>
                    <w:bidi w:val="0"/>
                    <w:rPr>
                      <w:rFonts w:hint="default" w:eastAsia="宋体"/>
                      <w:color w:val="auto"/>
                      <w:lang w:val="en-US" w:eastAsia="zh-CN"/>
                    </w:rPr>
                  </w:pPr>
                  <w:r>
                    <w:rPr>
                      <w:rFonts w:hint="default" w:eastAsia="宋体"/>
                      <w:color w:val="auto"/>
                      <w:lang w:val="en-US" w:eastAsia="zh-CN"/>
                    </w:rPr>
                    <w:t>本项目不属于汽车维修行业。</w:t>
                  </w:r>
                </w:p>
              </w:tc>
              <w:tc>
                <w:tcPr>
                  <w:tcW w:w="705" w:type="pct"/>
                  <w:tcBorders>
                    <w:tl2br w:val="nil"/>
                    <w:tr2bl w:val="nil"/>
                  </w:tcBorders>
                  <w:noWrap w:val="0"/>
                  <w:vAlign w:val="center"/>
                </w:tcPr>
                <w:p w14:paraId="5755C9D8">
                  <w:pPr>
                    <w:pStyle w:val="66"/>
                    <w:bidi w:val="0"/>
                    <w:rPr>
                      <w:color w:val="auto"/>
                    </w:rPr>
                  </w:pPr>
                  <w:r>
                    <w:rPr>
                      <w:color w:val="auto"/>
                    </w:rPr>
                    <w:t>准入</w:t>
                  </w:r>
                </w:p>
              </w:tc>
            </w:tr>
            <w:tr w14:paraId="15E8A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323" w:type="pct"/>
                  <w:vMerge w:val="continue"/>
                  <w:tcBorders>
                    <w:tl2br w:val="nil"/>
                    <w:tr2bl w:val="nil"/>
                  </w:tcBorders>
                  <w:noWrap w:val="0"/>
                  <w:vAlign w:val="center"/>
                </w:tcPr>
                <w:p w14:paraId="5FDFF13E">
                  <w:pPr>
                    <w:pStyle w:val="66"/>
                    <w:bidi w:val="0"/>
                    <w:rPr>
                      <w:color w:val="auto"/>
                    </w:rPr>
                  </w:pPr>
                </w:p>
              </w:tc>
              <w:tc>
                <w:tcPr>
                  <w:tcW w:w="509" w:type="pct"/>
                  <w:vMerge w:val="continue"/>
                  <w:tcBorders>
                    <w:tl2br w:val="nil"/>
                    <w:tr2bl w:val="nil"/>
                  </w:tcBorders>
                  <w:noWrap w:val="0"/>
                  <w:tcMar>
                    <w:top w:w="0" w:type="dxa"/>
                    <w:left w:w="108" w:type="dxa"/>
                    <w:bottom w:w="0" w:type="dxa"/>
                    <w:right w:w="108" w:type="dxa"/>
                  </w:tcMar>
                  <w:vAlign w:val="center"/>
                </w:tcPr>
                <w:p w14:paraId="1820C7EF">
                  <w:pPr>
                    <w:pStyle w:val="66"/>
                    <w:bidi w:val="0"/>
                    <w:rPr>
                      <w:color w:val="auto"/>
                    </w:rPr>
                  </w:pPr>
                </w:p>
              </w:tc>
              <w:tc>
                <w:tcPr>
                  <w:tcW w:w="374" w:type="pct"/>
                  <w:vMerge w:val="continue"/>
                  <w:tcBorders>
                    <w:tl2br w:val="nil"/>
                    <w:tr2bl w:val="nil"/>
                  </w:tcBorders>
                  <w:noWrap w:val="0"/>
                  <w:tcMar>
                    <w:top w:w="0" w:type="dxa"/>
                    <w:left w:w="108" w:type="dxa"/>
                    <w:bottom w:w="0" w:type="dxa"/>
                    <w:right w:w="108" w:type="dxa"/>
                  </w:tcMar>
                  <w:vAlign w:val="center"/>
                </w:tcPr>
                <w:p w14:paraId="7DB199B1">
                  <w:pPr>
                    <w:pStyle w:val="66"/>
                    <w:bidi w:val="0"/>
                    <w:rPr>
                      <w:rFonts w:hint="eastAsia" w:eastAsia="宋体"/>
                      <w:color w:val="auto"/>
                      <w:lang w:eastAsia="zh-CN"/>
                    </w:rPr>
                  </w:pPr>
                </w:p>
              </w:tc>
              <w:tc>
                <w:tcPr>
                  <w:tcW w:w="1736" w:type="pct"/>
                  <w:tcBorders>
                    <w:tl2br w:val="nil"/>
                    <w:tr2bl w:val="nil"/>
                  </w:tcBorders>
                  <w:noWrap w:val="0"/>
                  <w:tcMar>
                    <w:top w:w="0" w:type="dxa"/>
                    <w:left w:w="108" w:type="dxa"/>
                    <w:bottom w:w="0" w:type="dxa"/>
                    <w:right w:w="108" w:type="dxa"/>
                  </w:tcMar>
                  <w:vAlign w:val="center"/>
                </w:tcPr>
                <w:p w14:paraId="5B6B8D87">
                  <w:pPr>
                    <w:pStyle w:val="66"/>
                    <w:bidi w:val="0"/>
                    <w:rPr>
                      <w:color w:val="auto"/>
                    </w:rPr>
                  </w:pPr>
                  <w:r>
                    <w:rPr>
                      <w:rFonts w:hint="eastAsia"/>
                      <w:color w:val="auto"/>
                      <w:lang w:val="en-US" w:eastAsia="zh-CN"/>
                    </w:rPr>
                    <w:t>2、</w:t>
                  </w:r>
                  <w:r>
                    <w:rPr>
                      <w:rFonts w:hint="eastAsia"/>
                      <w:color w:val="auto"/>
                    </w:rPr>
                    <w:t>城镇污水集中处理设施外排不低于一级B类</w:t>
                  </w:r>
                </w:p>
              </w:tc>
              <w:tc>
                <w:tcPr>
                  <w:tcW w:w="1350" w:type="pct"/>
                  <w:tcBorders>
                    <w:tl2br w:val="nil"/>
                    <w:tr2bl w:val="nil"/>
                  </w:tcBorders>
                  <w:noWrap w:val="0"/>
                  <w:vAlign w:val="center"/>
                </w:tcPr>
                <w:p w14:paraId="0EEEA1AA">
                  <w:pPr>
                    <w:pStyle w:val="66"/>
                    <w:bidi w:val="0"/>
                    <w:rPr>
                      <w:rFonts w:hint="default" w:eastAsia="宋体"/>
                      <w:color w:val="auto"/>
                      <w:lang w:val="en-US" w:eastAsia="zh-CN"/>
                    </w:rPr>
                  </w:pPr>
                  <w:r>
                    <w:rPr>
                      <w:rFonts w:hint="eastAsia"/>
                      <w:color w:val="auto"/>
                      <w:lang w:val="en-US" w:eastAsia="zh-CN"/>
                    </w:rPr>
                    <w:t>本项目废水不外排</w:t>
                  </w:r>
                </w:p>
              </w:tc>
              <w:tc>
                <w:tcPr>
                  <w:tcW w:w="705" w:type="pct"/>
                  <w:tcBorders>
                    <w:tl2br w:val="nil"/>
                    <w:tr2bl w:val="nil"/>
                  </w:tcBorders>
                  <w:noWrap w:val="0"/>
                  <w:vAlign w:val="center"/>
                </w:tcPr>
                <w:p w14:paraId="14C9045B">
                  <w:pPr>
                    <w:pStyle w:val="66"/>
                    <w:bidi w:val="0"/>
                    <w:rPr>
                      <w:color w:val="auto"/>
                    </w:rPr>
                  </w:pPr>
                  <w:r>
                    <w:rPr>
                      <w:color w:val="auto"/>
                    </w:rPr>
                    <w:t>准入</w:t>
                  </w:r>
                </w:p>
              </w:tc>
            </w:tr>
            <w:tr w14:paraId="0BFBA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323" w:type="pct"/>
                  <w:tcBorders>
                    <w:tl2br w:val="nil"/>
                    <w:tr2bl w:val="nil"/>
                  </w:tcBorders>
                  <w:noWrap w:val="0"/>
                  <w:tcMar>
                    <w:top w:w="0" w:type="dxa"/>
                    <w:left w:w="108" w:type="dxa"/>
                    <w:bottom w:w="0" w:type="dxa"/>
                    <w:right w:w="108" w:type="dxa"/>
                  </w:tcMar>
                  <w:vAlign w:val="center"/>
                </w:tcPr>
                <w:p w14:paraId="062F76A4">
                  <w:pPr>
                    <w:pStyle w:val="66"/>
                    <w:bidi w:val="0"/>
                    <w:rPr>
                      <w:color w:val="auto"/>
                    </w:rPr>
                  </w:pPr>
                  <w:r>
                    <w:rPr>
                      <w:color w:val="auto"/>
                    </w:rPr>
                    <w:t>环境风险防控</w:t>
                  </w:r>
                </w:p>
              </w:tc>
              <w:tc>
                <w:tcPr>
                  <w:tcW w:w="509" w:type="pct"/>
                  <w:tcBorders>
                    <w:tl2br w:val="nil"/>
                    <w:tr2bl w:val="nil"/>
                  </w:tcBorders>
                  <w:noWrap w:val="0"/>
                  <w:tcMar>
                    <w:top w:w="0" w:type="dxa"/>
                    <w:left w:w="108" w:type="dxa"/>
                    <w:bottom w:w="0" w:type="dxa"/>
                    <w:right w:w="108" w:type="dxa"/>
                  </w:tcMar>
                  <w:vAlign w:val="center"/>
                </w:tcPr>
                <w:p w14:paraId="2BFD638C">
                  <w:pPr>
                    <w:pStyle w:val="66"/>
                    <w:bidi w:val="0"/>
                    <w:rPr>
                      <w:color w:val="auto"/>
                    </w:rPr>
                  </w:pPr>
                  <w:r>
                    <w:rPr>
                      <w:rFonts w:hint="eastAsia"/>
                      <w:color w:val="auto"/>
                    </w:rPr>
                    <w:t>用地环境风险防控要染</w:t>
                  </w:r>
                </w:p>
                <w:p w14:paraId="261F8F1C">
                  <w:pPr>
                    <w:pStyle w:val="66"/>
                    <w:bidi w:val="0"/>
                    <w:rPr>
                      <w:color w:val="auto"/>
                    </w:rPr>
                  </w:pPr>
                </w:p>
              </w:tc>
              <w:tc>
                <w:tcPr>
                  <w:tcW w:w="374" w:type="pct"/>
                  <w:tcBorders>
                    <w:tl2br w:val="nil"/>
                    <w:tr2bl w:val="nil"/>
                  </w:tcBorders>
                  <w:noWrap w:val="0"/>
                  <w:tcMar>
                    <w:top w:w="0" w:type="dxa"/>
                    <w:left w:w="108" w:type="dxa"/>
                    <w:bottom w:w="0" w:type="dxa"/>
                    <w:right w:w="108" w:type="dxa"/>
                  </w:tcMar>
                  <w:vAlign w:val="center"/>
                </w:tcPr>
                <w:p w14:paraId="7B45D566">
                  <w:pPr>
                    <w:pStyle w:val="66"/>
                    <w:bidi w:val="0"/>
                    <w:rPr>
                      <w:color w:val="auto"/>
                    </w:rPr>
                  </w:pPr>
                  <w:r>
                    <w:rPr>
                      <w:color w:val="auto"/>
                    </w:rPr>
                    <w:t>9</w:t>
                  </w:r>
                </w:p>
              </w:tc>
              <w:tc>
                <w:tcPr>
                  <w:tcW w:w="1736" w:type="pct"/>
                  <w:tcBorders>
                    <w:tl2br w:val="nil"/>
                    <w:tr2bl w:val="nil"/>
                  </w:tcBorders>
                  <w:noWrap w:val="0"/>
                  <w:tcMar>
                    <w:top w:w="0" w:type="dxa"/>
                    <w:left w:w="108" w:type="dxa"/>
                    <w:bottom w:w="0" w:type="dxa"/>
                    <w:right w:w="108" w:type="dxa"/>
                  </w:tcMar>
                  <w:vAlign w:val="center"/>
                </w:tcPr>
                <w:p w14:paraId="11E6C995">
                  <w:pPr>
                    <w:pStyle w:val="66"/>
                    <w:bidi w:val="0"/>
                    <w:rPr>
                      <w:color w:val="auto"/>
                    </w:rPr>
                  </w:pPr>
                  <w:r>
                    <w:rPr>
                      <w:rFonts w:hint="eastAsia"/>
                      <w:color w:val="auto"/>
                      <w:lang w:eastAsia="zh-CN"/>
                    </w:rPr>
                    <w:t>（</w:t>
                  </w:r>
                  <w:r>
                    <w:rPr>
                      <w:rFonts w:hint="eastAsia"/>
                      <w:color w:val="auto"/>
                    </w:rPr>
                    <w:t>严格管控类农用地环境风险防控要求):严格管控农用地，不得在污染地块种植水稻等特地农产品。</w:t>
                  </w:r>
                </w:p>
              </w:tc>
              <w:tc>
                <w:tcPr>
                  <w:tcW w:w="1350" w:type="pct"/>
                  <w:tcBorders>
                    <w:tl2br w:val="nil"/>
                    <w:tr2bl w:val="nil"/>
                  </w:tcBorders>
                  <w:noWrap w:val="0"/>
                  <w:vAlign w:val="center"/>
                </w:tcPr>
                <w:p w14:paraId="654C0EF4">
                  <w:pPr>
                    <w:pStyle w:val="66"/>
                    <w:bidi w:val="0"/>
                    <w:rPr>
                      <w:rFonts w:hint="eastAsia" w:eastAsia="宋体"/>
                      <w:color w:val="auto"/>
                      <w:lang w:val="en-US" w:eastAsia="zh-CN"/>
                    </w:rPr>
                  </w:pPr>
                  <w:r>
                    <w:rPr>
                      <w:rFonts w:hint="eastAsia"/>
                      <w:color w:val="auto"/>
                      <w:lang w:val="en-US" w:eastAsia="zh-CN"/>
                    </w:rPr>
                    <w:t>本项目用地不涉及农用地。</w:t>
                  </w:r>
                </w:p>
              </w:tc>
              <w:tc>
                <w:tcPr>
                  <w:tcW w:w="705" w:type="pct"/>
                  <w:tcBorders>
                    <w:tl2br w:val="nil"/>
                    <w:tr2bl w:val="nil"/>
                  </w:tcBorders>
                  <w:noWrap w:val="0"/>
                  <w:vAlign w:val="center"/>
                </w:tcPr>
                <w:p w14:paraId="100227E9">
                  <w:pPr>
                    <w:pStyle w:val="66"/>
                    <w:bidi w:val="0"/>
                    <w:rPr>
                      <w:color w:val="auto"/>
                    </w:rPr>
                  </w:pPr>
                  <w:r>
                    <w:rPr>
                      <w:color w:val="auto"/>
                    </w:rPr>
                    <w:t>准入</w:t>
                  </w:r>
                </w:p>
              </w:tc>
            </w:tr>
          </w:tbl>
          <w:p w14:paraId="5C364EAC">
            <w:pPr>
              <w:pStyle w:val="71"/>
              <w:bidi w:val="0"/>
              <w:rPr>
                <w:rFonts w:hint="eastAsia"/>
                <w:b/>
                <w:bCs/>
                <w:color w:val="auto"/>
                <w:lang w:val="en-US" w:eastAsia="zh-CN"/>
              </w:rPr>
            </w:pPr>
            <w:r>
              <w:rPr>
                <w:rFonts w:hint="eastAsia"/>
                <w:color w:val="auto"/>
                <w:highlight w:val="none"/>
                <w:lang w:val="en-US" w:eastAsia="zh-CN"/>
              </w:rPr>
              <w:t>综上所述，本项目</w:t>
            </w:r>
            <w:r>
              <w:rPr>
                <w:color w:val="auto"/>
                <w:highlight w:val="none"/>
                <w:lang w:val="en-US" w:eastAsia="zh-CN"/>
              </w:rPr>
              <w:t>符合</w:t>
            </w:r>
            <w:r>
              <w:rPr>
                <w:rFonts w:hint="eastAsia"/>
                <w:color w:val="auto"/>
                <w:highlight w:val="none"/>
                <w:lang w:val="en-US" w:eastAsia="zh-CN"/>
              </w:rPr>
              <w:t>《赣州市“三线一单”生态环境分区管控方案》及《赣州市环境管控单元生态环境准入清单》要求</w:t>
            </w:r>
            <w:r>
              <w:rPr>
                <w:rFonts w:hint="eastAsia"/>
                <w:color w:val="auto"/>
                <w:lang w:val="en-US" w:eastAsia="zh-CN"/>
              </w:rPr>
              <w:t>。</w:t>
            </w:r>
          </w:p>
          <w:p w14:paraId="5B621F70">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（三）与《江西省长江经济带发展负面清单实施细则（试行，2022年版）》符合性分析</w:t>
            </w:r>
          </w:p>
          <w:p w14:paraId="7F402CC4">
            <w:pPr>
              <w:pStyle w:val="71"/>
              <w:bidi w:val="0"/>
              <w:rPr>
                <w:rFonts w:hint="default" w:ascii="Times New Roman" w:hAnsi="Times New Roman" w:cs="Times New Roman"/>
                <w:color w:val="auto"/>
                <w:lang w:val="en-US" w:eastAsia="zh-CN"/>
              </w:rPr>
            </w:pPr>
            <w:r>
              <w:rPr>
                <w:rFonts w:hint="eastAsia"/>
                <w:color w:val="auto"/>
                <w:lang w:val="en-US" w:eastAsia="zh-CN"/>
              </w:rPr>
              <w:t>本项目与《江西省长江经济带发展负面清单实施细则（试行，2022年版）》符合性分析情况见表1-6。</w:t>
            </w:r>
          </w:p>
          <w:p w14:paraId="073F0BEC">
            <w:pPr>
              <w:pStyle w:val="8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表1-</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本项目与江西省长江经济带发展负面清单实施细则（试行，2022年版）相符性分析表</w:t>
            </w:r>
          </w:p>
          <w:tbl>
            <w:tblPr>
              <w:tblStyle w:val="3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3"/>
              <w:gridCol w:w="4146"/>
              <w:gridCol w:w="1754"/>
              <w:gridCol w:w="777"/>
            </w:tblGrid>
            <w:tr w14:paraId="3A32D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37" w:type="pct"/>
                  <w:gridSpan w:val="2"/>
                  <w:tcBorders>
                    <w:tl2br w:val="nil"/>
                    <w:tr2bl w:val="nil"/>
                  </w:tcBorders>
                  <w:noWrap w:val="0"/>
                  <w:vAlign w:val="center"/>
                </w:tcPr>
                <w:p w14:paraId="35109BFB">
                  <w:pPr>
                    <w:pStyle w:val="67"/>
                    <w:bidi w:val="0"/>
                    <w:jc w:val="center"/>
                    <w:rPr>
                      <w:rFonts w:hint="default"/>
                      <w:color w:val="auto"/>
                      <w:lang w:val="en-US" w:eastAsia="zh-CN"/>
                    </w:rPr>
                  </w:pPr>
                  <w:r>
                    <w:rPr>
                      <w:rFonts w:hint="default"/>
                      <w:color w:val="auto"/>
                      <w:lang w:val="en-US" w:eastAsia="zh-CN"/>
                    </w:rPr>
                    <w:t>江西省长江经济带发展负面清单实施细则（试行，2022年版）</w:t>
                  </w:r>
                  <w:r>
                    <w:rPr>
                      <w:rFonts w:hint="eastAsia"/>
                      <w:color w:val="auto"/>
                      <w:lang w:val="en-US" w:eastAsia="zh-CN"/>
                    </w:rPr>
                    <w:t>内容</w:t>
                  </w:r>
                </w:p>
              </w:tc>
              <w:tc>
                <w:tcPr>
                  <w:tcW w:w="1221" w:type="pct"/>
                  <w:tcBorders>
                    <w:tl2br w:val="nil"/>
                    <w:tr2bl w:val="nil"/>
                  </w:tcBorders>
                  <w:noWrap w:val="0"/>
                  <w:vAlign w:val="center"/>
                </w:tcPr>
                <w:p w14:paraId="036CBCEA">
                  <w:pPr>
                    <w:pStyle w:val="67"/>
                    <w:bidi w:val="0"/>
                    <w:jc w:val="center"/>
                    <w:rPr>
                      <w:rFonts w:hint="default"/>
                      <w:color w:val="auto"/>
                      <w:lang w:val="en-US" w:eastAsia="zh-CN"/>
                    </w:rPr>
                  </w:pPr>
                  <w:r>
                    <w:rPr>
                      <w:rFonts w:hint="eastAsia"/>
                      <w:color w:val="auto"/>
                      <w:lang w:val="en-US" w:eastAsia="zh-CN"/>
                    </w:rPr>
                    <w:t>本项目情况</w:t>
                  </w:r>
                </w:p>
              </w:tc>
              <w:tc>
                <w:tcPr>
                  <w:tcW w:w="541" w:type="pct"/>
                  <w:tcBorders>
                    <w:tl2br w:val="nil"/>
                    <w:tr2bl w:val="nil"/>
                  </w:tcBorders>
                  <w:noWrap w:val="0"/>
                  <w:vAlign w:val="center"/>
                </w:tcPr>
                <w:p w14:paraId="3091A6CC">
                  <w:pPr>
                    <w:pStyle w:val="67"/>
                    <w:bidi w:val="0"/>
                    <w:jc w:val="center"/>
                    <w:rPr>
                      <w:rFonts w:hint="default"/>
                      <w:color w:val="auto"/>
                      <w:lang w:val="en-US" w:eastAsia="zh-CN"/>
                    </w:rPr>
                  </w:pPr>
                  <w:r>
                    <w:rPr>
                      <w:rFonts w:hint="eastAsia"/>
                      <w:color w:val="auto"/>
                      <w:lang w:val="en-US" w:eastAsia="zh-CN"/>
                    </w:rPr>
                    <w:t>相符性</w:t>
                  </w:r>
                </w:p>
              </w:tc>
            </w:tr>
            <w:tr w14:paraId="5F62C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restart"/>
                  <w:tcBorders>
                    <w:tl2br w:val="nil"/>
                    <w:tr2bl w:val="nil"/>
                  </w:tcBorders>
                  <w:noWrap w:val="0"/>
                  <w:vAlign w:val="center"/>
                </w:tcPr>
                <w:p w14:paraId="27BFA800">
                  <w:pPr>
                    <w:pStyle w:val="66"/>
                    <w:bidi w:val="0"/>
                    <w:rPr>
                      <w:rFonts w:hint="eastAsia"/>
                      <w:color w:val="auto"/>
                      <w:lang w:val="en-US" w:eastAsia="zh-CN"/>
                    </w:rPr>
                  </w:pPr>
                  <w:r>
                    <w:rPr>
                      <w:rFonts w:hint="eastAsia"/>
                      <w:color w:val="auto"/>
                      <w:lang w:val="en-US" w:eastAsia="zh-CN"/>
                    </w:rPr>
                    <w:t>严格岸线河段管控</w:t>
                  </w:r>
                </w:p>
              </w:tc>
              <w:tc>
                <w:tcPr>
                  <w:tcW w:w="2886" w:type="pct"/>
                  <w:tcBorders>
                    <w:tl2br w:val="nil"/>
                    <w:tr2bl w:val="nil"/>
                  </w:tcBorders>
                  <w:noWrap w:val="0"/>
                  <w:vAlign w:val="center"/>
                </w:tcPr>
                <w:p w14:paraId="3641A53A">
                  <w:pPr>
                    <w:pStyle w:val="66"/>
                    <w:bidi w:val="0"/>
                    <w:rPr>
                      <w:rFonts w:hint="default"/>
                      <w:color w:val="auto"/>
                      <w:lang w:val="en-US" w:eastAsia="zh-CN"/>
                    </w:rPr>
                  </w:pPr>
                  <w:r>
                    <w:rPr>
                      <w:rFonts w:hint="eastAsia"/>
                      <w:color w:val="auto"/>
                      <w:lang w:val="en-US" w:eastAsia="zh-CN"/>
                    </w:rPr>
                    <w:t>禁止建设不符合国家、省级批准的内河航道及港口布局规划的码头项目，</w:t>
                  </w:r>
                  <w:r>
                    <w:rPr>
                      <w:rFonts w:hint="default"/>
                      <w:color w:val="auto"/>
                      <w:lang w:val="zh-CN"/>
                    </w:rPr>
                    <w:t>禁止建设不符合《长江干线过江通道布局规划》的过长江通道项目</w:t>
                  </w:r>
                </w:p>
              </w:tc>
              <w:tc>
                <w:tcPr>
                  <w:tcW w:w="1221" w:type="pct"/>
                  <w:tcBorders>
                    <w:tl2br w:val="nil"/>
                    <w:tr2bl w:val="nil"/>
                  </w:tcBorders>
                  <w:noWrap w:val="0"/>
                  <w:vAlign w:val="center"/>
                </w:tcPr>
                <w:p w14:paraId="1DA3490D">
                  <w:pPr>
                    <w:pStyle w:val="66"/>
                    <w:bidi w:val="0"/>
                    <w:jc w:val="center"/>
                    <w:rPr>
                      <w:rFonts w:hint="default"/>
                      <w:color w:val="auto"/>
                      <w:lang w:val="en-US" w:eastAsia="zh-CN"/>
                    </w:rPr>
                  </w:pPr>
                  <w:r>
                    <w:rPr>
                      <w:rFonts w:hint="eastAsia"/>
                      <w:color w:val="auto"/>
                      <w:lang w:val="en-US" w:eastAsia="zh-CN"/>
                    </w:rPr>
                    <w:t>本项目</w:t>
                  </w:r>
                  <w:r>
                    <w:rPr>
                      <w:rFonts w:hint="default"/>
                      <w:color w:val="auto"/>
                      <w:lang w:val="en-US" w:eastAsia="zh-CN"/>
                    </w:rPr>
                    <w:t>不属于</w:t>
                  </w:r>
                  <w:r>
                    <w:rPr>
                      <w:rFonts w:hint="eastAsia"/>
                      <w:color w:val="auto"/>
                      <w:lang w:val="en-US" w:eastAsia="zh-CN"/>
                    </w:rPr>
                    <w:t>码头、</w:t>
                  </w:r>
                  <w:r>
                    <w:rPr>
                      <w:rFonts w:hint="default"/>
                      <w:color w:val="auto"/>
                      <w:lang w:val="zh-CN"/>
                    </w:rPr>
                    <w:t>长江通道项目</w:t>
                  </w:r>
                </w:p>
              </w:tc>
              <w:tc>
                <w:tcPr>
                  <w:tcW w:w="541" w:type="pct"/>
                  <w:tcBorders>
                    <w:tl2br w:val="nil"/>
                    <w:tr2bl w:val="nil"/>
                  </w:tcBorders>
                  <w:noWrap w:val="0"/>
                  <w:vAlign w:val="center"/>
                </w:tcPr>
                <w:p w14:paraId="65E2D3DC">
                  <w:pPr>
                    <w:pStyle w:val="66"/>
                    <w:bidi w:val="0"/>
                    <w:jc w:val="center"/>
                    <w:rPr>
                      <w:rFonts w:hint="default"/>
                      <w:color w:val="auto"/>
                      <w:lang w:val="en-US" w:eastAsia="zh-CN"/>
                    </w:rPr>
                  </w:pPr>
                  <w:r>
                    <w:rPr>
                      <w:rFonts w:hint="eastAsia"/>
                      <w:color w:val="auto"/>
                      <w:lang w:val="en-US" w:eastAsia="zh-CN"/>
                    </w:rPr>
                    <w:t>符合</w:t>
                  </w:r>
                </w:p>
              </w:tc>
            </w:tr>
            <w:tr w14:paraId="6045A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77EF5507">
                  <w:pPr>
                    <w:pStyle w:val="66"/>
                    <w:bidi w:val="0"/>
                    <w:rPr>
                      <w:rFonts w:hint="eastAsia"/>
                      <w:color w:val="auto"/>
                      <w:lang w:val="en-US" w:eastAsia="zh-CN"/>
                    </w:rPr>
                  </w:pPr>
                </w:p>
              </w:tc>
              <w:tc>
                <w:tcPr>
                  <w:tcW w:w="2886" w:type="pct"/>
                  <w:tcBorders>
                    <w:tl2br w:val="nil"/>
                    <w:tr2bl w:val="nil"/>
                  </w:tcBorders>
                  <w:noWrap w:val="0"/>
                  <w:vAlign w:val="center"/>
                </w:tcPr>
                <w:p w14:paraId="65154E44">
                  <w:pPr>
                    <w:pStyle w:val="66"/>
                    <w:bidi w:val="0"/>
                    <w:rPr>
                      <w:rFonts w:hint="eastAsia"/>
                      <w:color w:val="auto"/>
                      <w:lang w:val="en-US" w:eastAsia="zh-CN"/>
                    </w:rPr>
                  </w:pPr>
                  <w:r>
                    <w:rPr>
                      <w:rFonts w:hint="default"/>
                      <w:color w:val="auto"/>
                      <w:lang w:val="zh-CN"/>
                    </w:rPr>
                    <w:t>禁止在自然保护区核心区、缓冲区的岸线和河段范围内投资建设旅游和生产经营项目</w:t>
                  </w:r>
                </w:p>
              </w:tc>
              <w:tc>
                <w:tcPr>
                  <w:tcW w:w="1221" w:type="pct"/>
                  <w:tcBorders>
                    <w:tl2br w:val="nil"/>
                    <w:tr2bl w:val="nil"/>
                  </w:tcBorders>
                  <w:noWrap w:val="0"/>
                  <w:vAlign w:val="center"/>
                </w:tcPr>
                <w:p w14:paraId="2F9C6F9D">
                  <w:pPr>
                    <w:pStyle w:val="66"/>
                    <w:bidi w:val="0"/>
                    <w:jc w:val="center"/>
                    <w:rPr>
                      <w:rFonts w:hint="default"/>
                      <w:color w:val="auto"/>
                      <w:lang w:val="en-US" w:eastAsia="zh-CN"/>
                    </w:rPr>
                  </w:pPr>
                  <w:r>
                    <w:rPr>
                      <w:rFonts w:hint="eastAsia"/>
                      <w:color w:val="auto"/>
                      <w:lang w:val="en-US" w:eastAsia="zh-CN"/>
                    </w:rPr>
                    <w:t>本项目不在自然保护区范围内</w:t>
                  </w:r>
                </w:p>
              </w:tc>
              <w:tc>
                <w:tcPr>
                  <w:tcW w:w="541" w:type="pct"/>
                  <w:tcBorders>
                    <w:tl2br w:val="nil"/>
                    <w:tr2bl w:val="nil"/>
                  </w:tcBorders>
                  <w:noWrap w:val="0"/>
                  <w:vAlign w:val="center"/>
                </w:tcPr>
                <w:p w14:paraId="7A20A0D4">
                  <w:pPr>
                    <w:pStyle w:val="66"/>
                    <w:bidi w:val="0"/>
                    <w:jc w:val="center"/>
                    <w:rPr>
                      <w:rFonts w:hint="eastAsia"/>
                      <w:color w:val="auto"/>
                      <w:lang w:val="en-US" w:eastAsia="zh-CN"/>
                    </w:rPr>
                  </w:pPr>
                  <w:r>
                    <w:rPr>
                      <w:rFonts w:hint="eastAsia"/>
                      <w:color w:val="auto"/>
                      <w:lang w:val="en-US" w:eastAsia="zh-CN"/>
                    </w:rPr>
                    <w:t>符合</w:t>
                  </w:r>
                </w:p>
              </w:tc>
            </w:tr>
            <w:tr w14:paraId="5E4B1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64350EEA">
                  <w:pPr>
                    <w:pStyle w:val="66"/>
                    <w:bidi w:val="0"/>
                    <w:rPr>
                      <w:rFonts w:hint="eastAsia"/>
                      <w:color w:val="auto"/>
                      <w:lang w:val="en-US" w:eastAsia="zh-CN"/>
                    </w:rPr>
                  </w:pPr>
                </w:p>
              </w:tc>
              <w:tc>
                <w:tcPr>
                  <w:tcW w:w="2886" w:type="pct"/>
                  <w:tcBorders>
                    <w:tl2br w:val="nil"/>
                    <w:tr2bl w:val="nil"/>
                  </w:tcBorders>
                  <w:noWrap w:val="0"/>
                  <w:vAlign w:val="center"/>
                </w:tcPr>
                <w:p w14:paraId="018D889B">
                  <w:pPr>
                    <w:pStyle w:val="66"/>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禁止在风景名胜区核心景区的岸线和河段范围内开展以下行为：（一）开山、采石、开矿、开荒、修坟立碑等破坏景观、植被和地形地貌的活动</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（二）修建储存爆炸性、易燃性、放射性、毒害性、腐蚀性物品的设施</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（三）违反风景名胜区规划，建设与风景名胜资源保护无关的设施。</w:t>
                  </w:r>
                </w:p>
              </w:tc>
              <w:tc>
                <w:tcPr>
                  <w:tcW w:w="1221" w:type="pct"/>
                  <w:tcBorders>
                    <w:tl2br w:val="nil"/>
                    <w:tr2bl w:val="nil"/>
                  </w:tcBorders>
                  <w:noWrap w:val="0"/>
                  <w:vAlign w:val="center"/>
                </w:tcPr>
                <w:p w14:paraId="0C838F6B">
                  <w:pPr>
                    <w:pStyle w:val="66"/>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本项目不在风景名胜区范围内</w:t>
                  </w:r>
                </w:p>
              </w:tc>
              <w:tc>
                <w:tcPr>
                  <w:tcW w:w="541" w:type="pct"/>
                  <w:tcBorders>
                    <w:tl2br w:val="nil"/>
                    <w:tr2bl w:val="nil"/>
                  </w:tcBorders>
                  <w:noWrap w:val="0"/>
                  <w:vAlign w:val="center"/>
                </w:tcPr>
                <w:p w14:paraId="13292617">
                  <w:pPr>
                    <w:pStyle w:val="66"/>
                    <w:bidi w:val="0"/>
                    <w:jc w:val="center"/>
                    <w:rPr>
                      <w:rFonts w:hint="eastAsia"/>
                      <w:color w:val="auto"/>
                      <w:lang w:val="en-US" w:eastAsia="zh-CN"/>
                    </w:rPr>
                  </w:pPr>
                  <w:r>
                    <w:rPr>
                      <w:rFonts w:hint="eastAsia"/>
                      <w:color w:val="auto"/>
                      <w:lang w:val="en-US" w:eastAsia="zh-CN"/>
                    </w:rPr>
                    <w:t>符合</w:t>
                  </w:r>
                </w:p>
              </w:tc>
            </w:tr>
            <w:tr w14:paraId="30777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5ADFFCBE">
                  <w:pPr>
                    <w:pStyle w:val="66"/>
                    <w:bidi w:val="0"/>
                    <w:rPr>
                      <w:rFonts w:hint="eastAsia"/>
                      <w:color w:val="auto"/>
                      <w:lang w:val="en-US" w:eastAsia="zh-CN"/>
                    </w:rPr>
                  </w:pPr>
                </w:p>
              </w:tc>
              <w:tc>
                <w:tcPr>
                  <w:tcW w:w="2886" w:type="pct"/>
                  <w:tcBorders>
                    <w:tl2br w:val="nil"/>
                    <w:tr2bl w:val="nil"/>
                  </w:tcBorders>
                  <w:noWrap w:val="0"/>
                  <w:vAlign w:val="center"/>
                </w:tcPr>
                <w:p w14:paraId="77A0CA61">
                  <w:pPr>
                    <w:pStyle w:val="66"/>
                    <w:bidi w:val="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禁止在饮用水水源一级保护区的岸线和河段范围内开展下列行为</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（一）新建、改建、扩建与供水设施和保护水源无关的建设项目；已建成的与供水设施和保护水源无关的建设项目，由县级以上人民政府责令拆除或者关闭</w:t>
                  </w:r>
                  <w:r>
                    <w:rPr>
                      <w:rFonts w:hint="eastAsia" w:ascii="Times New Roman" w:hAnsi="Times New Roman" w:eastAsia="宋体" w:cs="Times New Roman"/>
                      <w:color w:val="auto"/>
                      <w:lang w:val="zh-CN"/>
                    </w:rPr>
                    <w:t>；</w:t>
                  </w:r>
                  <w:r>
                    <w:rPr>
                      <w:rFonts w:hint="default" w:ascii="Times New Roman" w:hAnsi="Times New Roman" w:eastAsia="宋体" w:cs="Times New Roman"/>
                      <w:color w:val="auto"/>
                      <w:lang w:val="zh-CN"/>
                    </w:rPr>
                    <w:t>（二）禁止在饮用水水源一级保护区内从事网箱养殖、旅游、游泳、垂钓或者其他可能污染饮用水水体的活动。</w:t>
                  </w:r>
                </w:p>
              </w:tc>
              <w:tc>
                <w:tcPr>
                  <w:tcW w:w="1221" w:type="pct"/>
                  <w:tcBorders>
                    <w:tl2br w:val="nil"/>
                    <w:tr2bl w:val="nil"/>
                  </w:tcBorders>
                  <w:noWrap w:val="0"/>
                  <w:vAlign w:val="center"/>
                </w:tcPr>
                <w:p w14:paraId="57032156">
                  <w:pPr>
                    <w:pStyle w:val="6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不在饮用水水源一级保护区的岸线和河段范围内</w:t>
                  </w:r>
                </w:p>
                <w:p w14:paraId="66C1180B">
                  <w:pPr>
                    <w:pStyle w:val="66"/>
                    <w:bidi w:val="0"/>
                    <w:rPr>
                      <w:rFonts w:hint="default" w:ascii="Times New Roman" w:hAnsi="Times New Roman" w:eastAsia="宋体" w:cs="Times New Roman"/>
                      <w:color w:val="auto"/>
                      <w:lang w:val="en-US" w:eastAsia="zh-CN"/>
                    </w:rPr>
                  </w:pPr>
                </w:p>
              </w:tc>
              <w:tc>
                <w:tcPr>
                  <w:tcW w:w="541" w:type="pct"/>
                  <w:tcBorders>
                    <w:tl2br w:val="nil"/>
                    <w:tr2bl w:val="nil"/>
                  </w:tcBorders>
                  <w:noWrap w:val="0"/>
                  <w:vAlign w:val="center"/>
                </w:tcPr>
                <w:p w14:paraId="64816933">
                  <w:pPr>
                    <w:pStyle w:val="66"/>
                    <w:bidi w:val="0"/>
                    <w:jc w:val="center"/>
                    <w:rPr>
                      <w:rFonts w:hint="eastAsia"/>
                      <w:color w:val="auto"/>
                      <w:lang w:val="en-US" w:eastAsia="zh-CN"/>
                    </w:rPr>
                  </w:pPr>
                  <w:r>
                    <w:rPr>
                      <w:rFonts w:hint="eastAsia"/>
                      <w:color w:val="auto"/>
                      <w:lang w:val="en-US" w:eastAsia="zh-CN"/>
                    </w:rPr>
                    <w:t>符合</w:t>
                  </w:r>
                </w:p>
              </w:tc>
            </w:tr>
            <w:tr w14:paraId="48240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23E0DC79">
                  <w:pPr>
                    <w:pStyle w:val="66"/>
                    <w:bidi w:val="0"/>
                    <w:rPr>
                      <w:rFonts w:hint="eastAsia"/>
                      <w:color w:val="auto"/>
                      <w:lang w:val="en-US" w:eastAsia="zh-CN"/>
                    </w:rPr>
                  </w:pPr>
                </w:p>
              </w:tc>
              <w:tc>
                <w:tcPr>
                  <w:tcW w:w="2886" w:type="pct"/>
                  <w:tcBorders>
                    <w:tl2br w:val="nil"/>
                    <w:tr2bl w:val="nil"/>
                  </w:tcBorders>
                  <w:noWrap w:val="0"/>
                  <w:vAlign w:val="center"/>
                </w:tcPr>
                <w:p w14:paraId="0C69A78C">
                  <w:pPr>
                    <w:pStyle w:val="66"/>
                    <w:bidi w:val="0"/>
                    <w:rPr>
                      <w:rFonts w:hint="default"/>
                      <w:color w:val="auto"/>
                      <w:lang w:val="en-US" w:eastAsia="zh-CN"/>
                    </w:rPr>
                  </w:pPr>
                  <w:r>
                    <w:rPr>
                      <w:rFonts w:hint="default"/>
                      <w:color w:val="auto"/>
                      <w:lang w:val="zh-CN"/>
                    </w:rPr>
                    <w:t>禁止在饮用水水源二级保护区的岸线和河段范围</w:t>
                  </w:r>
                  <w:r>
                    <w:rPr>
                      <w:rFonts w:hint="eastAsia"/>
                      <w:color w:val="auto"/>
                      <w:lang w:val="en-US" w:eastAsia="zh-CN"/>
                    </w:rPr>
                    <w:t>内开展以下行为：</w:t>
                  </w:r>
                  <w:r>
                    <w:rPr>
                      <w:rFonts w:hint="default"/>
                      <w:color w:val="auto"/>
                      <w:lang w:val="zh-CN"/>
                    </w:rPr>
                    <w:t>（一）新建、改建、扩建排放污染物的建设项目；已建成的排放污染物的建设项目，由县级以上人民政府责令拆除或者关闭</w:t>
                  </w:r>
                  <w:r>
                    <w:rPr>
                      <w:rFonts w:hint="eastAsia"/>
                      <w:color w:val="auto"/>
                      <w:lang w:val="zh-CN"/>
                    </w:rPr>
                    <w:t>；</w:t>
                  </w:r>
                  <w:r>
                    <w:rPr>
                      <w:rFonts w:hint="default"/>
                      <w:color w:val="auto"/>
                      <w:lang w:val="zh-CN"/>
                    </w:rPr>
                    <w:t>（二）在饮用水水源二级保护区内从事网箱养殖、旅游等活动的，应当按照规定采取措施，防止污染饮用水水体</w:t>
                  </w:r>
                  <w:r>
                    <w:rPr>
                      <w:rFonts w:hint="eastAsia"/>
                      <w:color w:val="auto"/>
                      <w:lang w:val="zh-CN"/>
                    </w:rPr>
                    <w:t>。</w:t>
                  </w:r>
                </w:p>
              </w:tc>
              <w:tc>
                <w:tcPr>
                  <w:tcW w:w="1221" w:type="pct"/>
                  <w:tcBorders>
                    <w:tl2br w:val="nil"/>
                    <w:tr2bl w:val="nil"/>
                  </w:tcBorders>
                  <w:noWrap w:val="0"/>
                  <w:vAlign w:val="center"/>
                </w:tcPr>
                <w:p w14:paraId="679B6B48">
                  <w:pPr>
                    <w:pStyle w:val="66"/>
                    <w:bidi w:val="0"/>
                    <w:jc w:val="center"/>
                    <w:rPr>
                      <w:rFonts w:hint="default"/>
                      <w:color w:val="auto"/>
                      <w:lang w:val="en-US" w:eastAsia="zh-CN"/>
                    </w:rPr>
                  </w:pPr>
                  <w:r>
                    <w:rPr>
                      <w:rFonts w:hint="eastAsia"/>
                      <w:color w:val="auto"/>
                      <w:lang w:val="en-US" w:eastAsia="zh-CN"/>
                    </w:rPr>
                    <w:t>本项目不在</w:t>
                  </w:r>
                  <w:r>
                    <w:rPr>
                      <w:rFonts w:hint="default"/>
                      <w:color w:val="auto"/>
                      <w:lang w:val="zh-CN"/>
                    </w:rPr>
                    <w:t>饮用水水源二级保护区的岸线和河段范围</w:t>
                  </w:r>
                  <w:r>
                    <w:rPr>
                      <w:rFonts w:hint="eastAsia"/>
                      <w:color w:val="auto"/>
                      <w:lang w:val="en-US" w:eastAsia="zh-CN"/>
                    </w:rPr>
                    <w:t>内</w:t>
                  </w:r>
                </w:p>
              </w:tc>
              <w:tc>
                <w:tcPr>
                  <w:tcW w:w="541" w:type="pct"/>
                  <w:tcBorders>
                    <w:tl2br w:val="nil"/>
                    <w:tr2bl w:val="nil"/>
                  </w:tcBorders>
                  <w:noWrap w:val="0"/>
                  <w:vAlign w:val="center"/>
                </w:tcPr>
                <w:p w14:paraId="065489CC">
                  <w:pPr>
                    <w:pStyle w:val="66"/>
                    <w:bidi w:val="0"/>
                    <w:jc w:val="center"/>
                    <w:rPr>
                      <w:rFonts w:hint="eastAsia"/>
                      <w:color w:val="auto"/>
                      <w:lang w:val="en-US" w:eastAsia="zh-CN"/>
                    </w:rPr>
                  </w:pPr>
                  <w:r>
                    <w:rPr>
                      <w:rFonts w:hint="eastAsia"/>
                      <w:color w:val="auto"/>
                      <w:lang w:val="en-US" w:eastAsia="zh-CN"/>
                    </w:rPr>
                    <w:t>符合</w:t>
                  </w:r>
                </w:p>
              </w:tc>
            </w:tr>
            <w:tr w14:paraId="1DD2C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70F9974C">
                  <w:pPr>
                    <w:pStyle w:val="66"/>
                    <w:bidi w:val="0"/>
                    <w:rPr>
                      <w:rFonts w:hint="eastAsia"/>
                      <w:color w:val="auto"/>
                      <w:lang w:val="en-US" w:eastAsia="zh-CN"/>
                    </w:rPr>
                  </w:pPr>
                </w:p>
              </w:tc>
              <w:tc>
                <w:tcPr>
                  <w:tcW w:w="2886" w:type="pct"/>
                  <w:tcBorders>
                    <w:tl2br w:val="nil"/>
                    <w:tr2bl w:val="nil"/>
                  </w:tcBorders>
                  <w:noWrap w:val="0"/>
                  <w:vAlign w:val="center"/>
                </w:tcPr>
                <w:p w14:paraId="18C38580">
                  <w:pPr>
                    <w:pStyle w:val="66"/>
                    <w:bidi w:val="0"/>
                    <w:rPr>
                      <w:rFonts w:hint="default"/>
                      <w:color w:val="auto"/>
                      <w:lang w:val="zh-CN"/>
                    </w:rPr>
                  </w:pPr>
                  <w:r>
                    <w:rPr>
                      <w:rFonts w:hint="default"/>
                      <w:color w:val="auto"/>
                      <w:lang w:val="zh-CN"/>
                    </w:rPr>
                    <w:t>禁止在水产种质资源保护区的岸线和河段范围内新建围湖（河）造田（地）等投资建设项目</w:t>
                  </w:r>
                </w:p>
              </w:tc>
              <w:tc>
                <w:tcPr>
                  <w:tcW w:w="1221" w:type="pct"/>
                  <w:tcBorders>
                    <w:tl2br w:val="nil"/>
                    <w:tr2bl w:val="nil"/>
                  </w:tcBorders>
                  <w:noWrap w:val="0"/>
                  <w:vAlign w:val="center"/>
                </w:tcPr>
                <w:p w14:paraId="76B23675">
                  <w:pPr>
                    <w:pStyle w:val="66"/>
                    <w:bidi w:val="0"/>
                    <w:jc w:val="center"/>
                    <w:rPr>
                      <w:rFonts w:hint="default"/>
                      <w:color w:val="auto"/>
                      <w:lang w:val="en-US" w:eastAsia="zh-CN"/>
                    </w:rPr>
                  </w:pPr>
                  <w:r>
                    <w:rPr>
                      <w:rFonts w:hint="eastAsia"/>
                      <w:color w:val="auto"/>
                      <w:lang w:val="en-US" w:eastAsia="zh-CN"/>
                    </w:rPr>
                    <w:t>本项目不在</w:t>
                  </w:r>
                  <w:r>
                    <w:rPr>
                      <w:rFonts w:hint="default"/>
                      <w:color w:val="auto"/>
                      <w:lang w:val="zh-CN"/>
                    </w:rPr>
                    <w:t>水产种质资源保护区</w:t>
                  </w:r>
                  <w:r>
                    <w:rPr>
                      <w:rFonts w:hint="eastAsia"/>
                      <w:color w:val="auto"/>
                      <w:lang w:val="en-US" w:eastAsia="zh-CN"/>
                    </w:rPr>
                    <w:t>范围内</w:t>
                  </w:r>
                </w:p>
              </w:tc>
              <w:tc>
                <w:tcPr>
                  <w:tcW w:w="541" w:type="pct"/>
                  <w:tcBorders>
                    <w:tl2br w:val="nil"/>
                    <w:tr2bl w:val="nil"/>
                  </w:tcBorders>
                  <w:noWrap w:val="0"/>
                  <w:vAlign w:val="center"/>
                </w:tcPr>
                <w:p w14:paraId="664747D6">
                  <w:pPr>
                    <w:pStyle w:val="66"/>
                    <w:bidi w:val="0"/>
                    <w:jc w:val="center"/>
                    <w:rPr>
                      <w:rFonts w:hint="eastAsia"/>
                      <w:color w:val="auto"/>
                      <w:lang w:val="en-US" w:eastAsia="zh-CN"/>
                    </w:rPr>
                  </w:pPr>
                  <w:r>
                    <w:rPr>
                      <w:rFonts w:hint="eastAsia"/>
                      <w:color w:val="auto"/>
                      <w:lang w:val="en-US" w:eastAsia="zh-CN"/>
                    </w:rPr>
                    <w:t>符合</w:t>
                  </w:r>
                </w:p>
              </w:tc>
            </w:tr>
            <w:tr w14:paraId="19A70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6F003EF7">
                  <w:pPr>
                    <w:pStyle w:val="66"/>
                    <w:bidi w:val="0"/>
                    <w:rPr>
                      <w:rFonts w:hint="eastAsia"/>
                      <w:color w:val="auto"/>
                      <w:lang w:val="en-US" w:eastAsia="zh-CN"/>
                    </w:rPr>
                  </w:pPr>
                </w:p>
              </w:tc>
              <w:tc>
                <w:tcPr>
                  <w:tcW w:w="2886" w:type="pct"/>
                  <w:tcBorders>
                    <w:tl2br w:val="nil"/>
                    <w:tr2bl w:val="nil"/>
                  </w:tcBorders>
                  <w:noWrap w:val="0"/>
                  <w:vAlign w:val="center"/>
                </w:tcPr>
                <w:p w14:paraId="67E2F8AC">
                  <w:pPr>
                    <w:pStyle w:val="66"/>
                    <w:bidi w:val="0"/>
                    <w:rPr>
                      <w:rFonts w:hint="default"/>
                      <w:color w:val="auto"/>
                      <w:lang w:val="zh-CN"/>
                    </w:rPr>
                  </w:pPr>
                  <w:r>
                    <w:rPr>
                      <w:rFonts w:hint="default"/>
                      <w:color w:val="auto"/>
                      <w:lang w:val="zh-CN"/>
                    </w:rPr>
                    <w:t>除国家规定的外，禁止在国家湿地公园的岸线和河段范围内挖沙、采矿以及任何不符合主体功能定位的投资建设项目</w:t>
                  </w:r>
                </w:p>
              </w:tc>
              <w:tc>
                <w:tcPr>
                  <w:tcW w:w="1221" w:type="pct"/>
                  <w:tcBorders>
                    <w:tl2br w:val="nil"/>
                    <w:tr2bl w:val="nil"/>
                  </w:tcBorders>
                  <w:noWrap w:val="0"/>
                  <w:vAlign w:val="center"/>
                </w:tcPr>
                <w:p w14:paraId="30C69639">
                  <w:pPr>
                    <w:pStyle w:val="66"/>
                    <w:bidi w:val="0"/>
                    <w:jc w:val="center"/>
                    <w:rPr>
                      <w:rFonts w:hint="eastAsia" w:eastAsia="宋体"/>
                      <w:color w:val="auto"/>
                      <w:lang w:val="en-US" w:eastAsia="zh-CN"/>
                    </w:rPr>
                  </w:pPr>
                  <w:r>
                    <w:rPr>
                      <w:rFonts w:hint="eastAsia"/>
                      <w:color w:val="auto"/>
                      <w:lang w:val="en-US" w:eastAsia="zh-CN"/>
                    </w:rPr>
                    <w:t>本项目不在</w:t>
                  </w:r>
                  <w:r>
                    <w:rPr>
                      <w:rFonts w:hint="default"/>
                      <w:color w:val="auto"/>
                      <w:lang w:val="zh-CN"/>
                    </w:rPr>
                    <w:t>国家湿地公园</w:t>
                  </w:r>
                  <w:r>
                    <w:rPr>
                      <w:rFonts w:hint="eastAsia"/>
                      <w:color w:val="auto"/>
                      <w:lang w:val="en-US" w:eastAsia="zh-CN"/>
                    </w:rPr>
                    <w:t>内</w:t>
                  </w:r>
                </w:p>
              </w:tc>
              <w:tc>
                <w:tcPr>
                  <w:tcW w:w="541" w:type="pct"/>
                  <w:tcBorders>
                    <w:tl2br w:val="nil"/>
                    <w:tr2bl w:val="nil"/>
                  </w:tcBorders>
                  <w:noWrap w:val="0"/>
                  <w:vAlign w:val="center"/>
                </w:tcPr>
                <w:p w14:paraId="1A333C5C">
                  <w:pPr>
                    <w:pStyle w:val="66"/>
                    <w:bidi w:val="0"/>
                    <w:jc w:val="center"/>
                    <w:rPr>
                      <w:rFonts w:hint="eastAsia"/>
                      <w:color w:val="auto"/>
                      <w:lang w:val="en-US" w:eastAsia="zh-CN"/>
                    </w:rPr>
                  </w:pPr>
                  <w:r>
                    <w:rPr>
                      <w:rFonts w:hint="eastAsia"/>
                      <w:color w:val="auto"/>
                      <w:lang w:val="en-US" w:eastAsia="zh-CN"/>
                    </w:rPr>
                    <w:t>符合</w:t>
                  </w:r>
                </w:p>
              </w:tc>
            </w:tr>
            <w:tr w14:paraId="5C674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66C20D0C">
                  <w:pPr>
                    <w:pStyle w:val="66"/>
                    <w:bidi w:val="0"/>
                    <w:rPr>
                      <w:rFonts w:hint="eastAsia"/>
                      <w:color w:val="auto"/>
                      <w:lang w:val="en-US" w:eastAsia="zh-CN"/>
                    </w:rPr>
                  </w:pPr>
                </w:p>
              </w:tc>
              <w:tc>
                <w:tcPr>
                  <w:tcW w:w="2886" w:type="pct"/>
                  <w:tcBorders>
                    <w:tl2br w:val="nil"/>
                    <w:tr2bl w:val="nil"/>
                  </w:tcBorders>
                  <w:noWrap w:val="0"/>
                  <w:vAlign w:val="center"/>
                </w:tcPr>
                <w:p w14:paraId="52AC0A70">
                  <w:pPr>
                    <w:pStyle w:val="66"/>
                    <w:bidi w:val="0"/>
                    <w:rPr>
                      <w:rFonts w:hint="eastAsia"/>
                      <w:color w:val="auto"/>
                      <w:lang w:val="en-US" w:eastAsia="zh-CN"/>
                    </w:rPr>
                  </w:pPr>
                  <w:r>
                    <w:rPr>
                      <w:rFonts w:hint="default"/>
                      <w:color w:val="auto"/>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w:t>
                  </w:r>
                  <w:r>
                    <w:rPr>
                      <w:rFonts w:hint="eastAsia"/>
                      <w:color w:val="auto"/>
                      <w:lang w:val="en-US" w:eastAsia="zh-CN"/>
                    </w:rPr>
                    <w:t>项目</w:t>
                  </w:r>
                </w:p>
              </w:tc>
              <w:tc>
                <w:tcPr>
                  <w:tcW w:w="1221" w:type="pct"/>
                  <w:tcBorders>
                    <w:tl2br w:val="nil"/>
                    <w:tr2bl w:val="nil"/>
                  </w:tcBorders>
                  <w:noWrap w:val="0"/>
                  <w:vAlign w:val="center"/>
                </w:tcPr>
                <w:p w14:paraId="0F02B553">
                  <w:pPr>
                    <w:pStyle w:val="66"/>
                    <w:bidi w:val="0"/>
                    <w:jc w:val="center"/>
                    <w:rPr>
                      <w:rFonts w:hint="default"/>
                      <w:color w:val="auto"/>
                      <w:lang w:val="en-US" w:eastAsia="zh-CN"/>
                    </w:rPr>
                  </w:pPr>
                  <w:r>
                    <w:rPr>
                      <w:rFonts w:hint="eastAsia"/>
                      <w:color w:val="auto"/>
                      <w:lang w:val="en-US" w:eastAsia="zh-CN"/>
                    </w:rPr>
                    <w:t>本项目不在划定的</w:t>
                  </w:r>
                  <w:r>
                    <w:rPr>
                      <w:rFonts w:hint="default"/>
                      <w:color w:val="auto"/>
                      <w:lang w:val="zh-CN"/>
                    </w:rPr>
                    <w:t>岸线保护区和保留区内</w:t>
                  </w:r>
                </w:p>
              </w:tc>
              <w:tc>
                <w:tcPr>
                  <w:tcW w:w="541" w:type="pct"/>
                  <w:tcBorders>
                    <w:tl2br w:val="nil"/>
                    <w:tr2bl w:val="nil"/>
                  </w:tcBorders>
                  <w:noWrap w:val="0"/>
                  <w:vAlign w:val="center"/>
                </w:tcPr>
                <w:p w14:paraId="47217487">
                  <w:pPr>
                    <w:pStyle w:val="66"/>
                    <w:bidi w:val="0"/>
                    <w:jc w:val="center"/>
                    <w:rPr>
                      <w:rFonts w:hint="eastAsia"/>
                      <w:color w:val="auto"/>
                      <w:lang w:val="en-US" w:eastAsia="zh-CN"/>
                    </w:rPr>
                  </w:pPr>
                  <w:r>
                    <w:rPr>
                      <w:rFonts w:hint="eastAsia"/>
                      <w:color w:val="auto"/>
                      <w:lang w:val="en-US" w:eastAsia="zh-CN"/>
                    </w:rPr>
                    <w:t>符合</w:t>
                  </w:r>
                </w:p>
              </w:tc>
            </w:tr>
            <w:tr w14:paraId="68CCD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0206B379">
                  <w:pPr>
                    <w:pStyle w:val="66"/>
                    <w:bidi w:val="0"/>
                    <w:rPr>
                      <w:rFonts w:hint="eastAsia"/>
                      <w:color w:val="auto"/>
                      <w:lang w:val="en-US" w:eastAsia="zh-CN"/>
                    </w:rPr>
                  </w:pPr>
                </w:p>
              </w:tc>
              <w:tc>
                <w:tcPr>
                  <w:tcW w:w="2886" w:type="pct"/>
                  <w:tcBorders>
                    <w:tl2br w:val="nil"/>
                    <w:tr2bl w:val="nil"/>
                  </w:tcBorders>
                  <w:noWrap w:val="0"/>
                  <w:vAlign w:val="center"/>
                </w:tcPr>
                <w:p w14:paraId="144D4798">
                  <w:pPr>
                    <w:pStyle w:val="66"/>
                    <w:bidi w:val="0"/>
                    <w:rPr>
                      <w:rFonts w:hint="default"/>
                      <w:color w:val="auto"/>
                      <w:lang w:val="zh-CN"/>
                    </w:rPr>
                  </w:pPr>
                  <w:r>
                    <w:rPr>
                      <w:rFonts w:hint="default"/>
                      <w:color w:val="auto"/>
                      <w:lang w:val="zh-CN"/>
                    </w:rPr>
                    <w:t>禁止在《全国重要江河湖泊水功能区划》划定的河段及湖泊保护区、保留区内投资建设不利于水资源及自然生态保护的项目</w:t>
                  </w:r>
                </w:p>
              </w:tc>
              <w:tc>
                <w:tcPr>
                  <w:tcW w:w="1221" w:type="pct"/>
                  <w:tcBorders>
                    <w:tl2br w:val="nil"/>
                    <w:tr2bl w:val="nil"/>
                  </w:tcBorders>
                  <w:noWrap w:val="0"/>
                  <w:vAlign w:val="center"/>
                </w:tcPr>
                <w:p w14:paraId="60BA62A2">
                  <w:pPr>
                    <w:pStyle w:val="66"/>
                    <w:bidi w:val="0"/>
                    <w:jc w:val="center"/>
                    <w:rPr>
                      <w:rFonts w:hint="eastAsia" w:eastAsia="宋体"/>
                      <w:color w:val="auto"/>
                      <w:lang w:val="en-US" w:eastAsia="zh-CN"/>
                    </w:rPr>
                  </w:pPr>
                  <w:r>
                    <w:rPr>
                      <w:rFonts w:hint="eastAsia"/>
                      <w:color w:val="auto"/>
                      <w:lang w:val="en-US" w:eastAsia="zh-CN"/>
                    </w:rPr>
                    <w:t>本项目不在划定的</w:t>
                  </w:r>
                  <w:r>
                    <w:rPr>
                      <w:rFonts w:hint="default"/>
                      <w:color w:val="auto"/>
                      <w:lang w:val="zh-CN"/>
                    </w:rPr>
                    <w:t>河段及湖泊保护区、保留区</w:t>
                  </w:r>
                  <w:r>
                    <w:rPr>
                      <w:rFonts w:hint="eastAsia"/>
                      <w:color w:val="auto"/>
                      <w:lang w:val="en-US" w:eastAsia="zh-CN"/>
                    </w:rPr>
                    <w:t>内</w:t>
                  </w:r>
                </w:p>
              </w:tc>
              <w:tc>
                <w:tcPr>
                  <w:tcW w:w="541" w:type="pct"/>
                  <w:tcBorders>
                    <w:tl2br w:val="nil"/>
                    <w:tr2bl w:val="nil"/>
                  </w:tcBorders>
                  <w:noWrap w:val="0"/>
                  <w:vAlign w:val="center"/>
                </w:tcPr>
                <w:p w14:paraId="09A5AE62">
                  <w:pPr>
                    <w:pStyle w:val="66"/>
                    <w:bidi w:val="0"/>
                    <w:jc w:val="center"/>
                    <w:rPr>
                      <w:rFonts w:hint="eastAsia"/>
                      <w:color w:val="auto"/>
                      <w:lang w:val="en-US" w:eastAsia="zh-CN"/>
                    </w:rPr>
                  </w:pPr>
                  <w:r>
                    <w:rPr>
                      <w:rFonts w:hint="eastAsia"/>
                      <w:color w:val="auto"/>
                      <w:lang w:val="en-US" w:eastAsia="zh-CN"/>
                    </w:rPr>
                    <w:t>符合</w:t>
                  </w:r>
                </w:p>
              </w:tc>
            </w:tr>
            <w:tr w14:paraId="1C9A2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restart"/>
                  <w:tcBorders>
                    <w:tl2br w:val="nil"/>
                    <w:tr2bl w:val="nil"/>
                  </w:tcBorders>
                  <w:noWrap w:val="0"/>
                  <w:vAlign w:val="center"/>
                </w:tcPr>
                <w:p w14:paraId="33DCE93A">
                  <w:pPr>
                    <w:pStyle w:val="66"/>
                    <w:bidi w:val="0"/>
                    <w:rPr>
                      <w:rFonts w:hint="default"/>
                      <w:color w:val="auto"/>
                      <w:lang w:val="en-US" w:eastAsia="zh-CN"/>
                    </w:rPr>
                  </w:pPr>
                  <w:r>
                    <w:rPr>
                      <w:rFonts w:hint="eastAsia"/>
                      <w:color w:val="auto"/>
                      <w:lang w:val="en-US" w:eastAsia="zh-CN"/>
                    </w:rPr>
                    <w:t>严格区域管控</w:t>
                  </w:r>
                </w:p>
              </w:tc>
              <w:tc>
                <w:tcPr>
                  <w:tcW w:w="2886" w:type="pct"/>
                  <w:tcBorders>
                    <w:tl2br w:val="nil"/>
                    <w:tr2bl w:val="nil"/>
                  </w:tcBorders>
                  <w:noWrap w:val="0"/>
                  <w:vAlign w:val="center"/>
                </w:tcPr>
                <w:p w14:paraId="45FD35D0">
                  <w:pPr>
                    <w:pStyle w:val="66"/>
                    <w:bidi w:val="0"/>
                    <w:rPr>
                      <w:rFonts w:hint="default"/>
                      <w:color w:val="auto"/>
                      <w:lang w:val="zh-CN"/>
                    </w:rPr>
                  </w:pPr>
                  <w:r>
                    <w:rPr>
                      <w:rFonts w:hint="default"/>
                      <w:color w:val="auto"/>
                      <w:lang w:val="zh-CN"/>
                    </w:rPr>
                    <w:t>禁止未经许可在长江干支流及湖泊新设、改设或扩大排污口</w:t>
                  </w:r>
                </w:p>
              </w:tc>
              <w:tc>
                <w:tcPr>
                  <w:tcW w:w="1221" w:type="pct"/>
                  <w:tcBorders>
                    <w:tl2br w:val="nil"/>
                    <w:tr2bl w:val="nil"/>
                  </w:tcBorders>
                  <w:noWrap w:val="0"/>
                  <w:vAlign w:val="center"/>
                </w:tcPr>
                <w:p w14:paraId="1F81FD70">
                  <w:pPr>
                    <w:pStyle w:val="66"/>
                    <w:bidi w:val="0"/>
                    <w:jc w:val="center"/>
                    <w:rPr>
                      <w:rFonts w:hint="default"/>
                      <w:color w:val="auto"/>
                      <w:lang w:val="en-US" w:eastAsia="zh-CN"/>
                    </w:rPr>
                  </w:pPr>
                  <w:r>
                    <w:rPr>
                      <w:rFonts w:hint="eastAsia"/>
                      <w:color w:val="auto"/>
                      <w:lang w:val="en-US" w:eastAsia="zh-CN"/>
                    </w:rPr>
                    <w:t>本项目不设排污口</w:t>
                  </w:r>
                </w:p>
              </w:tc>
              <w:tc>
                <w:tcPr>
                  <w:tcW w:w="541" w:type="pct"/>
                  <w:tcBorders>
                    <w:tl2br w:val="nil"/>
                    <w:tr2bl w:val="nil"/>
                  </w:tcBorders>
                  <w:noWrap w:val="0"/>
                  <w:vAlign w:val="center"/>
                </w:tcPr>
                <w:p w14:paraId="6DC0E9F7">
                  <w:pPr>
                    <w:pStyle w:val="66"/>
                    <w:bidi w:val="0"/>
                    <w:jc w:val="center"/>
                    <w:rPr>
                      <w:rFonts w:hint="eastAsia"/>
                      <w:color w:val="auto"/>
                      <w:lang w:val="en-US" w:eastAsia="zh-CN"/>
                    </w:rPr>
                  </w:pPr>
                  <w:r>
                    <w:rPr>
                      <w:rFonts w:hint="eastAsia"/>
                      <w:color w:val="auto"/>
                      <w:lang w:val="en-US" w:eastAsia="zh-CN"/>
                    </w:rPr>
                    <w:t>符合</w:t>
                  </w:r>
                </w:p>
              </w:tc>
            </w:tr>
            <w:tr w14:paraId="0B807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65848C17">
                  <w:pPr>
                    <w:pStyle w:val="66"/>
                    <w:bidi w:val="0"/>
                    <w:rPr>
                      <w:rFonts w:hint="eastAsia"/>
                      <w:color w:val="auto"/>
                      <w:lang w:val="en-US" w:eastAsia="zh-CN"/>
                    </w:rPr>
                  </w:pPr>
                </w:p>
              </w:tc>
              <w:tc>
                <w:tcPr>
                  <w:tcW w:w="2886" w:type="pct"/>
                  <w:tcBorders>
                    <w:tl2br w:val="nil"/>
                    <w:tr2bl w:val="nil"/>
                  </w:tcBorders>
                  <w:noWrap w:val="0"/>
                  <w:vAlign w:val="center"/>
                </w:tcPr>
                <w:p w14:paraId="3F7BF76E">
                  <w:pPr>
                    <w:pStyle w:val="66"/>
                    <w:bidi w:val="0"/>
                    <w:rPr>
                      <w:rFonts w:hint="default"/>
                      <w:color w:val="auto"/>
                      <w:lang w:val="en-US" w:eastAsia="zh-CN"/>
                    </w:rPr>
                  </w:pPr>
                  <w:r>
                    <w:rPr>
                      <w:rFonts w:hint="default"/>
                      <w:color w:val="auto"/>
                      <w:lang w:val="zh-CN"/>
                    </w:rPr>
                    <w:t>禁止在长江干流江西段、鄱阳湖和《率先全面禁捕的长江流域水生生物保护区名录》中的水生生物保护区开展生产性捕捞</w:t>
                  </w:r>
                </w:p>
              </w:tc>
              <w:tc>
                <w:tcPr>
                  <w:tcW w:w="1221" w:type="pct"/>
                  <w:tcBorders>
                    <w:tl2br w:val="nil"/>
                    <w:tr2bl w:val="nil"/>
                  </w:tcBorders>
                  <w:noWrap w:val="0"/>
                  <w:vAlign w:val="center"/>
                </w:tcPr>
                <w:p w14:paraId="1AF0A029">
                  <w:pPr>
                    <w:pStyle w:val="66"/>
                    <w:bidi w:val="0"/>
                    <w:jc w:val="center"/>
                    <w:rPr>
                      <w:rFonts w:hint="default"/>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4D892672">
                  <w:pPr>
                    <w:pStyle w:val="66"/>
                    <w:bidi w:val="0"/>
                    <w:jc w:val="center"/>
                    <w:rPr>
                      <w:rFonts w:hint="eastAsia"/>
                      <w:color w:val="auto"/>
                      <w:lang w:val="en-US" w:eastAsia="zh-CN"/>
                    </w:rPr>
                  </w:pPr>
                  <w:r>
                    <w:rPr>
                      <w:rFonts w:hint="eastAsia"/>
                      <w:color w:val="auto"/>
                      <w:lang w:val="en-US" w:eastAsia="zh-CN"/>
                    </w:rPr>
                    <w:t>符合</w:t>
                  </w:r>
                </w:p>
              </w:tc>
            </w:tr>
            <w:tr w14:paraId="1ED52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3A8893A8">
                  <w:pPr>
                    <w:pStyle w:val="66"/>
                    <w:bidi w:val="0"/>
                    <w:rPr>
                      <w:rFonts w:hint="eastAsia"/>
                      <w:color w:val="auto"/>
                      <w:lang w:val="en-US" w:eastAsia="zh-CN"/>
                    </w:rPr>
                  </w:pPr>
                </w:p>
              </w:tc>
              <w:tc>
                <w:tcPr>
                  <w:tcW w:w="2886" w:type="pct"/>
                  <w:tcBorders>
                    <w:tl2br w:val="nil"/>
                    <w:tr2bl w:val="nil"/>
                  </w:tcBorders>
                  <w:noWrap w:val="0"/>
                  <w:vAlign w:val="center"/>
                </w:tcPr>
                <w:p w14:paraId="308559D7">
                  <w:pPr>
                    <w:pStyle w:val="66"/>
                    <w:bidi w:val="0"/>
                    <w:rPr>
                      <w:rFonts w:hint="default"/>
                      <w:color w:val="auto"/>
                      <w:lang w:val="zh-CN"/>
                    </w:rPr>
                  </w:pPr>
                  <w:r>
                    <w:rPr>
                      <w:rFonts w:hint="default"/>
                      <w:color w:val="auto"/>
                      <w:lang w:val="zh-CN"/>
                    </w:rPr>
                    <w:t>禁止在长江干支流、重要湖泊岸线一公里范围内新建、扩建化工园区和化工项目</w:t>
                  </w:r>
                </w:p>
              </w:tc>
              <w:tc>
                <w:tcPr>
                  <w:tcW w:w="1221" w:type="pct"/>
                  <w:tcBorders>
                    <w:tl2br w:val="nil"/>
                    <w:tr2bl w:val="nil"/>
                  </w:tcBorders>
                  <w:noWrap w:val="0"/>
                  <w:vAlign w:val="center"/>
                </w:tcPr>
                <w:p w14:paraId="6E83D248">
                  <w:pPr>
                    <w:pStyle w:val="66"/>
                    <w:bidi w:val="0"/>
                    <w:jc w:val="center"/>
                    <w:rPr>
                      <w:rFonts w:hint="eastAsia"/>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0B9FB978">
                  <w:pPr>
                    <w:pStyle w:val="66"/>
                    <w:bidi w:val="0"/>
                    <w:jc w:val="center"/>
                    <w:rPr>
                      <w:rFonts w:hint="eastAsia"/>
                      <w:color w:val="auto"/>
                      <w:lang w:val="en-US" w:eastAsia="zh-CN"/>
                    </w:rPr>
                  </w:pPr>
                  <w:r>
                    <w:rPr>
                      <w:rFonts w:hint="eastAsia"/>
                      <w:color w:val="auto"/>
                      <w:lang w:val="en-US" w:eastAsia="zh-CN"/>
                    </w:rPr>
                    <w:t>符合</w:t>
                  </w:r>
                </w:p>
              </w:tc>
            </w:tr>
            <w:tr w14:paraId="1FE21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43E97771">
                  <w:pPr>
                    <w:pStyle w:val="66"/>
                    <w:bidi w:val="0"/>
                    <w:rPr>
                      <w:rFonts w:hint="eastAsia"/>
                      <w:color w:val="auto"/>
                      <w:lang w:val="en-US" w:eastAsia="zh-CN"/>
                    </w:rPr>
                  </w:pPr>
                </w:p>
              </w:tc>
              <w:tc>
                <w:tcPr>
                  <w:tcW w:w="2886" w:type="pct"/>
                  <w:tcBorders>
                    <w:tl2br w:val="nil"/>
                    <w:tr2bl w:val="nil"/>
                  </w:tcBorders>
                  <w:noWrap w:val="0"/>
                  <w:vAlign w:val="center"/>
                </w:tcPr>
                <w:p w14:paraId="05775082">
                  <w:pPr>
                    <w:pStyle w:val="66"/>
                    <w:bidi w:val="0"/>
                    <w:rPr>
                      <w:rFonts w:hint="default"/>
                      <w:color w:val="auto"/>
                      <w:lang w:val="zh-CN"/>
                    </w:rPr>
                  </w:pPr>
                  <w:r>
                    <w:rPr>
                      <w:rFonts w:hint="default"/>
                      <w:color w:val="auto"/>
                      <w:lang w:val="zh-CN"/>
                    </w:rPr>
                    <w:t>禁止在长江干流岸线三公里范围内和重要支流岸线一公里范围内新建、改建、扩建尾矿库、冶炼渣库和磷石膏库，以提升安全、生态环境保护水平为目的的改建除外</w:t>
                  </w:r>
                </w:p>
              </w:tc>
              <w:tc>
                <w:tcPr>
                  <w:tcW w:w="1221" w:type="pct"/>
                  <w:tcBorders>
                    <w:tl2br w:val="nil"/>
                    <w:tr2bl w:val="nil"/>
                  </w:tcBorders>
                  <w:noWrap w:val="0"/>
                  <w:vAlign w:val="center"/>
                </w:tcPr>
                <w:p w14:paraId="5FD1B22A">
                  <w:pPr>
                    <w:pStyle w:val="66"/>
                    <w:bidi w:val="0"/>
                    <w:jc w:val="center"/>
                    <w:rPr>
                      <w:rFonts w:hint="eastAsia"/>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78646C57">
                  <w:pPr>
                    <w:pStyle w:val="66"/>
                    <w:bidi w:val="0"/>
                    <w:jc w:val="center"/>
                    <w:rPr>
                      <w:rFonts w:hint="eastAsia"/>
                      <w:color w:val="auto"/>
                      <w:lang w:val="en-US" w:eastAsia="zh-CN"/>
                    </w:rPr>
                  </w:pPr>
                  <w:r>
                    <w:rPr>
                      <w:rFonts w:hint="eastAsia"/>
                      <w:color w:val="auto"/>
                      <w:lang w:val="en-US" w:eastAsia="zh-CN"/>
                    </w:rPr>
                    <w:t>符合</w:t>
                  </w:r>
                </w:p>
              </w:tc>
            </w:tr>
            <w:tr w14:paraId="3E22F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36AC096F">
                  <w:pPr>
                    <w:pStyle w:val="66"/>
                    <w:bidi w:val="0"/>
                    <w:rPr>
                      <w:rFonts w:hint="eastAsia"/>
                      <w:color w:val="auto"/>
                      <w:lang w:val="en-US" w:eastAsia="zh-CN"/>
                    </w:rPr>
                  </w:pPr>
                </w:p>
              </w:tc>
              <w:tc>
                <w:tcPr>
                  <w:tcW w:w="2886" w:type="pct"/>
                  <w:tcBorders>
                    <w:tl2br w:val="nil"/>
                    <w:tr2bl w:val="nil"/>
                  </w:tcBorders>
                  <w:noWrap w:val="0"/>
                  <w:vAlign w:val="center"/>
                </w:tcPr>
                <w:p w14:paraId="35E740FF">
                  <w:pPr>
                    <w:pStyle w:val="66"/>
                    <w:bidi w:val="0"/>
                    <w:rPr>
                      <w:rFonts w:hint="default"/>
                      <w:color w:val="auto"/>
                      <w:lang w:val="zh-CN"/>
                    </w:rPr>
                  </w:pPr>
                  <w:r>
                    <w:rPr>
                      <w:rFonts w:hint="default"/>
                      <w:color w:val="auto"/>
                      <w:lang w:val="zh-CN"/>
                    </w:rPr>
                    <w:t>禁止在合规园区外新建、扩建钢铁、石化、化工、焦化、建材、有色、制浆造纸等高污染项目</w:t>
                  </w:r>
                </w:p>
              </w:tc>
              <w:tc>
                <w:tcPr>
                  <w:tcW w:w="1221" w:type="pct"/>
                  <w:tcBorders>
                    <w:tl2br w:val="nil"/>
                    <w:tr2bl w:val="nil"/>
                  </w:tcBorders>
                  <w:noWrap w:val="0"/>
                  <w:vAlign w:val="center"/>
                </w:tcPr>
                <w:p w14:paraId="5DD7E0AB">
                  <w:pPr>
                    <w:pStyle w:val="66"/>
                    <w:bidi w:val="0"/>
                    <w:jc w:val="center"/>
                    <w:rPr>
                      <w:rFonts w:hint="eastAsia"/>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4297375C">
                  <w:pPr>
                    <w:pStyle w:val="66"/>
                    <w:bidi w:val="0"/>
                    <w:jc w:val="center"/>
                    <w:rPr>
                      <w:rFonts w:hint="eastAsia"/>
                      <w:color w:val="auto"/>
                      <w:lang w:val="en-US" w:eastAsia="zh-CN"/>
                    </w:rPr>
                  </w:pPr>
                  <w:r>
                    <w:rPr>
                      <w:rFonts w:hint="eastAsia"/>
                      <w:color w:val="auto"/>
                      <w:lang w:val="en-US" w:eastAsia="zh-CN"/>
                    </w:rPr>
                    <w:t>符合</w:t>
                  </w:r>
                </w:p>
              </w:tc>
            </w:tr>
            <w:tr w14:paraId="44735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restart"/>
                  <w:tcBorders>
                    <w:tl2br w:val="nil"/>
                    <w:tr2bl w:val="nil"/>
                  </w:tcBorders>
                  <w:noWrap w:val="0"/>
                  <w:vAlign w:val="center"/>
                </w:tcPr>
                <w:p w14:paraId="6FC08C50">
                  <w:pPr>
                    <w:pStyle w:val="66"/>
                    <w:bidi w:val="0"/>
                    <w:rPr>
                      <w:rFonts w:hint="default"/>
                      <w:color w:val="auto"/>
                      <w:lang w:val="en-US" w:eastAsia="zh-CN"/>
                    </w:rPr>
                  </w:pPr>
                  <w:r>
                    <w:rPr>
                      <w:rFonts w:hint="eastAsia"/>
                      <w:color w:val="auto"/>
                      <w:lang w:val="en-US" w:eastAsia="zh-CN"/>
                    </w:rPr>
                    <w:t>严格产业准入</w:t>
                  </w:r>
                </w:p>
              </w:tc>
              <w:tc>
                <w:tcPr>
                  <w:tcW w:w="2886" w:type="pct"/>
                  <w:tcBorders>
                    <w:tl2br w:val="nil"/>
                    <w:tr2bl w:val="nil"/>
                  </w:tcBorders>
                  <w:noWrap w:val="0"/>
                  <w:vAlign w:val="center"/>
                </w:tcPr>
                <w:p w14:paraId="11FD5E92">
                  <w:pPr>
                    <w:pStyle w:val="66"/>
                    <w:bidi w:val="0"/>
                    <w:rPr>
                      <w:rFonts w:hint="default"/>
                      <w:color w:val="auto"/>
                      <w:lang w:val="zh-CN"/>
                    </w:rPr>
                  </w:pPr>
                  <w:r>
                    <w:rPr>
                      <w:rFonts w:hint="default"/>
                      <w:color w:val="auto"/>
                      <w:lang w:val="zh-CN"/>
                    </w:rPr>
                    <w:t>禁止新建、扩建不符合国家石化、现代煤化工等产业布局规划的项目</w:t>
                  </w:r>
                </w:p>
              </w:tc>
              <w:tc>
                <w:tcPr>
                  <w:tcW w:w="1221" w:type="pct"/>
                  <w:tcBorders>
                    <w:tl2br w:val="nil"/>
                    <w:tr2bl w:val="nil"/>
                  </w:tcBorders>
                  <w:noWrap w:val="0"/>
                  <w:vAlign w:val="center"/>
                </w:tcPr>
                <w:p w14:paraId="374149A9">
                  <w:pPr>
                    <w:pStyle w:val="66"/>
                    <w:bidi w:val="0"/>
                    <w:jc w:val="center"/>
                    <w:rPr>
                      <w:rFonts w:hint="eastAsia"/>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4330D959">
                  <w:pPr>
                    <w:pStyle w:val="66"/>
                    <w:bidi w:val="0"/>
                    <w:jc w:val="center"/>
                    <w:rPr>
                      <w:rFonts w:hint="eastAsia"/>
                      <w:color w:val="auto"/>
                      <w:lang w:val="en-US" w:eastAsia="zh-CN"/>
                    </w:rPr>
                  </w:pPr>
                  <w:r>
                    <w:rPr>
                      <w:rFonts w:hint="eastAsia"/>
                      <w:color w:val="auto"/>
                      <w:lang w:val="en-US" w:eastAsia="zh-CN"/>
                    </w:rPr>
                    <w:t>符合</w:t>
                  </w:r>
                </w:p>
              </w:tc>
            </w:tr>
            <w:tr w14:paraId="4138F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431718A6">
                  <w:pPr>
                    <w:pStyle w:val="66"/>
                    <w:bidi w:val="0"/>
                    <w:rPr>
                      <w:rFonts w:hint="eastAsia"/>
                      <w:color w:val="auto"/>
                      <w:lang w:val="en-US" w:eastAsia="zh-CN"/>
                    </w:rPr>
                  </w:pPr>
                </w:p>
              </w:tc>
              <w:tc>
                <w:tcPr>
                  <w:tcW w:w="2886" w:type="pct"/>
                  <w:tcBorders>
                    <w:tl2br w:val="nil"/>
                    <w:tr2bl w:val="nil"/>
                  </w:tcBorders>
                  <w:noWrap w:val="0"/>
                  <w:vAlign w:val="center"/>
                </w:tcPr>
                <w:p w14:paraId="6415D3A8">
                  <w:pPr>
                    <w:pStyle w:val="66"/>
                    <w:bidi w:val="0"/>
                    <w:rPr>
                      <w:rFonts w:hint="default"/>
                      <w:color w:val="auto"/>
                      <w:lang w:val="zh-CN"/>
                    </w:rPr>
                  </w:pPr>
                  <w:r>
                    <w:rPr>
                      <w:rFonts w:hint="default"/>
                      <w:color w:val="auto"/>
                      <w:lang w:val="zh-CN"/>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221" w:type="pct"/>
                  <w:tcBorders>
                    <w:tl2br w:val="nil"/>
                    <w:tr2bl w:val="nil"/>
                  </w:tcBorders>
                  <w:noWrap w:val="0"/>
                  <w:vAlign w:val="center"/>
                </w:tcPr>
                <w:p w14:paraId="76EA8FC0">
                  <w:pPr>
                    <w:pStyle w:val="66"/>
                    <w:bidi w:val="0"/>
                    <w:jc w:val="center"/>
                    <w:rPr>
                      <w:rFonts w:hint="eastAsia"/>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28D46A0A">
                  <w:pPr>
                    <w:pStyle w:val="66"/>
                    <w:bidi w:val="0"/>
                    <w:jc w:val="center"/>
                    <w:rPr>
                      <w:rFonts w:hint="eastAsia"/>
                      <w:color w:val="auto"/>
                      <w:lang w:val="en-US" w:eastAsia="zh-CN"/>
                    </w:rPr>
                  </w:pPr>
                  <w:r>
                    <w:rPr>
                      <w:rFonts w:hint="eastAsia"/>
                      <w:color w:val="auto"/>
                      <w:lang w:val="en-US" w:eastAsia="zh-CN"/>
                    </w:rPr>
                    <w:t>符合</w:t>
                  </w:r>
                </w:p>
              </w:tc>
            </w:tr>
            <w:tr w14:paraId="0AEF5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4B3B1A62">
                  <w:pPr>
                    <w:pStyle w:val="66"/>
                    <w:bidi w:val="0"/>
                    <w:rPr>
                      <w:rFonts w:hint="eastAsia"/>
                      <w:color w:val="auto"/>
                      <w:lang w:val="en-US" w:eastAsia="zh-CN"/>
                    </w:rPr>
                  </w:pPr>
                </w:p>
              </w:tc>
              <w:tc>
                <w:tcPr>
                  <w:tcW w:w="2886" w:type="pct"/>
                  <w:tcBorders>
                    <w:tl2br w:val="nil"/>
                    <w:tr2bl w:val="nil"/>
                  </w:tcBorders>
                  <w:noWrap w:val="0"/>
                  <w:vAlign w:val="center"/>
                </w:tcPr>
                <w:p w14:paraId="37580BC9">
                  <w:pPr>
                    <w:pStyle w:val="66"/>
                    <w:bidi w:val="0"/>
                    <w:rPr>
                      <w:rFonts w:hint="default"/>
                      <w:color w:val="auto"/>
                      <w:lang w:val="zh-CN"/>
                    </w:rPr>
                  </w:pPr>
                  <w:r>
                    <w:rPr>
                      <w:rFonts w:hint="default"/>
                      <w:color w:val="auto"/>
                      <w:lang w:val="zh-CN"/>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221" w:type="pct"/>
                  <w:tcBorders>
                    <w:tl2br w:val="nil"/>
                    <w:tr2bl w:val="nil"/>
                  </w:tcBorders>
                  <w:noWrap w:val="0"/>
                  <w:vAlign w:val="center"/>
                </w:tcPr>
                <w:p w14:paraId="3CC6E1C2">
                  <w:pPr>
                    <w:pStyle w:val="66"/>
                    <w:bidi w:val="0"/>
                    <w:jc w:val="center"/>
                    <w:rPr>
                      <w:rFonts w:hint="eastAsia"/>
                      <w:color w:val="auto"/>
                      <w:lang w:val="en-US" w:eastAsia="zh-CN"/>
                    </w:rPr>
                  </w:pPr>
                  <w:r>
                    <w:rPr>
                      <w:rFonts w:hint="eastAsia"/>
                      <w:color w:val="auto"/>
                      <w:lang w:val="en-US" w:eastAsia="zh-CN"/>
                    </w:rPr>
                    <w:t>本项目不属于此类</w:t>
                  </w:r>
                </w:p>
              </w:tc>
              <w:tc>
                <w:tcPr>
                  <w:tcW w:w="541" w:type="pct"/>
                  <w:tcBorders>
                    <w:tl2br w:val="nil"/>
                    <w:tr2bl w:val="nil"/>
                  </w:tcBorders>
                  <w:noWrap w:val="0"/>
                  <w:vAlign w:val="center"/>
                </w:tcPr>
                <w:p w14:paraId="57B97BE1">
                  <w:pPr>
                    <w:pStyle w:val="66"/>
                    <w:bidi w:val="0"/>
                    <w:jc w:val="center"/>
                    <w:rPr>
                      <w:rFonts w:hint="eastAsia"/>
                      <w:color w:val="auto"/>
                      <w:lang w:val="en-US" w:eastAsia="zh-CN"/>
                    </w:rPr>
                  </w:pPr>
                  <w:r>
                    <w:rPr>
                      <w:rFonts w:hint="eastAsia"/>
                      <w:color w:val="auto"/>
                      <w:lang w:val="en-US" w:eastAsia="zh-CN"/>
                    </w:rPr>
                    <w:t>符合</w:t>
                  </w:r>
                </w:p>
              </w:tc>
            </w:tr>
            <w:tr w14:paraId="60EA3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vMerge w:val="continue"/>
                  <w:tcBorders>
                    <w:tl2br w:val="nil"/>
                    <w:tr2bl w:val="nil"/>
                  </w:tcBorders>
                  <w:noWrap w:val="0"/>
                  <w:vAlign w:val="center"/>
                </w:tcPr>
                <w:p w14:paraId="7C06093C">
                  <w:pPr>
                    <w:pStyle w:val="66"/>
                    <w:bidi w:val="0"/>
                    <w:rPr>
                      <w:rFonts w:hint="eastAsia"/>
                      <w:color w:val="auto"/>
                      <w:lang w:val="en-US" w:eastAsia="zh-CN"/>
                    </w:rPr>
                  </w:pPr>
                </w:p>
              </w:tc>
              <w:tc>
                <w:tcPr>
                  <w:tcW w:w="2886" w:type="pct"/>
                  <w:tcBorders>
                    <w:tl2br w:val="nil"/>
                    <w:tr2bl w:val="nil"/>
                  </w:tcBorders>
                  <w:noWrap w:val="0"/>
                  <w:vAlign w:val="center"/>
                </w:tcPr>
                <w:p w14:paraId="052A7654">
                  <w:pPr>
                    <w:pStyle w:val="66"/>
                    <w:bidi w:val="0"/>
                    <w:rPr>
                      <w:rFonts w:hint="default"/>
                      <w:color w:val="auto"/>
                      <w:lang w:val="zh-CN"/>
                    </w:rPr>
                  </w:pPr>
                  <w:r>
                    <w:rPr>
                      <w:rFonts w:hint="default"/>
                      <w:color w:val="auto"/>
                      <w:lang w:val="zh-CN"/>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221" w:type="pct"/>
                  <w:tcBorders>
                    <w:tl2br w:val="nil"/>
                    <w:tr2bl w:val="nil"/>
                  </w:tcBorders>
                  <w:noWrap w:val="0"/>
                  <w:vAlign w:val="center"/>
                </w:tcPr>
                <w:p w14:paraId="7DD8E1DB">
                  <w:pPr>
                    <w:pStyle w:val="66"/>
                    <w:bidi w:val="0"/>
                    <w:jc w:val="center"/>
                    <w:rPr>
                      <w:rFonts w:hint="default"/>
                      <w:color w:val="auto"/>
                      <w:lang w:val="en-US" w:eastAsia="zh-CN"/>
                    </w:rPr>
                  </w:pPr>
                  <w:r>
                    <w:rPr>
                      <w:rFonts w:hint="eastAsia"/>
                      <w:color w:val="auto"/>
                      <w:lang w:val="en-US" w:eastAsia="zh-CN"/>
                    </w:rPr>
                    <w:t>本项目不属于高能耗高排放项目</w:t>
                  </w:r>
                </w:p>
              </w:tc>
              <w:tc>
                <w:tcPr>
                  <w:tcW w:w="541" w:type="pct"/>
                  <w:tcBorders>
                    <w:tl2br w:val="nil"/>
                    <w:tr2bl w:val="nil"/>
                  </w:tcBorders>
                  <w:noWrap w:val="0"/>
                  <w:vAlign w:val="center"/>
                </w:tcPr>
                <w:p w14:paraId="50D5672E">
                  <w:pPr>
                    <w:pStyle w:val="66"/>
                    <w:bidi w:val="0"/>
                    <w:jc w:val="center"/>
                    <w:rPr>
                      <w:rFonts w:hint="eastAsia"/>
                      <w:color w:val="auto"/>
                      <w:lang w:val="en-US" w:eastAsia="zh-CN"/>
                    </w:rPr>
                  </w:pPr>
                  <w:r>
                    <w:rPr>
                      <w:rFonts w:hint="eastAsia"/>
                      <w:color w:val="auto"/>
                      <w:lang w:val="en-US" w:eastAsia="zh-CN"/>
                    </w:rPr>
                    <w:t>符合</w:t>
                  </w:r>
                </w:p>
              </w:tc>
            </w:tr>
          </w:tbl>
          <w:p w14:paraId="47EBD70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四</w:t>
            </w:r>
            <w:r>
              <w:rPr>
                <w:rFonts w:hint="default" w:ascii="Times New Roman" w:hAnsi="Times New Roman" w:cs="Times New Roman"/>
                <w:b/>
                <w:bCs/>
                <w:color w:val="auto"/>
                <w:highlight w:val="none"/>
                <w:lang w:val="en-US" w:eastAsia="zh-CN"/>
              </w:rPr>
              <w:t>）与《挥发性有机物无组织排放控制标准》（GB37822-2019）相符性分析</w:t>
            </w:r>
          </w:p>
          <w:p w14:paraId="7144B661">
            <w:pPr>
              <w:pStyle w:val="8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表1-7 与《挥发性有机物无组织排放控制标准》相符性分析</w:t>
            </w:r>
          </w:p>
          <w:tbl>
            <w:tblPr>
              <w:tblStyle w:val="36"/>
              <w:tblpPr w:leftFromText="180" w:rightFromText="180" w:vertAnchor="text" w:tblpXSpec="center" w:tblpY="1"/>
              <w:tblOverlap w:val="never"/>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9"/>
              <w:gridCol w:w="3490"/>
              <w:gridCol w:w="2415"/>
              <w:gridCol w:w="521"/>
            </w:tblGrid>
            <w:tr w14:paraId="2DA72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l2br w:val="nil"/>
                    <w:tr2bl w:val="nil"/>
                  </w:tcBorders>
                  <w:noWrap w:val="0"/>
                  <w:vAlign w:val="center"/>
                </w:tcPr>
                <w:p w14:paraId="6A87598F">
                  <w:pPr>
                    <w:pStyle w:val="6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2432" w:type="pct"/>
                  <w:tcBorders>
                    <w:tl2br w:val="nil"/>
                    <w:tr2bl w:val="nil"/>
                  </w:tcBorders>
                  <w:noWrap w:val="0"/>
                  <w:vAlign w:val="center"/>
                </w:tcPr>
                <w:p w14:paraId="675D5799">
                  <w:pPr>
                    <w:pStyle w:val="6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要求（摘录）</w:t>
                  </w:r>
                </w:p>
              </w:tc>
              <w:tc>
                <w:tcPr>
                  <w:tcW w:w="1682" w:type="pct"/>
                  <w:tcBorders>
                    <w:tl2br w:val="nil"/>
                    <w:tr2bl w:val="nil"/>
                  </w:tcBorders>
                  <w:noWrap w:val="0"/>
                  <w:vAlign w:val="center"/>
                </w:tcPr>
                <w:p w14:paraId="640BC6C3">
                  <w:pPr>
                    <w:pStyle w:val="6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本项目情况</w:t>
                  </w:r>
                </w:p>
              </w:tc>
              <w:tc>
                <w:tcPr>
                  <w:tcW w:w="363" w:type="pct"/>
                  <w:tcBorders>
                    <w:tl2br w:val="nil"/>
                    <w:tr2bl w:val="nil"/>
                  </w:tcBorders>
                  <w:noWrap w:val="0"/>
                  <w:vAlign w:val="center"/>
                </w:tcPr>
                <w:p w14:paraId="39F1A6A1">
                  <w:pPr>
                    <w:pStyle w:val="6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p w14:paraId="17DAC8DA">
                  <w:pPr>
                    <w:pStyle w:val="67"/>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性</w:t>
                  </w:r>
                </w:p>
              </w:tc>
            </w:tr>
            <w:tr w14:paraId="4D0900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l2br w:val="nil"/>
                    <w:tr2bl w:val="nil"/>
                  </w:tcBorders>
                  <w:noWrap w:val="0"/>
                  <w:vAlign w:val="center"/>
                </w:tcPr>
                <w:p w14:paraId="4DDFBCB9">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VOCs物料储存无组织排放控制要求</w:t>
                  </w:r>
                </w:p>
              </w:tc>
              <w:tc>
                <w:tcPr>
                  <w:tcW w:w="2432" w:type="pct"/>
                  <w:tcBorders>
                    <w:tl2br w:val="nil"/>
                    <w:tr2bl w:val="nil"/>
                  </w:tcBorders>
                  <w:noWrap w:val="0"/>
                  <w:vAlign w:val="center"/>
                </w:tcPr>
                <w:p w14:paraId="505ECEC6">
                  <w:pPr>
                    <w:pStyle w:val="66"/>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、VOCs 物料应储存于密闭的容器、包装袋、储罐、储库、料仓中。盛装VOCs 物料的容器或包装袋应存放于室内，或存放于设置有雨棚、遮阳和防渗设施的专用场地。2、盛装 VOCs物料的容器或包装袋在非取用状态时应加盖、封口，保持密闭。3、VOC:物料储罐应密封良好。密闭看见除人员、车辆、设备、物料进出时，以及依法设立排气筒、通风口外，门窗及其他开口(孔)部位应随时保持关闭状态。</w:t>
                  </w:r>
                </w:p>
              </w:tc>
              <w:tc>
                <w:tcPr>
                  <w:tcW w:w="1682" w:type="pct"/>
                  <w:tcBorders>
                    <w:tl2br w:val="nil"/>
                    <w:tr2bl w:val="nil"/>
                  </w:tcBorders>
                  <w:noWrap w:val="0"/>
                  <w:vAlign w:val="center"/>
                </w:tcPr>
                <w:p w14:paraId="62147B29">
                  <w:pPr>
                    <w:pStyle w:val="66"/>
                    <w:bidi w:val="0"/>
                    <w:rPr>
                      <w:rFonts w:hint="default" w:ascii="Times New Roman" w:hAnsi="Times New Roman" w:cs="Times New Roman"/>
                      <w:color w:val="auto"/>
                      <w:highlight w:val="none"/>
                      <w:lang w:val="en-US" w:eastAsia="zh-CN"/>
                    </w:rPr>
                  </w:pPr>
                  <w:r>
                    <w:rPr>
                      <w:rFonts w:ascii="Times New Roman" w:hAnsi="Times New Roman" w:eastAsia="宋体" w:cs="Times New Roman"/>
                      <w:color w:val="auto"/>
                      <w:sz w:val="21"/>
                      <w:szCs w:val="21"/>
                      <w:highlight w:val="none"/>
                    </w:rPr>
                    <w:t>本项目涉及的液化石油气物料，储存在储罐中，日常密闭储存。</w:t>
                  </w:r>
                </w:p>
              </w:tc>
              <w:tc>
                <w:tcPr>
                  <w:tcW w:w="363" w:type="pct"/>
                  <w:tcBorders>
                    <w:tl2br w:val="nil"/>
                    <w:tr2bl w:val="nil"/>
                  </w:tcBorders>
                  <w:noWrap w:val="0"/>
                  <w:vAlign w:val="center"/>
                </w:tcPr>
                <w:p w14:paraId="4DBEABEC">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290DD6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l2br w:val="nil"/>
                    <w:tr2bl w:val="nil"/>
                  </w:tcBorders>
                  <w:noWrap w:val="0"/>
                  <w:vAlign w:val="center"/>
                </w:tcPr>
                <w:p w14:paraId="16966CB1">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VOCs物料转移和输送控制要求</w:t>
                  </w:r>
                </w:p>
              </w:tc>
              <w:tc>
                <w:tcPr>
                  <w:tcW w:w="2432" w:type="pct"/>
                  <w:tcBorders>
                    <w:tl2br w:val="nil"/>
                    <w:tr2bl w:val="nil"/>
                  </w:tcBorders>
                  <w:noWrap w:val="0"/>
                  <w:vAlign w:val="center"/>
                </w:tcPr>
                <w:p w14:paraId="3FE22B1A">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液态VOCs物料应采用密闭管道输送。采用非管道输送方式转移液态VOCs物料时，应采用密闭容器、罐车。</w:t>
                  </w:r>
                </w:p>
              </w:tc>
              <w:tc>
                <w:tcPr>
                  <w:tcW w:w="1682" w:type="pct"/>
                  <w:tcBorders>
                    <w:tl2br w:val="nil"/>
                    <w:tr2bl w:val="nil"/>
                  </w:tcBorders>
                  <w:noWrap w:val="0"/>
                  <w:vAlign w:val="center"/>
                </w:tcPr>
                <w:p w14:paraId="3920E41E">
                  <w:pPr>
                    <w:pStyle w:val="66"/>
                    <w:bidi w:val="0"/>
                    <w:rPr>
                      <w:rFonts w:hint="default" w:ascii="Times New Roman" w:hAnsi="Times New Roman" w:cs="Times New Roman"/>
                      <w:color w:val="auto"/>
                      <w:highlight w:val="none"/>
                      <w:lang w:val="en-US" w:eastAsia="zh-CN"/>
                    </w:rPr>
                  </w:pPr>
                  <w:r>
                    <w:rPr>
                      <w:rFonts w:ascii="Times New Roman" w:hAnsi="Times New Roman" w:eastAsia="宋体" w:cs="Times New Roman"/>
                      <w:color w:val="auto"/>
                      <w:sz w:val="21"/>
                      <w:szCs w:val="21"/>
                      <w:highlight w:val="none"/>
                    </w:rPr>
                    <w:t>本项目液化石油气物料充装过程采用管道密闭输送，符合标准要求。</w:t>
                  </w:r>
                </w:p>
              </w:tc>
              <w:tc>
                <w:tcPr>
                  <w:tcW w:w="363" w:type="pct"/>
                  <w:tcBorders>
                    <w:tl2br w:val="nil"/>
                    <w:tr2bl w:val="nil"/>
                  </w:tcBorders>
                  <w:noWrap w:val="0"/>
                  <w:vAlign w:val="center"/>
                </w:tcPr>
                <w:p w14:paraId="3AA1FF52">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24C225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521" w:type="pct"/>
                  <w:vMerge w:val="restart"/>
                  <w:tcBorders>
                    <w:tl2br w:val="nil"/>
                    <w:tr2bl w:val="nil"/>
                  </w:tcBorders>
                  <w:noWrap w:val="0"/>
                  <w:vAlign w:val="center"/>
                </w:tcPr>
                <w:p w14:paraId="5A5D72AA">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工艺过程VOCs</w:t>
                  </w:r>
                  <w:r>
                    <w:rPr>
                      <w:rFonts w:hint="eastAsia" w:ascii="Times New Roman" w:hAnsi="Times New Roman" w:cs="Times New Roman"/>
                      <w:color w:val="auto"/>
                      <w:highlight w:val="none"/>
                      <w:lang w:val="en-US" w:eastAsia="zh-CN"/>
                    </w:rPr>
                    <w:t>无组织排放</w:t>
                  </w:r>
                  <w:r>
                    <w:rPr>
                      <w:rFonts w:hint="default" w:ascii="Times New Roman" w:hAnsi="Times New Roman" w:cs="Times New Roman"/>
                      <w:color w:val="auto"/>
                      <w:highlight w:val="none"/>
                      <w:lang w:val="en-US" w:eastAsia="zh-CN"/>
                    </w:rPr>
                    <w:t>控制要求</w:t>
                  </w:r>
                </w:p>
              </w:tc>
              <w:tc>
                <w:tcPr>
                  <w:tcW w:w="2432" w:type="pct"/>
                  <w:tcBorders>
                    <w:tl2br w:val="nil"/>
                    <w:tr2bl w:val="nil"/>
                  </w:tcBorders>
                  <w:noWrap w:val="0"/>
                  <w:vAlign w:val="center"/>
                </w:tcPr>
                <w:p w14:paraId="41EDDEEA">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682" w:type="pct"/>
                  <w:tcBorders>
                    <w:tl2br w:val="nil"/>
                    <w:tr2bl w:val="nil"/>
                  </w:tcBorders>
                  <w:noWrap w:val="0"/>
                  <w:vAlign w:val="center"/>
                </w:tcPr>
                <w:p w14:paraId="5223C876">
                  <w:pPr>
                    <w:pStyle w:val="66"/>
                    <w:bidi w:val="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本项目装卸、储存、充装过程产生的少量非甲烷总烃经通风后无组织排放。</w:t>
                  </w:r>
                </w:p>
              </w:tc>
              <w:tc>
                <w:tcPr>
                  <w:tcW w:w="363" w:type="pct"/>
                  <w:tcBorders>
                    <w:tl2br w:val="nil"/>
                    <w:tr2bl w:val="nil"/>
                  </w:tcBorders>
                  <w:noWrap w:val="0"/>
                  <w:vAlign w:val="center"/>
                </w:tcPr>
                <w:p w14:paraId="1675A669">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1F51D0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vMerge w:val="continue"/>
                  <w:tcBorders>
                    <w:tl2br w:val="nil"/>
                    <w:tr2bl w:val="nil"/>
                  </w:tcBorders>
                  <w:noWrap w:val="0"/>
                  <w:vAlign w:val="center"/>
                </w:tcPr>
                <w:p w14:paraId="2E842ADD">
                  <w:pPr>
                    <w:pStyle w:val="66"/>
                    <w:bidi w:val="0"/>
                    <w:rPr>
                      <w:rFonts w:hint="default" w:ascii="Times New Roman" w:hAnsi="Times New Roman" w:cs="Times New Roman"/>
                      <w:color w:val="auto"/>
                      <w:highlight w:val="none"/>
                      <w:lang w:val="en-US" w:eastAsia="zh-CN"/>
                    </w:rPr>
                  </w:pPr>
                </w:p>
              </w:tc>
              <w:tc>
                <w:tcPr>
                  <w:tcW w:w="2432" w:type="pct"/>
                  <w:tcBorders>
                    <w:tl2br w:val="nil"/>
                    <w:tr2bl w:val="nil"/>
                  </w:tcBorders>
                  <w:noWrap w:val="0"/>
                  <w:vAlign w:val="center"/>
                </w:tcPr>
                <w:p w14:paraId="4C38939E">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企业建立台账，记录含 VOCs产品名称、使用量、废弃量、去向等信息。工艺过程中产生的含 VOCs 废料应按要求进行储存、转移和输送。盛装过VOCs 物料的废包装容器应加盖密闭</w:t>
                  </w:r>
                </w:p>
              </w:tc>
              <w:tc>
                <w:tcPr>
                  <w:tcW w:w="1682" w:type="pct"/>
                  <w:tcBorders>
                    <w:tl2br w:val="nil"/>
                    <w:tr2bl w:val="nil"/>
                  </w:tcBorders>
                  <w:noWrap w:val="0"/>
                  <w:vAlign w:val="center"/>
                </w:tcPr>
                <w:p w14:paraId="60E4A6B9">
                  <w:pPr>
                    <w:pStyle w:val="66"/>
                    <w:bidi w:val="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本项目按要求设立台账；液化石油气物料按要求储存、转移和输送。</w:t>
                  </w:r>
                </w:p>
              </w:tc>
              <w:tc>
                <w:tcPr>
                  <w:tcW w:w="363" w:type="pct"/>
                  <w:tcBorders>
                    <w:tl2br w:val="nil"/>
                    <w:tr2bl w:val="nil"/>
                  </w:tcBorders>
                  <w:noWrap w:val="0"/>
                  <w:vAlign w:val="center"/>
                </w:tcPr>
                <w:p w14:paraId="7EFF2BB2">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3E2A8E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vMerge w:val="continue"/>
                  <w:tcBorders>
                    <w:tl2br w:val="nil"/>
                    <w:tr2bl w:val="nil"/>
                  </w:tcBorders>
                  <w:noWrap w:val="0"/>
                  <w:vAlign w:val="center"/>
                </w:tcPr>
                <w:p w14:paraId="6CB59B8E">
                  <w:pPr>
                    <w:pStyle w:val="66"/>
                    <w:bidi w:val="0"/>
                    <w:rPr>
                      <w:rFonts w:hint="default" w:ascii="Times New Roman" w:hAnsi="Times New Roman" w:cs="Times New Roman"/>
                      <w:color w:val="auto"/>
                      <w:highlight w:val="none"/>
                      <w:lang w:val="en-US" w:eastAsia="zh-CN"/>
                    </w:rPr>
                  </w:pPr>
                </w:p>
              </w:tc>
              <w:tc>
                <w:tcPr>
                  <w:tcW w:w="2432" w:type="pct"/>
                  <w:tcBorders>
                    <w:tl2br w:val="nil"/>
                    <w:tr2bl w:val="nil"/>
                  </w:tcBorders>
                  <w:noWrap w:val="0"/>
                  <w:vAlign w:val="center"/>
                </w:tcPr>
                <w:p w14:paraId="03F76FC7">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通风生产设备、操作工位、车间厂房等应在符合安全生产、职业卫生相关规定的前提下，根据行业作业规程与标准、工业建筑及洁净厂房通风设计规范等的要求，采用合理的通风量。</w:t>
                  </w:r>
                </w:p>
              </w:tc>
              <w:tc>
                <w:tcPr>
                  <w:tcW w:w="1682" w:type="pct"/>
                  <w:tcBorders>
                    <w:tl2br w:val="nil"/>
                    <w:tr2bl w:val="nil"/>
                  </w:tcBorders>
                  <w:noWrap w:val="0"/>
                  <w:vAlign w:val="center"/>
                </w:tcPr>
                <w:p w14:paraId="7D71E0D8">
                  <w:pPr>
                    <w:pStyle w:val="66"/>
                    <w:bidi w:val="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根据相应要求，采用合理通风量。</w:t>
                  </w:r>
                </w:p>
              </w:tc>
              <w:tc>
                <w:tcPr>
                  <w:tcW w:w="363" w:type="pct"/>
                  <w:tcBorders>
                    <w:tl2br w:val="nil"/>
                    <w:tr2bl w:val="nil"/>
                  </w:tcBorders>
                  <w:noWrap w:val="0"/>
                  <w:vAlign w:val="center"/>
                </w:tcPr>
                <w:p w14:paraId="132E4AB6">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2E5427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vMerge w:val="restart"/>
                  <w:tcBorders>
                    <w:tl2br w:val="nil"/>
                    <w:tr2bl w:val="nil"/>
                  </w:tcBorders>
                  <w:noWrap w:val="0"/>
                  <w:vAlign w:val="center"/>
                </w:tcPr>
                <w:p w14:paraId="6F2E9A65">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VOCs</w:t>
                  </w:r>
                  <w:r>
                    <w:rPr>
                      <w:rFonts w:hint="eastAsia" w:ascii="Times New Roman" w:hAnsi="Times New Roman" w:cs="Times New Roman"/>
                      <w:color w:val="auto"/>
                      <w:highlight w:val="none"/>
                      <w:lang w:val="en-US" w:eastAsia="zh-CN"/>
                    </w:rPr>
                    <w:t>无组织排放</w:t>
                  </w:r>
                  <w:r>
                    <w:rPr>
                      <w:rFonts w:hint="default" w:ascii="Times New Roman" w:hAnsi="Times New Roman" w:cs="Times New Roman"/>
                      <w:color w:val="auto"/>
                      <w:highlight w:val="none"/>
                      <w:lang w:val="en-US" w:eastAsia="zh-CN"/>
                    </w:rPr>
                    <w:t>废气收集处理系统要求</w:t>
                  </w:r>
                </w:p>
              </w:tc>
              <w:tc>
                <w:tcPr>
                  <w:tcW w:w="2432" w:type="pct"/>
                  <w:tcBorders>
                    <w:tl2br w:val="nil"/>
                    <w:tr2bl w:val="nil"/>
                  </w:tcBorders>
                  <w:noWrap w:val="0"/>
                  <w:vAlign w:val="center"/>
                </w:tcPr>
                <w:p w14:paraId="0ADCCF6B">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VOCs废气收集处理系统应和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82" w:type="pct"/>
                  <w:tcBorders>
                    <w:tl2br w:val="nil"/>
                    <w:tr2bl w:val="nil"/>
                  </w:tcBorders>
                  <w:noWrap w:val="0"/>
                  <w:vAlign w:val="center"/>
                </w:tcPr>
                <w:p w14:paraId="064E5ABE">
                  <w:pPr>
                    <w:pStyle w:val="66"/>
                    <w:bidi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本项目不涉及</w:t>
                  </w:r>
                </w:p>
              </w:tc>
              <w:tc>
                <w:tcPr>
                  <w:tcW w:w="363" w:type="pct"/>
                  <w:tcBorders>
                    <w:tl2br w:val="nil"/>
                    <w:tr2bl w:val="nil"/>
                  </w:tcBorders>
                  <w:noWrap w:val="0"/>
                  <w:vAlign w:val="center"/>
                </w:tcPr>
                <w:p w14:paraId="71B032DE">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0DD5A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vMerge w:val="continue"/>
                  <w:tcBorders>
                    <w:tl2br w:val="nil"/>
                    <w:tr2bl w:val="nil"/>
                  </w:tcBorders>
                  <w:noWrap w:val="0"/>
                  <w:vAlign w:val="center"/>
                </w:tcPr>
                <w:p w14:paraId="31289673">
                  <w:pPr>
                    <w:pStyle w:val="66"/>
                    <w:bidi w:val="0"/>
                    <w:rPr>
                      <w:rFonts w:hint="default" w:ascii="Times New Roman" w:hAnsi="Times New Roman" w:cs="Times New Roman"/>
                      <w:color w:val="auto"/>
                      <w:highlight w:val="none"/>
                      <w:lang w:val="en-US" w:eastAsia="zh-CN"/>
                    </w:rPr>
                  </w:pPr>
                </w:p>
              </w:tc>
              <w:tc>
                <w:tcPr>
                  <w:tcW w:w="2432" w:type="pct"/>
                  <w:tcBorders>
                    <w:tl2br w:val="nil"/>
                    <w:tr2bl w:val="nil"/>
                  </w:tcBorders>
                  <w:noWrap w:val="0"/>
                  <w:vAlign w:val="center"/>
                </w:tcPr>
                <w:p w14:paraId="68C1626A">
                  <w:pPr>
                    <w:pStyle w:val="66"/>
                    <w:bidi w:val="0"/>
                    <w:rPr>
                      <w:rFonts w:hint="default" w:ascii="Times New Roman" w:hAnsi="Times New Roman" w:cs="Times New Roman"/>
                      <w:color w:val="auto"/>
                      <w:highlight w:val="none"/>
                      <w:lang w:val="en-US" w:eastAsia="zh-CN"/>
                    </w:rPr>
                  </w:pPr>
                  <w:r>
                    <w:rPr>
                      <w:rFonts w:ascii="宋体" w:hAnsi="宋体" w:eastAsia="宋体" w:cs="宋体"/>
                      <w:color w:val="auto"/>
                      <w:sz w:val="24"/>
                      <w:szCs w:val="24"/>
                    </w:rPr>
                    <w:t>废气收集系统的输送管道应密闭。</w:t>
                  </w:r>
                </w:p>
              </w:tc>
              <w:tc>
                <w:tcPr>
                  <w:tcW w:w="1682" w:type="pct"/>
                  <w:tcBorders>
                    <w:tl2br w:val="nil"/>
                    <w:tr2bl w:val="nil"/>
                  </w:tcBorders>
                  <w:noWrap w:val="0"/>
                  <w:vAlign w:val="center"/>
                </w:tcPr>
                <w:p w14:paraId="2B8C9FC9">
                  <w:pPr>
                    <w:pStyle w:val="66"/>
                    <w:bidi w:val="0"/>
                    <w:ind w:left="18" w:leftChars="9" w:right="18" w:rightChars="9"/>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本项目不涉及</w:t>
                  </w:r>
                </w:p>
              </w:tc>
              <w:tc>
                <w:tcPr>
                  <w:tcW w:w="363" w:type="pct"/>
                  <w:tcBorders>
                    <w:tl2br w:val="nil"/>
                    <w:tr2bl w:val="nil"/>
                  </w:tcBorders>
                  <w:noWrap w:val="0"/>
                  <w:vAlign w:val="center"/>
                </w:tcPr>
                <w:p w14:paraId="69B22928">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26DDC9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vMerge w:val="continue"/>
                  <w:tcBorders>
                    <w:tl2br w:val="nil"/>
                    <w:tr2bl w:val="nil"/>
                  </w:tcBorders>
                  <w:noWrap w:val="0"/>
                  <w:vAlign w:val="center"/>
                </w:tcPr>
                <w:p w14:paraId="69D5193C">
                  <w:pPr>
                    <w:pStyle w:val="66"/>
                    <w:bidi w:val="0"/>
                    <w:rPr>
                      <w:rFonts w:hint="default" w:ascii="Times New Roman" w:hAnsi="Times New Roman" w:cs="Times New Roman"/>
                      <w:color w:val="auto"/>
                      <w:highlight w:val="none"/>
                      <w:lang w:val="en-US" w:eastAsia="zh-CN"/>
                    </w:rPr>
                  </w:pPr>
                </w:p>
              </w:tc>
              <w:tc>
                <w:tcPr>
                  <w:tcW w:w="2432" w:type="pct"/>
                  <w:tcBorders>
                    <w:tl2br w:val="nil"/>
                    <w:tr2bl w:val="nil"/>
                  </w:tcBorders>
                  <w:noWrap w:val="0"/>
                  <w:vAlign w:val="center"/>
                </w:tcPr>
                <w:p w14:paraId="394AAEF4">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对于重点地区，收集的废气中NMHC初始排放速率≥2kg/h时，应配置VOCs处理设施，处理效率不应低于80%；采用的原辅材料符合国家有关低VOCs含量产品规定的除外。</w:t>
                  </w:r>
                </w:p>
              </w:tc>
              <w:tc>
                <w:tcPr>
                  <w:tcW w:w="1682" w:type="pct"/>
                  <w:tcBorders>
                    <w:tl2br w:val="nil"/>
                    <w:tr2bl w:val="nil"/>
                  </w:tcBorders>
                  <w:noWrap w:val="0"/>
                  <w:vAlign w:val="center"/>
                </w:tcPr>
                <w:p w14:paraId="2611713E">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本项目装卸、储存、充装过程产生的少量非甲烷总烃经通风后无组织排放</w:t>
                  </w:r>
                </w:p>
              </w:tc>
              <w:tc>
                <w:tcPr>
                  <w:tcW w:w="363" w:type="pct"/>
                  <w:tcBorders>
                    <w:tl2br w:val="nil"/>
                    <w:tr2bl w:val="nil"/>
                  </w:tcBorders>
                  <w:noWrap w:val="0"/>
                  <w:vAlign w:val="center"/>
                </w:tcPr>
                <w:p w14:paraId="69CD52C4">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1189F1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vMerge w:val="continue"/>
                  <w:tcBorders>
                    <w:tl2br w:val="nil"/>
                    <w:tr2bl w:val="nil"/>
                  </w:tcBorders>
                  <w:noWrap w:val="0"/>
                  <w:vAlign w:val="center"/>
                </w:tcPr>
                <w:p w14:paraId="13EE9D7C">
                  <w:pPr>
                    <w:pStyle w:val="66"/>
                    <w:bidi w:val="0"/>
                    <w:rPr>
                      <w:rFonts w:hint="default" w:ascii="Times New Roman" w:hAnsi="Times New Roman" w:cs="Times New Roman"/>
                      <w:color w:val="auto"/>
                      <w:highlight w:val="none"/>
                      <w:lang w:val="en-US" w:eastAsia="zh-CN"/>
                    </w:rPr>
                  </w:pPr>
                </w:p>
              </w:tc>
              <w:tc>
                <w:tcPr>
                  <w:tcW w:w="2432" w:type="pct"/>
                  <w:tcBorders>
                    <w:tl2br w:val="nil"/>
                    <w:tr2bl w:val="nil"/>
                  </w:tcBorders>
                  <w:noWrap w:val="0"/>
                  <w:vAlign w:val="center"/>
                </w:tcPr>
                <w:p w14:paraId="53B66135">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企业应建立台账，记录废气收集系统、 VOCs 处理设施的主要运行和维护信 息，如运行时间、废气处理量、操作 温度、停留时间、吸附剂再生/更换周 期和更换量、催化剂更换周期和更换 量、吸收液 pH 值等关键运行参数。台 账保存期限不少于 3 年。</w:t>
                  </w:r>
                </w:p>
              </w:tc>
              <w:tc>
                <w:tcPr>
                  <w:tcW w:w="1682" w:type="pct"/>
                  <w:tcBorders>
                    <w:tl2br w:val="nil"/>
                    <w:tr2bl w:val="nil"/>
                  </w:tcBorders>
                  <w:noWrap w:val="0"/>
                  <w:vAlign w:val="center"/>
                </w:tcPr>
                <w:p w14:paraId="18EE073D">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本项目按要求设立台账</w:t>
                  </w:r>
                </w:p>
              </w:tc>
              <w:tc>
                <w:tcPr>
                  <w:tcW w:w="363" w:type="pct"/>
                  <w:tcBorders>
                    <w:tl2br w:val="nil"/>
                    <w:tr2bl w:val="nil"/>
                  </w:tcBorders>
                  <w:noWrap w:val="0"/>
                  <w:vAlign w:val="center"/>
                </w:tcPr>
                <w:p w14:paraId="5AA59559">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r w14:paraId="61995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l2br w:val="nil"/>
                    <w:tr2bl w:val="nil"/>
                  </w:tcBorders>
                  <w:noWrap w:val="0"/>
                  <w:vAlign w:val="center"/>
                </w:tcPr>
                <w:p w14:paraId="7F3D90A1">
                  <w:pPr>
                    <w:pStyle w:val="66"/>
                    <w:bidi w:val="0"/>
                    <w:rPr>
                      <w:rFonts w:hint="default" w:ascii="Times New Roman" w:hAnsi="Times New Roman" w:cs="Times New Roman"/>
                      <w:color w:val="auto"/>
                      <w:highlight w:val="none"/>
                      <w:lang w:val="en-US" w:eastAsia="zh-CN"/>
                    </w:rPr>
                  </w:pPr>
                  <w:r>
                    <w:rPr>
                      <w:rFonts w:ascii="Times New Roman" w:hAnsi="Times New Roman" w:eastAsia="宋体" w:cs="Times New Roman"/>
                      <w:color w:val="auto"/>
                      <w:sz w:val="21"/>
                      <w:szCs w:val="21"/>
                      <w:highlight w:val="none"/>
                    </w:rPr>
                    <w:t>企业厂区 内及周边 污染监控 要求及污 染物监测 要求</w:t>
                  </w:r>
                </w:p>
              </w:tc>
              <w:tc>
                <w:tcPr>
                  <w:tcW w:w="2432" w:type="pct"/>
                  <w:tcBorders>
                    <w:tl2br w:val="nil"/>
                    <w:tr2bl w:val="nil"/>
                  </w:tcBorders>
                  <w:noWrap w:val="0"/>
                  <w:vAlign w:val="center"/>
                </w:tcPr>
                <w:p w14:paraId="10FD68C5">
                  <w:pPr>
                    <w:pStyle w:val="66"/>
                    <w:bidi w:val="0"/>
                    <w:rPr>
                      <w:rFonts w:hint="default" w:ascii="Times New Roman" w:hAnsi="Times New Roman" w:cs="Times New Roman"/>
                      <w:color w:val="auto"/>
                      <w:highlight w:val="none"/>
                      <w:lang w:val="en-US" w:eastAsia="zh-CN"/>
                    </w:rPr>
                  </w:pPr>
                  <w:r>
                    <w:rPr>
                      <w:rFonts w:ascii="Times New Roman" w:hAnsi="Times New Roman" w:eastAsia="宋体" w:cs="Times New Roman"/>
                      <w:color w:val="auto"/>
                      <w:sz w:val="21"/>
                      <w:szCs w:val="21"/>
                      <w:highlight w:val="none"/>
                    </w:rPr>
                    <w:t>建立企业监测制度，制定监测方案， 对污染物排放状况开展自行监测，保 存原始监测记录，并公布监测结果。</w:t>
                  </w:r>
                </w:p>
              </w:tc>
              <w:tc>
                <w:tcPr>
                  <w:tcW w:w="1682" w:type="pct"/>
                  <w:tcBorders>
                    <w:tl2br w:val="nil"/>
                    <w:tr2bl w:val="nil"/>
                  </w:tcBorders>
                  <w:noWrap w:val="0"/>
                  <w:vAlign w:val="center"/>
                </w:tcPr>
                <w:p w14:paraId="2A6D7675">
                  <w:pPr>
                    <w:pStyle w:val="66"/>
                    <w:bidi w:val="0"/>
                    <w:rPr>
                      <w:rFonts w:hint="default" w:ascii="Times New Roman" w:hAnsi="Times New Roman" w:cs="Times New Roman"/>
                      <w:color w:val="auto"/>
                      <w:highlight w:val="none"/>
                      <w:lang w:val="en-US" w:eastAsia="zh-CN"/>
                    </w:rPr>
                  </w:pPr>
                  <w:r>
                    <w:rPr>
                      <w:rFonts w:ascii="Times New Roman" w:hAnsi="Times New Roman" w:eastAsia="宋体" w:cs="Times New Roman"/>
                      <w:color w:val="auto"/>
                      <w:sz w:val="21"/>
                      <w:szCs w:val="21"/>
                      <w:highlight w:val="none"/>
                    </w:rPr>
                    <w:t>企业建立了监测制度，并按相关要求进行监测与公开。</w:t>
                  </w:r>
                </w:p>
              </w:tc>
              <w:tc>
                <w:tcPr>
                  <w:tcW w:w="363" w:type="pct"/>
                  <w:tcBorders>
                    <w:tl2br w:val="nil"/>
                    <w:tr2bl w:val="nil"/>
                  </w:tcBorders>
                  <w:noWrap w:val="0"/>
                  <w:vAlign w:val="center"/>
                </w:tcPr>
                <w:p w14:paraId="25951B3D">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符合</w:t>
                  </w:r>
                </w:p>
              </w:tc>
            </w:tr>
          </w:tbl>
          <w:p w14:paraId="50BB6D6A">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根据表1-7分析，本项目符合《挥发性有机物无组织排放控制标准》中的要求。</w:t>
            </w:r>
          </w:p>
          <w:p w14:paraId="103D508E">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（五）项目选址符合性分析</w:t>
            </w:r>
          </w:p>
          <w:p w14:paraId="0C9A85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本项目选址于</w:t>
            </w:r>
            <w:r>
              <w:rPr>
                <w:rFonts w:hint="eastAsia" w:eastAsia="Times New Roman"/>
                <w:color w:val="auto"/>
                <w:sz w:val="24"/>
                <w:szCs w:val="24"/>
                <w:lang w:val="zh-CN"/>
              </w:rPr>
              <w:t>宁都县翠微峰大道以西，永宁路以南</w:t>
            </w:r>
            <w:r>
              <w:rPr>
                <w:rFonts w:hint="default" w:ascii="Times New Roman" w:hAnsi="Times New Roman" w:eastAsia="宋体" w:cs="Times New Roman"/>
                <w:color w:val="auto"/>
                <w:sz w:val="24"/>
                <w:szCs w:val="24"/>
                <w:highlight w:val="none"/>
                <w:lang w:val="en-US" w:eastAsia="zh-CN"/>
              </w:rPr>
              <w:t>，项目占地</w:t>
            </w:r>
            <w:r>
              <w:rPr>
                <w:rFonts w:hint="eastAsia" w:cs="Times New Roman"/>
                <w:color w:val="auto"/>
                <w:sz w:val="24"/>
                <w:szCs w:val="24"/>
                <w:highlight w:val="none"/>
                <w:lang w:val="en-US" w:eastAsia="zh-CN"/>
              </w:rPr>
              <w:t>15355</w:t>
            </w:r>
            <w:r>
              <w:rPr>
                <w:rFonts w:hint="default" w:ascii="Times New Roman" w:hAnsi="Times New Roman" w:cs="Times New Roman"/>
                <w:color w:val="auto"/>
                <w:spacing w:val="-6"/>
                <w:sz w:val="24"/>
                <w:szCs w:val="24"/>
                <w:highlight w:val="none"/>
              </w:rPr>
              <w:t>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eastAsia="宋体" w:cs="Times New Roman"/>
                <w:color w:val="auto"/>
                <w:sz w:val="24"/>
                <w:szCs w:val="24"/>
                <w:highlight w:val="none"/>
                <w:lang w:val="en-US" w:eastAsia="zh-CN"/>
              </w:rPr>
              <w:t>，建设内容：</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的储罐</w:t>
            </w:r>
            <w:r>
              <w:rPr>
                <w:rFonts w:hint="eastAsia" w:ascii="Times New Roman" w:hAnsi="Times New Roman" w:eastAsia="宋体" w:cs="Times New Roman"/>
                <w:color w:val="auto"/>
                <w:sz w:val="24"/>
                <w:szCs w:val="24"/>
                <w:highlight w:val="none"/>
                <w:lang w:val="en-US" w:eastAsia="zh-CN"/>
              </w:rPr>
              <w:t>4个，</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残液</w:t>
            </w:r>
            <w:r>
              <w:rPr>
                <w:rFonts w:hint="default" w:ascii="Times New Roman" w:hAnsi="Times New Roman" w:eastAsia="宋体" w:cs="Times New Roman"/>
                <w:color w:val="auto"/>
                <w:sz w:val="24"/>
                <w:szCs w:val="24"/>
                <w:highlight w:val="none"/>
                <w:lang w:val="en-US" w:eastAsia="zh-CN"/>
              </w:rPr>
              <w:t>罐</w:t>
            </w:r>
            <w:r>
              <w:rPr>
                <w:rFonts w:hint="eastAsia"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lang w:val="en-US" w:eastAsia="zh-CN"/>
              </w:rPr>
              <w:t>。根据《液化石油供应工程设计规范》（GB51142-2015）中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表2.5.1液化石油气供应站等级划分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的标准对本项目</w:t>
            </w:r>
            <w:r>
              <w:rPr>
                <w:rFonts w:hint="eastAsia" w:cs="Times New Roman"/>
                <w:color w:val="auto"/>
                <w:sz w:val="24"/>
                <w:szCs w:val="24"/>
                <w:highlight w:val="none"/>
                <w:lang w:val="en-US" w:eastAsia="zh-CN"/>
              </w:rPr>
              <w:t>储配</w:t>
            </w:r>
            <w:r>
              <w:rPr>
                <w:rFonts w:hint="default" w:ascii="Times New Roman" w:hAnsi="Times New Roman" w:eastAsia="宋体" w:cs="Times New Roman"/>
                <w:color w:val="auto"/>
                <w:sz w:val="24"/>
                <w:szCs w:val="24"/>
                <w:highlight w:val="none"/>
                <w:lang w:val="en-US" w:eastAsia="zh-CN"/>
              </w:rPr>
              <w:t>站的等级划分，本项目</w:t>
            </w:r>
            <w:r>
              <w:rPr>
                <w:rFonts w:hint="eastAsia" w:cs="Times New Roman"/>
                <w:color w:val="auto"/>
                <w:sz w:val="24"/>
                <w:szCs w:val="24"/>
                <w:highlight w:val="none"/>
                <w:lang w:val="en-US" w:eastAsia="zh-CN"/>
              </w:rPr>
              <w:t>灌</w:t>
            </w:r>
            <w:r>
              <w:rPr>
                <w:rFonts w:hint="default" w:ascii="Times New Roman" w:hAnsi="Times New Roman" w:eastAsia="宋体" w:cs="Times New Roman"/>
                <w:color w:val="auto"/>
                <w:sz w:val="24"/>
                <w:szCs w:val="24"/>
                <w:highlight w:val="none"/>
                <w:lang w:val="en-US" w:eastAsia="zh-CN"/>
              </w:rPr>
              <w:t>装站属于</w:t>
            </w:r>
            <w:r>
              <w:rPr>
                <w:rFonts w:hint="eastAsia" w:cs="Times New Roman"/>
                <w:color w:val="auto"/>
                <w:sz w:val="24"/>
                <w:szCs w:val="24"/>
                <w:highlight w:val="none"/>
                <w:lang w:val="en-US" w:eastAsia="zh-CN"/>
              </w:rPr>
              <w:t>四</w:t>
            </w:r>
            <w:r>
              <w:rPr>
                <w:rFonts w:hint="default" w:ascii="Times New Roman" w:hAnsi="Times New Roman" w:eastAsia="宋体" w:cs="Times New Roman"/>
                <w:color w:val="auto"/>
                <w:sz w:val="24"/>
                <w:szCs w:val="24"/>
                <w:highlight w:val="none"/>
                <w:lang w:val="en-US" w:eastAsia="zh-CN"/>
              </w:rPr>
              <w:t>级液化石油气供应站。</w:t>
            </w:r>
          </w:p>
          <w:p w14:paraId="690A43C2">
            <w:pPr>
              <w:bidi w:val="0"/>
              <w:spacing w:line="240" w:lineRule="auto"/>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表1-</w:t>
            </w:r>
            <w:r>
              <w:rPr>
                <w:rFonts w:hint="eastAsia" w:cs="Times New Roman"/>
                <w:b/>
                <w:bCs/>
                <w:color w:val="auto"/>
                <w:sz w:val="22"/>
                <w:szCs w:val="22"/>
                <w:highlight w:val="none"/>
                <w:lang w:val="en-US" w:eastAsia="zh-CN"/>
              </w:rPr>
              <w:t>8</w:t>
            </w:r>
            <w:r>
              <w:rPr>
                <w:rFonts w:hint="default" w:ascii="Times New Roman" w:hAnsi="Times New Roman" w:eastAsia="宋体" w:cs="Times New Roman"/>
                <w:b/>
                <w:bCs/>
                <w:color w:val="auto"/>
                <w:sz w:val="22"/>
                <w:szCs w:val="22"/>
                <w:highlight w:val="none"/>
              </w:rPr>
              <w:t>液化石油气供应站等级划分</w:t>
            </w:r>
          </w:p>
          <w:tbl>
            <w:tblPr>
              <w:tblStyle w:val="37"/>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2346"/>
              <w:gridCol w:w="2346"/>
            </w:tblGrid>
            <w:tr w14:paraId="2C16D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vMerge w:val="restart"/>
                  <w:tcBorders>
                    <w:tl2br w:val="nil"/>
                    <w:tr2bl w:val="nil"/>
                  </w:tcBorders>
                  <w:noWrap w:val="0"/>
                  <w:vAlign w:val="center"/>
                </w:tcPr>
                <w:p w14:paraId="7C6B206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等级</w:t>
                  </w:r>
                </w:p>
              </w:tc>
              <w:tc>
                <w:tcPr>
                  <w:tcW w:w="5498" w:type="dxa"/>
                  <w:gridSpan w:val="2"/>
                  <w:tcBorders>
                    <w:tl2br w:val="nil"/>
                    <w:tr2bl w:val="nil"/>
                  </w:tcBorders>
                  <w:noWrap w:val="0"/>
                  <w:vAlign w:val="center"/>
                </w:tcPr>
                <w:p w14:paraId="66A1DF9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储罐容积（m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14:paraId="329AD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vMerge w:val="continue"/>
                  <w:tcBorders>
                    <w:tl2br w:val="nil"/>
                    <w:tr2bl w:val="nil"/>
                  </w:tcBorders>
                  <w:noWrap w:val="0"/>
                  <w:vAlign w:val="center"/>
                </w:tcPr>
                <w:p w14:paraId="4FD63E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p>
              </w:tc>
              <w:tc>
                <w:tcPr>
                  <w:tcW w:w="2749" w:type="dxa"/>
                  <w:tcBorders>
                    <w:tl2br w:val="nil"/>
                    <w:tr2bl w:val="nil"/>
                  </w:tcBorders>
                  <w:noWrap w:val="0"/>
                  <w:vAlign w:val="center"/>
                </w:tcPr>
                <w:p w14:paraId="2BB0853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rPr>
                    <w:t>总容积（m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2749" w:type="dxa"/>
                  <w:tcBorders>
                    <w:tl2br w:val="nil"/>
                    <w:tr2bl w:val="nil"/>
                  </w:tcBorders>
                  <w:noWrap w:val="0"/>
                  <w:vAlign w:val="center"/>
                </w:tcPr>
                <w:p w14:paraId="713429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rPr>
                    <w:t>单罐容积（m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14:paraId="511AE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38B1BE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一级</w:t>
                  </w:r>
                </w:p>
              </w:tc>
              <w:tc>
                <w:tcPr>
                  <w:tcW w:w="2749" w:type="dxa"/>
                  <w:tcBorders>
                    <w:tl2br w:val="nil"/>
                    <w:tr2bl w:val="nil"/>
                  </w:tcBorders>
                  <w:noWrap w:val="0"/>
                  <w:vAlign w:val="center"/>
                </w:tcPr>
                <w:p w14:paraId="655B918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5000＜V≤10000</w:t>
                  </w:r>
                </w:p>
              </w:tc>
              <w:tc>
                <w:tcPr>
                  <w:tcW w:w="2749" w:type="dxa"/>
                  <w:tcBorders>
                    <w:tl2br w:val="nil"/>
                    <w:tr2bl w:val="nil"/>
                  </w:tcBorders>
                  <w:noWrap w:val="0"/>
                  <w:vAlign w:val="center"/>
                </w:tcPr>
                <w:p w14:paraId="3AC2337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w:t>
                  </w:r>
                </w:p>
              </w:tc>
            </w:tr>
            <w:tr w14:paraId="27405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60DAA74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二级</w:t>
                  </w:r>
                </w:p>
              </w:tc>
              <w:tc>
                <w:tcPr>
                  <w:tcW w:w="2749" w:type="dxa"/>
                  <w:tcBorders>
                    <w:tl2br w:val="nil"/>
                    <w:tr2bl w:val="nil"/>
                  </w:tcBorders>
                  <w:noWrap w:val="0"/>
                  <w:vAlign w:val="center"/>
                </w:tcPr>
                <w:p w14:paraId="37D08FF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2500＜V≤5000</w:t>
                  </w:r>
                </w:p>
              </w:tc>
              <w:tc>
                <w:tcPr>
                  <w:tcW w:w="2749" w:type="dxa"/>
                  <w:tcBorders>
                    <w:tl2br w:val="nil"/>
                    <w:tr2bl w:val="nil"/>
                  </w:tcBorders>
                  <w:noWrap w:val="0"/>
                  <w:vAlign w:val="center"/>
                </w:tcPr>
                <w:p w14:paraId="251250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1000</w:t>
                  </w:r>
                </w:p>
              </w:tc>
            </w:tr>
            <w:tr w14:paraId="66B8B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454EBD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三级</w:t>
                  </w:r>
                </w:p>
              </w:tc>
              <w:tc>
                <w:tcPr>
                  <w:tcW w:w="2749" w:type="dxa"/>
                  <w:tcBorders>
                    <w:tl2br w:val="nil"/>
                    <w:tr2bl w:val="nil"/>
                  </w:tcBorders>
                  <w:noWrap w:val="0"/>
                  <w:vAlign w:val="center"/>
                </w:tcPr>
                <w:p w14:paraId="458319C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1000＜V≤2500</w:t>
                  </w:r>
                </w:p>
              </w:tc>
              <w:tc>
                <w:tcPr>
                  <w:tcW w:w="2749" w:type="dxa"/>
                  <w:tcBorders>
                    <w:tl2br w:val="nil"/>
                    <w:tr2bl w:val="nil"/>
                  </w:tcBorders>
                  <w:noWrap w:val="0"/>
                  <w:vAlign w:val="center"/>
                </w:tcPr>
                <w:p w14:paraId="508E810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400</w:t>
                  </w:r>
                </w:p>
              </w:tc>
            </w:tr>
            <w:tr w14:paraId="1950C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702E2BB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四级</w:t>
                  </w:r>
                </w:p>
              </w:tc>
              <w:tc>
                <w:tcPr>
                  <w:tcW w:w="2749" w:type="dxa"/>
                  <w:tcBorders>
                    <w:tl2br w:val="nil"/>
                    <w:tr2bl w:val="nil"/>
                  </w:tcBorders>
                  <w:noWrap w:val="0"/>
                  <w:vAlign w:val="center"/>
                </w:tcPr>
                <w:p w14:paraId="33287F3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500＜V≤1000</w:t>
                  </w:r>
                </w:p>
              </w:tc>
              <w:tc>
                <w:tcPr>
                  <w:tcW w:w="2749" w:type="dxa"/>
                  <w:tcBorders>
                    <w:tl2br w:val="nil"/>
                    <w:tr2bl w:val="nil"/>
                  </w:tcBorders>
                  <w:noWrap w:val="0"/>
                  <w:vAlign w:val="center"/>
                </w:tcPr>
                <w:p w14:paraId="035670A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200</w:t>
                  </w:r>
                </w:p>
              </w:tc>
            </w:tr>
            <w:tr w14:paraId="7FCAE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18CC137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五级</w:t>
                  </w:r>
                </w:p>
              </w:tc>
              <w:tc>
                <w:tcPr>
                  <w:tcW w:w="2749" w:type="dxa"/>
                  <w:tcBorders>
                    <w:tl2br w:val="nil"/>
                    <w:tr2bl w:val="nil"/>
                  </w:tcBorders>
                  <w:noWrap w:val="0"/>
                  <w:vAlign w:val="center"/>
                </w:tcPr>
                <w:p w14:paraId="7B71019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220＜V≤500</w:t>
                  </w:r>
                </w:p>
              </w:tc>
              <w:tc>
                <w:tcPr>
                  <w:tcW w:w="2749" w:type="dxa"/>
                  <w:tcBorders>
                    <w:tl2br w:val="nil"/>
                    <w:tr2bl w:val="nil"/>
                  </w:tcBorders>
                  <w:noWrap w:val="0"/>
                  <w:vAlign w:val="center"/>
                </w:tcPr>
                <w:p w14:paraId="11210E3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100</w:t>
                  </w:r>
                </w:p>
              </w:tc>
            </w:tr>
            <w:tr w14:paraId="35507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685183B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六级</w:t>
                  </w:r>
                </w:p>
              </w:tc>
              <w:tc>
                <w:tcPr>
                  <w:tcW w:w="2749" w:type="dxa"/>
                  <w:tcBorders>
                    <w:tl2br w:val="nil"/>
                    <w:tr2bl w:val="nil"/>
                  </w:tcBorders>
                  <w:noWrap w:val="0"/>
                  <w:vAlign w:val="center"/>
                </w:tcPr>
                <w:p w14:paraId="56911AA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50＜V≤220</w:t>
                  </w:r>
                </w:p>
              </w:tc>
              <w:tc>
                <w:tcPr>
                  <w:tcW w:w="2749" w:type="dxa"/>
                  <w:tcBorders>
                    <w:tl2br w:val="nil"/>
                    <w:tr2bl w:val="nil"/>
                  </w:tcBorders>
                  <w:noWrap w:val="0"/>
                  <w:vAlign w:val="center"/>
                </w:tcPr>
                <w:p w14:paraId="134304A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50</w:t>
                  </w:r>
                </w:p>
              </w:tc>
            </w:tr>
            <w:tr w14:paraId="3B5E9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21EF8A1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七级</w:t>
                  </w:r>
                </w:p>
              </w:tc>
              <w:tc>
                <w:tcPr>
                  <w:tcW w:w="2749" w:type="dxa"/>
                  <w:tcBorders>
                    <w:tl2br w:val="nil"/>
                    <w:tr2bl w:val="nil"/>
                  </w:tcBorders>
                  <w:noWrap w:val="0"/>
                  <w:vAlign w:val="center"/>
                </w:tcPr>
                <w:p w14:paraId="6F8794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V≤50</w:t>
                  </w:r>
                </w:p>
              </w:tc>
              <w:tc>
                <w:tcPr>
                  <w:tcW w:w="2749" w:type="dxa"/>
                  <w:tcBorders>
                    <w:tl2br w:val="nil"/>
                    <w:tr2bl w:val="nil"/>
                  </w:tcBorders>
                  <w:noWrap w:val="0"/>
                  <w:vAlign w:val="center"/>
                </w:tcPr>
                <w:p w14:paraId="72B1DE0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20</w:t>
                  </w:r>
                </w:p>
              </w:tc>
            </w:tr>
            <w:tr w14:paraId="27999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8" w:type="dxa"/>
                  <w:tcBorders>
                    <w:tl2br w:val="nil"/>
                    <w:tr2bl w:val="nil"/>
                  </w:tcBorders>
                  <w:noWrap w:val="0"/>
                  <w:vAlign w:val="center"/>
                </w:tcPr>
                <w:p w14:paraId="67C7F52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八级</w:t>
                  </w:r>
                </w:p>
              </w:tc>
              <w:tc>
                <w:tcPr>
                  <w:tcW w:w="2749" w:type="dxa"/>
                  <w:tcBorders>
                    <w:tl2br w:val="nil"/>
                    <w:tr2bl w:val="nil"/>
                  </w:tcBorders>
                  <w:noWrap w:val="0"/>
                  <w:vAlign w:val="center"/>
                </w:tcPr>
                <w:p w14:paraId="7EA4BAC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V≤10</w:t>
                  </w:r>
                </w:p>
              </w:tc>
              <w:tc>
                <w:tcPr>
                  <w:tcW w:w="2749" w:type="dxa"/>
                  <w:tcBorders>
                    <w:tl2br w:val="nil"/>
                    <w:tr2bl w:val="nil"/>
                  </w:tcBorders>
                  <w:noWrap w:val="0"/>
                  <w:vAlign w:val="center"/>
                </w:tcPr>
                <w:p w14:paraId="2D5BC28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rPr>
                    <w:t>—</w:t>
                  </w:r>
                </w:p>
              </w:tc>
            </w:tr>
          </w:tbl>
          <w:p w14:paraId="7CE1B4F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本项目东侧为翠微峰大道，</w:t>
            </w:r>
            <w:r>
              <w:rPr>
                <w:rFonts w:hint="eastAsia"/>
                <w:b w:val="0"/>
                <w:bCs/>
                <w:color w:val="auto"/>
                <w:sz w:val="24"/>
                <w:szCs w:val="24"/>
                <w:highlight w:val="none"/>
                <w:lang w:val="en-US" w:eastAsia="zh-CN"/>
              </w:rPr>
              <w:t>道路对面为荒地</w:t>
            </w:r>
            <w:r>
              <w:rPr>
                <w:rFonts w:hint="eastAsia"/>
                <w:b w:val="0"/>
                <w:bCs/>
                <w:color w:val="auto"/>
                <w:sz w:val="24"/>
                <w:szCs w:val="24"/>
                <w:highlight w:val="none"/>
                <w:lang w:val="en-US" w:eastAsia="zh-CN"/>
              </w:rPr>
              <w:t>；南侧为宁都县城乡燃气有限责任公司；西侧为山体；北侧为在建宁都县传染病医院。本项目的建设及运营不会对周围造成不利影响。</w:t>
            </w:r>
          </w:p>
          <w:p w14:paraId="49715B77">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（六）</w:t>
            </w:r>
            <w:r>
              <w:rPr>
                <w:rFonts w:ascii="宋体" w:hAnsi="宋体" w:eastAsia="宋体" w:cs="宋体"/>
                <w:b/>
                <w:bCs/>
                <w:color w:val="auto"/>
                <w:sz w:val="24"/>
                <w:szCs w:val="24"/>
              </w:rPr>
              <w:t>与《液化石油气供应工程设计规范》（GB51142-2015）相符性分析</w:t>
            </w:r>
          </w:p>
          <w:p w14:paraId="77FF8CEA">
            <w:pPr>
              <w:pStyle w:val="8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表1-</w:t>
            </w:r>
            <w:r>
              <w:rPr>
                <w:rFonts w:hint="eastAsia" w:ascii="Times New Roman" w:hAnsi="Times New Roman" w:cs="Times New Roman"/>
                <w:color w:val="auto"/>
                <w:highlight w:val="none"/>
                <w:lang w:val="en-US" w:eastAsia="zh-CN"/>
              </w:rPr>
              <w:t>9</w:t>
            </w:r>
            <w:r>
              <w:rPr>
                <w:rFonts w:hint="default" w:ascii="Times New Roman" w:hAnsi="Times New Roman" w:cs="Times New Roman"/>
                <w:color w:val="auto"/>
                <w:highlight w:val="none"/>
                <w:lang w:val="en-US" w:eastAsia="zh-CN"/>
              </w:rPr>
              <w:t xml:space="preserve"> 与 GB51142-2015总平面布置相符性分析</w:t>
            </w:r>
          </w:p>
          <w:tbl>
            <w:tblPr>
              <w:tblStyle w:val="36"/>
              <w:tblpPr w:leftFromText="180" w:rightFromText="180" w:vertAnchor="text" w:tblpXSpec="center" w:tblpY="1"/>
              <w:tblOverlap w:val="never"/>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49"/>
              <w:gridCol w:w="3490"/>
              <w:gridCol w:w="2415"/>
              <w:gridCol w:w="521"/>
            </w:tblGrid>
            <w:tr w14:paraId="6BF987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atLeast"/>
                <w:jc w:val="center"/>
              </w:trPr>
              <w:tc>
                <w:tcPr>
                  <w:tcW w:w="521" w:type="pct"/>
                  <w:tcBorders>
                    <w:tl2br w:val="nil"/>
                    <w:tr2bl w:val="nil"/>
                  </w:tcBorders>
                  <w:noWrap w:val="0"/>
                  <w:vAlign w:val="center"/>
                </w:tcPr>
                <w:p w14:paraId="4504EB8A">
                  <w:pPr>
                    <w:pStyle w:val="67"/>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2432" w:type="pct"/>
                  <w:tcBorders>
                    <w:tl2br w:val="nil"/>
                    <w:tr2bl w:val="nil"/>
                  </w:tcBorders>
                  <w:noWrap w:val="0"/>
                  <w:vAlign w:val="center"/>
                </w:tcPr>
                <w:p w14:paraId="6D5B6196">
                  <w:pPr>
                    <w:pStyle w:val="67"/>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规定要求</w:t>
                  </w:r>
                </w:p>
              </w:tc>
              <w:tc>
                <w:tcPr>
                  <w:tcW w:w="1682" w:type="pct"/>
                  <w:tcBorders>
                    <w:tl2br w:val="nil"/>
                    <w:tr2bl w:val="nil"/>
                  </w:tcBorders>
                  <w:noWrap w:val="0"/>
                  <w:vAlign w:val="center"/>
                </w:tcPr>
                <w:p w14:paraId="5F487119">
                  <w:pPr>
                    <w:pStyle w:val="67"/>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本项目情况</w:t>
                  </w:r>
                </w:p>
              </w:tc>
              <w:tc>
                <w:tcPr>
                  <w:tcW w:w="363" w:type="pct"/>
                  <w:tcBorders>
                    <w:tl2br w:val="nil"/>
                    <w:tr2bl w:val="nil"/>
                  </w:tcBorders>
                  <w:noWrap w:val="0"/>
                  <w:vAlign w:val="center"/>
                </w:tcPr>
                <w:p w14:paraId="210C3B79">
                  <w:pPr>
                    <w:pStyle w:val="67"/>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p w14:paraId="3CC8D1A2">
                  <w:pPr>
                    <w:pStyle w:val="67"/>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性</w:t>
                  </w:r>
                </w:p>
              </w:tc>
            </w:tr>
            <w:tr w14:paraId="571A66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l2br w:val="nil"/>
                    <w:tr2bl w:val="nil"/>
                  </w:tcBorders>
                  <w:noWrap w:val="0"/>
                  <w:vAlign w:val="center"/>
                </w:tcPr>
                <w:p w14:paraId="2615E23A">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2432" w:type="pct"/>
                  <w:tcBorders>
                    <w:tl2br w:val="nil"/>
                    <w:tr2bl w:val="nil"/>
                  </w:tcBorders>
                  <w:noWrap w:val="0"/>
                  <w:vAlign w:val="center"/>
                </w:tcPr>
                <w:p w14:paraId="4D4F3025">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液化石油气储存站、储配站和灌装站内 总平面应分区布置，并应分为生产区和 辅助区。生产区宜布置在站区全年最小 频率风向的上风侧或上侧风侧。</w:t>
                  </w:r>
                </w:p>
              </w:tc>
              <w:tc>
                <w:tcPr>
                  <w:tcW w:w="1682" w:type="pct"/>
                  <w:tcBorders>
                    <w:tl2br w:val="nil"/>
                    <w:tr2bl w:val="nil"/>
                  </w:tcBorders>
                  <w:noWrap w:val="0"/>
                  <w:vAlign w:val="center"/>
                </w:tcPr>
                <w:p w14:paraId="274533B5">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项目总平面可分为生产区和辅助区，其中生产区为储罐区和灌装区，辅助区为辅助用房等辅助建筑物，且生产区布置在厂区上风侧。</w:t>
                  </w:r>
                </w:p>
              </w:tc>
              <w:tc>
                <w:tcPr>
                  <w:tcW w:w="363" w:type="pct"/>
                  <w:tcBorders>
                    <w:tl2br w:val="nil"/>
                    <w:tr2bl w:val="nil"/>
                  </w:tcBorders>
                  <w:noWrap w:val="0"/>
                  <w:vAlign w:val="center"/>
                </w:tcPr>
                <w:p w14:paraId="4743775D">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6ACD90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l2br w:val="nil"/>
                    <w:tr2bl w:val="nil"/>
                  </w:tcBorders>
                  <w:noWrap w:val="0"/>
                  <w:vAlign w:val="center"/>
                </w:tcPr>
                <w:p w14:paraId="6C215D63">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2432" w:type="pct"/>
                  <w:tcBorders>
                    <w:tl2br w:val="nil"/>
                    <w:tr2bl w:val="nil"/>
                  </w:tcBorders>
                  <w:noWrap w:val="0"/>
                  <w:vAlign w:val="center"/>
                </w:tcPr>
                <w:p w14:paraId="23272B76">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液化石油气储配站边界应设置围墙，生产区设置高度不低于2m 的不燃烧实体 围墙，辅助区可设置不燃烧非实体围墙</w:t>
                  </w:r>
                </w:p>
              </w:tc>
              <w:tc>
                <w:tcPr>
                  <w:tcW w:w="1682" w:type="pct"/>
                  <w:tcBorders>
                    <w:tl2br w:val="nil"/>
                    <w:tr2bl w:val="nil"/>
                  </w:tcBorders>
                  <w:noWrap w:val="0"/>
                  <w:vAlign w:val="center"/>
                </w:tcPr>
                <w:p w14:paraId="6880FD07">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项目边界设置有2.4m实体围墙</w:t>
                  </w:r>
                </w:p>
              </w:tc>
              <w:tc>
                <w:tcPr>
                  <w:tcW w:w="363" w:type="pct"/>
                  <w:tcBorders>
                    <w:tl2br w:val="nil"/>
                    <w:tr2bl w:val="nil"/>
                  </w:tcBorders>
                  <w:noWrap w:val="0"/>
                  <w:vAlign w:val="center"/>
                </w:tcPr>
                <w:p w14:paraId="4CBD01EE">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0679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521" w:type="pct"/>
                  <w:tcBorders>
                    <w:bottom w:val="single" w:color="auto" w:sz="4" w:space="0"/>
                    <w:tl2br w:val="nil"/>
                    <w:tr2bl w:val="nil"/>
                  </w:tcBorders>
                  <w:noWrap w:val="0"/>
                  <w:vAlign w:val="center"/>
                </w:tcPr>
                <w:p w14:paraId="0967B0B6">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2432" w:type="pct"/>
                  <w:tcBorders>
                    <w:tl2br w:val="nil"/>
                    <w:tr2bl w:val="nil"/>
                  </w:tcBorders>
                  <w:noWrap w:val="0"/>
                  <w:vAlign w:val="center"/>
                </w:tcPr>
                <w:p w14:paraId="0EF6A102">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全冷冻式液化石油气储罐与全压力式液 化石油气储罐不得设置在同一罐区内，两类储罐之间的防火间距不应小于相邻较大储藏室的直径，且不应小于35m。</w:t>
                  </w:r>
                </w:p>
              </w:tc>
              <w:tc>
                <w:tcPr>
                  <w:tcW w:w="1682" w:type="pct"/>
                  <w:tcBorders>
                    <w:tl2br w:val="nil"/>
                    <w:tr2bl w:val="nil"/>
                  </w:tcBorders>
                  <w:noWrap w:val="0"/>
                  <w:vAlign w:val="center"/>
                </w:tcPr>
                <w:p w14:paraId="749488B2">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本项目仅设全压力式液化石油气储罐，不设置冷冻式液化石油气储罐。</w:t>
                  </w:r>
                </w:p>
              </w:tc>
              <w:tc>
                <w:tcPr>
                  <w:tcW w:w="363" w:type="pct"/>
                  <w:tcBorders>
                    <w:tl2br w:val="nil"/>
                    <w:tr2bl w:val="nil"/>
                  </w:tcBorders>
                  <w:noWrap w:val="0"/>
                  <w:vAlign w:val="center"/>
                </w:tcPr>
                <w:p w14:paraId="6A9D624F">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D8CAE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op w:val="single" w:color="auto" w:sz="4" w:space="0"/>
                    <w:bottom w:val="single" w:color="auto" w:sz="4" w:space="0"/>
                    <w:tl2br w:val="nil"/>
                    <w:tr2bl w:val="nil"/>
                  </w:tcBorders>
                  <w:noWrap w:val="0"/>
                  <w:vAlign w:val="center"/>
                </w:tcPr>
                <w:p w14:paraId="39E9DDD6">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2432" w:type="pct"/>
                  <w:tcBorders>
                    <w:tl2br w:val="nil"/>
                    <w:tr2bl w:val="nil"/>
                  </w:tcBorders>
                  <w:noWrap w:val="0"/>
                  <w:vAlign w:val="center"/>
                </w:tcPr>
                <w:p w14:paraId="0E8DEEAC">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生产区应设置环形消防车道。消防车道 宽度不应小于 4m，当储罐总容积小于 500m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时，可设置</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尽头式消防车道和面 积不应小于 12mx12m 的回车场</w:t>
                  </w:r>
                </w:p>
              </w:tc>
              <w:tc>
                <w:tcPr>
                  <w:tcW w:w="1682" w:type="pct"/>
                  <w:tcBorders>
                    <w:tl2br w:val="nil"/>
                    <w:tr2bl w:val="nil"/>
                  </w:tcBorders>
                  <w:noWrap w:val="0"/>
                  <w:vAlign w:val="center"/>
                </w:tcPr>
                <w:p w14:paraId="39DE3D3D">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项目储罐总容积为</w:t>
                  </w:r>
                  <w:r>
                    <w:rPr>
                      <w:rFonts w:hint="default" w:ascii="Times New Roman" w:hAnsi="Times New Roman" w:eastAsia="宋体" w:cs="Times New Roman"/>
                      <w:color w:val="auto"/>
                      <w:sz w:val="21"/>
                      <w:szCs w:val="21"/>
                      <w:lang w:val="en-US" w:eastAsia="zh-CN"/>
                    </w:rPr>
                    <w:t>8</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，设置了尽头式消防回车场，消防车道宽度为5m。</w:t>
                  </w:r>
                </w:p>
              </w:tc>
              <w:tc>
                <w:tcPr>
                  <w:tcW w:w="363" w:type="pct"/>
                  <w:tcBorders>
                    <w:tl2br w:val="nil"/>
                    <w:tr2bl w:val="nil"/>
                  </w:tcBorders>
                  <w:noWrap w:val="0"/>
                  <w:vAlign w:val="center"/>
                </w:tcPr>
                <w:p w14:paraId="181CBEBA">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30E671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op w:val="single" w:color="auto" w:sz="4" w:space="0"/>
                    <w:tl2br w:val="nil"/>
                    <w:tr2bl w:val="nil"/>
                  </w:tcBorders>
                  <w:noWrap w:val="0"/>
                  <w:vAlign w:val="center"/>
                </w:tcPr>
                <w:p w14:paraId="61F65AD6">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2432" w:type="pct"/>
                  <w:tcBorders>
                    <w:tl2br w:val="nil"/>
                    <w:tr2bl w:val="nil"/>
                  </w:tcBorders>
                  <w:noWrap w:val="0"/>
                  <w:vAlign w:val="center"/>
                </w:tcPr>
                <w:p w14:paraId="60C8A17F">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生产区和辅助区至少应各设置一个对外出口；对外出入口宽度不应小于 4m</w:t>
                  </w:r>
                </w:p>
              </w:tc>
              <w:tc>
                <w:tcPr>
                  <w:tcW w:w="1682" w:type="pct"/>
                  <w:tcBorders>
                    <w:tl2br w:val="nil"/>
                    <w:tr2bl w:val="nil"/>
                  </w:tcBorders>
                  <w:noWrap w:val="0"/>
                  <w:vAlign w:val="center"/>
                </w:tcPr>
                <w:p w14:paraId="710484D1">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项目辅助区、生产区均设个对外出口，出口宽度为5.0m。</w:t>
                  </w:r>
                </w:p>
              </w:tc>
              <w:tc>
                <w:tcPr>
                  <w:tcW w:w="363" w:type="pct"/>
                  <w:tcBorders>
                    <w:tl2br w:val="nil"/>
                    <w:tr2bl w:val="nil"/>
                  </w:tcBorders>
                  <w:noWrap w:val="0"/>
                  <w:vAlign w:val="center"/>
                </w:tcPr>
                <w:p w14:paraId="13030CF2">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DB90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bottom w:val="single" w:color="auto" w:sz="4" w:space="0"/>
                    <w:tl2br w:val="nil"/>
                    <w:tr2bl w:val="nil"/>
                  </w:tcBorders>
                  <w:noWrap w:val="0"/>
                  <w:vAlign w:val="center"/>
                </w:tcPr>
                <w:p w14:paraId="04B0AF8B">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2432" w:type="pct"/>
                  <w:tcBorders>
                    <w:tl2br w:val="nil"/>
                    <w:tr2bl w:val="nil"/>
                  </w:tcBorders>
                  <w:noWrap w:val="0"/>
                  <w:vAlign w:val="center"/>
                </w:tcPr>
                <w:p w14:paraId="10F08D01">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生产区内严禁设置地下和半地下建、构 筑物（寒冷地区的地下式消 火栓和储罐 区的排水管、沟除外）； 生产区内的地 下管（缆）沟必须填满干砂。</w:t>
                  </w:r>
                </w:p>
              </w:tc>
              <w:tc>
                <w:tcPr>
                  <w:tcW w:w="1682" w:type="pct"/>
                  <w:tcBorders>
                    <w:tl2br w:val="nil"/>
                    <w:tr2bl w:val="nil"/>
                  </w:tcBorders>
                  <w:noWrap w:val="0"/>
                  <w:vAlign w:val="center"/>
                </w:tcPr>
                <w:p w14:paraId="6C7253CD">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生产区内无地下和半地下建、构筑物；生产区内无地下管（缆）沟。</w:t>
                  </w:r>
                </w:p>
              </w:tc>
              <w:tc>
                <w:tcPr>
                  <w:tcW w:w="363" w:type="pct"/>
                  <w:tcBorders>
                    <w:tl2br w:val="nil"/>
                    <w:tr2bl w:val="nil"/>
                  </w:tcBorders>
                  <w:noWrap w:val="0"/>
                  <w:vAlign w:val="center"/>
                </w:tcPr>
                <w:p w14:paraId="2AD09B15">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159D9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521" w:type="pct"/>
                  <w:tcBorders>
                    <w:top w:val="single" w:color="auto" w:sz="4" w:space="0"/>
                    <w:bottom w:val="single" w:color="auto" w:sz="4" w:space="0"/>
                    <w:tl2br w:val="nil"/>
                    <w:tr2bl w:val="nil"/>
                  </w:tcBorders>
                  <w:noWrap w:val="0"/>
                  <w:vAlign w:val="center"/>
                </w:tcPr>
                <w:p w14:paraId="20C0719A">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2432" w:type="pct"/>
                  <w:tcBorders>
                    <w:tl2br w:val="nil"/>
                    <w:tr2bl w:val="nil"/>
                  </w:tcBorders>
                  <w:noWrap w:val="0"/>
                  <w:vAlign w:val="center"/>
                </w:tcPr>
                <w:p w14:paraId="43C7EE30">
                  <w:pPr>
                    <w:pStyle w:val="66"/>
                    <w:bidi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新瓶库和真空泵房应设置在辅助区</w:t>
                  </w:r>
                </w:p>
              </w:tc>
              <w:tc>
                <w:tcPr>
                  <w:tcW w:w="1682" w:type="pct"/>
                  <w:tcBorders>
                    <w:tl2br w:val="nil"/>
                    <w:tr2bl w:val="nil"/>
                  </w:tcBorders>
                  <w:noWrap w:val="0"/>
                  <w:vAlign w:val="center"/>
                </w:tcPr>
                <w:p w14:paraId="0D71C1F1">
                  <w:pPr>
                    <w:pStyle w:val="66"/>
                    <w:bidi w:val="0"/>
                    <w:ind w:left="18" w:leftChars="9" w:right="18" w:rightChars="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项目真空泵房、新瓶库设置在辅助区。</w:t>
                  </w:r>
                </w:p>
              </w:tc>
              <w:tc>
                <w:tcPr>
                  <w:tcW w:w="363" w:type="pct"/>
                  <w:tcBorders>
                    <w:tl2br w:val="nil"/>
                    <w:tr2bl w:val="nil"/>
                  </w:tcBorders>
                  <w:noWrap w:val="0"/>
                  <w:vAlign w:val="center"/>
                </w:tcPr>
                <w:p w14:paraId="34AB8AF7">
                  <w:pPr>
                    <w:pStyle w:val="66"/>
                    <w:bidi w:val="0"/>
                    <w:ind w:left="18" w:leftChars="9" w:right="18" w:rightChars="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bl>
          <w:p w14:paraId="08CE0A1D">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eastAsia="宋体" w:cs="Times New Roman"/>
                <w:color w:val="auto"/>
                <w:sz w:val="24"/>
                <w:szCs w:val="24"/>
              </w:rPr>
              <w:t>本项目液化石油气储罐总容积</w:t>
            </w:r>
            <w:r>
              <w:rPr>
                <w:rFonts w:hint="default" w:ascii="Times New Roman" w:hAnsi="Times New Roman" w:eastAsia="宋体" w:cs="Times New Roman"/>
                <w:color w:val="auto"/>
                <w:sz w:val="24"/>
                <w:szCs w:val="24"/>
                <w:lang w:val="en-US" w:eastAsia="zh-CN"/>
              </w:rPr>
              <w:t>800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，残液储罐50m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，站内储罐总容积为</w:t>
            </w:r>
            <w:r>
              <w:rPr>
                <w:rFonts w:hint="default"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 xml:space="preserve">，共 </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个储罐；根据《液化石油气供应工程设计规范》GB51142-2015，本项目属于</w:t>
            </w:r>
            <w:r>
              <w:rPr>
                <w:rFonts w:hint="default" w:ascii="Times New Roman" w:hAnsi="Times New Roman" w:eastAsia="宋体" w:cs="Times New Roman"/>
                <w:color w:val="auto"/>
                <w:sz w:val="24"/>
                <w:szCs w:val="24"/>
                <w:lang w:val="en-US" w:eastAsia="zh-CN"/>
              </w:rPr>
              <w:t>四</w:t>
            </w:r>
            <w:r>
              <w:rPr>
                <w:rFonts w:hint="default" w:ascii="Times New Roman" w:hAnsi="Times New Roman" w:eastAsia="宋体" w:cs="Times New Roman"/>
                <w:color w:val="auto"/>
                <w:sz w:val="24"/>
                <w:szCs w:val="24"/>
              </w:rPr>
              <w:t>级站场，本项目储罐与站外建筑、堆场的防火间距详见下表。</w:t>
            </w:r>
          </w:p>
          <w:p w14:paraId="1C950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2"/>
                <w:szCs w:val="22"/>
                <w:highlight w:val="none"/>
                <w:lang w:val="en-US" w:eastAsia="zh-CN"/>
              </w:rPr>
            </w:pPr>
            <w:r>
              <w:rPr>
                <w:rFonts w:hint="default" w:ascii="Times New Roman" w:hAnsi="Times New Roman" w:eastAsia="宋体" w:cs="Times New Roman"/>
                <w:b/>
                <w:bCs/>
                <w:color w:val="auto"/>
                <w:sz w:val="22"/>
                <w:szCs w:val="22"/>
                <w:highlight w:val="none"/>
              </w:rPr>
              <w:t>表1-</w:t>
            </w:r>
            <w:r>
              <w:rPr>
                <w:rFonts w:hint="eastAsia" w:cs="Times New Roman"/>
                <w:b/>
                <w:bCs/>
                <w:color w:val="auto"/>
                <w:sz w:val="22"/>
                <w:szCs w:val="22"/>
                <w:highlight w:val="none"/>
                <w:lang w:val="en-US" w:eastAsia="zh-CN"/>
              </w:rPr>
              <w:t>10</w:t>
            </w:r>
            <w:r>
              <w:rPr>
                <w:rFonts w:hint="eastAsia" w:ascii="Times New Roman" w:hAnsi="Times New Roman" w:eastAsia="宋体" w:cs="Times New Roman"/>
                <w:b/>
                <w:bCs/>
                <w:color w:val="auto"/>
                <w:sz w:val="22"/>
                <w:szCs w:val="22"/>
                <w:highlight w:val="none"/>
                <w:lang w:val="en-US" w:eastAsia="zh-CN"/>
              </w:rPr>
              <w:t>储罐与站外建筑</w:t>
            </w:r>
            <w:r>
              <w:rPr>
                <w:rFonts w:hint="eastAsia" w:cs="Times New Roman"/>
                <w:b/>
                <w:bCs/>
                <w:color w:val="auto"/>
                <w:sz w:val="22"/>
                <w:szCs w:val="22"/>
                <w:highlight w:val="none"/>
                <w:lang w:val="en-US" w:eastAsia="zh-CN"/>
              </w:rPr>
              <w:t>、堆场</w:t>
            </w:r>
            <w:r>
              <w:rPr>
                <w:rFonts w:hint="eastAsia" w:ascii="Times New Roman" w:hAnsi="Times New Roman" w:eastAsia="宋体" w:cs="Times New Roman"/>
                <w:b/>
                <w:bCs/>
                <w:color w:val="auto"/>
                <w:sz w:val="22"/>
                <w:szCs w:val="22"/>
                <w:highlight w:val="none"/>
                <w:lang w:val="en-US" w:eastAsia="zh-CN"/>
              </w:rPr>
              <w:t>的防火</w:t>
            </w:r>
            <w:r>
              <w:rPr>
                <w:rFonts w:hint="eastAsia" w:cs="Times New Roman"/>
                <w:b/>
                <w:bCs/>
                <w:color w:val="auto"/>
                <w:sz w:val="22"/>
                <w:szCs w:val="22"/>
                <w:highlight w:val="none"/>
                <w:lang w:val="en-US" w:eastAsia="zh-CN"/>
              </w:rPr>
              <w:t>间距</w:t>
            </w:r>
            <w:r>
              <w:rPr>
                <w:rFonts w:hint="eastAsia" w:ascii="Times New Roman" w:hAnsi="Times New Roman" w:eastAsia="宋体" w:cs="Times New Roman"/>
                <w:b/>
                <w:bCs/>
                <w:color w:val="auto"/>
                <w:sz w:val="22"/>
                <w:szCs w:val="22"/>
                <w:highlight w:val="none"/>
                <w:lang w:val="en-US" w:eastAsia="zh-CN"/>
              </w:rPr>
              <w:t>（m）</w:t>
            </w:r>
          </w:p>
          <w:tbl>
            <w:tblPr>
              <w:tblStyle w:val="37"/>
              <w:tblW w:w="49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038"/>
              <w:gridCol w:w="1173"/>
              <w:gridCol w:w="1173"/>
              <w:gridCol w:w="1174"/>
              <w:gridCol w:w="1174"/>
            </w:tblGrid>
            <w:tr w14:paraId="0DBA0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18FD9FC4">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项目</w:t>
                  </w:r>
                </w:p>
              </w:tc>
              <w:tc>
                <w:tcPr>
                  <w:tcW w:w="1173" w:type="dxa"/>
                  <w:tcBorders>
                    <w:tl2br w:val="nil"/>
                    <w:tr2bl w:val="nil"/>
                  </w:tcBorders>
                  <w:noWrap w:val="0"/>
                  <w:vAlign w:val="center"/>
                </w:tcPr>
                <w:p w14:paraId="6F6A9A00">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标准间距</w:t>
                  </w:r>
                </w:p>
              </w:tc>
              <w:tc>
                <w:tcPr>
                  <w:tcW w:w="1174" w:type="dxa"/>
                  <w:tcBorders>
                    <w:tl2br w:val="nil"/>
                    <w:tr2bl w:val="nil"/>
                  </w:tcBorders>
                  <w:noWrap w:val="0"/>
                  <w:vAlign w:val="center"/>
                </w:tcPr>
                <w:p w14:paraId="2AE7998F">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实际间距</w:t>
                  </w:r>
                </w:p>
              </w:tc>
              <w:tc>
                <w:tcPr>
                  <w:tcW w:w="1174" w:type="dxa"/>
                  <w:tcBorders>
                    <w:tl2br w:val="nil"/>
                    <w:tr2bl w:val="nil"/>
                  </w:tcBorders>
                  <w:noWrap w:val="0"/>
                  <w:vAlign w:val="center"/>
                </w:tcPr>
                <w:p w14:paraId="1AA7C613">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符合性</w:t>
                  </w:r>
                </w:p>
              </w:tc>
            </w:tr>
            <w:tr w14:paraId="409E3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518" w:type="dxa"/>
                  <w:gridSpan w:val="3"/>
                  <w:tcBorders>
                    <w:tl2br w:val="nil"/>
                    <w:tr2bl w:val="nil"/>
                  </w:tcBorders>
                  <w:noWrap w:val="0"/>
                  <w:vAlign w:val="center"/>
                </w:tcPr>
                <w:p w14:paraId="7816467A">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居住区、学校、影剧院、体育馆等重要公共建筑</w:t>
                  </w:r>
                </w:p>
              </w:tc>
              <w:tc>
                <w:tcPr>
                  <w:tcW w:w="1173" w:type="dxa"/>
                  <w:tcBorders>
                    <w:tl2br w:val="nil"/>
                    <w:tr2bl w:val="nil"/>
                  </w:tcBorders>
                  <w:noWrap w:val="0"/>
                  <w:vAlign w:val="center"/>
                </w:tcPr>
                <w:p w14:paraId="2EBC6070">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eastAsia" w:cs="Times New Roman"/>
                      <w:color w:val="auto"/>
                      <w:highlight w:val="none"/>
                      <w:lang w:val="en-US" w:eastAsia="zh-CN"/>
                    </w:rPr>
                    <w:t>9</w:t>
                  </w:r>
                  <w:r>
                    <w:rPr>
                      <w:rFonts w:hint="default" w:ascii="Times New Roman" w:hAnsi="Times New Roman" w:eastAsia="宋体" w:cs="Times New Roman"/>
                      <w:color w:val="auto"/>
                      <w:highlight w:val="none"/>
                    </w:rPr>
                    <w:t>0</w:t>
                  </w:r>
                </w:p>
              </w:tc>
              <w:tc>
                <w:tcPr>
                  <w:tcW w:w="1174" w:type="dxa"/>
                  <w:tcBorders>
                    <w:tl2br w:val="nil"/>
                    <w:tr2bl w:val="nil"/>
                  </w:tcBorders>
                  <w:noWrap w:val="0"/>
                  <w:vAlign w:val="center"/>
                </w:tcPr>
                <w:p w14:paraId="34258EB4">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123.50</w:t>
                  </w:r>
                </w:p>
              </w:tc>
              <w:tc>
                <w:tcPr>
                  <w:tcW w:w="1174" w:type="dxa"/>
                  <w:tcBorders>
                    <w:tl2br w:val="nil"/>
                    <w:tr2bl w:val="nil"/>
                  </w:tcBorders>
                  <w:noWrap w:val="0"/>
                  <w:vAlign w:val="center"/>
                </w:tcPr>
                <w:p w14:paraId="6DA2F5BD">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符合</w:t>
                  </w:r>
                </w:p>
              </w:tc>
            </w:tr>
            <w:tr w14:paraId="3EA5C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6965A0B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工业企业（最外侧建筑物外墙）</w:t>
                  </w:r>
                </w:p>
              </w:tc>
              <w:tc>
                <w:tcPr>
                  <w:tcW w:w="1173" w:type="dxa"/>
                  <w:tcBorders>
                    <w:tl2br w:val="nil"/>
                    <w:tr2bl w:val="nil"/>
                  </w:tcBorders>
                  <w:noWrap w:val="0"/>
                  <w:vAlign w:val="center"/>
                </w:tcPr>
                <w:p w14:paraId="4A9A0A18">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eastAsia" w:cs="Times New Roman"/>
                      <w:color w:val="auto"/>
                      <w:highlight w:val="none"/>
                      <w:lang w:val="en-US" w:eastAsia="zh-CN"/>
                    </w:rPr>
                    <w:t>40</w:t>
                  </w:r>
                </w:p>
              </w:tc>
              <w:tc>
                <w:tcPr>
                  <w:tcW w:w="1174" w:type="dxa"/>
                  <w:tcBorders>
                    <w:tl2br w:val="nil"/>
                    <w:tr2bl w:val="nil"/>
                  </w:tcBorders>
                  <w:noWrap w:val="0"/>
                  <w:vAlign w:val="center"/>
                </w:tcPr>
                <w:p w14:paraId="4B0E8B7A">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490</w:t>
                  </w:r>
                </w:p>
              </w:tc>
              <w:tc>
                <w:tcPr>
                  <w:tcW w:w="1174" w:type="dxa"/>
                  <w:tcBorders>
                    <w:tl2br w:val="nil"/>
                    <w:tr2bl w:val="nil"/>
                  </w:tcBorders>
                  <w:noWrap w:val="0"/>
                  <w:vAlign w:val="center"/>
                </w:tcPr>
                <w:p w14:paraId="0E266F1D">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符合</w:t>
                  </w:r>
                </w:p>
              </w:tc>
            </w:tr>
            <w:tr w14:paraId="557BF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236055A7">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明火、散发火花地点和室外变、配电站</w:t>
                  </w:r>
                </w:p>
              </w:tc>
              <w:tc>
                <w:tcPr>
                  <w:tcW w:w="1173" w:type="dxa"/>
                  <w:tcBorders>
                    <w:tl2br w:val="nil"/>
                    <w:tr2bl w:val="nil"/>
                  </w:tcBorders>
                  <w:noWrap w:val="0"/>
                  <w:vAlign w:val="center"/>
                </w:tcPr>
                <w:p w14:paraId="416E12F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eastAsia" w:cs="Times New Roman"/>
                      <w:color w:val="auto"/>
                      <w:highlight w:val="none"/>
                      <w:lang w:val="en-US" w:eastAsia="zh-CN"/>
                    </w:rPr>
                    <w:t>60</w:t>
                  </w:r>
                </w:p>
              </w:tc>
              <w:tc>
                <w:tcPr>
                  <w:tcW w:w="1174" w:type="dxa"/>
                  <w:tcBorders>
                    <w:tl2br w:val="nil"/>
                    <w:tr2bl w:val="nil"/>
                  </w:tcBorders>
                  <w:noWrap w:val="0"/>
                  <w:vAlign w:val="center"/>
                </w:tcPr>
                <w:p w14:paraId="38F0A4C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12FA4A9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w:t>
                  </w:r>
                </w:p>
              </w:tc>
            </w:tr>
            <w:tr w14:paraId="62CC0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547FC4ED">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其他民用建筑</w:t>
                  </w:r>
                </w:p>
              </w:tc>
              <w:tc>
                <w:tcPr>
                  <w:tcW w:w="1173" w:type="dxa"/>
                  <w:tcBorders>
                    <w:tl2br w:val="nil"/>
                    <w:tr2bl w:val="nil"/>
                  </w:tcBorders>
                  <w:noWrap w:val="0"/>
                  <w:vAlign w:val="center"/>
                </w:tcPr>
                <w:p w14:paraId="72009DDC">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5</w:t>
                  </w:r>
                  <w:r>
                    <w:rPr>
                      <w:rFonts w:hint="eastAsia" w:cs="Times New Roman"/>
                      <w:color w:val="auto"/>
                      <w:highlight w:val="none"/>
                      <w:lang w:val="en-US" w:eastAsia="zh-CN"/>
                    </w:rPr>
                    <w:t>5</w:t>
                  </w:r>
                </w:p>
              </w:tc>
              <w:tc>
                <w:tcPr>
                  <w:tcW w:w="1174" w:type="dxa"/>
                  <w:tcBorders>
                    <w:tl2br w:val="nil"/>
                    <w:tr2bl w:val="nil"/>
                  </w:tcBorders>
                  <w:noWrap w:val="0"/>
                  <w:vAlign w:val="center"/>
                </w:tcPr>
                <w:p w14:paraId="3F722122">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226.90</w:t>
                  </w:r>
                </w:p>
              </w:tc>
              <w:tc>
                <w:tcPr>
                  <w:tcW w:w="1174" w:type="dxa"/>
                  <w:tcBorders>
                    <w:tl2br w:val="nil"/>
                    <w:tr2bl w:val="nil"/>
                  </w:tcBorders>
                  <w:noWrap w:val="0"/>
                  <w:vAlign w:val="center"/>
                </w:tcPr>
                <w:p w14:paraId="240C20E6">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符合</w:t>
                  </w:r>
                </w:p>
              </w:tc>
            </w:tr>
            <w:tr w14:paraId="63B33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16736BA2">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甲、乙类液体储罐、甲、乙类生产厂房、甲、乙类物品仓库、易燃材料堆场</w:t>
                  </w:r>
                </w:p>
              </w:tc>
              <w:tc>
                <w:tcPr>
                  <w:tcW w:w="1173" w:type="dxa"/>
                  <w:tcBorders>
                    <w:tl2br w:val="nil"/>
                    <w:tr2bl w:val="nil"/>
                  </w:tcBorders>
                  <w:noWrap w:val="0"/>
                  <w:vAlign w:val="center"/>
                </w:tcPr>
                <w:p w14:paraId="4BD55217">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5</w:t>
                  </w:r>
                  <w:r>
                    <w:rPr>
                      <w:rFonts w:hint="eastAsia" w:cs="Times New Roman"/>
                      <w:color w:val="auto"/>
                      <w:highlight w:val="none"/>
                      <w:lang w:val="en-US" w:eastAsia="zh-CN"/>
                    </w:rPr>
                    <w:t>5</w:t>
                  </w:r>
                </w:p>
              </w:tc>
              <w:tc>
                <w:tcPr>
                  <w:tcW w:w="1174" w:type="dxa"/>
                  <w:tcBorders>
                    <w:tl2br w:val="nil"/>
                    <w:tr2bl w:val="nil"/>
                  </w:tcBorders>
                  <w:noWrap w:val="0"/>
                  <w:vAlign w:val="center"/>
                </w:tcPr>
                <w:p w14:paraId="5C8468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75.69</w:t>
                  </w:r>
                </w:p>
              </w:tc>
              <w:tc>
                <w:tcPr>
                  <w:tcW w:w="1174" w:type="dxa"/>
                  <w:tcBorders>
                    <w:tl2br w:val="nil"/>
                    <w:tr2bl w:val="nil"/>
                  </w:tcBorders>
                  <w:noWrap w:val="0"/>
                  <w:vAlign w:val="center"/>
                </w:tcPr>
                <w:p w14:paraId="7B33D8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符合</w:t>
                  </w:r>
                </w:p>
              </w:tc>
            </w:tr>
            <w:tr w14:paraId="52725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2C0AB072">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丙类液体储罐，可燃气体储罐，丙丁类生产厂房，丙丁类物品仓库</w:t>
                  </w:r>
                </w:p>
              </w:tc>
              <w:tc>
                <w:tcPr>
                  <w:tcW w:w="1173" w:type="dxa"/>
                  <w:tcBorders>
                    <w:tl2br w:val="nil"/>
                    <w:tr2bl w:val="nil"/>
                  </w:tcBorders>
                  <w:noWrap w:val="0"/>
                  <w:vAlign w:val="center"/>
                </w:tcPr>
                <w:p w14:paraId="242D01EA">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4</w:t>
                  </w:r>
                  <w:r>
                    <w:rPr>
                      <w:rFonts w:hint="eastAsia" w:cs="Times New Roman"/>
                      <w:color w:val="auto"/>
                      <w:highlight w:val="none"/>
                      <w:lang w:val="en-US" w:eastAsia="zh-CN"/>
                    </w:rPr>
                    <w:t>5</w:t>
                  </w:r>
                </w:p>
              </w:tc>
              <w:tc>
                <w:tcPr>
                  <w:tcW w:w="1174" w:type="dxa"/>
                  <w:tcBorders>
                    <w:tl2br w:val="nil"/>
                    <w:tr2bl w:val="nil"/>
                  </w:tcBorders>
                  <w:noWrap w:val="0"/>
                  <w:vAlign w:val="center"/>
                </w:tcPr>
                <w:p w14:paraId="39A677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1CFEEF9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w:t>
                  </w:r>
                </w:p>
              </w:tc>
            </w:tr>
            <w:tr w14:paraId="4CBA8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0427EFA4">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助燃其他储罐、可燃材料堆场</w:t>
                  </w:r>
                </w:p>
              </w:tc>
              <w:tc>
                <w:tcPr>
                  <w:tcW w:w="1173" w:type="dxa"/>
                  <w:tcBorders>
                    <w:tl2br w:val="nil"/>
                    <w:tr2bl w:val="nil"/>
                  </w:tcBorders>
                  <w:noWrap w:val="0"/>
                  <w:vAlign w:val="center"/>
                </w:tcPr>
                <w:p w14:paraId="0B0B1033">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eastAsia" w:cs="Times New Roman"/>
                      <w:color w:val="auto"/>
                      <w:highlight w:val="none"/>
                      <w:lang w:val="en-US" w:eastAsia="zh-CN"/>
                    </w:rPr>
                    <w:t>40</w:t>
                  </w:r>
                </w:p>
              </w:tc>
              <w:tc>
                <w:tcPr>
                  <w:tcW w:w="1174" w:type="dxa"/>
                  <w:tcBorders>
                    <w:tl2br w:val="nil"/>
                    <w:tr2bl w:val="nil"/>
                  </w:tcBorders>
                  <w:noWrap w:val="0"/>
                  <w:vAlign w:val="center"/>
                </w:tcPr>
                <w:p w14:paraId="0714CF7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292E648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lang w:val="en-US" w:eastAsia="zh-CN"/>
                    </w:rPr>
                    <w:t>/</w:t>
                  </w:r>
                </w:p>
              </w:tc>
            </w:tr>
            <w:tr w14:paraId="0863C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restart"/>
                  <w:tcBorders>
                    <w:tl2br w:val="nil"/>
                    <w:tr2bl w:val="nil"/>
                  </w:tcBorders>
                  <w:noWrap w:val="0"/>
                  <w:vAlign w:val="center"/>
                </w:tcPr>
                <w:p w14:paraId="33AA3A36">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其他建筑</w:t>
                  </w:r>
                </w:p>
              </w:tc>
              <w:tc>
                <w:tcPr>
                  <w:tcW w:w="1038" w:type="dxa"/>
                  <w:vMerge w:val="restart"/>
                  <w:tcBorders>
                    <w:tl2br w:val="nil"/>
                    <w:tr2bl w:val="nil"/>
                  </w:tcBorders>
                  <w:noWrap w:val="0"/>
                  <w:vAlign w:val="center"/>
                </w:tcPr>
                <w:p w14:paraId="75DDAFAA">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耐火等级</w:t>
                  </w:r>
                </w:p>
              </w:tc>
              <w:tc>
                <w:tcPr>
                  <w:tcW w:w="1173" w:type="dxa"/>
                  <w:tcBorders>
                    <w:tl2br w:val="nil"/>
                    <w:tr2bl w:val="nil"/>
                  </w:tcBorders>
                  <w:noWrap w:val="0"/>
                  <w:vAlign w:val="center"/>
                </w:tcPr>
                <w:p w14:paraId="773BDB4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一、二级</w:t>
                  </w:r>
                </w:p>
              </w:tc>
              <w:tc>
                <w:tcPr>
                  <w:tcW w:w="1173" w:type="dxa"/>
                  <w:tcBorders>
                    <w:tl2br w:val="nil"/>
                    <w:tr2bl w:val="nil"/>
                  </w:tcBorders>
                  <w:noWrap w:val="0"/>
                  <w:vAlign w:val="center"/>
                </w:tcPr>
                <w:p w14:paraId="0E9D47D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25</w:t>
                  </w:r>
                </w:p>
              </w:tc>
              <w:tc>
                <w:tcPr>
                  <w:tcW w:w="1174" w:type="dxa"/>
                  <w:tcBorders>
                    <w:tl2br w:val="nil"/>
                    <w:tr2bl w:val="nil"/>
                  </w:tcBorders>
                  <w:noWrap w:val="0"/>
                  <w:vAlign w:val="center"/>
                </w:tcPr>
                <w:p w14:paraId="3429A6B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0DB935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6DF56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07" w:type="dxa"/>
                  <w:vMerge w:val="continue"/>
                  <w:tcBorders>
                    <w:tl2br w:val="nil"/>
                    <w:tr2bl w:val="nil"/>
                  </w:tcBorders>
                  <w:noWrap w:val="0"/>
                  <w:vAlign w:val="center"/>
                </w:tcPr>
                <w:p w14:paraId="6A7CEE5E">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038" w:type="dxa"/>
                  <w:vMerge w:val="continue"/>
                  <w:tcBorders>
                    <w:tl2br w:val="nil"/>
                    <w:tr2bl w:val="nil"/>
                  </w:tcBorders>
                  <w:noWrap w:val="0"/>
                  <w:vAlign w:val="center"/>
                </w:tcPr>
                <w:p w14:paraId="53BDD9B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173" w:type="dxa"/>
                  <w:tcBorders>
                    <w:tl2br w:val="nil"/>
                    <w:tr2bl w:val="nil"/>
                  </w:tcBorders>
                  <w:noWrap w:val="0"/>
                  <w:vAlign w:val="center"/>
                </w:tcPr>
                <w:p w14:paraId="15DBEA1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三级</w:t>
                  </w:r>
                </w:p>
              </w:tc>
              <w:tc>
                <w:tcPr>
                  <w:tcW w:w="1173" w:type="dxa"/>
                  <w:tcBorders>
                    <w:tl2br w:val="nil"/>
                    <w:tr2bl w:val="nil"/>
                  </w:tcBorders>
                  <w:noWrap w:val="0"/>
                  <w:vAlign w:val="center"/>
                </w:tcPr>
                <w:p w14:paraId="2D1A14B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30</w:t>
                  </w:r>
                </w:p>
              </w:tc>
              <w:tc>
                <w:tcPr>
                  <w:tcW w:w="1174" w:type="dxa"/>
                  <w:tcBorders>
                    <w:tl2br w:val="nil"/>
                    <w:tr2bl w:val="nil"/>
                  </w:tcBorders>
                  <w:noWrap w:val="0"/>
                  <w:vAlign w:val="center"/>
                </w:tcPr>
                <w:p w14:paraId="50F51E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5ECC6F9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4993C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tcBorders>
                    <w:tl2br w:val="nil"/>
                    <w:tr2bl w:val="nil"/>
                  </w:tcBorders>
                  <w:noWrap w:val="0"/>
                  <w:vAlign w:val="center"/>
                </w:tcPr>
                <w:p w14:paraId="0BBF1558">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038" w:type="dxa"/>
                  <w:vMerge w:val="continue"/>
                  <w:tcBorders>
                    <w:tl2br w:val="nil"/>
                    <w:tr2bl w:val="nil"/>
                  </w:tcBorders>
                  <w:noWrap w:val="0"/>
                  <w:vAlign w:val="center"/>
                </w:tcPr>
                <w:p w14:paraId="05F5C3C4">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173" w:type="dxa"/>
                  <w:tcBorders>
                    <w:tl2br w:val="nil"/>
                    <w:tr2bl w:val="nil"/>
                  </w:tcBorders>
                  <w:noWrap w:val="0"/>
                  <w:vAlign w:val="center"/>
                </w:tcPr>
                <w:p w14:paraId="6D6632A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四级</w:t>
                  </w:r>
                </w:p>
              </w:tc>
              <w:tc>
                <w:tcPr>
                  <w:tcW w:w="1173" w:type="dxa"/>
                  <w:tcBorders>
                    <w:tl2br w:val="nil"/>
                    <w:tr2bl w:val="nil"/>
                  </w:tcBorders>
                  <w:noWrap w:val="0"/>
                  <w:vAlign w:val="center"/>
                </w:tcPr>
                <w:p w14:paraId="0DAA700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40</w:t>
                  </w:r>
                </w:p>
              </w:tc>
              <w:tc>
                <w:tcPr>
                  <w:tcW w:w="1174" w:type="dxa"/>
                  <w:tcBorders>
                    <w:tl2br w:val="nil"/>
                    <w:tr2bl w:val="nil"/>
                  </w:tcBorders>
                  <w:noWrap w:val="0"/>
                  <w:vAlign w:val="center"/>
                </w:tcPr>
                <w:p w14:paraId="75D59A5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90</w:t>
                  </w:r>
                </w:p>
              </w:tc>
              <w:tc>
                <w:tcPr>
                  <w:tcW w:w="1174" w:type="dxa"/>
                  <w:tcBorders>
                    <w:tl2br w:val="nil"/>
                    <w:tr2bl w:val="nil"/>
                  </w:tcBorders>
                  <w:noWrap w:val="0"/>
                  <w:vAlign w:val="center"/>
                </w:tcPr>
                <w:p w14:paraId="2205A1C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738A7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restart"/>
                  <w:tcBorders>
                    <w:tl2br w:val="nil"/>
                    <w:tr2bl w:val="nil"/>
                  </w:tcBorders>
                  <w:noWrap w:val="0"/>
                  <w:vAlign w:val="center"/>
                </w:tcPr>
                <w:p w14:paraId="321C07EB">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铁路（中心线）</w:t>
                  </w:r>
                </w:p>
              </w:tc>
              <w:tc>
                <w:tcPr>
                  <w:tcW w:w="2211" w:type="dxa"/>
                  <w:gridSpan w:val="2"/>
                  <w:tcBorders>
                    <w:tl2br w:val="nil"/>
                    <w:tr2bl w:val="nil"/>
                  </w:tcBorders>
                  <w:noWrap w:val="0"/>
                  <w:vAlign w:val="center"/>
                </w:tcPr>
                <w:p w14:paraId="6733D7A3">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国家线</w:t>
                  </w:r>
                </w:p>
              </w:tc>
              <w:tc>
                <w:tcPr>
                  <w:tcW w:w="1173" w:type="dxa"/>
                  <w:tcBorders>
                    <w:tl2br w:val="nil"/>
                    <w:tr2bl w:val="nil"/>
                  </w:tcBorders>
                  <w:noWrap w:val="0"/>
                  <w:vAlign w:val="center"/>
                </w:tcPr>
                <w:p w14:paraId="5677EC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80</w:t>
                  </w:r>
                </w:p>
              </w:tc>
              <w:tc>
                <w:tcPr>
                  <w:tcW w:w="1174" w:type="dxa"/>
                  <w:tcBorders>
                    <w:tl2br w:val="nil"/>
                    <w:tr2bl w:val="nil"/>
                  </w:tcBorders>
                  <w:noWrap w:val="0"/>
                  <w:vAlign w:val="center"/>
                </w:tcPr>
                <w:p w14:paraId="49B5011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6A5596E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3ADD8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tcBorders>
                    <w:tl2br w:val="nil"/>
                    <w:tr2bl w:val="nil"/>
                  </w:tcBorders>
                  <w:noWrap w:val="0"/>
                  <w:vAlign w:val="center"/>
                </w:tcPr>
                <w:p w14:paraId="42F48C7B">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211" w:type="dxa"/>
                  <w:gridSpan w:val="2"/>
                  <w:tcBorders>
                    <w:tl2br w:val="nil"/>
                    <w:tr2bl w:val="nil"/>
                  </w:tcBorders>
                  <w:noWrap w:val="0"/>
                  <w:vAlign w:val="center"/>
                </w:tcPr>
                <w:p w14:paraId="407AB14F">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企业专用线</w:t>
                  </w:r>
                </w:p>
              </w:tc>
              <w:tc>
                <w:tcPr>
                  <w:tcW w:w="1173" w:type="dxa"/>
                  <w:tcBorders>
                    <w:tl2br w:val="nil"/>
                    <w:tr2bl w:val="nil"/>
                  </w:tcBorders>
                  <w:noWrap w:val="0"/>
                  <w:vAlign w:val="center"/>
                </w:tcPr>
                <w:p w14:paraId="6B2FF4B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35</w:t>
                  </w:r>
                </w:p>
              </w:tc>
              <w:tc>
                <w:tcPr>
                  <w:tcW w:w="1174" w:type="dxa"/>
                  <w:tcBorders>
                    <w:tl2br w:val="nil"/>
                    <w:tr2bl w:val="nil"/>
                  </w:tcBorders>
                  <w:noWrap w:val="0"/>
                  <w:vAlign w:val="center"/>
                </w:tcPr>
                <w:p w14:paraId="05B6DE8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5FCC90A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5D179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restart"/>
                  <w:tcBorders>
                    <w:tl2br w:val="nil"/>
                    <w:tr2bl w:val="nil"/>
                  </w:tcBorders>
                  <w:noWrap w:val="0"/>
                  <w:vAlign w:val="center"/>
                </w:tcPr>
                <w:p w14:paraId="5FC8FF18">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公路、道路</w:t>
                  </w:r>
                </w:p>
              </w:tc>
              <w:tc>
                <w:tcPr>
                  <w:tcW w:w="2211" w:type="dxa"/>
                  <w:gridSpan w:val="2"/>
                  <w:tcBorders>
                    <w:tl2br w:val="nil"/>
                    <w:tr2bl w:val="nil"/>
                  </w:tcBorders>
                  <w:noWrap w:val="0"/>
                  <w:vAlign w:val="center"/>
                </w:tcPr>
                <w:p w14:paraId="03E52C09">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高速，I、II级公路，城市快速</w:t>
                  </w:r>
                </w:p>
              </w:tc>
              <w:tc>
                <w:tcPr>
                  <w:tcW w:w="1173" w:type="dxa"/>
                  <w:tcBorders>
                    <w:tl2br w:val="nil"/>
                    <w:tr2bl w:val="nil"/>
                  </w:tcBorders>
                  <w:noWrap w:val="0"/>
                  <w:vAlign w:val="center"/>
                </w:tcPr>
                <w:p w14:paraId="7908B0C9">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25</w:t>
                  </w:r>
                </w:p>
              </w:tc>
              <w:tc>
                <w:tcPr>
                  <w:tcW w:w="1174" w:type="dxa"/>
                  <w:tcBorders>
                    <w:tl2br w:val="nil"/>
                    <w:tr2bl w:val="nil"/>
                  </w:tcBorders>
                  <w:noWrap w:val="0"/>
                  <w:vAlign w:val="center"/>
                </w:tcPr>
                <w:p w14:paraId="4E8CFEA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160.46</w:t>
                  </w:r>
                </w:p>
              </w:tc>
              <w:tc>
                <w:tcPr>
                  <w:tcW w:w="1174" w:type="dxa"/>
                  <w:tcBorders>
                    <w:tl2br w:val="nil"/>
                    <w:tr2bl w:val="nil"/>
                  </w:tcBorders>
                  <w:noWrap w:val="0"/>
                  <w:vAlign w:val="center"/>
                </w:tcPr>
                <w:p w14:paraId="3345D32F">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符合</w:t>
                  </w:r>
                </w:p>
              </w:tc>
            </w:tr>
            <w:tr w14:paraId="155AF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tcBorders>
                    <w:tl2br w:val="nil"/>
                    <w:tr2bl w:val="nil"/>
                  </w:tcBorders>
                  <w:noWrap w:val="0"/>
                  <w:vAlign w:val="center"/>
                </w:tcPr>
                <w:p w14:paraId="5D294E75">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211" w:type="dxa"/>
                  <w:gridSpan w:val="2"/>
                  <w:tcBorders>
                    <w:tl2br w:val="nil"/>
                    <w:tr2bl w:val="nil"/>
                  </w:tcBorders>
                  <w:noWrap w:val="0"/>
                  <w:vAlign w:val="center"/>
                </w:tcPr>
                <w:p w14:paraId="11531E42">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其他</w:t>
                  </w:r>
                </w:p>
              </w:tc>
              <w:tc>
                <w:tcPr>
                  <w:tcW w:w="1173" w:type="dxa"/>
                  <w:tcBorders>
                    <w:tl2br w:val="nil"/>
                    <w:tr2bl w:val="nil"/>
                  </w:tcBorders>
                  <w:noWrap w:val="0"/>
                  <w:vAlign w:val="center"/>
                </w:tcPr>
                <w:p w14:paraId="707872A9">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20</w:t>
                  </w:r>
                </w:p>
              </w:tc>
              <w:tc>
                <w:tcPr>
                  <w:tcW w:w="1174" w:type="dxa"/>
                  <w:tcBorders>
                    <w:tl2br w:val="nil"/>
                    <w:tr2bl w:val="nil"/>
                  </w:tcBorders>
                  <w:noWrap w:val="0"/>
                  <w:vAlign w:val="center"/>
                </w:tcPr>
                <w:p w14:paraId="096EF89C">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81.42</w:t>
                  </w:r>
                </w:p>
              </w:tc>
              <w:tc>
                <w:tcPr>
                  <w:tcW w:w="1174" w:type="dxa"/>
                  <w:tcBorders>
                    <w:tl2br w:val="nil"/>
                    <w:tr2bl w:val="nil"/>
                  </w:tcBorders>
                  <w:noWrap w:val="0"/>
                  <w:vAlign w:val="center"/>
                </w:tcPr>
                <w:p w14:paraId="1477A7FF">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符合</w:t>
                  </w:r>
                </w:p>
              </w:tc>
            </w:tr>
            <w:tr w14:paraId="07893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18" w:type="dxa"/>
                  <w:gridSpan w:val="3"/>
                  <w:tcBorders>
                    <w:tl2br w:val="nil"/>
                    <w:tr2bl w:val="nil"/>
                  </w:tcBorders>
                  <w:noWrap w:val="0"/>
                  <w:vAlign w:val="center"/>
                </w:tcPr>
                <w:p w14:paraId="68435E1F">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架空电力线（中心线）</w:t>
                  </w:r>
                </w:p>
              </w:tc>
              <w:tc>
                <w:tcPr>
                  <w:tcW w:w="1173" w:type="dxa"/>
                  <w:tcBorders>
                    <w:tl2br w:val="nil"/>
                    <w:tr2bl w:val="nil"/>
                  </w:tcBorders>
                  <w:noWrap w:val="0"/>
                  <w:vAlign w:val="center"/>
                </w:tcPr>
                <w:p w14:paraId="68D0799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1.5倍杆高</w:t>
                  </w:r>
                </w:p>
              </w:tc>
              <w:tc>
                <w:tcPr>
                  <w:tcW w:w="1174" w:type="dxa"/>
                  <w:tcBorders>
                    <w:tl2br w:val="nil"/>
                    <w:tr2bl w:val="nil"/>
                  </w:tcBorders>
                  <w:noWrap w:val="0"/>
                  <w:vAlign w:val="center"/>
                </w:tcPr>
                <w:p w14:paraId="6B9CF936">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227.04</w:t>
                  </w:r>
                </w:p>
              </w:tc>
              <w:tc>
                <w:tcPr>
                  <w:tcW w:w="1174" w:type="dxa"/>
                  <w:tcBorders>
                    <w:tl2br w:val="nil"/>
                    <w:tr2bl w:val="nil"/>
                  </w:tcBorders>
                  <w:noWrap w:val="0"/>
                  <w:vAlign w:val="center"/>
                </w:tcPr>
                <w:p w14:paraId="0C67049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符合</w:t>
                  </w:r>
                </w:p>
              </w:tc>
            </w:tr>
            <w:tr w14:paraId="00CD3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restart"/>
                  <w:tcBorders>
                    <w:tl2br w:val="nil"/>
                    <w:tr2bl w:val="nil"/>
                  </w:tcBorders>
                  <w:noWrap w:val="0"/>
                  <w:vAlign w:val="center"/>
                </w:tcPr>
                <w:p w14:paraId="1C43CE61">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架空通信线</w:t>
                  </w:r>
                </w:p>
                <w:p w14:paraId="7DD82615">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（中心线）</w:t>
                  </w:r>
                </w:p>
              </w:tc>
              <w:tc>
                <w:tcPr>
                  <w:tcW w:w="2211" w:type="dxa"/>
                  <w:gridSpan w:val="2"/>
                  <w:tcBorders>
                    <w:tl2br w:val="nil"/>
                    <w:tr2bl w:val="nil"/>
                  </w:tcBorders>
                  <w:noWrap w:val="0"/>
                  <w:vAlign w:val="center"/>
                </w:tcPr>
                <w:p w14:paraId="2D569240">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I、II级</w:t>
                  </w:r>
                </w:p>
              </w:tc>
              <w:tc>
                <w:tcPr>
                  <w:tcW w:w="1173" w:type="dxa"/>
                  <w:tcBorders>
                    <w:tl2br w:val="nil"/>
                    <w:tr2bl w:val="nil"/>
                  </w:tcBorders>
                  <w:noWrap w:val="0"/>
                  <w:vAlign w:val="center"/>
                </w:tcPr>
                <w:p w14:paraId="6C805B82">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40（20）</w:t>
                  </w:r>
                </w:p>
              </w:tc>
              <w:tc>
                <w:tcPr>
                  <w:tcW w:w="1174" w:type="dxa"/>
                  <w:tcBorders>
                    <w:tl2br w:val="nil"/>
                    <w:tr2bl w:val="nil"/>
                  </w:tcBorders>
                  <w:noWrap w:val="0"/>
                  <w:vAlign w:val="center"/>
                </w:tcPr>
                <w:p w14:paraId="7D540CF0">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24D815E9">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3EDCE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tcBorders>
                    <w:tl2br w:val="nil"/>
                    <w:tr2bl w:val="nil"/>
                  </w:tcBorders>
                  <w:noWrap w:val="0"/>
                  <w:vAlign w:val="center"/>
                </w:tcPr>
                <w:p w14:paraId="7094571B">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211" w:type="dxa"/>
                  <w:gridSpan w:val="2"/>
                  <w:tcBorders>
                    <w:tl2br w:val="nil"/>
                    <w:tr2bl w:val="nil"/>
                  </w:tcBorders>
                  <w:noWrap w:val="0"/>
                  <w:vAlign w:val="center"/>
                </w:tcPr>
                <w:p w14:paraId="4334FBFE">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其他</w:t>
                  </w:r>
                </w:p>
              </w:tc>
              <w:tc>
                <w:tcPr>
                  <w:tcW w:w="1173" w:type="dxa"/>
                  <w:tcBorders>
                    <w:tl2br w:val="nil"/>
                    <w:tr2bl w:val="nil"/>
                  </w:tcBorders>
                  <w:noWrap w:val="0"/>
                  <w:vAlign w:val="center"/>
                </w:tcPr>
                <w:p w14:paraId="610E7D86">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1.5倍杆高</w:t>
                  </w:r>
                </w:p>
              </w:tc>
              <w:tc>
                <w:tcPr>
                  <w:tcW w:w="1174" w:type="dxa"/>
                  <w:tcBorders>
                    <w:tl2br w:val="nil"/>
                    <w:tr2bl w:val="nil"/>
                  </w:tcBorders>
                  <w:noWrap w:val="0"/>
                  <w:vAlign w:val="center"/>
                </w:tcPr>
                <w:p w14:paraId="4E60536E">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c>
                <w:tcPr>
                  <w:tcW w:w="1174" w:type="dxa"/>
                  <w:tcBorders>
                    <w:tl2br w:val="nil"/>
                    <w:tr2bl w:val="nil"/>
                  </w:tcBorders>
                  <w:noWrap w:val="0"/>
                  <w:vAlign w:val="center"/>
                </w:tcPr>
                <w:p w14:paraId="5B423E2F">
                  <w:pPr>
                    <w:pStyle w:val="14"/>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w:t>
                  </w:r>
                </w:p>
              </w:tc>
            </w:tr>
            <w:tr w14:paraId="2A8C1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39" w:type="dxa"/>
                  <w:gridSpan w:val="6"/>
                  <w:tcBorders>
                    <w:bottom w:val="single" w:color="auto" w:sz="12" w:space="0"/>
                    <w:tl2br w:val="nil"/>
                    <w:tr2bl w:val="nil"/>
                  </w:tcBorders>
                  <w:noWrap w:val="0"/>
                  <w:vAlign w:val="center"/>
                </w:tcPr>
                <w:p w14:paraId="3C49796D">
                  <w:pPr>
                    <w:pStyle w:val="71"/>
                    <w:numPr>
                      <w:ilvl w:val="0"/>
                      <w:numId w:val="0"/>
                    </w:numPr>
                    <w:spacing w:line="240" w:lineRule="auto"/>
                    <w:ind w:firstLine="420" w:firstLineChars="200"/>
                    <w:rPr>
                      <w:rFonts w:hint="default" w:ascii="Times New Roman" w:hAnsi="Times New Roman" w:eastAsia="宋体" w:cs="Times New Roman"/>
                      <w:color w:val="auto"/>
                      <w:highlight w:val="none"/>
                      <w:lang w:val="en-US" w:eastAsia="zh-CN"/>
                    </w:rPr>
                  </w:pPr>
                  <w:r>
                    <w:rPr>
                      <w:rFonts w:ascii="宋体" w:hAnsi="宋体" w:eastAsia="宋体" w:cs="宋体"/>
                      <w:color w:val="auto"/>
                      <w:sz w:val="21"/>
                      <w:szCs w:val="21"/>
                    </w:rPr>
                    <w:t>注：1.防火间距应按本表储罐总容积或单罐容积较大者确定，间距的计算应以储罐外壁为准。2.居住区指居住1000人或300户以上的地区，居住100</w:t>
                  </w:r>
                  <w:r>
                    <w:rPr>
                      <w:rFonts w:hint="eastAsia" w:ascii="宋体" w:hAnsi="宋体" w:eastAsia="宋体" w:cs="宋体"/>
                      <w:color w:val="auto"/>
                      <w:sz w:val="21"/>
                      <w:szCs w:val="21"/>
                      <w:lang w:val="en-US" w:eastAsia="zh-CN"/>
                    </w:rPr>
                    <w:t>0</w:t>
                  </w:r>
                  <w:r>
                    <w:rPr>
                      <w:rFonts w:ascii="宋体" w:hAnsi="宋体" w:eastAsia="宋体" w:cs="宋体"/>
                      <w:color w:val="auto"/>
                      <w:sz w:val="21"/>
                      <w:szCs w:val="21"/>
                    </w:rPr>
                    <w:t>人或300户以下的地区应按本表其他民用建筑执行。3. 当地下储罐单罐容积小于或等于50m</w:t>
                  </w:r>
                  <w:r>
                    <w:rPr>
                      <w:rFonts w:ascii="宋体" w:hAnsi="宋体" w:eastAsia="宋体" w:cs="宋体"/>
                      <w:color w:val="auto"/>
                      <w:sz w:val="21"/>
                      <w:szCs w:val="21"/>
                      <w:vertAlign w:val="superscript"/>
                    </w:rPr>
                    <w:t>3</w:t>
                  </w:r>
                  <w:r>
                    <w:rPr>
                      <w:rFonts w:ascii="宋体" w:hAnsi="宋体" w:eastAsia="宋体" w:cs="宋体"/>
                      <w:color w:val="auto"/>
                      <w:sz w:val="21"/>
                      <w:szCs w:val="21"/>
                    </w:rPr>
                    <w:t>，且总容积小于或等于400m</w:t>
                  </w:r>
                  <w:r>
                    <w:rPr>
                      <w:rFonts w:ascii="宋体" w:hAnsi="宋体" w:eastAsia="宋体" w:cs="宋体"/>
                      <w:color w:val="auto"/>
                      <w:sz w:val="21"/>
                      <w:szCs w:val="21"/>
                      <w:vertAlign w:val="superscript"/>
                    </w:rPr>
                    <w:t>3</w:t>
                  </w:r>
                  <w:r>
                    <w:rPr>
                      <w:rFonts w:ascii="宋体" w:hAnsi="宋体" w:eastAsia="宋体" w:cs="宋体"/>
                      <w:color w:val="auto"/>
                      <w:sz w:val="21"/>
                      <w:szCs w:val="21"/>
                    </w:rPr>
                    <w:t>时，其防火间距可按本表减少50%执行。</w:t>
                  </w:r>
                </w:p>
              </w:tc>
            </w:tr>
          </w:tbl>
          <w:p w14:paraId="4F317E44">
            <w:pPr>
              <w:pStyle w:val="71"/>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b/>
                <w:bCs/>
                <w:color w:val="auto"/>
                <w:lang w:val="en-US" w:eastAsia="zh-CN"/>
              </w:rPr>
            </w:pPr>
            <w:r>
              <w:rPr>
                <w:rFonts w:ascii="宋体" w:hAnsi="宋体" w:eastAsia="宋体" w:cs="宋体"/>
                <w:b/>
                <w:bCs/>
                <w:color w:val="auto"/>
                <w:sz w:val="24"/>
                <w:szCs w:val="24"/>
              </w:rPr>
              <w:t>表 1-1</w:t>
            </w:r>
            <w:r>
              <w:rPr>
                <w:rFonts w:hint="eastAsia" w:ascii="宋体" w:hAnsi="宋体" w:cs="宋体"/>
                <w:b/>
                <w:bCs/>
                <w:color w:val="auto"/>
                <w:sz w:val="24"/>
                <w:szCs w:val="24"/>
                <w:lang w:val="en-US" w:eastAsia="zh-CN"/>
              </w:rPr>
              <w:t>1</w:t>
            </w:r>
            <w:r>
              <w:rPr>
                <w:rFonts w:ascii="宋体" w:hAnsi="宋体" w:eastAsia="宋体" w:cs="宋体"/>
                <w:b/>
                <w:bCs/>
                <w:color w:val="auto"/>
                <w:sz w:val="24"/>
                <w:szCs w:val="24"/>
              </w:rPr>
              <w:t xml:space="preserve"> 储罐与站内建筑物防火距离表</w:t>
            </w:r>
          </w:p>
          <w:tbl>
            <w:tblPr>
              <w:tblStyle w:val="3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19"/>
              <w:gridCol w:w="1610"/>
              <w:gridCol w:w="1205"/>
              <w:gridCol w:w="1388"/>
              <w:gridCol w:w="891"/>
            </w:tblGrid>
            <w:tr w14:paraId="2775C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9" w:type="dxa"/>
                  <w:gridSpan w:val="3"/>
                  <w:tcBorders>
                    <w:tl2br w:val="nil"/>
                    <w:tr2bl w:val="nil"/>
                  </w:tcBorders>
                  <w:vAlign w:val="center"/>
                </w:tcPr>
                <w:p w14:paraId="448DAEB7">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储罐与</w:t>
                  </w:r>
                  <w:r>
                    <w:rPr>
                      <w:rFonts w:hint="default" w:ascii="Times New Roman" w:hAnsi="Times New Roman" w:eastAsia="宋体" w:cs="Times New Roman"/>
                      <w:b/>
                      <w:color w:val="auto"/>
                      <w:sz w:val="21"/>
                      <w:szCs w:val="21"/>
                    </w:rPr>
                    <w:t>站内建筑</w:t>
                  </w:r>
                </w:p>
              </w:tc>
              <w:tc>
                <w:tcPr>
                  <w:tcW w:w="1204" w:type="dxa"/>
                  <w:tcBorders>
                    <w:tl2br w:val="nil"/>
                    <w:tr2bl w:val="nil"/>
                  </w:tcBorders>
                  <w:vAlign w:val="center"/>
                </w:tcPr>
                <w:p w14:paraId="0DB4F83D">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规范间距（m）</w:t>
                  </w:r>
                </w:p>
              </w:tc>
              <w:tc>
                <w:tcPr>
                  <w:tcW w:w="1387" w:type="dxa"/>
                  <w:tcBorders>
                    <w:tl2br w:val="nil"/>
                    <w:tr2bl w:val="nil"/>
                  </w:tcBorders>
                  <w:vAlign w:val="center"/>
                </w:tcPr>
                <w:p w14:paraId="22AE5065">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设计间距（m）</w:t>
                  </w:r>
                </w:p>
              </w:tc>
              <w:tc>
                <w:tcPr>
                  <w:tcW w:w="891" w:type="dxa"/>
                  <w:tcBorders>
                    <w:tl2br w:val="nil"/>
                    <w:tr2bl w:val="nil"/>
                  </w:tcBorders>
                  <w:vAlign w:val="center"/>
                </w:tcPr>
                <w:p w14:paraId="10D4359E">
                  <w:pPr>
                    <w:pStyle w:val="19"/>
                    <w:ind w:firstLine="0" w:firstLineChars="0"/>
                    <w:jc w:val="center"/>
                    <w:rPr>
                      <w:rFonts w:ascii="Times New Roman" w:hAnsi="Times New Roman"/>
                      <w:b/>
                      <w:bCs w:val="0"/>
                      <w:color w:val="auto"/>
                      <w:sz w:val="21"/>
                      <w:szCs w:val="21"/>
                    </w:rPr>
                  </w:pPr>
                  <w:r>
                    <w:rPr>
                      <w:rFonts w:hint="eastAsia" w:ascii="Times New Roman" w:hAnsi="Times New Roman"/>
                      <w:b/>
                      <w:bCs w:val="0"/>
                      <w:color w:val="auto"/>
                      <w:sz w:val="21"/>
                      <w:szCs w:val="21"/>
                    </w:rPr>
                    <w:t>相符性</w:t>
                  </w:r>
                </w:p>
              </w:tc>
            </w:tr>
            <w:tr w14:paraId="0BB41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restart"/>
                  <w:tcBorders>
                    <w:tl2br w:val="nil"/>
                    <w:tr2bl w:val="nil"/>
                  </w:tcBorders>
                  <w:vAlign w:val="center"/>
                </w:tcPr>
                <w:p w14:paraId="08D646D5">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储罐</w:t>
                  </w:r>
                </w:p>
              </w:tc>
              <w:tc>
                <w:tcPr>
                  <w:tcW w:w="3128" w:type="dxa"/>
                  <w:gridSpan w:val="2"/>
                  <w:tcBorders>
                    <w:tl2br w:val="nil"/>
                    <w:tr2bl w:val="nil"/>
                  </w:tcBorders>
                  <w:vAlign w:val="center"/>
                </w:tcPr>
                <w:p w14:paraId="4DFDC768">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明火、散发火花地点</w:t>
                  </w:r>
                </w:p>
              </w:tc>
              <w:tc>
                <w:tcPr>
                  <w:tcW w:w="1204" w:type="dxa"/>
                  <w:tcBorders>
                    <w:tl2br w:val="nil"/>
                    <w:tr2bl w:val="nil"/>
                  </w:tcBorders>
                  <w:vAlign w:val="center"/>
                </w:tcPr>
                <w:p w14:paraId="2656157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387" w:type="dxa"/>
                  <w:tcBorders>
                    <w:tl2br w:val="nil"/>
                    <w:tr2bl w:val="nil"/>
                  </w:tcBorders>
                  <w:vAlign w:val="center"/>
                </w:tcPr>
                <w:p w14:paraId="2B86EC5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周边无</w:t>
                  </w:r>
                </w:p>
              </w:tc>
              <w:tc>
                <w:tcPr>
                  <w:tcW w:w="891" w:type="dxa"/>
                  <w:tcBorders>
                    <w:tl2br w:val="nil"/>
                    <w:tr2bl w:val="nil"/>
                  </w:tcBorders>
                  <w:vAlign w:val="center"/>
                </w:tcPr>
                <w:p w14:paraId="440423F0">
                  <w:pPr>
                    <w:jc w:val="center"/>
                    <w:rPr>
                      <w:color w:val="auto"/>
                      <w:szCs w:val="21"/>
                    </w:rPr>
                  </w:pPr>
                  <w:r>
                    <w:rPr>
                      <w:rFonts w:hint="eastAsia"/>
                      <w:color w:val="auto"/>
                      <w:szCs w:val="21"/>
                    </w:rPr>
                    <w:t>符合</w:t>
                  </w:r>
                </w:p>
              </w:tc>
            </w:tr>
            <w:tr w14:paraId="20519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68D06E21">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1FB4081F">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天然气储罐</w:t>
                  </w:r>
                </w:p>
              </w:tc>
              <w:tc>
                <w:tcPr>
                  <w:tcW w:w="1204" w:type="dxa"/>
                  <w:tcBorders>
                    <w:tl2br w:val="nil"/>
                    <w:tr2bl w:val="nil"/>
                  </w:tcBorders>
                  <w:vAlign w:val="center"/>
                </w:tcPr>
                <w:p w14:paraId="46B8E7DF">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87" w:type="dxa"/>
                  <w:tcBorders>
                    <w:tl2br w:val="nil"/>
                    <w:tr2bl w:val="nil"/>
                  </w:tcBorders>
                  <w:vAlign w:val="center"/>
                </w:tcPr>
                <w:p w14:paraId="0AAF13A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75.69</w:t>
                  </w:r>
                </w:p>
              </w:tc>
              <w:tc>
                <w:tcPr>
                  <w:tcW w:w="891" w:type="dxa"/>
                  <w:tcBorders>
                    <w:tl2br w:val="nil"/>
                    <w:tr2bl w:val="nil"/>
                  </w:tcBorders>
                  <w:vAlign w:val="center"/>
                </w:tcPr>
                <w:p w14:paraId="5E31E16E">
                  <w:pPr>
                    <w:jc w:val="center"/>
                    <w:rPr>
                      <w:color w:val="auto"/>
                      <w:szCs w:val="21"/>
                    </w:rPr>
                  </w:pPr>
                  <w:r>
                    <w:rPr>
                      <w:rFonts w:hint="eastAsia"/>
                      <w:color w:val="auto"/>
                      <w:szCs w:val="21"/>
                    </w:rPr>
                    <w:t>符合</w:t>
                  </w:r>
                </w:p>
              </w:tc>
            </w:tr>
            <w:tr w14:paraId="593BD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61CA52B9">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10D79248">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办公用房</w:t>
                  </w:r>
                </w:p>
              </w:tc>
              <w:tc>
                <w:tcPr>
                  <w:tcW w:w="1204" w:type="dxa"/>
                  <w:tcBorders>
                    <w:tl2br w:val="nil"/>
                    <w:tr2bl w:val="nil"/>
                  </w:tcBorders>
                  <w:vAlign w:val="center"/>
                </w:tcPr>
                <w:p w14:paraId="67EB2442">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387" w:type="dxa"/>
                  <w:tcBorders>
                    <w:tl2br w:val="nil"/>
                    <w:tr2bl w:val="nil"/>
                  </w:tcBorders>
                  <w:vAlign w:val="center"/>
                </w:tcPr>
                <w:p w14:paraId="3F0CE8F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60.01</w:t>
                  </w:r>
                </w:p>
              </w:tc>
              <w:tc>
                <w:tcPr>
                  <w:tcW w:w="891" w:type="dxa"/>
                  <w:tcBorders>
                    <w:tl2br w:val="nil"/>
                    <w:tr2bl w:val="nil"/>
                  </w:tcBorders>
                  <w:vAlign w:val="center"/>
                </w:tcPr>
                <w:p w14:paraId="2ADCD4BF">
                  <w:pPr>
                    <w:jc w:val="center"/>
                    <w:rPr>
                      <w:color w:val="auto"/>
                      <w:szCs w:val="21"/>
                    </w:rPr>
                  </w:pPr>
                  <w:r>
                    <w:rPr>
                      <w:rFonts w:hint="eastAsia"/>
                      <w:color w:val="auto"/>
                      <w:szCs w:val="21"/>
                    </w:rPr>
                    <w:t>符合</w:t>
                  </w:r>
                </w:p>
              </w:tc>
            </w:tr>
            <w:tr w14:paraId="4736D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510F20CE">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02B9FA73">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汽车库、机修间</w:t>
                  </w:r>
                </w:p>
              </w:tc>
              <w:tc>
                <w:tcPr>
                  <w:tcW w:w="1204" w:type="dxa"/>
                  <w:tcBorders>
                    <w:tl2br w:val="nil"/>
                    <w:tr2bl w:val="nil"/>
                  </w:tcBorders>
                  <w:vAlign w:val="center"/>
                </w:tcPr>
                <w:p w14:paraId="0C50D204">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387" w:type="dxa"/>
                  <w:tcBorders>
                    <w:tl2br w:val="nil"/>
                    <w:tr2bl w:val="nil"/>
                  </w:tcBorders>
                  <w:vAlign w:val="center"/>
                </w:tcPr>
                <w:p w14:paraId="268C083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周边无</w:t>
                  </w:r>
                </w:p>
              </w:tc>
              <w:tc>
                <w:tcPr>
                  <w:tcW w:w="891" w:type="dxa"/>
                  <w:tcBorders>
                    <w:tl2br w:val="nil"/>
                    <w:tr2bl w:val="nil"/>
                  </w:tcBorders>
                  <w:vAlign w:val="center"/>
                </w:tcPr>
                <w:p w14:paraId="7163213B">
                  <w:pPr>
                    <w:jc w:val="center"/>
                    <w:rPr>
                      <w:color w:val="auto"/>
                      <w:szCs w:val="21"/>
                    </w:rPr>
                  </w:pPr>
                  <w:r>
                    <w:rPr>
                      <w:rFonts w:hint="eastAsia"/>
                      <w:color w:val="auto"/>
                      <w:szCs w:val="21"/>
                    </w:rPr>
                    <w:t>符合</w:t>
                  </w:r>
                </w:p>
              </w:tc>
            </w:tr>
            <w:tr w14:paraId="4ECBC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7457B946">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2ABD57C2">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灌装间、瓶库、压缩机室、仪表间、值班室</w:t>
                  </w:r>
                </w:p>
              </w:tc>
              <w:tc>
                <w:tcPr>
                  <w:tcW w:w="1204" w:type="dxa"/>
                  <w:tcBorders>
                    <w:tl2br w:val="nil"/>
                    <w:tr2bl w:val="nil"/>
                  </w:tcBorders>
                  <w:vAlign w:val="center"/>
                </w:tcPr>
                <w:p w14:paraId="3DCC3121">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387" w:type="dxa"/>
                  <w:tcBorders>
                    <w:tl2br w:val="nil"/>
                    <w:tr2bl w:val="nil"/>
                  </w:tcBorders>
                  <w:vAlign w:val="center"/>
                </w:tcPr>
                <w:p w14:paraId="0F8CC518">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26.5</w:t>
                  </w:r>
                </w:p>
              </w:tc>
              <w:tc>
                <w:tcPr>
                  <w:tcW w:w="891" w:type="dxa"/>
                  <w:tcBorders>
                    <w:tl2br w:val="nil"/>
                    <w:tr2bl w:val="nil"/>
                  </w:tcBorders>
                  <w:vAlign w:val="center"/>
                </w:tcPr>
                <w:p w14:paraId="42F62159">
                  <w:pPr>
                    <w:jc w:val="center"/>
                    <w:rPr>
                      <w:color w:val="auto"/>
                      <w:szCs w:val="21"/>
                    </w:rPr>
                  </w:pPr>
                  <w:r>
                    <w:rPr>
                      <w:rFonts w:hint="eastAsia"/>
                      <w:color w:val="auto"/>
                      <w:szCs w:val="21"/>
                    </w:rPr>
                    <w:t>符合</w:t>
                  </w:r>
                </w:p>
              </w:tc>
            </w:tr>
            <w:tr w14:paraId="03133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3F04028F">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2903D69E">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汽车槽车库、汽车槽车装卸台柱（装卸口）、汽车衡及其计量室、门卫</w:t>
                  </w:r>
                </w:p>
              </w:tc>
              <w:tc>
                <w:tcPr>
                  <w:tcW w:w="1204" w:type="dxa"/>
                  <w:tcBorders>
                    <w:tl2br w:val="nil"/>
                    <w:tr2bl w:val="nil"/>
                  </w:tcBorders>
                  <w:vAlign w:val="center"/>
                </w:tcPr>
                <w:p w14:paraId="5FF93DE0">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387" w:type="dxa"/>
                  <w:tcBorders>
                    <w:tl2br w:val="nil"/>
                    <w:tr2bl w:val="nil"/>
                  </w:tcBorders>
                  <w:vAlign w:val="center"/>
                </w:tcPr>
                <w:p w14:paraId="60EE2C31">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32.88</w:t>
                  </w:r>
                </w:p>
              </w:tc>
              <w:tc>
                <w:tcPr>
                  <w:tcW w:w="891" w:type="dxa"/>
                  <w:tcBorders>
                    <w:tl2br w:val="nil"/>
                    <w:tr2bl w:val="nil"/>
                  </w:tcBorders>
                  <w:vAlign w:val="center"/>
                </w:tcPr>
                <w:p w14:paraId="64E4C499">
                  <w:pPr>
                    <w:jc w:val="center"/>
                    <w:rPr>
                      <w:color w:val="auto"/>
                      <w:szCs w:val="21"/>
                    </w:rPr>
                  </w:pPr>
                  <w:r>
                    <w:rPr>
                      <w:rFonts w:hint="eastAsia"/>
                      <w:color w:val="auto"/>
                      <w:szCs w:val="21"/>
                    </w:rPr>
                    <w:t>符合</w:t>
                  </w:r>
                </w:p>
              </w:tc>
            </w:tr>
            <w:tr w14:paraId="505D5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3EACD86F">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5941BE7B">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铁路槽车装卸线（中心线）</w:t>
                  </w:r>
                </w:p>
              </w:tc>
              <w:tc>
                <w:tcPr>
                  <w:tcW w:w="1204" w:type="dxa"/>
                  <w:tcBorders>
                    <w:tl2br w:val="nil"/>
                    <w:tr2bl w:val="nil"/>
                  </w:tcBorders>
                  <w:vAlign w:val="center"/>
                </w:tcPr>
                <w:p w14:paraId="26A2569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387" w:type="dxa"/>
                  <w:tcBorders>
                    <w:tl2br w:val="nil"/>
                    <w:tr2bl w:val="nil"/>
                  </w:tcBorders>
                  <w:vAlign w:val="center"/>
                </w:tcPr>
                <w:p w14:paraId="1D39844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周边无</w:t>
                  </w:r>
                </w:p>
              </w:tc>
              <w:tc>
                <w:tcPr>
                  <w:tcW w:w="891" w:type="dxa"/>
                  <w:tcBorders>
                    <w:tl2br w:val="nil"/>
                    <w:tr2bl w:val="nil"/>
                  </w:tcBorders>
                  <w:vAlign w:val="center"/>
                </w:tcPr>
                <w:p w14:paraId="72398D32">
                  <w:pPr>
                    <w:jc w:val="center"/>
                    <w:rPr>
                      <w:color w:val="auto"/>
                      <w:szCs w:val="21"/>
                    </w:rPr>
                  </w:pPr>
                  <w:r>
                    <w:rPr>
                      <w:rFonts w:hint="eastAsia"/>
                      <w:color w:val="auto"/>
                      <w:szCs w:val="21"/>
                    </w:rPr>
                    <w:t>符合</w:t>
                  </w:r>
                </w:p>
              </w:tc>
            </w:tr>
            <w:tr w14:paraId="1DC76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291F758E">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30D452D1">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空压机室、变配电室、柴油发电机房、新瓶库、真空泵房、备件库</w:t>
                  </w:r>
                </w:p>
              </w:tc>
              <w:tc>
                <w:tcPr>
                  <w:tcW w:w="1204" w:type="dxa"/>
                  <w:tcBorders>
                    <w:tl2br w:val="nil"/>
                    <w:tr2bl w:val="nil"/>
                  </w:tcBorders>
                  <w:vAlign w:val="center"/>
                </w:tcPr>
                <w:p w14:paraId="54896B6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387" w:type="dxa"/>
                  <w:tcBorders>
                    <w:tl2br w:val="nil"/>
                    <w:tr2bl w:val="nil"/>
                  </w:tcBorders>
                  <w:vAlign w:val="center"/>
                </w:tcPr>
                <w:p w14:paraId="4427170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73.21</w:t>
                  </w:r>
                </w:p>
              </w:tc>
              <w:tc>
                <w:tcPr>
                  <w:tcW w:w="891" w:type="dxa"/>
                  <w:tcBorders>
                    <w:tl2br w:val="nil"/>
                    <w:tr2bl w:val="nil"/>
                  </w:tcBorders>
                  <w:vAlign w:val="center"/>
                </w:tcPr>
                <w:p w14:paraId="7FD56A29">
                  <w:pPr>
                    <w:jc w:val="center"/>
                    <w:rPr>
                      <w:color w:val="auto"/>
                      <w:szCs w:val="21"/>
                    </w:rPr>
                  </w:pPr>
                  <w:r>
                    <w:rPr>
                      <w:rFonts w:hint="eastAsia"/>
                      <w:color w:val="auto"/>
                      <w:szCs w:val="21"/>
                    </w:rPr>
                    <w:t>符合</w:t>
                  </w:r>
                </w:p>
              </w:tc>
            </w:tr>
            <w:tr w14:paraId="67CE3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1EBC5DAE">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31A2C71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消防泵房、消防水池（罐）取水口</w:t>
                  </w:r>
                </w:p>
              </w:tc>
              <w:tc>
                <w:tcPr>
                  <w:tcW w:w="1204" w:type="dxa"/>
                  <w:tcBorders>
                    <w:tl2br w:val="nil"/>
                    <w:tr2bl w:val="nil"/>
                  </w:tcBorders>
                  <w:vAlign w:val="center"/>
                </w:tcPr>
                <w:p w14:paraId="61A29A27">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387" w:type="dxa"/>
                  <w:tcBorders>
                    <w:tl2br w:val="nil"/>
                    <w:tr2bl w:val="nil"/>
                  </w:tcBorders>
                  <w:vAlign w:val="center"/>
                </w:tcPr>
                <w:p w14:paraId="6DE899E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61.82</w:t>
                  </w:r>
                </w:p>
              </w:tc>
              <w:tc>
                <w:tcPr>
                  <w:tcW w:w="891" w:type="dxa"/>
                  <w:tcBorders>
                    <w:tl2br w:val="nil"/>
                    <w:tr2bl w:val="nil"/>
                  </w:tcBorders>
                  <w:vAlign w:val="center"/>
                </w:tcPr>
                <w:p w14:paraId="741F909C">
                  <w:pPr>
                    <w:jc w:val="center"/>
                    <w:rPr>
                      <w:color w:val="auto"/>
                      <w:szCs w:val="21"/>
                    </w:rPr>
                  </w:pPr>
                  <w:r>
                    <w:rPr>
                      <w:rFonts w:hint="eastAsia"/>
                      <w:color w:val="auto"/>
                      <w:szCs w:val="21"/>
                    </w:rPr>
                    <w:t>符合</w:t>
                  </w:r>
                </w:p>
              </w:tc>
            </w:tr>
            <w:tr w14:paraId="60A44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41649D40">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1519" w:type="dxa"/>
                  <w:vMerge w:val="restart"/>
                  <w:tcBorders>
                    <w:tl2br w:val="nil"/>
                    <w:tr2bl w:val="nil"/>
                  </w:tcBorders>
                  <w:vAlign w:val="center"/>
                </w:tcPr>
                <w:p w14:paraId="7AFFACD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站内道路</w:t>
                  </w:r>
                </w:p>
                <w:p w14:paraId="25A43DEB">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（路边）</w:t>
                  </w:r>
                </w:p>
              </w:tc>
              <w:tc>
                <w:tcPr>
                  <w:tcW w:w="1609" w:type="dxa"/>
                  <w:tcBorders>
                    <w:tl2br w:val="nil"/>
                    <w:tr2bl w:val="nil"/>
                  </w:tcBorders>
                  <w:vAlign w:val="center"/>
                </w:tcPr>
                <w:p w14:paraId="72C50D8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w:t>
                  </w:r>
                </w:p>
              </w:tc>
              <w:tc>
                <w:tcPr>
                  <w:tcW w:w="1204" w:type="dxa"/>
                  <w:tcBorders>
                    <w:tl2br w:val="nil"/>
                    <w:tr2bl w:val="nil"/>
                  </w:tcBorders>
                  <w:vAlign w:val="center"/>
                </w:tcPr>
                <w:p w14:paraId="00DA4A4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1387" w:type="dxa"/>
                  <w:tcBorders>
                    <w:tl2br w:val="nil"/>
                    <w:tr2bl w:val="nil"/>
                  </w:tcBorders>
                  <w:vAlign w:val="center"/>
                </w:tcPr>
                <w:p w14:paraId="6524C182">
                  <w:pPr>
                    <w:pStyle w:val="19"/>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1.5</w:t>
                  </w:r>
                </w:p>
              </w:tc>
              <w:tc>
                <w:tcPr>
                  <w:tcW w:w="891" w:type="dxa"/>
                  <w:tcBorders>
                    <w:tl2br w:val="nil"/>
                    <w:tr2bl w:val="nil"/>
                  </w:tcBorders>
                  <w:vAlign w:val="center"/>
                </w:tcPr>
                <w:p w14:paraId="476A6A2A">
                  <w:pPr>
                    <w:pStyle w:val="19"/>
                    <w:ind w:firstLine="0" w:firstLineChars="0"/>
                    <w:jc w:val="center"/>
                    <w:rPr>
                      <w:rFonts w:ascii="Times New Roman" w:hAnsi="Times New Roman"/>
                      <w:color w:val="auto"/>
                      <w:sz w:val="21"/>
                      <w:szCs w:val="21"/>
                    </w:rPr>
                  </w:pPr>
                  <w:r>
                    <w:rPr>
                      <w:rFonts w:hint="eastAsia"/>
                      <w:color w:val="auto"/>
                      <w:sz w:val="21"/>
                      <w:szCs w:val="21"/>
                    </w:rPr>
                    <w:t>符合</w:t>
                  </w:r>
                </w:p>
              </w:tc>
            </w:tr>
            <w:tr w14:paraId="58A98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5E67BD4D">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1519" w:type="dxa"/>
                  <w:vMerge w:val="continue"/>
                  <w:tcBorders>
                    <w:tl2br w:val="nil"/>
                    <w:tr2bl w:val="nil"/>
                  </w:tcBorders>
                  <w:vAlign w:val="center"/>
                </w:tcPr>
                <w:p w14:paraId="515B1E21">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1609" w:type="dxa"/>
                  <w:tcBorders>
                    <w:tl2br w:val="nil"/>
                    <w:tr2bl w:val="nil"/>
                  </w:tcBorders>
                  <w:vAlign w:val="center"/>
                </w:tcPr>
                <w:p w14:paraId="17F3DF0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次要</w:t>
                  </w:r>
                </w:p>
              </w:tc>
              <w:tc>
                <w:tcPr>
                  <w:tcW w:w="1204" w:type="dxa"/>
                  <w:tcBorders>
                    <w:tl2br w:val="nil"/>
                    <w:tr2bl w:val="nil"/>
                  </w:tcBorders>
                  <w:vAlign w:val="center"/>
                </w:tcPr>
                <w:p w14:paraId="71AC0FF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387" w:type="dxa"/>
                  <w:tcBorders>
                    <w:tl2br w:val="nil"/>
                    <w:tr2bl w:val="nil"/>
                  </w:tcBorders>
                  <w:vAlign w:val="center"/>
                </w:tcPr>
                <w:p w14:paraId="6815BB78">
                  <w:pPr>
                    <w:pStyle w:val="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15.50</w:t>
                  </w:r>
                </w:p>
              </w:tc>
              <w:tc>
                <w:tcPr>
                  <w:tcW w:w="891" w:type="dxa"/>
                  <w:tcBorders>
                    <w:tl2br w:val="nil"/>
                    <w:tr2bl w:val="nil"/>
                  </w:tcBorders>
                  <w:vAlign w:val="center"/>
                </w:tcPr>
                <w:p w14:paraId="1848FDC9">
                  <w:pPr>
                    <w:pStyle w:val="19"/>
                    <w:ind w:firstLine="0" w:firstLineChars="0"/>
                    <w:jc w:val="center"/>
                    <w:rPr>
                      <w:rFonts w:ascii="Times New Roman" w:hAnsi="Times New Roman"/>
                      <w:color w:val="auto"/>
                      <w:sz w:val="21"/>
                      <w:szCs w:val="21"/>
                    </w:rPr>
                  </w:pPr>
                  <w:r>
                    <w:rPr>
                      <w:rFonts w:hint="eastAsia"/>
                      <w:color w:val="auto"/>
                      <w:sz w:val="21"/>
                      <w:szCs w:val="21"/>
                    </w:rPr>
                    <w:t>符合</w:t>
                  </w:r>
                </w:p>
              </w:tc>
            </w:tr>
            <w:tr w14:paraId="465DC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vMerge w:val="continue"/>
                  <w:tcBorders>
                    <w:tl2br w:val="nil"/>
                    <w:tr2bl w:val="nil"/>
                  </w:tcBorders>
                  <w:vAlign w:val="center"/>
                </w:tcPr>
                <w:p w14:paraId="6966EDA0">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128" w:type="dxa"/>
                  <w:gridSpan w:val="2"/>
                  <w:tcBorders>
                    <w:tl2br w:val="nil"/>
                    <w:tr2bl w:val="nil"/>
                  </w:tcBorders>
                  <w:vAlign w:val="center"/>
                </w:tcPr>
                <w:p w14:paraId="592ADDD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围墙</w:t>
                  </w:r>
                </w:p>
              </w:tc>
              <w:tc>
                <w:tcPr>
                  <w:tcW w:w="1204" w:type="dxa"/>
                  <w:tcBorders>
                    <w:tl2br w:val="nil"/>
                    <w:tr2bl w:val="nil"/>
                  </w:tcBorders>
                  <w:vAlign w:val="center"/>
                </w:tcPr>
                <w:p w14:paraId="0DE53BF5">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387" w:type="dxa"/>
                  <w:tcBorders>
                    <w:tl2br w:val="nil"/>
                    <w:tr2bl w:val="nil"/>
                  </w:tcBorders>
                  <w:vAlign w:val="center"/>
                </w:tcPr>
                <w:p w14:paraId="11990F7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20.5</w:t>
                  </w:r>
                </w:p>
              </w:tc>
              <w:tc>
                <w:tcPr>
                  <w:tcW w:w="891" w:type="dxa"/>
                  <w:tcBorders>
                    <w:tl2br w:val="nil"/>
                    <w:tr2bl w:val="nil"/>
                  </w:tcBorders>
                  <w:vAlign w:val="center"/>
                </w:tcPr>
                <w:p w14:paraId="1B704DD9">
                  <w:pPr>
                    <w:jc w:val="center"/>
                    <w:rPr>
                      <w:color w:val="auto"/>
                      <w:szCs w:val="21"/>
                    </w:rPr>
                  </w:pPr>
                  <w:r>
                    <w:rPr>
                      <w:rFonts w:hint="eastAsia"/>
                      <w:color w:val="auto"/>
                      <w:szCs w:val="21"/>
                    </w:rPr>
                    <w:t>符合</w:t>
                  </w:r>
                </w:p>
              </w:tc>
            </w:tr>
          </w:tbl>
          <w:p w14:paraId="64B8A5D3">
            <w:pPr>
              <w:jc w:val="center"/>
              <w:rPr>
                <w:rFonts w:eastAsiaTheme="minorEastAsia"/>
                <w:b/>
                <w:bCs/>
                <w:color w:val="auto"/>
                <w:szCs w:val="21"/>
              </w:rPr>
            </w:pPr>
            <w:r>
              <w:rPr>
                <w:rFonts w:hint="eastAsia" w:eastAsiaTheme="minorEastAsia"/>
                <w:b/>
                <w:bCs/>
                <w:color w:val="auto"/>
                <w:szCs w:val="21"/>
              </w:rPr>
              <w:t>表1-</w:t>
            </w:r>
            <w:r>
              <w:rPr>
                <w:rFonts w:hint="eastAsia" w:eastAsiaTheme="minorEastAsia"/>
                <w:b/>
                <w:bCs/>
                <w:color w:val="auto"/>
                <w:szCs w:val="21"/>
                <w:lang w:val="en-US" w:eastAsia="zh-CN"/>
              </w:rPr>
              <w:t>12</w:t>
            </w:r>
            <w:r>
              <w:rPr>
                <w:rFonts w:hint="eastAsia" w:eastAsiaTheme="minorEastAsia"/>
                <w:b/>
                <w:bCs/>
                <w:color w:val="auto"/>
                <w:szCs w:val="21"/>
              </w:rPr>
              <w:t xml:space="preserve"> 灌瓶间和瓶库与站内建筑的防火间距（m）</w:t>
            </w:r>
          </w:p>
          <w:tbl>
            <w:tblPr>
              <w:tblStyle w:val="3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406"/>
              <w:gridCol w:w="1388"/>
              <w:gridCol w:w="1194"/>
              <w:gridCol w:w="1406"/>
              <w:gridCol w:w="882"/>
            </w:tblGrid>
            <w:tr w14:paraId="1F770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1" w:type="dxa"/>
                  <w:gridSpan w:val="3"/>
                  <w:tcBorders>
                    <w:tl2br w:val="nil"/>
                    <w:tr2bl w:val="nil"/>
                  </w:tcBorders>
                  <w:vAlign w:val="center"/>
                </w:tcPr>
                <w:p w14:paraId="3FE7FFBD">
                  <w:pPr>
                    <w:pStyle w:val="19"/>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灌瓶间和瓶库与和站内建、构筑物</w:t>
                  </w:r>
                </w:p>
              </w:tc>
              <w:tc>
                <w:tcPr>
                  <w:tcW w:w="1440" w:type="dxa"/>
                  <w:tcBorders>
                    <w:tl2br w:val="nil"/>
                    <w:tr2bl w:val="nil"/>
                  </w:tcBorders>
                  <w:vAlign w:val="center"/>
                </w:tcPr>
                <w:p w14:paraId="68E23DD0">
                  <w:pPr>
                    <w:pStyle w:val="19"/>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规范间距（m）</w:t>
                  </w:r>
                </w:p>
              </w:tc>
              <w:tc>
                <w:tcPr>
                  <w:tcW w:w="1695" w:type="dxa"/>
                  <w:tcBorders>
                    <w:tl2br w:val="nil"/>
                    <w:tr2bl w:val="nil"/>
                  </w:tcBorders>
                  <w:vAlign w:val="center"/>
                </w:tcPr>
                <w:p w14:paraId="4B808C7D">
                  <w:pPr>
                    <w:pStyle w:val="19"/>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设计间距（m）</w:t>
                  </w:r>
                </w:p>
              </w:tc>
              <w:tc>
                <w:tcPr>
                  <w:tcW w:w="1064" w:type="dxa"/>
                  <w:tcBorders>
                    <w:tl2br w:val="nil"/>
                    <w:tr2bl w:val="nil"/>
                  </w:tcBorders>
                  <w:vAlign w:val="center"/>
                </w:tcPr>
                <w:p w14:paraId="662A9216">
                  <w:pPr>
                    <w:pStyle w:val="19"/>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相符性</w:t>
                  </w:r>
                </w:p>
              </w:tc>
            </w:tr>
            <w:tr w14:paraId="43F25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restart"/>
                  <w:tcBorders>
                    <w:tl2br w:val="nil"/>
                    <w:tr2bl w:val="nil"/>
                  </w:tcBorders>
                  <w:vAlign w:val="center"/>
                </w:tcPr>
                <w:p w14:paraId="3FDB2B7F">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罐瓶间与瓶库（t≤10）</w:t>
                  </w:r>
                </w:p>
              </w:tc>
              <w:tc>
                <w:tcPr>
                  <w:tcW w:w="3369" w:type="dxa"/>
                  <w:gridSpan w:val="2"/>
                  <w:tcBorders>
                    <w:tl2br w:val="nil"/>
                    <w:tr2bl w:val="nil"/>
                  </w:tcBorders>
                  <w:vAlign w:val="center"/>
                </w:tcPr>
                <w:p w14:paraId="7D96BE32">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明火、散发火花地点</w:t>
                  </w:r>
                </w:p>
              </w:tc>
              <w:tc>
                <w:tcPr>
                  <w:tcW w:w="1440" w:type="dxa"/>
                  <w:tcBorders>
                    <w:tl2br w:val="nil"/>
                    <w:tr2bl w:val="nil"/>
                  </w:tcBorders>
                  <w:vAlign w:val="center"/>
                </w:tcPr>
                <w:p w14:paraId="4C8C7D0C">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695" w:type="dxa"/>
                  <w:tcBorders>
                    <w:tl2br w:val="nil"/>
                    <w:tr2bl w:val="nil"/>
                  </w:tcBorders>
                  <w:vAlign w:val="center"/>
                </w:tcPr>
                <w:p w14:paraId="1960EB43">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周边无</w:t>
                  </w:r>
                </w:p>
              </w:tc>
              <w:tc>
                <w:tcPr>
                  <w:tcW w:w="1064" w:type="dxa"/>
                  <w:tcBorders>
                    <w:tl2br w:val="nil"/>
                    <w:tr2bl w:val="nil"/>
                  </w:tcBorders>
                  <w:vAlign w:val="center"/>
                </w:tcPr>
                <w:p w14:paraId="0DE8DFCB">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A593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4CACFA92">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10D9B7CC">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机修间、汽车库</w:t>
                  </w:r>
                </w:p>
              </w:tc>
              <w:tc>
                <w:tcPr>
                  <w:tcW w:w="1440" w:type="dxa"/>
                  <w:tcBorders>
                    <w:tl2br w:val="nil"/>
                    <w:tr2bl w:val="nil"/>
                  </w:tcBorders>
                  <w:vAlign w:val="center"/>
                </w:tcPr>
                <w:p w14:paraId="21E7F3C6">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695" w:type="dxa"/>
                  <w:tcBorders>
                    <w:tl2br w:val="nil"/>
                    <w:tr2bl w:val="nil"/>
                  </w:tcBorders>
                  <w:vAlign w:val="center"/>
                </w:tcPr>
                <w:p w14:paraId="29E8232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周边无</w:t>
                  </w:r>
                </w:p>
              </w:tc>
              <w:tc>
                <w:tcPr>
                  <w:tcW w:w="1064" w:type="dxa"/>
                  <w:tcBorders>
                    <w:tl2br w:val="nil"/>
                    <w:tr2bl w:val="nil"/>
                  </w:tcBorders>
                  <w:vAlign w:val="center"/>
                </w:tcPr>
                <w:p w14:paraId="428D474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5CE2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522B29BD">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3CF3B7E2">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办公用房</w:t>
                  </w:r>
                </w:p>
              </w:tc>
              <w:tc>
                <w:tcPr>
                  <w:tcW w:w="1440" w:type="dxa"/>
                  <w:tcBorders>
                    <w:tl2br w:val="nil"/>
                    <w:tr2bl w:val="nil"/>
                  </w:tcBorders>
                  <w:vAlign w:val="center"/>
                </w:tcPr>
                <w:p w14:paraId="7ADC3177">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95" w:type="dxa"/>
                  <w:tcBorders>
                    <w:tl2br w:val="nil"/>
                    <w:tr2bl w:val="nil"/>
                  </w:tcBorders>
                  <w:vAlign w:val="center"/>
                </w:tcPr>
                <w:p w14:paraId="037833B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25.5</w:t>
                  </w:r>
                </w:p>
              </w:tc>
              <w:tc>
                <w:tcPr>
                  <w:tcW w:w="1064" w:type="dxa"/>
                  <w:tcBorders>
                    <w:tl2br w:val="nil"/>
                    <w:tr2bl w:val="nil"/>
                  </w:tcBorders>
                  <w:vAlign w:val="center"/>
                </w:tcPr>
                <w:p w14:paraId="0726FDC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5BF5C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4EE8D2EA">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0291432F">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铁路槽车装卸线（中心线）</w:t>
                  </w:r>
                </w:p>
              </w:tc>
              <w:tc>
                <w:tcPr>
                  <w:tcW w:w="1440" w:type="dxa"/>
                  <w:tcBorders>
                    <w:tl2br w:val="nil"/>
                    <w:tr2bl w:val="nil"/>
                  </w:tcBorders>
                  <w:vAlign w:val="center"/>
                </w:tcPr>
                <w:p w14:paraId="5808A86A">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95" w:type="dxa"/>
                  <w:tcBorders>
                    <w:tl2br w:val="nil"/>
                    <w:tr2bl w:val="nil"/>
                  </w:tcBorders>
                  <w:vAlign w:val="center"/>
                </w:tcPr>
                <w:p w14:paraId="54D9DD6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周边无</w:t>
                  </w:r>
                </w:p>
              </w:tc>
              <w:tc>
                <w:tcPr>
                  <w:tcW w:w="1064" w:type="dxa"/>
                  <w:tcBorders>
                    <w:tl2br w:val="nil"/>
                    <w:tr2bl w:val="nil"/>
                  </w:tcBorders>
                  <w:vAlign w:val="center"/>
                </w:tcPr>
                <w:p w14:paraId="7130D5A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1F69D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12438A03">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0203C210">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汽车槽车库、汽车槽车装卸台柱（装卸口）、汽车衡机器计量室、门卫</w:t>
                  </w:r>
                </w:p>
              </w:tc>
              <w:tc>
                <w:tcPr>
                  <w:tcW w:w="1440" w:type="dxa"/>
                  <w:tcBorders>
                    <w:tl2br w:val="nil"/>
                    <w:tr2bl w:val="nil"/>
                  </w:tcBorders>
                  <w:vAlign w:val="center"/>
                </w:tcPr>
                <w:p w14:paraId="0B1ABE3B">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5" w:type="dxa"/>
                  <w:tcBorders>
                    <w:tl2br w:val="nil"/>
                    <w:tr2bl w:val="nil"/>
                  </w:tcBorders>
                  <w:vAlign w:val="center"/>
                </w:tcPr>
                <w:p w14:paraId="1268460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周边无</w:t>
                  </w:r>
                </w:p>
              </w:tc>
              <w:tc>
                <w:tcPr>
                  <w:tcW w:w="1064" w:type="dxa"/>
                  <w:tcBorders>
                    <w:tl2br w:val="nil"/>
                    <w:tr2bl w:val="nil"/>
                  </w:tcBorders>
                  <w:vAlign w:val="center"/>
                </w:tcPr>
                <w:p w14:paraId="03B1249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FA5B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386E5667">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456F9033">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压缩机室、仪表间、值班室</w:t>
                  </w:r>
                </w:p>
              </w:tc>
              <w:tc>
                <w:tcPr>
                  <w:tcW w:w="1440" w:type="dxa"/>
                  <w:tcBorders>
                    <w:tl2br w:val="nil"/>
                    <w:tr2bl w:val="nil"/>
                  </w:tcBorders>
                  <w:vAlign w:val="center"/>
                </w:tcPr>
                <w:p w14:paraId="61242118">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95" w:type="dxa"/>
                  <w:tcBorders>
                    <w:tl2br w:val="nil"/>
                    <w:tr2bl w:val="nil"/>
                  </w:tcBorders>
                  <w:vAlign w:val="center"/>
                </w:tcPr>
                <w:p w14:paraId="38D4F88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82</w:t>
                  </w:r>
                </w:p>
              </w:tc>
              <w:tc>
                <w:tcPr>
                  <w:tcW w:w="1064" w:type="dxa"/>
                  <w:tcBorders>
                    <w:tl2br w:val="nil"/>
                    <w:tr2bl w:val="nil"/>
                  </w:tcBorders>
                  <w:vAlign w:val="center"/>
                </w:tcPr>
                <w:p w14:paraId="0CFC4D1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2C64F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092" w:type="dxa"/>
                  <w:vMerge w:val="continue"/>
                  <w:tcBorders>
                    <w:tl2br w:val="nil"/>
                    <w:tr2bl w:val="nil"/>
                  </w:tcBorders>
                  <w:vAlign w:val="center"/>
                </w:tcPr>
                <w:p w14:paraId="4E0F3CC7">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0BF1ED67">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空压机室、变配电室、柴油发电机房</w:t>
                  </w:r>
                </w:p>
              </w:tc>
              <w:tc>
                <w:tcPr>
                  <w:tcW w:w="1440" w:type="dxa"/>
                  <w:tcBorders>
                    <w:tl2br w:val="nil"/>
                    <w:tr2bl w:val="nil"/>
                  </w:tcBorders>
                  <w:vAlign w:val="center"/>
                </w:tcPr>
                <w:p w14:paraId="7B55B5CF">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95" w:type="dxa"/>
                  <w:tcBorders>
                    <w:tl2br w:val="nil"/>
                    <w:tr2bl w:val="nil"/>
                  </w:tcBorders>
                  <w:vAlign w:val="center"/>
                </w:tcPr>
                <w:p w14:paraId="3884AE5F">
                  <w:pPr>
                    <w:pStyle w:val="19"/>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45.72</w:t>
                  </w:r>
                </w:p>
              </w:tc>
              <w:tc>
                <w:tcPr>
                  <w:tcW w:w="1064" w:type="dxa"/>
                  <w:tcBorders>
                    <w:tl2br w:val="nil"/>
                    <w:tr2bl w:val="nil"/>
                  </w:tcBorders>
                  <w:vAlign w:val="center"/>
                </w:tcPr>
                <w:p w14:paraId="50AB058F">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3A2C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619A9793">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429A6CA2">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新瓶库、真空泵房、备件库等非明火建筑</w:t>
                  </w:r>
                </w:p>
              </w:tc>
              <w:tc>
                <w:tcPr>
                  <w:tcW w:w="1440" w:type="dxa"/>
                  <w:tcBorders>
                    <w:tl2br w:val="nil"/>
                    <w:tr2bl w:val="nil"/>
                  </w:tcBorders>
                  <w:vAlign w:val="center"/>
                </w:tcPr>
                <w:p w14:paraId="2027DBA6">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95" w:type="dxa"/>
                  <w:tcBorders>
                    <w:tl2br w:val="nil"/>
                    <w:tr2bl w:val="nil"/>
                  </w:tcBorders>
                  <w:vAlign w:val="center"/>
                </w:tcPr>
                <w:p w14:paraId="7A72CD8F">
                  <w:pPr>
                    <w:pStyle w:val="19"/>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45.72</w:t>
                  </w:r>
                </w:p>
              </w:tc>
              <w:tc>
                <w:tcPr>
                  <w:tcW w:w="1064" w:type="dxa"/>
                  <w:tcBorders>
                    <w:tl2br w:val="nil"/>
                    <w:tr2bl w:val="nil"/>
                  </w:tcBorders>
                  <w:vAlign w:val="center"/>
                </w:tcPr>
                <w:p w14:paraId="372D1354">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50C5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1365E597">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6725F191">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消防泵房、消防水池（罐）取水口</w:t>
                  </w:r>
                </w:p>
              </w:tc>
              <w:tc>
                <w:tcPr>
                  <w:tcW w:w="1440" w:type="dxa"/>
                  <w:tcBorders>
                    <w:tl2br w:val="nil"/>
                    <w:tr2bl w:val="nil"/>
                  </w:tcBorders>
                  <w:vAlign w:val="center"/>
                </w:tcPr>
                <w:p w14:paraId="0870B4B6">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695" w:type="dxa"/>
                  <w:tcBorders>
                    <w:tl2br w:val="nil"/>
                    <w:tr2bl w:val="nil"/>
                  </w:tcBorders>
                  <w:vAlign w:val="center"/>
                </w:tcPr>
                <w:p w14:paraId="56998D05">
                  <w:pPr>
                    <w:pStyle w:val="19"/>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37.21</w:t>
                  </w:r>
                </w:p>
              </w:tc>
              <w:tc>
                <w:tcPr>
                  <w:tcW w:w="1064" w:type="dxa"/>
                  <w:tcBorders>
                    <w:tl2br w:val="nil"/>
                    <w:tr2bl w:val="nil"/>
                  </w:tcBorders>
                  <w:vAlign w:val="center"/>
                </w:tcPr>
                <w:p w14:paraId="6C55F17C">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5D58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101F54FA">
                  <w:pPr>
                    <w:pStyle w:val="19"/>
                    <w:ind w:firstLine="0" w:firstLineChars="0"/>
                    <w:jc w:val="center"/>
                    <w:rPr>
                      <w:rFonts w:hint="default" w:ascii="Times New Roman" w:hAnsi="Times New Roman" w:eastAsia="宋体" w:cs="Times New Roman"/>
                      <w:color w:val="auto"/>
                      <w:sz w:val="21"/>
                      <w:szCs w:val="21"/>
                    </w:rPr>
                  </w:pPr>
                </w:p>
              </w:tc>
              <w:tc>
                <w:tcPr>
                  <w:tcW w:w="1695" w:type="dxa"/>
                  <w:vMerge w:val="restart"/>
                  <w:tcBorders>
                    <w:tl2br w:val="nil"/>
                    <w:tr2bl w:val="nil"/>
                  </w:tcBorders>
                  <w:vAlign w:val="center"/>
                </w:tcPr>
                <w:p w14:paraId="790E426C">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站内道路（路边）</w:t>
                  </w:r>
                </w:p>
              </w:tc>
              <w:tc>
                <w:tcPr>
                  <w:tcW w:w="1674" w:type="dxa"/>
                  <w:tcBorders>
                    <w:tl2br w:val="nil"/>
                    <w:tr2bl w:val="nil"/>
                  </w:tcBorders>
                  <w:vAlign w:val="center"/>
                </w:tcPr>
                <w:p w14:paraId="4B856816">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w:t>
                  </w:r>
                </w:p>
              </w:tc>
              <w:tc>
                <w:tcPr>
                  <w:tcW w:w="1440" w:type="dxa"/>
                  <w:tcBorders>
                    <w:tl2br w:val="nil"/>
                    <w:tr2bl w:val="nil"/>
                  </w:tcBorders>
                  <w:vAlign w:val="center"/>
                </w:tcPr>
                <w:p w14:paraId="2D4FC2C6">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95" w:type="dxa"/>
                  <w:tcBorders>
                    <w:tl2br w:val="nil"/>
                    <w:tr2bl w:val="nil"/>
                  </w:tcBorders>
                  <w:vAlign w:val="center"/>
                </w:tcPr>
                <w:p w14:paraId="60BA5E0A">
                  <w:pPr>
                    <w:pStyle w:val="19"/>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21.5</w:t>
                  </w:r>
                </w:p>
              </w:tc>
              <w:tc>
                <w:tcPr>
                  <w:tcW w:w="1064" w:type="dxa"/>
                  <w:tcBorders>
                    <w:tl2br w:val="nil"/>
                    <w:tr2bl w:val="nil"/>
                  </w:tcBorders>
                  <w:vAlign w:val="center"/>
                </w:tcPr>
                <w:p w14:paraId="115EF2F1">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3938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707FE38C">
                  <w:pPr>
                    <w:pStyle w:val="19"/>
                    <w:ind w:firstLine="0" w:firstLineChars="0"/>
                    <w:jc w:val="center"/>
                    <w:rPr>
                      <w:rFonts w:hint="default" w:ascii="Times New Roman" w:hAnsi="Times New Roman" w:eastAsia="宋体" w:cs="Times New Roman"/>
                      <w:color w:val="auto"/>
                      <w:sz w:val="21"/>
                      <w:szCs w:val="21"/>
                    </w:rPr>
                  </w:pPr>
                </w:p>
              </w:tc>
              <w:tc>
                <w:tcPr>
                  <w:tcW w:w="1695" w:type="dxa"/>
                  <w:vMerge w:val="continue"/>
                  <w:tcBorders>
                    <w:tl2br w:val="nil"/>
                    <w:tr2bl w:val="nil"/>
                  </w:tcBorders>
                  <w:vAlign w:val="center"/>
                </w:tcPr>
                <w:p w14:paraId="1A2F8CDE">
                  <w:pPr>
                    <w:pStyle w:val="19"/>
                    <w:ind w:firstLine="0" w:firstLineChars="0"/>
                    <w:jc w:val="center"/>
                    <w:rPr>
                      <w:rFonts w:hint="default" w:ascii="Times New Roman" w:hAnsi="Times New Roman" w:eastAsia="宋体" w:cs="Times New Roman"/>
                      <w:color w:val="auto"/>
                      <w:sz w:val="21"/>
                      <w:szCs w:val="21"/>
                    </w:rPr>
                  </w:pPr>
                </w:p>
              </w:tc>
              <w:tc>
                <w:tcPr>
                  <w:tcW w:w="1674" w:type="dxa"/>
                  <w:tcBorders>
                    <w:tl2br w:val="nil"/>
                    <w:tr2bl w:val="nil"/>
                  </w:tcBorders>
                  <w:vAlign w:val="center"/>
                </w:tcPr>
                <w:p w14:paraId="06B7E4B5">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次要</w:t>
                  </w:r>
                </w:p>
              </w:tc>
              <w:tc>
                <w:tcPr>
                  <w:tcW w:w="1440" w:type="dxa"/>
                  <w:tcBorders>
                    <w:tl2br w:val="nil"/>
                    <w:tr2bl w:val="nil"/>
                  </w:tcBorders>
                  <w:vAlign w:val="center"/>
                </w:tcPr>
                <w:p w14:paraId="0057D90D">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95" w:type="dxa"/>
                  <w:tcBorders>
                    <w:tl2br w:val="nil"/>
                    <w:tr2bl w:val="nil"/>
                  </w:tcBorders>
                  <w:vAlign w:val="center"/>
                </w:tcPr>
                <w:p w14:paraId="628E5C6F">
                  <w:pPr>
                    <w:pStyle w:val="19"/>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13.73</w:t>
                  </w:r>
                </w:p>
              </w:tc>
              <w:tc>
                <w:tcPr>
                  <w:tcW w:w="1064" w:type="dxa"/>
                  <w:tcBorders>
                    <w:tl2br w:val="nil"/>
                    <w:tr2bl w:val="nil"/>
                  </w:tcBorders>
                  <w:vAlign w:val="center"/>
                </w:tcPr>
                <w:p w14:paraId="47742F46">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704F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2" w:type="dxa"/>
                  <w:vMerge w:val="continue"/>
                  <w:tcBorders>
                    <w:tl2br w:val="nil"/>
                    <w:tr2bl w:val="nil"/>
                  </w:tcBorders>
                  <w:vAlign w:val="center"/>
                </w:tcPr>
                <w:p w14:paraId="7B5626BD">
                  <w:pPr>
                    <w:pStyle w:val="19"/>
                    <w:ind w:firstLine="0" w:firstLineChars="0"/>
                    <w:jc w:val="center"/>
                    <w:rPr>
                      <w:rFonts w:hint="default" w:ascii="Times New Roman" w:hAnsi="Times New Roman" w:eastAsia="宋体" w:cs="Times New Roman"/>
                      <w:color w:val="auto"/>
                      <w:sz w:val="21"/>
                      <w:szCs w:val="21"/>
                    </w:rPr>
                  </w:pPr>
                </w:p>
              </w:tc>
              <w:tc>
                <w:tcPr>
                  <w:tcW w:w="3369" w:type="dxa"/>
                  <w:gridSpan w:val="2"/>
                  <w:tcBorders>
                    <w:tl2br w:val="nil"/>
                    <w:tr2bl w:val="nil"/>
                  </w:tcBorders>
                  <w:vAlign w:val="center"/>
                </w:tcPr>
                <w:p w14:paraId="45DC635A">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围墙</w:t>
                  </w:r>
                </w:p>
              </w:tc>
              <w:tc>
                <w:tcPr>
                  <w:tcW w:w="1440" w:type="dxa"/>
                  <w:tcBorders>
                    <w:tl2br w:val="nil"/>
                    <w:tr2bl w:val="nil"/>
                  </w:tcBorders>
                  <w:vAlign w:val="center"/>
                </w:tcPr>
                <w:p w14:paraId="51E024B5">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95" w:type="dxa"/>
                  <w:tcBorders>
                    <w:tl2br w:val="nil"/>
                    <w:tr2bl w:val="nil"/>
                  </w:tcBorders>
                  <w:vAlign w:val="center"/>
                </w:tcPr>
                <w:p w14:paraId="70EB28B6">
                  <w:pPr>
                    <w:pStyle w:val="19"/>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13.73</w:t>
                  </w:r>
                </w:p>
              </w:tc>
              <w:tc>
                <w:tcPr>
                  <w:tcW w:w="1064" w:type="dxa"/>
                  <w:tcBorders>
                    <w:tl2br w:val="nil"/>
                    <w:tr2bl w:val="nil"/>
                  </w:tcBorders>
                  <w:vAlign w:val="center"/>
                </w:tcPr>
                <w:p w14:paraId="199E830C">
                  <w:pPr>
                    <w:pStyle w:val="19"/>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04F8DEE1">
            <w:pPr>
              <w:jc w:val="center"/>
              <w:rPr>
                <w:rFonts w:eastAsiaTheme="minorEastAsia"/>
                <w:b/>
                <w:bCs/>
                <w:color w:val="auto"/>
                <w:szCs w:val="21"/>
              </w:rPr>
            </w:pPr>
            <w:r>
              <w:rPr>
                <w:rFonts w:hint="eastAsia" w:eastAsiaTheme="minorEastAsia"/>
                <w:b/>
                <w:bCs/>
                <w:color w:val="auto"/>
                <w:szCs w:val="21"/>
              </w:rPr>
              <w:t>表1-1</w:t>
            </w:r>
            <w:r>
              <w:rPr>
                <w:rFonts w:hint="eastAsia" w:eastAsiaTheme="minorEastAsia"/>
                <w:b/>
                <w:bCs/>
                <w:color w:val="auto"/>
                <w:szCs w:val="21"/>
                <w:lang w:val="en-US" w:eastAsia="zh-CN"/>
              </w:rPr>
              <w:t>3</w:t>
            </w:r>
            <w:r>
              <w:rPr>
                <w:rFonts w:hint="eastAsia" w:eastAsiaTheme="minorEastAsia"/>
                <w:b/>
                <w:bCs/>
                <w:color w:val="auto"/>
                <w:szCs w:val="21"/>
              </w:rPr>
              <w:t xml:space="preserve"> 槽车装卸台柱与站外建、构筑物的防火间距（m）</w:t>
            </w:r>
          </w:p>
          <w:tbl>
            <w:tblPr>
              <w:tblStyle w:val="3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1502"/>
              <w:gridCol w:w="1659"/>
              <w:gridCol w:w="1182"/>
              <w:gridCol w:w="1418"/>
              <w:gridCol w:w="882"/>
            </w:tblGrid>
            <w:tr w14:paraId="1B055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61" w:type="dxa"/>
                  <w:gridSpan w:val="3"/>
                  <w:tcBorders>
                    <w:tl2br w:val="nil"/>
                    <w:tr2bl w:val="nil"/>
                  </w:tcBorders>
                  <w:vAlign w:val="center"/>
                </w:tcPr>
                <w:p w14:paraId="3A1B69E1">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六级及以上供应站</w:t>
                  </w:r>
                </w:p>
              </w:tc>
              <w:tc>
                <w:tcPr>
                  <w:tcW w:w="1425" w:type="dxa"/>
                  <w:tcBorders>
                    <w:tl2br w:val="nil"/>
                    <w:tr2bl w:val="nil"/>
                  </w:tcBorders>
                  <w:vAlign w:val="center"/>
                </w:tcPr>
                <w:p w14:paraId="5CFED17F">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规范间距（m）</w:t>
                  </w:r>
                </w:p>
              </w:tc>
              <w:tc>
                <w:tcPr>
                  <w:tcW w:w="1710" w:type="dxa"/>
                  <w:tcBorders>
                    <w:tl2br w:val="nil"/>
                    <w:tr2bl w:val="nil"/>
                  </w:tcBorders>
                  <w:vAlign w:val="center"/>
                </w:tcPr>
                <w:p w14:paraId="5A806BBD">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设计间距（m）</w:t>
                  </w:r>
                </w:p>
              </w:tc>
              <w:tc>
                <w:tcPr>
                  <w:tcW w:w="1064" w:type="dxa"/>
                  <w:tcBorders>
                    <w:tl2br w:val="nil"/>
                    <w:tr2bl w:val="nil"/>
                  </w:tcBorders>
                  <w:vAlign w:val="center"/>
                </w:tcPr>
                <w:p w14:paraId="4F3A2744">
                  <w:pPr>
                    <w:pStyle w:val="19"/>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相符性</w:t>
                  </w:r>
                </w:p>
              </w:tc>
            </w:tr>
            <w:tr w14:paraId="710F3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restart"/>
                  <w:tcBorders>
                    <w:tl2br w:val="nil"/>
                    <w:tr2bl w:val="nil"/>
                  </w:tcBorders>
                  <w:vAlign w:val="center"/>
                </w:tcPr>
                <w:p w14:paraId="736958A3">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槽车装卸台柱</w:t>
                  </w:r>
                </w:p>
              </w:tc>
              <w:tc>
                <w:tcPr>
                  <w:tcW w:w="3813" w:type="dxa"/>
                  <w:gridSpan w:val="2"/>
                  <w:tcBorders>
                    <w:tl2br w:val="nil"/>
                    <w:tr2bl w:val="nil"/>
                  </w:tcBorders>
                  <w:vAlign w:val="center"/>
                </w:tcPr>
                <w:p w14:paraId="269116D1">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居住区、学校、影剧院、体育馆等重要公共建筑（最外侧建筑外墙）</w:t>
                  </w:r>
                </w:p>
              </w:tc>
              <w:tc>
                <w:tcPr>
                  <w:tcW w:w="1425" w:type="dxa"/>
                  <w:tcBorders>
                    <w:tl2br w:val="nil"/>
                    <w:tr2bl w:val="nil"/>
                  </w:tcBorders>
                  <w:vAlign w:val="center"/>
                </w:tcPr>
                <w:p w14:paraId="4309C163">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710" w:type="dxa"/>
                  <w:tcBorders>
                    <w:tl2br w:val="nil"/>
                    <w:tr2bl w:val="nil"/>
                  </w:tcBorders>
                  <w:vAlign w:val="center"/>
                </w:tcPr>
                <w:p w14:paraId="59199908">
                  <w:pPr>
                    <w:pStyle w:val="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131.86</w:t>
                  </w:r>
                </w:p>
              </w:tc>
              <w:tc>
                <w:tcPr>
                  <w:tcW w:w="1064" w:type="dxa"/>
                  <w:tcBorders>
                    <w:tl2br w:val="nil"/>
                    <w:tr2bl w:val="nil"/>
                  </w:tcBorders>
                  <w:vAlign w:val="center"/>
                </w:tcPr>
                <w:p w14:paraId="1AF82564">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ECE7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4E4899F5">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3DFAE120">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明火、散发火花地点和室外变配电站</w:t>
                  </w:r>
                </w:p>
              </w:tc>
              <w:tc>
                <w:tcPr>
                  <w:tcW w:w="1425" w:type="dxa"/>
                  <w:tcBorders>
                    <w:tl2br w:val="nil"/>
                    <w:tr2bl w:val="nil"/>
                  </w:tcBorders>
                  <w:vAlign w:val="center"/>
                </w:tcPr>
                <w:p w14:paraId="7D29FB7B">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710" w:type="dxa"/>
                  <w:tcBorders>
                    <w:tl2br w:val="nil"/>
                    <w:tr2bl w:val="nil"/>
                  </w:tcBorders>
                  <w:vAlign w:val="center"/>
                </w:tcPr>
                <w:p w14:paraId="49602285">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周边无</w:t>
                  </w:r>
                </w:p>
              </w:tc>
              <w:tc>
                <w:tcPr>
                  <w:tcW w:w="1064" w:type="dxa"/>
                  <w:tcBorders>
                    <w:tl2br w:val="nil"/>
                    <w:tr2bl w:val="nil"/>
                  </w:tcBorders>
                  <w:vAlign w:val="center"/>
                </w:tcPr>
                <w:p w14:paraId="2CC705FB">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5B7C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3C437C5A">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3AA65AF5">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其他民用建筑</w:t>
                  </w:r>
                </w:p>
              </w:tc>
              <w:tc>
                <w:tcPr>
                  <w:tcW w:w="1425" w:type="dxa"/>
                  <w:tcBorders>
                    <w:tl2br w:val="nil"/>
                    <w:tr2bl w:val="nil"/>
                  </w:tcBorders>
                  <w:vAlign w:val="center"/>
                </w:tcPr>
                <w:p w14:paraId="6C643653">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710" w:type="dxa"/>
                  <w:tcBorders>
                    <w:tl2br w:val="nil"/>
                    <w:tr2bl w:val="nil"/>
                  </w:tcBorders>
                  <w:vAlign w:val="center"/>
                </w:tcPr>
                <w:p w14:paraId="32FC5599">
                  <w:pPr>
                    <w:pStyle w:val="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576</w:t>
                  </w:r>
                </w:p>
              </w:tc>
              <w:tc>
                <w:tcPr>
                  <w:tcW w:w="1064" w:type="dxa"/>
                  <w:tcBorders>
                    <w:tl2br w:val="nil"/>
                    <w:tr2bl w:val="nil"/>
                  </w:tcBorders>
                  <w:vAlign w:val="center"/>
                </w:tcPr>
                <w:p w14:paraId="29BE7CCF">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4E06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53F344BB">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64716B5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甲、乙类液体储罐，甲、乙类生产厂房，甲、乙类物品仓库，易燃材料堆场</w:t>
                  </w:r>
                </w:p>
              </w:tc>
              <w:tc>
                <w:tcPr>
                  <w:tcW w:w="1425" w:type="dxa"/>
                  <w:tcBorders>
                    <w:tl2br w:val="nil"/>
                    <w:tr2bl w:val="nil"/>
                  </w:tcBorders>
                  <w:vAlign w:val="center"/>
                </w:tcPr>
                <w:p w14:paraId="5373AF9F">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710" w:type="dxa"/>
                  <w:tcBorders>
                    <w:tl2br w:val="nil"/>
                    <w:tr2bl w:val="nil"/>
                  </w:tcBorders>
                  <w:vAlign w:val="center"/>
                </w:tcPr>
                <w:p w14:paraId="224A1339">
                  <w:pPr>
                    <w:pStyle w:val="19"/>
                    <w:spacing w:line="240" w:lineRule="auto"/>
                    <w:ind w:firstLine="0" w:firstLineChars="0"/>
                    <w:jc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与</w:t>
                  </w:r>
                  <w:r>
                    <w:rPr>
                      <w:rFonts w:hint="default" w:ascii="Times New Roman" w:hAnsi="Times New Roman" w:eastAsia="宋体" w:cs="Times New Roman"/>
                      <w:i w:val="0"/>
                      <w:iCs w:val="0"/>
                      <w:color w:val="auto"/>
                      <w:kern w:val="0"/>
                      <w:sz w:val="21"/>
                      <w:szCs w:val="21"/>
                      <w:u w:val="none"/>
                      <w:lang w:val="en-US" w:eastAsia="zh-CN" w:bidi="ar"/>
                    </w:rPr>
                    <w:t>LNG</w:t>
                  </w:r>
                  <w:r>
                    <w:rPr>
                      <w:rFonts w:hint="eastAsia" w:ascii="宋体" w:hAnsi="宋体" w:eastAsia="宋体" w:cs="宋体"/>
                      <w:i w:val="0"/>
                      <w:iCs w:val="0"/>
                      <w:color w:val="auto"/>
                      <w:kern w:val="0"/>
                      <w:sz w:val="21"/>
                      <w:szCs w:val="21"/>
                      <w:u w:val="none"/>
                      <w:lang w:val="en-US" w:eastAsia="zh-CN" w:bidi="ar"/>
                    </w:rPr>
                    <w:t>储罐设计间距为</w:t>
                  </w:r>
                  <w:r>
                    <w:rPr>
                      <w:rFonts w:hint="default" w:ascii="Times New Roman" w:hAnsi="Times New Roman" w:eastAsia="宋体" w:cs="Times New Roman"/>
                      <w:i w:val="0"/>
                      <w:iCs w:val="0"/>
                      <w:color w:val="auto"/>
                      <w:kern w:val="0"/>
                      <w:sz w:val="21"/>
                      <w:szCs w:val="21"/>
                      <w:u w:val="none"/>
                      <w:lang w:val="en-US" w:eastAsia="zh-CN" w:bidi="ar"/>
                    </w:rPr>
                    <w:t>94.74m</w:t>
                  </w:r>
                </w:p>
              </w:tc>
              <w:tc>
                <w:tcPr>
                  <w:tcW w:w="1064" w:type="dxa"/>
                  <w:tcBorders>
                    <w:tl2br w:val="nil"/>
                    <w:tr2bl w:val="nil"/>
                  </w:tcBorders>
                  <w:vAlign w:val="center"/>
                </w:tcPr>
                <w:p w14:paraId="23D2BBD0">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87E5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346AC832">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1C07B77D">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丙类液体储罐，可燃气体储罐，丙、丁类生产厂房，丙、丁类物品仓库</w:t>
                  </w:r>
                </w:p>
              </w:tc>
              <w:tc>
                <w:tcPr>
                  <w:tcW w:w="1425" w:type="dxa"/>
                  <w:tcBorders>
                    <w:tl2br w:val="nil"/>
                    <w:tr2bl w:val="nil"/>
                  </w:tcBorders>
                  <w:vAlign w:val="center"/>
                </w:tcPr>
                <w:p w14:paraId="7B887851">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710" w:type="dxa"/>
                  <w:tcBorders>
                    <w:tl2br w:val="nil"/>
                    <w:tr2bl w:val="nil"/>
                  </w:tcBorders>
                  <w:vAlign w:val="center"/>
                </w:tcPr>
                <w:p w14:paraId="081F7A2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周边无</w:t>
                  </w:r>
                </w:p>
              </w:tc>
              <w:tc>
                <w:tcPr>
                  <w:tcW w:w="1064" w:type="dxa"/>
                  <w:tcBorders>
                    <w:tl2br w:val="nil"/>
                    <w:tr2bl w:val="nil"/>
                  </w:tcBorders>
                  <w:vAlign w:val="center"/>
                </w:tcPr>
                <w:p w14:paraId="1250113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E96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06809B42">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192BBE49">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室外变配电站</w:t>
                  </w:r>
                </w:p>
              </w:tc>
              <w:tc>
                <w:tcPr>
                  <w:tcW w:w="1425" w:type="dxa"/>
                  <w:tcBorders>
                    <w:tl2br w:val="nil"/>
                    <w:tr2bl w:val="nil"/>
                  </w:tcBorders>
                  <w:vAlign w:val="center"/>
                </w:tcPr>
                <w:p w14:paraId="41DDE404">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10" w:type="dxa"/>
                  <w:tcBorders>
                    <w:tl2br w:val="nil"/>
                    <w:tr2bl w:val="nil"/>
                  </w:tcBorders>
                  <w:vAlign w:val="center"/>
                </w:tcPr>
                <w:p w14:paraId="7F7E276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周边无</w:t>
                  </w:r>
                </w:p>
              </w:tc>
              <w:tc>
                <w:tcPr>
                  <w:tcW w:w="1064" w:type="dxa"/>
                  <w:tcBorders>
                    <w:tl2br w:val="nil"/>
                    <w:tr2bl w:val="nil"/>
                  </w:tcBorders>
                  <w:vAlign w:val="center"/>
                </w:tcPr>
                <w:p w14:paraId="3FDE5DFE">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22C1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747D1A28">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2C2E1F0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铁路（中心线）</w:t>
                  </w:r>
                </w:p>
              </w:tc>
              <w:tc>
                <w:tcPr>
                  <w:tcW w:w="1425" w:type="dxa"/>
                  <w:tcBorders>
                    <w:tl2br w:val="nil"/>
                    <w:tr2bl w:val="nil"/>
                  </w:tcBorders>
                  <w:vAlign w:val="center"/>
                </w:tcPr>
                <w:p w14:paraId="591BDEAE">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10" w:type="dxa"/>
                  <w:tcBorders>
                    <w:tl2br w:val="nil"/>
                    <w:tr2bl w:val="nil"/>
                  </w:tcBorders>
                  <w:vAlign w:val="center"/>
                </w:tcPr>
                <w:p w14:paraId="35AB5950">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周边无</w:t>
                  </w:r>
                </w:p>
              </w:tc>
              <w:tc>
                <w:tcPr>
                  <w:tcW w:w="1064" w:type="dxa"/>
                  <w:tcBorders>
                    <w:tl2br w:val="nil"/>
                    <w:tr2bl w:val="nil"/>
                  </w:tcBorders>
                  <w:vAlign w:val="center"/>
                </w:tcPr>
                <w:p w14:paraId="48DED109">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EFD0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62FCD94D">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1391" w:type="dxa"/>
                  <w:vMerge w:val="restart"/>
                  <w:tcBorders>
                    <w:tl2br w:val="nil"/>
                    <w:tr2bl w:val="nil"/>
                  </w:tcBorders>
                  <w:vAlign w:val="center"/>
                </w:tcPr>
                <w:p w14:paraId="76E92D21">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公路、道路</w:t>
                  </w:r>
                </w:p>
                <w:p w14:paraId="15B21744">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（路边）</w:t>
                  </w:r>
                </w:p>
              </w:tc>
              <w:tc>
                <w:tcPr>
                  <w:tcW w:w="2422" w:type="dxa"/>
                  <w:tcBorders>
                    <w:tl2br w:val="nil"/>
                    <w:tr2bl w:val="nil"/>
                  </w:tcBorders>
                  <w:vAlign w:val="center"/>
                </w:tcPr>
                <w:p w14:paraId="456E796E">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高速，Ⅰ、Ⅱ级城市快速</w:t>
                  </w:r>
                </w:p>
              </w:tc>
              <w:tc>
                <w:tcPr>
                  <w:tcW w:w="1425" w:type="dxa"/>
                  <w:tcBorders>
                    <w:tl2br w:val="nil"/>
                    <w:tr2bl w:val="nil"/>
                  </w:tcBorders>
                  <w:vAlign w:val="center"/>
                </w:tcPr>
                <w:p w14:paraId="06304A49">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710" w:type="dxa"/>
                  <w:tcBorders>
                    <w:tl2br w:val="nil"/>
                    <w:tr2bl w:val="nil"/>
                  </w:tcBorders>
                  <w:vAlign w:val="center"/>
                </w:tcPr>
                <w:p w14:paraId="1BBEF5E6">
                  <w:pPr>
                    <w:pStyle w:val="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125.63</w:t>
                  </w:r>
                </w:p>
              </w:tc>
              <w:tc>
                <w:tcPr>
                  <w:tcW w:w="1064" w:type="dxa"/>
                  <w:tcBorders>
                    <w:tl2br w:val="nil"/>
                    <w:tr2bl w:val="nil"/>
                  </w:tcBorders>
                  <w:vAlign w:val="center"/>
                </w:tcPr>
                <w:p w14:paraId="32A4F258">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5E1A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283F7DE8">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1391" w:type="dxa"/>
                  <w:vMerge w:val="continue"/>
                  <w:tcBorders>
                    <w:tl2br w:val="nil"/>
                    <w:tr2bl w:val="nil"/>
                  </w:tcBorders>
                  <w:vAlign w:val="center"/>
                </w:tcPr>
                <w:p w14:paraId="11949647">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2422" w:type="dxa"/>
                  <w:tcBorders>
                    <w:tl2br w:val="nil"/>
                    <w:tr2bl w:val="nil"/>
                  </w:tcBorders>
                  <w:vAlign w:val="center"/>
                </w:tcPr>
                <w:p w14:paraId="303C19AF">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tc>
              <w:tc>
                <w:tcPr>
                  <w:tcW w:w="1425" w:type="dxa"/>
                  <w:tcBorders>
                    <w:tl2br w:val="nil"/>
                    <w:tr2bl w:val="nil"/>
                  </w:tcBorders>
                  <w:vAlign w:val="center"/>
                </w:tcPr>
                <w:p w14:paraId="0BEAA39A">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710" w:type="dxa"/>
                  <w:tcBorders>
                    <w:tl2br w:val="nil"/>
                    <w:tr2bl w:val="nil"/>
                  </w:tcBorders>
                  <w:vAlign w:val="center"/>
                </w:tcPr>
                <w:p w14:paraId="7AAB6E9A">
                  <w:pPr>
                    <w:pStyle w:val="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w:t>
                  </w:r>
                </w:p>
              </w:tc>
              <w:tc>
                <w:tcPr>
                  <w:tcW w:w="1064" w:type="dxa"/>
                  <w:tcBorders>
                    <w:tl2br w:val="nil"/>
                    <w:tr2bl w:val="nil"/>
                  </w:tcBorders>
                  <w:vAlign w:val="center"/>
                </w:tcPr>
                <w:p w14:paraId="6E1982D5">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AECB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vAlign w:val="center"/>
                </w:tcPr>
                <w:p w14:paraId="5BB313EF">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26BB10CE">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架空电力线（中心线）</w:t>
                  </w:r>
                </w:p>
              </w:tc>
              <w:tc>
                <w:tcPr>
                  <w:tcW w:w="1425" w:type="dxa"/>
                  <w:tcBorders>
                    <w:tl2br w:val="nil"/>
                    <w:tr2bl w:val="nil"/>
                  </w:tcBorders>
                  <w:vAlign w:val="center"/>
                </w:tcPr>
                <w:p w14:paraId="1FD0737C">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710" w:type="dxa"/>
                  <w:tcBorders>
                    <w:tl2br w:val="nil"/>
                    <w:tr2bl w:val="nil"/>
                  </w:tcBorders>
                  <w:vAlign w:val="center"/>
                </w:tcPr>
                <w:p w14:paraId="6096D444">
                  <w:pPr>
                    <w:pStyle w:val="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275.04</w:t>
                  </w:r>
                </w:p>
              </w:tc>
              <w:tc>
                <w:tcPr>
                  <w:tcW w:w="1064" w:type="dxa"/>
                  <w:tcBorders>
                    <w:tl2br w:val="nil"/>
                    <w:tr2bl w:val="nil"/>
                  </w:tcBorders>
                  <w:vAlign w:val="center"/>
                </w:tcPr>
                <w:p w14:paraId="317A1F63">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E763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48" w:type="dxa"/>
                  <w:vMerge w:val="continue"/>
                  <w:tcBorders>
                    <w:tl2br w:val="nil"/>
                    <w:tr2bl w:val="nil"/>
                  </w:tcBorders>
                  <w:vAlign w:val="center"/>
                </w:tcPr>
                <w:p w14:paraId="4FB14491">
                  <w:pPr>
                    <w:pStyle w:val="19"/>
                    <w:spacing w:line="240" w:lineRule="auto"/>
                    <w:ind w:firstLine="0" w:firstLineChars="0"/>
                    <w:jc w:val="center"/>
                    <w:rPr>
                      <w:rFonts w:hint="default" w:ascii="Times New Roman" w:hAnsi="Times New Roman" w:eastAsia="宋体" w:cs="Times New Roman"/>
                      <w:color w:val="auto"/>
                      <w:sz w:val="21"/>
                      <w:szCs w:val="21"/>
                    </w:rPr>
                  </w:pPr>
                </w:p>
              </w:tc>
              <w:tc>
                <w:tcPr>
                  <w:tcW w:w="3813" w:type="dxa"/>
                  <w:gridSpan w:val="2"/>
                  <w:tcBorders>
                    <w:tl2br w:val="nil"/>
                    <w:tr2bl w:val="nil"/>
                  </w:tcBorders>
                  <w:vAlign w:val="center"/>
                </w:tcPr>
                <w:p w14:paraId="4E5AF16F">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架空通信线（中心线）</w:t>
                  </w:r>
                </w:p>
              </w:tc>
              <w:tc>
                <w:tcPr>
                  <w:tcW w:w="1425" w:type="dxa"/>
                  <w:tcBorders>
                    <w:tl2br w:val="nil"/>
                    <w:tr2bl w:val="nil"/>
                  </w:tcBorders>
                  <w:vAlign w:val="center"/>
                </w:tcPr>
                <w:p w14:paraId="713BAF41">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1.5倍杆高</w:t>
                  </w:r>
                </w:p>
              </w:tc>
              <w:tc>
                <w:tcPr>
                  <w:tcW w:w="1710" w:type="dxa"/>
                  <w:tcBorders>
                    <w:tl2br w:val="nil"/>
                    <w:tr2bl w:val="nil"/>
                  </w:tcBorders>
                  <w:vAlign w:val="center"/>
                </w:tcPr>
                <w:p w14:paraId="3AC7D780">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周边无</w:t>
                  </w:r>
                </w:p>
              </w:tc>
              <w:tc>
                <w:tcPr>
                  <w:tcW w:w="1064" w:type="dxa"/>
                  <w:tcBorders>
                    <w:tl2br w:val="nil"/>
                    <w:tr2bl w:val="nil"/>
                  </w:tcBorders>
                  <w:vAlign w:val="center"/>
                </w:tcPr>
                <w:p w14:paraId="532C8CD0">
                  <w:pPr>
                    <w:pStyle w:val="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D041DBB">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根据上述表格本建设项目能够满足</w:t>
            </w:r>
            <w:r>
              <w:rPr>
                <w:rFonts w:eastAsia="宋体"/>
                <w:color w:val="auto"/>
                <w:sz w:val="24"/>
                <w:szCs w:val="24"/>
              </w:rPr>
              <w:t>《建筑设计防火规范》（GB50016-2014</w:t>
            </w:r>
            <w:r>
              <w:rPr>
                <w:rFonts w:hint="eastAsia" w:eastAsia="宋体"/>
                <w:color w:val="auto"/>
                <w:sz w:val="24"/>
                <w:szCs w:val="24"/>
                <w:lang w:eastAsia="zh-CN"/>
              </w:rPr>
              <w:t>，</w:t>
            </w:r>
            <w:r>
              <w:rPr>
                <w:rFonts w:hint="eastAsia" w:eastAsia="宋体"/>
                <w:color w:val="auto"/>
                <w:sz w:val="24"/>
                <w:szCs w:val="24"/>
                <w:lang w:val="en-US" w:eastAsia="zh-CN"/>
              </w:rPr>
              <w:t>2018年修订）</w:t>
            </w:r>
            <w:r>
              <w:rPr>
                <w:rFonts w:hint="default" w:ascii="Times New Roman" w:hAnsi="Times New Roman" w:eastAsia="宋体" w:cs="Times New Roman"/>
                <w:color w:val="auto"/>
                <w:sz w:val="24"/>
                <w:szCs w:val="24"/>
              </w:rPr>
              <w:t>和《液化石油气供应工程设计规范》（GB51142-2015）中站外民用建筑物防火间距的相关规定及要求，符合项目建设的安全要求。</w:t>
            </w:r>
          </w:p>
          <w:p w14:paraId="79193000">
            <w:pPr>
              <w:pStyle w:val="71"/>
              <w:bidi w:val="0"/>
              <w:rPr>
                <w:rFonts w:hint="default"/>
                <w:color w:val="auto"/>
                <w:highlight w:val="none"/>
                <w:lang w:val="en-US" w:eastAsia="zh-CN"/>
              </w:rPr>
            </w:pPr>
          </w:p>
          <w:p w14:paraId="1954F537">
            <w:pPr>
              <w:pStyle w:val="71"/>
              <w:bidi w:val="0"/>
              <w:rPr>
                <w:rFonts w:hint="default"/>
                <w:color w:val="auto"/>
                <w:highlight w:val="none"/>
                <w:lang w:val="en-US" w:eastAsia="zh-CN"/>
              </w:rPr>
            </w:pPr>
          </w:p>
          <w:p w14:paraId="328B1ED8">
            <w:pPr>
              <w:pStyle w:val="71"/>
              <w:bidi w:val="0"/>
              <w:rPr>
                <w:rFonts w:hint="default"/>
                <w:color w:val="auto"/>
                <w:highlight w:val="none"/>
                <w:lang w:val="en-US" w:eastAsia="zh-CN"/>
              </w:rPr>
            </w:pPr>
          </w:p>
          <w:p w14:paraId="69A622D7">
            <w:pPr>
              <w:pStyle w:val="71"/>
              <w:bidi w:val="0"/>
              <w:rPr>
                <w:rFonts w:hint="default"/>
                <w:color w:val="auto"/>
                <w:highlight w:val="none"/>
                <w:lang w:val="en-US" w:eastAsia="zh-CN"/>
              </w:rPr>
            </w:pPr>
          </w:p>
          <w:p w14:paraId="25EF3FBE">
            <w:pPr>
              <w:pStyle w:val="71"/>
              <w:bidi w:val="0"/>
              <w:rPr>
                <w:rFonts w:hint="default"/>
                <w:color w:val="auto"/>
                <w:highlight w:val="none"/>
                <w:lang w:val="en-US" w:eastAsia="zh-CN"/>
              </w:rPr>
            </w:pPr>
          </w:p>
          <w:p w14:paraId="142EE36B">
            <w:pPr>
              <w:pStyle w:val="71"/>
              <w:bidi w:val="0"/>
              <w:rPr>
                <w:rFonts w:hint="default"/>
                <w:color w:val="auto"/>
                <w:highlight w:val="none"/>
                <w:lang w:val="en-US" w:eastAsia="zh-CN"/>
              </w:rPr>
            </w:pPr>
          </w:p>
          <w:p w14:paraId="7A5DDDBB">
            <w:pPr>
              <w:pStyle w:val="71"/>
              <w:bidi w:val="0"/>
              <w:rPr>
                <w:rFonts w:hint="default"/>
                <w:color w:val="auto"/>
                <w:highlight w:val="none"/>
                <w:lang w:val="en-US" w:eastAsia="zh-CN"/>
              </w:rPr>
            </w:pPr>
          </w:p>
          <w:p w14:paraId="612EE46F">
            <w:pPr>
              <w:pStyle w:val="71"/>
              <w:bidi w:val="0"/>
              <w:rPr>
                <w:rFonts w:hint="default"/>
                <w:color w:val="auto"/>
                <w:highlight w:val="none"/>
                <w:lang w:val="en-US" w:eastAsia="zh-CN"/>
              </w:rPr>
            </w:pPr>
          </w:p>
          <w:p w14:paraId="146D8DF3">
            <w:pPr>
              <w:pStyle w:val="71"/>
              <w:bidi w:val="0"/>
              <w:rPr>
                <w:rFonts w:hint="default"/>
                <w:color w:val="auto"/>
                <w:highlight w:val="none"/>
                <w:lang w:val="en-US" w:eastAsia="zh-CN"/>
              </w:rPr>
            </w:pPr>
          </w:p>
          <w:p w14:paraId="6BCB03E6">
            <w:pPr>
              <w:pStyle w:val="71"/>
              <w:bidi w:val="0"/>
              <w:rPr>
                <w:rFonts w:hint="default"/>
                <w:color w:val="auto"/>
                <w:highlight w:val="none"/>
                <w:lang w:val="en-US" w:eastAsia="zh-CN"/>
              </w:rPr>
            </w:pPr>
          </w:p>
          <w:p w14:paraId="132146B5">
            <w:pPr>
              <w:pStyle w:val="71"/>
              <w:bidi w:val="0"/>
              <w:rPr>
                <w:rFonts w:hint="default"/>
                <w:color w:val="auto"/>
                <w:highlight w:val="none"/>
                <w:lang w:val="en-US" w:eastAsia="zh-CN"/>
              </w:rPr>
            </w:pPr>
          </w:p>
          <w:p w14:paraId="0C5A4823">
            <w:pPr>
              <w:pStyle w:val="71"/>
              <w:bidi w:val="0"/>
              <w:rPr>
                <w:rFonts w:hint="default"/>
                <w:color w:val="auto"/>
                <w:highlight w:val="none"/>
                <w:lang w:val="en-US" w:eastAsia="zh-CN"/>
              </w:rPr>
            </w:pPr>
          </w:p>
          <w:p w14:paraId="186A066A">
            <w:pPr>
              <w:pStyle w:val="71"/>
              <w:bidi w:val="0"/>
              <w:rPr>
                <w:rFonts w:hint="default"/>
                <w:color w:val="auto"/>
                <w:highlight w:val="none"/>
                <w:lang w:val="en-US" w:eastAsia="zh-CN"/>
              </w:rPr>
            </w:pPr>
          </w:p>
          <w:p w14:paraId="2A612AD3">
            <w:pPr>
              <w:pStyle w:val="71"/>
              <w:bidi w:val="0"/>
              <w:rPr>
                <w:rFonts w:hint="default"/>
                <w:color w:val="auto"/>
                <w:highlight w:val="none"/>
                <w:lang w:val="en-US" w:eastAsia="zh-CN"/>
              </w:rPr>
            </w:pPr>
          </w:p>
        </w:tc>
      </w:tr>
    </w:tbl>
    <w:p w14:paraId="32BF6FA0">
      <w:pPr>
        <w:spacing w:line="360" w:lineRule="auto"/>
        <w:outlineLvl w:val="0"/>
        <w:rPr>
          <w:rFonts w:eastAsia="黑体"/>
          <w:color w:val="auto"/>
          <w:sz w:val="30"/>
        </w:rPr>
        <w:sectPr>
          <w:footerReference r:id="rId5" w:type="default"/>
          <w:pgSz w:w="11905" w:h="16838"/>
          <w:pgMar w:top="1440" w:right="1304" w:bottom="1440" w:left="1304" w:header="851" w:footer="1077" w:gutter="0"/>
          <w:pgBorders>
            <w:top w:val="none" w:sz="0" w:space="0"/>
            <w:left w:val="none" w:sz="0" w:space="0"/>
            <w:bottom w:val="none" w:sz="0" w:space="0"/>
            <w:right w:val="none" w:sz="0" w:space="0"/>
          </w:pgBorders>
          <w:pgNumType w:start="1"/>
          <w:cols w:space="720" w:num="1"/>
          <w:rtlGutter w:val="0"/>
          <w:docGrid w:type="linesAndChars" w:linePitch="312" w:charSpace="0"/>
        </w:sectPr>
      </w:pPr>
    </w:p>
    <w:p w14:paraId="2DAB65CF">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9022"/>
      </w:tblGrid>
      <w:tr w14:paraId="049F7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7" w:hRule="atLeast"/>
          <w:jc w:val="center"/>
        </w:trPr>
        <w:tc>
          <w:tcPr>
            <w:tcW w:w="342" w:type="pct"/>
            <w:noWrap w:val="0"/>
            <w:vAlign w:val="center"/>
          </w:tcPr>
          <w:p w14:paraId="4AFAF63C">
            <w:pPr>
              <w:pStyle w:val="32"/>
              <w:adjustRightInd w:val="0"/>
              <w:snapToGrid w:val="0"/>
              <w:spacing w:before="0" w:beforeAutospacing="0" w:after="0" w:afterAutospacing="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建设内容</w:t>
            </w:r>
          </w:p>
        </w:tc>
        <w:tc>
          <w:tcPr>
            <w:tcW w:w="4657" w:type="pct"/>
            <w:noWrap w:val="0"/>
            <w:vAlign w:val="top"/>
          </w:tcPr>
          <w:p w14:paraId="20AC1C25">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（一）项目由来</w:t>
            </w:r>
          </w:p>
          <w:p w14:paraId="44B2FBF6">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为提高周边居民和工商用户的液化气使用比率，更好的发挥液化气在民用燃料方面的作用，有效缩短液化气供气服务半径。宁都县源盛液化石油气有限公司拟在</w:t>
            </w:r>
            <w:r>
              <w:rPr>
                <w:rFonts w:hint="default" w:ascii="Times New Roman" w:hAnsi="Times New Roman" w:eastAsia="Times New Roman" w:cs="Times New Roman"/>
                <w:color w:val="auto"/>
                <w:sz w:val="24"/>
                <w:szCs w:val="24"/>
                <w:lang w:val="zh-CN"/>
              </w:rPr>
              <w:t>宁都县翠微峰大道以西，永宁路以南</w:t>
            </w:r>
            <w:r>
              <w:rPr>
                <w:rFonts w:hint="default" w:ascii="Times New Roman" w:hAnsi="Times New Roman" w:cs="Times New Roman"/>
                <w:color w:val="auto"/>
                <w:sz w:val="24"/>
                <w:szCs w:val="24"/>
                <w:lang w:val="en-US" w:eastAsia="zh-CN"/>
              </w:rPr>
              <w:t>建设宁都县源盛液化石油气有限公司液化石油气储配站项目。</w:t>
            </w:r>
          </w:p>
          <w:p w14:paraId="468B1A3F">
            <w:pPr>
              <w:pStyle w:val="11"/>
              <w:spacing w:line="360" w:lineRule="auto"/>
              <w:ind w:firstLine="480" w:firstLineChars="200"/>
              <w:rPr>
                <w:rFonts w:hint="eastAsia" w:ascii="Times New Roman" w:hAnsi="Times New Roman" w:eastAsia="Times New Roman" w:cs="Times New Roman"/>
                <w:color w:val="auto"/>
                <w:kern w:val="2"/>
                <w:sz w:val="24"/>
                <w:szCs w:val="24"/>
                <w:highlight w:val="none"/>
                <w:lang w:val="en-US" w:eastAsia="zh-CN" w:bidi="ar-SA"/>
              </w:rPr>
            </w:pPr>
            <w:r>
              <w:rPr>
                <w:rFonts w:hint="default" w:eastAsia="Times New Roman"/>
                <w:color w:val="auto"/>
                <w:kern w:val="2"/>
                <w:szCs w:val="24"/>
                <w:highlight w:val="none"/>
                <w:lang w:val="en-US" w:eastAsia="zh-CN"/>
              </w:rPr>
              <w:t>本项目建设单位为</w:t>
            </w:r>
            <w:r>
              <w:rPr>
                <w:rFonts w:ascii="Times New Roman" w:hAnsi="Times New Roman" w:eastAsia="Times New Roman" w:cs="Times New Roman"/>
                <w:color w:val="auto"/>
                <w:kern w:val="2"/>
                <w:sz w:val="24"/>
                <w:szCs w:val="24"/>
                <w:highlight w:val="none"/>
              </w:rPr>
              <w:t>宁都县源盛液化石油气有限公司，宁都县源盛液化石油气有限公司成立于2023年，是一家以从事燃气生产和供应业为主的企业。</w:t>
            </w:r>
            <w:r>
              <w:rPr>
                <w:rFonts w:hint="default" w:ascii="Times New Roman" w:hAnsi="Times New Roman" w:eastAsia="Times New Roman" w:cs="Times New Roman"/>
                <w:color w:val="auto"/>
                <w:kern w:val="2"/>
                <w:sz w:val="24"/>
                <w:szCs w:val="24"/>
                <w:highlight w:val="none"/>
                <w:lang w:val="en-US" w:eastAsia="zh-CN" w:bidi="ar-SA"/>
              </w:rPr>
              <w:t>宁都县供水公司</w:t>
            </w:r>
            <w:r>
              <w:rPr>
                <w:rFonts w:hint="eastAsia" w:ascii="Times New Roman" w:hAnsi="Times New Roman" w:eastAsia="Times New Roman" w:cs="Times New Roman"/>
                <w:color w:val="auto"/>
                <w:kern w:val="2"/>
                <w:sz w:val="24"/>
                <w:szCs w:val="24"/>
                <w:highlight w:val="none"/>
                <w:lang w:val="en-US" w:eastAsia="zh-CN" w:bidi="ar-SA"/>
              </w:rPr>
              <w:t>于2023年</w:t>
            </w:r>
            <w:r>
              <w:rPr>
                <w:rFonts w:hint="default" w:eastAsia="Times New Roman" w:cs="Times New Roman"/>
                <w:color w:val="auto"/>
                <w:kern w:val="2"/>
                <w:sz w:val="24"/>
                <w:szCs w:val="24"/>
                <w:highlight w:val="none"/>
                <w:lang w:val="en-US" w:eastAsia="zh-CN" w:bidi="ar-SA"/>
              </w:rPr>
              <w:t>改</w:t>
            </w:r>
            <w:r>
              <w:rPr>
                <w:rFonts w:hint="eastAsia" w:ascii="Times New Roman" w:hAnsi="Times New Roman" w:eastAsia="Times New Roman" w:cs="Times New Roman"/>
                <w:color w:val="auto"/>
                <w:kern w:val="2"/>
                <w:sz w:val="24"/>
                <w:szCs w:val="24"/>
                <w:highlight w:val="none"/>
                <w:lang w:val="en-US" w:eastAsia="zh-CN" w:bidi="ar-SA"/>
              </w:rPr>
              <w:t>名为</w:t>
            </w:r>
            <w:r>
              <w:rPr>
                <w:rFonts w:hint="default" w:ascii="Times New Roman" w:hAnsi="Times New Roman" w:eastAsia="Times New Roman" w:cs="Times New Roman"/>
                <w:color w:val="auto"/>
                <w:kern w:val="2"/>
                <w:sz w:val="24"/>
                <w:szCs w:val="24"/>
                <w:highlight w:val="none"/>
                <w:lang w:val="en-US" w:eastAsia="zh-CN" w:bidi="ar-SA"/>
              </w:rPr>
              <w:t>宁都县源盛公用事业投资发展有限公司</w:t>
            </w:r>
            <w:r>
              <w:rPr>
                <w:rFonts w:hint="eastAsia" w:ascii="Times New Roman" w:hAnsi="Times New Roman" w:eastAsia="Times New Roman" w:cs="Times New Roman"/>
                <w:color w:val="auto"/>
                <w:kern w:val="2"/>
                <w:sz w:val="24"/>
                <w:szCs w:val="24"/>
                <w:highlight w:val="none"/>
                <w:lang w:val="en-US" w:eastAsia="zh-CN" w:bidi="ar-SA"/>
              </w:rPr>
              <w:t>，宁都县城乡燃气有限责任公司和</w:t>
            </w:r>
            <w:r>
              <w:rPr>
                <w:rFonts w:hint="default" w:ascii="Times New Roman" w:hAnsi="Times New Roman" w:eastAsia="Times New Roman" w:cs="Times New Roman"/>
                <w:color w:val="auto"/>
                <w:kern w:val="2"/>
                <w:sz w:val="24"/>
                <w:szCs w:val="24"/>
                <w:highlight w:val="none"/>
                <w:lang w:val="en-US" w:eastAsia="zh-CN" w:bidi="ar-SA"/>
              </w:rPr>
              <w:t>宁都县源盛液化石油气有限公司</w:t>
            </w:r>
            <w:r>
              <w:rPr>
                <w:rFonts w:hint="eastAsia" w:ascii="Times New Roman" w:hAnsi="Times New Roman" w:eastAsia="Times New Roman" w:cs="Times New Roman"/>
                <w:color w:val="auto"/>
                <w:kern w:val="2"/>
                <w:sz w:val="24"/>
                <w:szCs w:val="24"/>
                <w:highlight w:val="none"/>
                <w:lang w:val="en-US" w:eastAsia="zh-CN" w:bidi="ar-SA"/>
              </w:rPr>
              <w:t>是</w:t>
            </w:r>
            <w:r>
              <w:rPr>
                <w:rFonts w:hint="default" w:ascii="Times New Roman" w:hAnsi="Times New Roman" w:eastAsia="Times New Roman" w:cs="Times New Roman"/>
                <w:color w:val="auto"/>
                <w:kern w:val="2"/>
                <w:sz w:val="24"/>
                <w:szCs w:val="24"/>
                <w:highlight w:val="none"/>
                <w:lang w:val="en-US" w:eastAsia="zh-CN" w:bidi="ar-SA"/>
              </w:rPr>
              <w:t>宁都县源盛公用事业投资发展有限公司</w:t>
            </w:r>
            <w:r>
              <w:rPr>
                <w:rFonts w:hint="eastAsia" w:ascii="Times New Roman" w:hAnsi="Times New Roman" w:eastAsia="Times New Roman" w:cs="Times New Roman"/>
                <w:color w:val="auto"/>
                <w:kern w:val="2"/>
                <w:sz w:val="24"/>
                <w:szCs w:val="24"/>
                <w:highlight w:val="none"/>
                <w:lang w:val="en-US" w:eastAsia="zh-CN" w:bidi="ar-SA"/>
              </w:rPr>
              <w:t>的全资子公司。</w:t>
            </w:r>
          </w:p>
          <w:p w14:paraId="6309B715">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（二）项目组成</w:t>
            </w:r>
          </w:p>
          <w:p w14:paraId="4A898A0D">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eastAsia="Times New Roman" w:cs="Times New Roman"/>
                <w:color w:val="auto"/>
                <w:sz w:val="24"/>
                <w:szCs w:val="24"/>
                <w:lang w:val="en-US" w:eastAsia="zh-CN"/>
              </w:rPr>
              <w:t>本项目</w:t>
            </w:r>
            <w:r>
              <w:rPr>
                <w:rFonts w:hint="eastAsia" w:eastAsia="Times New Roman" w:cs="Times New Roman"/>
                <w:color w:val="auto"/>
                <w:sz w:val="24"/>
                <w:szCs w:val="24"/>
                <w:highlight w:val="none"/>
                <w:lang w:val="en-US" w:eastAsia="zh-CN"/>
              </w:rPr>
              <w:t>用地面积为15355m</w:t>
            </w:r>
            <w:r>
              <w:rPr>
                <w:rFonts w:hint="eastAsia" w:eastAsia="Times New Roman" w:cs="Times New Roman"/>
                <w:color w:val="auto"/>
                <w:sz w:val="24"/>
                <w:szCs w:val="24"/>
                <w:highlight w:val="none"/>
                <w:vertAlign w:val="superscript"/>
                <w:lang w:val="en-US" w:eastAsia="zh-CN"/>
              </w:rPr>
              <w:t>2</w:t>
            </w:r>
            <w:r>
              <w:rPr>
                <w:rFonts w:hint="eastAsia" w:eastAsia="Times New Roman" w:cs="Times New Roman"/>
                <w:color w:val="auto"/>
                <w:sz w:val="24"/>
                <w:szCs w:val="24"/>
                <w:highlight w:val="none"/>
                <w:lang w:val="en-US" w:eastAsia="zh-CN"/>
              </w:rPr>
              <w:t>。</w:t>
            </w:r>
            <w:r>
              <w:rPr>
                <w:rFonts w:hint="default" w:ascii="Times New Roman" w:hAnsi="Times New Roman" w:cs="Times New Roman"/>
                <w:color w:val="auto"/>
                <w:highlight w:val="none"/>
                <w:lang w:val="en-US" w:eastAsia="zh-CN"/>
              </w:rPr>
              <w:t>新</w:t>
            </w:r>
            <w:r>
              <w:rPr>
                <w:rFonts w:hint="default" w:ascii="Times New Roman" w:hAnsi="Times New Roman" w:cs="Times New Roman"/>
                <w:color w:val="auto"/>
                <w:lang w:val="en-US" w:eastAsia="zh-CN"/>
              </w:rPr>
              <w:t>建1座850m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四级液化石油气供应站，包括储罐区、灌装区、消防水池、辅助用房等配套工程，安装200m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卧式储罐4台，50m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卧式残液罐</w:t>
            </w:r>
            <w:r>
              <w:rPr>
                <w:rFonts w:hint="eastAsia" w:cs="Times New Roman"/>
                <w:color w:val="auto"/>
                <w:lang w:val="en-US" w:eastAsia="zh-CN"/>
              </w:rPr>
              <w:t>，</w:t>
            </w:r>
            <w:r>
              <w:rPr>
                <w:rFonts w:hint="default" w:ascii="Times New Roman" w:hAnsi="Times New Roman" w:cs="Times New Roman"/>
                <w:color w:val="auto"/>
                <w:lang w:val="en-US" w:eastAsia="zh-CN"/>
              </w:rPr>
              <w:t>烃泵、压缩机各</w:t>
            </w:r>
            <w:r>
              <w:rPr>
                <w:rFonts w:hint="eastAsia" w:cs="Times New Roman"/>
                <w:color w:val="auto"/>
                <w:lang w:val="en-US" w:eastAsia="zh-CN"/>
              </w:rPr>
              <w:t>2</w:t>
            </w:r>
            <w:r>
              <w:rPr>
                <w:rFonts w:hint="default" w:ascii="Times New Roman" w:hAnsi="Times New Roman" w:cs="Times New Roman"/>
                <w:color w:val="auto"/>
                <w:lang w:val="en-US" w:eastAsia="zh-CN"/>
              </w:rPr>
              <w:t>台，消防设施若干及其他辅助设施。</w:t>
            </w:r>
          </w:p>
          <w:p w14:paraId="0F4FCC68">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具体建设内容见表2-1。</w:t>
            </w:r>
          </w:p>
          <w:p w14:paraId="1C1865ED">
            <w:pPr>
              <w:pStyle w:val="85"/>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表2-1建设内容一览表</w:t>
            </w:r>
          </w:p>
          <w:tbl>
            <w:tblPr>
              <w:tblStyle w:val="36"/>
              <w:tblW w:w="49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06"/>
              <w:gridCol w:w="1119"/>
              <w:gridCol w:w="1172"/>
              <w:gridCol w:w="4455"/>
              <w:gridCol w:w="1242"/>
            </w:tblGrid>
            <w:tr w14:paraId="6526D0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noWrap w:val="0"/>
                  <w:vAlign w:val="center"/>
                </w:tcPr>
                <w:p w14:paraId="3E3CEF70">
                  <w:pPr>
                    <w:pStyle w:val="67"/>
                    <w:bidi w:val="0"/>
                    <w:rPr>
                      <w:rFonts w:hint="default" w:ascii="Times New Roman" w:hAnsi="Times New Roman" w:cs="Times New Roman"/>
                      <w:color w:val="auto"/>
                    </w:rPr>
                  </w:pPr>
                  <w:r>
                    <w:rPr>
                      <w:rFonts w:hint="default" w:ascii="Times New Roman" w:hAnsi="Times New Roman" w:cs="Times New Roman"/>
                      <w:color w:val="auto"/>
                    </w:rPr>
                    <w:t>类别</w:t>
                  </w:r>
                </w:p>
              </w:tc>
              <w:tc>
                <w:tcPr>
                  <w:tcW w:w="1302" w:type="pct"/>
                  <w:gridSpan w:val="2"/>
                  <w:noWrap w:val="0"/>
                  <w:vAlign w:val="center"/>
                </w:tcPr>
                <w:p w14:paraId="24DDAF11">
                  <w:pPr>
                    <w:pStyle w:val="67"/>
                    <w:bidi w:val="0"/>
                    <w:rPr>
                      <w:rFonts w:hint="default" w:ascii="Times New Roman" w:hAnsi="Times New Roman" w:cs="Times New Roman"/>
                      <w:color w:val="auto"/>
                    </w:rPr>
                  </w:pPr>
                  <w:r>
                    <w:rPr>
                      <w:rFonts w:hint="default" w:ascii="Times New Roman" w:hAnsi="Times New Roman" w:cs="Times New Roman"/>
                      <w:color w:val="auto"/>
                    </w:rPr>
                    <w:t>名称</w:t>
                  </w:r>
                </w:p>
              </w:tc>
              <w:tc>
                <w:tcPr>
                  <w:tcW w:w="2532" w:type="pct"/>
                  <w:tcBorders>
                    <w:right w:val="single" w:color="auto" w:sz="4" w:space="0"/>
                  </w:tcBorders>
                  <w:noWrap w:val="0"/>
                  <w:vAlign w:val="center"/>
                </w:tcPr>
                <w:p w14:paraId="61ED238F">
                  <w:pPr>
                    <w:pStyle w:val="6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建设内容</w:t>
                  </w:r>
                  <w:r>
                    <w:rPr>
                      <w:rFonts w:hint="default" w:ascii="Times New Roman" w:hAnsi="Times New Roman" w:cs="Times New Roman"/>
                      <w:color w:val="auto"/>
                      <w:lang w:val="en-US" w:eastAsia="zh-CN"/>
                    </w:rPr>
                    <w:t>及规模</w:t>
                  </w:r>
                </w:p>
              </w:tc>
              <w:tc>
                <w:tcPr>
                  <w:tcW w:w="706" w:type="pct"/>
                  <w:tcBorders>
                    <w:left w:val="single" w:color="auto" w:sz="4" w:space="0"/>
                  </w:tcBorders>
                  <w:noWrap w:val="0"/>
                  <w:vAlign w:val="center"/>
                </w:tcPr>
                <w:p w14:paraId="765326F3">
                  <w:pPr>
                    <w:pStyle w:val="67"/>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备注</w:t>
                  </w:r>
                </w:p>
              </w:tc>
            </w:tr>
            <w:tr w14:paraId="449161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noWrap w:val="0"/>
                  <w:vAlign w:val="center"/>
                </w:tcPr>
                <w:p w14:paraId="4E06B956">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主体工程</w:t>
                  </w:r>
                </w:p>
              </w:tc>
              <w:tc>
                <w:tcPr>
                  <w:tcW w:w="1302" w:type="pct"/>
                  <w:gridSpan w:val="2"/>
                  <w:noWrap w:val="0"/>
                  <w:vAlign w:val="center"/>
                </w:tcPr>
                <w:p w14:paraId="518FBF57">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灌瓶间</w:t>
                  </w:r>
                </w:p>
              </w:tc>
              <w:tc>
                <w:tcPr>
                  <w:tcW w:w="2532" w:type="pct"/>
                  <w:tcBorders>
                    <w:right w:val="single" w:color="auto" w:sz="4" w:space="0"/>
                  </w:tcBorders>
                  <w:noWrap w:val="0"/>
                  <w:vAlign w:val="center"/>
                </w:tcPr>
                <w:p w14:paraId="1E08BE4F">
                  <w:pPr>
                    <w:pStyle w:val="66"/>
                    <w:bidi w:val="0"/>
                    <w:ind w:left="18" w:leftChars="9" w:right="18" w:rightChars="9"/>
                    <w:rPr>
                      <w:rFonts w:hint="default" w:ascii="Times New Roman" w:hAnsi="Times New Roman" w:cs="Times New Roman"/>
                      <w:color w:val="auto"/>
                      <w:vertAlign w:val="baseline"/>
                      <w:lang w:val="en-US" w:eastAsia="zh-CN"/>
                    </w:rPr>
                  </w:pPr>
                  <w:r>
                    <w:rPr>
                      <w:rFonts w:hint="default" w:ascii="Times New Roman" w:hAnsi="Times New Roman" w:cs="Times New Roman"/>
                      <w:color w:val="auto"/>
                      <w:highlight w:val="none"/>
                      <w:lang w:val="en-US" w:eastAsia="zh-CN"/>
                    </w:rPr>
                    <w:t>占地面积256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一层，包含机泵房、灌瓶区、实瓶区、空瓶区，总存</w:t>
                  </w:r>
                  <w:r>
                    <w:rPr>
                      <w:rFonts w:hint="default" w:ascii="Times New Roman" w:hAnsi="Times New Roman" w:eastAsia="宋体" w:cs="Times New Roman"/>
                      <w:color w:val="auto"/>
                      <w:highlight w:val="none"/>
                      <w:lang w:val="en-US" w:eastAsia="zh-CN"/>
                    </w:rPr>
                    <w:t>瓶量≤10t</w:t>
                  </w:r>
                </w:p>
              </w:tc>
              <w:tc>
                <w:tcPr>
                  <w:tcW w:w="706" w:type="pct"/>
                  <w:tcBorders>
                    <w:left w:val="single" w:color="auto" w:sz="4" w:space="0"/>
                  </w:tcBorders>
                  <w:noWrap w:val="0"/>
                  <w:vAlign w:val="center"/>
                </w:tcPr>
                <w:p w14:paraId="0F02F8E3">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503D72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noWrap w:val="0"/>
                  <w:vAlign w:val="center"/>
                </w:tcPr>
                <w:p w14:paraId="6F28A25E">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储运工程</w:t>
                  </w:r>
                </w:p>
              </w:tc>
              <w:tc>
                <w:tcPr>
                  <w:tcW w:w="1302" w:type="pct"/>
                  <w:gridSpan w:val="2"/>
                  <w:noWrap w:val="0"/>
                  <w:vAlign w:val="center"/>
                </w:tcPr>
                <w:p w14:paraId="50CBED28">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罐区</w:t>
                  </w:r>
                </w:p>
              </w:tc>
              <w:tc>
                <w:tcPr>
                  <w:tcW w:w="2532" w:type="pct"/>
                  <w:tcBorders>
                    <w:right w:val="single" w:color="auto" w:sz="4" w:space="0"/>
                  </w:tcBorders>
                  <w:noWrap w:val="0"/>
                  <w:vAlign w:val="center"/>
                </w:tcPr>
                <w:p w14:paraId="3020BB06">
                  <w:pPr>
                    <w:pStyle w:val="66"/>
                    <w:bidi w:val="0"/>
                    <w:ind w:left="18" w:leftChars="9" w:right="18" w:rightChars="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占地面积1149.19</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地上罐，</w:t>
                  </w:r>
                  <w:r>
                    <w:rPr>
                      <w:rFonts w:hint="default" w:ascii="Times New Roman" w:hAnsi="Times New Roman" w:cs="Times New Roman"/>
                      <w:color w:val="auto"/>
                      <w:highlight w:val="none"/>
                      <w:lang w:val="en-US" w:eastAsia="zh-CN"/>
                    </w:rPr>
                    <w:t>一层</w:t>
                  </w:r>
                </w:p>
              </w:tc>
              <w:tc>
                <w:tcPr>
                  <w:tcW w:w="706" w:type="pct"/>
                  <w:tcBorders>
                    <w:left w:val="single" w:color="auto" w:sz="4" w:space="0"/>
                  </w:tcBorders>
                  <w:noWrap w:val="0"/>
                  <w:vAlign w:val="center"/>
                </w:tcPr>
                <w:p w14:paraId="479275CA">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7E511C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8" w:type="pct"/>
                  <w:vMerge w:val="restart"/>
                  <w:noWrap w:val="0"/>
                  <w:vAlign w:val="center"/>
                </w:tcPr>
                <w:p w14:paraId="21D1BBF8">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辅助工程</w:t>
                  </w:r>
                </w:p>
              </w:tc>
              <w:tc>
                <w:tcPr>
                  <w:tcW w:w="1302" w:type="pct"/>
                  <w:gridSpan w:val="2"/>
                  <w:noWrap w:val="0"/>
                  <w:vAlign w:val="center"/>
                </w:tcPr>
                <w:p w14:paraId="048D92CA">
                  <w:pPr>
                    <w:pStyle w:val="66"/>
                    <w:bidi w:val="0"/>
                    <w:ind w:left="18" w:leftChars="9" w:right="18" w:rightChars="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办公楼</w:t>
                  </w:r>
                </w:p>
              </w:tc>
              <w:tc>
                <w:tcPr>
                  <w:tcW w:w="2532" w:type="pct"/>
                  <w:tcBorders>
                    <w:right w:val="single" w:color="auto" w:sz="4" w:space="0"/>
                  </w:tcBorders>
                  <w:noWrap w:val="0"/>
                  <w:vAlign w:val="center"/>
                </w:tcPr>
                <w:p w14:paraId="41E8748B">
                  <w:pPr>
                    <w:pStyle w:val="66"/>
                    <w:bidi w:val="0"/>
                    <w:ind w:left="18" w:leftChars="9" w:right="18" w:rightChars="9"/>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建筑面积2911.2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占地面积560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五层</w:t>
                  </w:r>
                </w:p>
              </w:tc>
              <w:tc>
                <w:tcPr>
                  <w:tcW w:w="706" w:type="pct"/>
                  <w:tcBorders>
                    <w:left w:val="single" w:color="auto" w:sz="4" w:space="0"/>
                  </w:tcBorders>
                  <w:noWrap w:val="0"/>
                  <w:vAlign w:val="center"/>
                </w:tcPr>
                <w:p w14:paraId="62D24F8A">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35F88B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458" w:type="pct"/>
                  <w:vMerge w:val="continue"/>
                  <w:noWrap w:val="0"/>
                  <w:vAlign w:val="center"/>
                </w:tcPr>
                <w:p w14:paraId="60F964EB">
                  <w:pPr>
                    <w:pStyle w:val="66"/>
                    <w:bidi w:val="0"/>
                    <w:rPr>
                      <w:rFonts w:hint="default" w:ascii="Times New Roman" w:hAnsi="Times New Roman" w:cs="Times New Roman"/>
                      <w:color w:val="auto"/>
                      <w:lang w:eastAsia="zh-CN"/>
                    </w:rPr>
                  </w:pPr>
                </w:p>
              </w:tc>
              <w:tc>
                <w:tcPr>
                  <w:tcW w:w="1302" w:type="pct"/>
                  <w:gridSpan w:val="2"/>
                  <w:noWrap w:val="0"/>
                  <w:vAlign w:val="center"/>
                </w:tcPr>
                <w:p w14:paraId="529C3624">
                  <w:pPr>
                    <w:pStyle w:val="66"/>
                    <w:bidi w:val="0"/>
                    <w:ind w:left="18" w:leftChars="9" w:right="18" w:rightChars="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值班室</w:t>
                  </w:r>
                </w:p>
              </w:tc>
              <w:tc>
                <w:tcPr>
                  <w:tcW w:w="2532" w:type="pct"/>
                  <w:tcBorders>
                    <w:right w:val="single" w:color="auto" w:sz="4" w:space="0"/>
                  </w:tcBorders>
                  <w:noWrap w:val="0"/>
                  <w:vAlign w:val="center"/>
                </w:tcPr>
                <w:p w14:paraId="37B043CD">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占地面积24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一层</w:t>
                  </w:r>
                </w:p>
              </w:tc>
              <w:tc>
                <w:tcPr>
                  <w:tcW w:w="706" w:type="pct"/>
                  <w:tcBorders>
                    <w:left w:val="single" w:color="auto" w:sz="4" w:space="0"/>
                  </w:tcBorders>
                  <w:noWrap w:val="0"/>
                  <w:vAlign w:val="center"/>
                </w:tcPr>
                <w:p w14:paraId="50A2168B">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185308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8" w:type="pct"/>
                  <w:vMerge w:val="continue"/>
                  <w:noWrap w:val="0"/>
                  <w:vAlign w:val="center"/>
                </w:tcPr>
                <w:p w14:paraId="09BD4645">
                  <w:pPr>
                    <w:pStyle w:val="66"/>
                    <w:bidi w:val="0"/>
                    <w:rPr>
                      <w:rFonts w:hint="default" w:ascii="Times New Roman" w:hAnsi="Times New Roman" w:cs="Times New Roman"/>
                      <w:color w:val="auto"/>
                      <w:lang w:eastAsia="zh-CN"/>
                    </w:rPr>
                  </w:pPr>
                </w:p>
              </w:tc>
              <w:tc>
                <w:tcPr>
                  <w:tcW w:w="1302" w:type="pct"/>
                  <w:gridSpan w:val="2"/>
                  <w:noWrap w:val="0"/>
                  <w:vAlign w:val="center"/>
                </w:tcPr>
                <w:p w14:paraId="1782671A">
                  <w:pPr>
                    <w:pStyle w:val="66"/>
                    <w:bidi w:val="0"/>
                    <w:ind w:left="18" w:leftChars="9" w:right="18" w:rightChars="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配套用房</w:t>
                  </w:r>
                </w:p>
              </w:tc>
              <w:tc>
                <w:tcPr>
                  <w:tcW w:w="2532" w:type="pct"/>
                  <w:tcBorders>
                    <w:right w:val="single" w:color="auto" w:sz="4" w:space="0"/>
                  </w:tcBorders>
                  <w:noWrap w:val="0"/>
                  <w:vAlign w:val="center"/>
                </w:tcPr>
                <w:p w14:paraId="59D397FB">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占地面积为150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位于站区东北侧</w:t>
                  </w:r>
                </w:p>
              </w:tc>
              <w:tc>
                <w:tcPr>
                  <w:tcW w:w="706" w:type="pct"/>
                  <w:tcBorders>
                    <w:left w:val="single" w:color="auto" w:sz="4" w:space="0"/>
                  </w:tcBorders>
                  <w:noWrap w:val="0"/>
                  <w:vAlign w:val="center"/>
                </w:tcPr>
                <w:p w14:paraId="6C4320E3">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0A1EC5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8" w:type="pct"/>
                  <w:vMerge w:val="continue"/>
                  <w:noWrap w:val="0"/>
                  <w:vAlign w:val="center"/>
                </w:tcPr>
                <w:p w14:paraId="24F52467">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p>
              </w:tc>
              <w:tc>
                <w:tcPr>
                  <w:tcW w:w="1302" w:type="pct"/>
                  <w:gridSpan w:val="2"/>
                  <w:noWrap w:val="0"/>
                  <w:vAlign w:val="center"/>
                </w:tcPr>
                <w:p w14:paraId="35EAB509">
                  <w:pPr>
                    <w:pStyle w:val="66"/>
                    <w:bidi w:val="0"/>
                    <w:ind w:left="18" w:leftChars="9" w:right="18" w:rightChars="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消防泵房</w:t>
                  </w:r>
                </w:p>
              </w:tc>
              <w:tc>
                <w:tcPr>
                  <w:tcW w:w="2532" w:type="pct"/>
                  <w:tcBorders>
                    <w:right w:val="single" w:color="auto" w:sz="4" w:space="0"/>
                  </w:tcBorders>
                  <w:noWrap w:val="0"/>
                  <w:vAlign w:val="center"/>
                </w:tcPr>
                <w:p w14:paraId="4D3FF800">
                  <w:pPr>
                    <w:pStyle w:val="66"/>
                    <w:bidi w:val="0"/>
                    <w:ind w:left="18" w:leftChars="9" w:right="18" w:rightChars="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位于站区东北侧，占地为150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lang w:val="en-US" w:eastAsia="zh-CN"/>
                    </w:rPr>
                    <w:t>配套用房同一层</w:t>
                  </w:r>
                </w:p>
              </w:tc>
              <w:tc>
                <w:tcPr>
                  <w:tcW w:w="706" w:type="pct"/>
                  <w:tcBorders>
                    <w:left w:val="single" w:color="auto" w:sz="4" w:space="0"/>
                  </w:tcBorders>
                  <w:noWrap w:val="0"/>
                  <w:vAlign w:val="center"/>
                </w:tcPr>
                <w:p w14:paraId="6CDECD80">
                  <w:pPr>
                    <w:pStyle w:val="66"/>
                    <w:bidi w:val="0"/>
                    <w:ind w:left="18" w:leftChars="9" w:right="18" w:rightChars="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新建</w:t>
                  </w:r>
                </w:p>
              </w:tc>
            </w:tr>
            <w:tr w14:paraId="365676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8" w:type="pct"/>
                  <w:vMerge w:val="continue"/>
                  <w:noWrap w:val="0"/>
                  <w:vAlign w:val="center"/>
                </w:tcPr>
                <w:p w14:paraId="0645EBF2">
                  <w:pPr>
                    <w:pStyle w:val="66"/>
                    <w:bidi w:val="0"/>
                    <w:rPr>
                      <w:rFonts w:hint="default" w:ascii="Times New Roman" w:hAnsi="Times New Roman" w:cs="Times New Roman"/>
                      <w:color w:val="auto"/>
                      <w:lang w:eastAsia="zh-CN"/>
                    </w:rPr>
                  </w:pPr>
                </w:p>
              </w:tc>
              <w:tc>
                <w:tcPr>
                  <w:tcW w:w="1302" w:type="pct"/>
                  <w:gridSpan w:val="2"/>
                  <w:noWrap w:val="0"/>
                  <w:vAlign w:val="center"/>
                </w:tcPr>
                <w:p w14:paraId="20D312BB">
                  <w:pPr>
                    <w:pStyle w:val="66"/>
                    <w:bidi w:val="0"/>
                    <w:ind w:left="18" w:leftChars="9" w:right="18" w:rightChars="9"/>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食堂</w:t>
                  </w:r>
                </w:p>
              </w:tc>
              <w:tc>
                <w:tcPr>
                  <w:tcW w:w="2532" w:type="pct"/>
                  <w:tcBorders>
                    <w:right w:val="single" w:color="auto" w:sz="4" w:space="0"/>
                  </w:tcBorders>
                  <w:noWrap w:val="0"/>
                  <w:vAlign w:val="center"/>
                </w:tcPr>
                <w:p w14:paraId="5F009E8F">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与办公楼为同一栋</w:t>
                  </w:r>
                  <w:r>
                    <w:rPr>
                      <w:rFonts w:hint="eastAsia" w:cs="Times New Roman"/>
                      <w:color w:val="auto"/>
                      <w:highlight w:val="none"/>
                      <w:lang w:val="en-US" w:eastAsia="zh-CN"/>
                    </w:rPr>
                    <w:t>，1楼</w:t>
                  </w:r>
                  <w:r>
                    <w:rPr>
                      <w:rFonts w:hint="default" w:ascii="Times New Roman" w:hAnsi="Times New Roman" w:cs="Times New Roman"/>
                      <w:color w:val="auto"/>
                      <w:highlight w:val="none"/>
                      <w:lang w:val="en-US" w:eastAsia="zh-CN"/>
                    </w:rPr>
                    <w:t>，占地面积为120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tc>
              <w:tc>
                <w:tcPr>
                  <w:tcW w:w="706" w:type="pct"/>
                  <w:tcBorders>
                    <w:left w:val="single" w:color="auto" w:sz="4" w:space="0"/>
                  </w:tcBorders>
                  <w:noWrap w:val="0"/>
                  <w:vAlign w:val="center"/>
                </w:tcPr>
                <w:p w14:paraId="5AD30708">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26DE1E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8" w:type="pct"/>
                  <w:vMerge w:val="continue"/>
                  <w:noWrap w:val="0"/>
                  <w:vAlign w:val="center"/>
                </w:tcPr>
                <w:p w14:paraId="767D05EE">
                  <w:pPr>
                    <w:pStyle w:val="66"/>
                    <w:bidi w:val="0"/>
                    <w:rPr>
                      <w:rFonts w:hint="default" w:ascii="Times New Roman" w:hAnsi="Times New Roman" w:cs="Times New Roman"/>
                      <w:color w:val="auto"/>
                      <w:lang w:eastAsia="zh-CN"/>
                    </w:rPr>
                  </w:pPr>
                </w:p>
              </w:tc>
              <w:tc>
                <w:tcPr>
                  <w:tcW w:w="1302" w:type="pct"/>
                  <w:gridSpan w:val="2"/>
                  <w:noWrap w:val="0"/>
                  <w:vAlign w:val="center"/>
                </w:tcPr>
                <w:p w14:paraId="73E83A38">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消防水池</w:t>
                  </w:r>
                </w:p>
              </w:tc>
              <w:tc>
                <w:tcPr>
                  <w:tcW w:w="2532" w:type="pct"/>
                  <w:tcBorders>
                    <w:right w:val="single" w:color="auto" w:sz="4" w:space="0"/>
                  </w:tcBorders>
                  <w:noWrap w:val="0"/>
                  <w:vAlign w:val="center"/>
                </w:tcPr>
                <w:p w14:paraId="7F249DB1">
                  <w:pPr>
                    <w:pStyle w:val="66"/>
                    <w:bidi w:val="0"/>
                    <w:ind w:left="18" w:leftChars="9" w:right="18" w:rightChars="9"/>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设置</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个全地下消防水池，位于站区西北侧，容积为990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lang w:val="en-US" w:eastAsia="zh-CN"/>
                    </w:rPr>
                    <w:t>3</w:t>
                  </w:r>
                </w:p>
              </w:tc>
              <w:tc>
                <w:tcPr>
                  <w:tcW w:w="706" w:type="pct"/>
                  <w:tcBorders>
                    <w:left w:val="single" w:color="auto" w:sz="4" w:space="0"/>
                  </w:tcBorders>
                  <w:noWrap w:val="0"/>
                  <w:vAlign w:val="center"/>
                </w:tcPr>
                <w:p w14:paraId="40C347AC">
                  <w:pPr>
                    <w:pStyle w:val="66"/>
                    <w:bidi w:val="0"/>
                    <w:ind w:left="18" w:leftChars="9" w:right="18" w:rightChars="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6B6B8A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restart"/>
                  <w:noWrap w:val="0"/>
                  <w:vAlign w:val="center"/>
                </w:tcPr>
                <w:p w14:paraId="552CD254">
                  <w:pPr>
                    <w:pStyle w:val="66"/>
                    <w:bidi w:val="0"/>
                    <w:rPr>
                      <w:rFonts w:hint="default" w:ascii="Times New Roman" w:hAnsi="Times New Roman" w:cs="Times New Roman"/>
                      <w:color w:val="auto"/>
                    </w:rPr>
                  </w:pPr>
                  <w:r>
                    <w:rPr>
                      <w:rFonts w:hint="default" w:ascii="Times New Roman" w:hAnsi="Times New Roman" w:cs="Times New Roman"/>
                      <w:color w:val="auto"/>
                    </w:rPr>
                    <w:t>公用工程</w:t>
                  </w:r>
                </w:p>
              </w:tc>
              <w:tc>
                <w:tcPr>
                  <w:tcW w:w="1302" w:type="pct"/>
                  <w:gridSpan w:val="2"/>
                  <w:noWrap w:val="0"/>
                  <w:vAlign w:val="center"/>
                </w:tcPr>
                <w:p w14:paraId="6FE0273E">
                  <w:pPr>
                    <w:pStyle w:val="66"/>
                    <w:bidi w:val="0"/>
                    <w:rPr>
                      <w:rFonts w:hint="default" w:ascii="Times New Roman" w:hAnsi="Times New Roman" w:cs="Times New Roman"/>
                      <w:color w:val="auto"/>
                    </w:rPr>
                  </w:pPr>
                  <w:r>
                    <w:rPr>
                      <w:rFonts w:hint="default" w:ascii="Times New Roman" w:hAnsi="Times New Roman" w:cs="Times New Roman"/>
                      <w:color w:val="auto"/>
                    </w:rPr>
                    <w:t>供电</w:t>
                  </w:r>
                </w:p>
              </w:tc>
              <w:tc>
                <w:tcPr>
                  <w:tcW w:w="2532" w:type="pct"/>
                  <w:tcBorders>
                    <w:right w:val="single" w:color="auto" w:sz="4" w:space="0"/>
                  </w:tcBorders>
                  <w:noWrap w:val="0"/>
                  <w:vAlign w:val="center"/>
                </w:tcPr>
                <w:p w14:paraId="7C508657">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供电系统</w:t>
                  </w:r>
                  <w:r>
                    <w:rPr>
                      <w:rFonts w:hint="default" w:ascii="Times New Roman" w:hAnsi="Times New Roman" w:cs="Times New Roman"/>
                      <w:color w:val="auto"/>
                      <w:sz w:val="21"/>
                      <w:szCs w:val="21"/>
                    </w:rPr>
                    <w:t>供给</w:t>
                  </w:r>
                </w:p>
              </w:tc>
              <w:tc>
                <w:tcPr>
                  <w:tcW w:w="706" w:type="pct"/>
                  <w:tcBorders>
                    <w:left w:val="single" w:color="auto" w:sz="4" w:space="0"/>
                  </w:tcBorders>
                  <w:noWrap w:val="0"/>
                  <w:vAlign w:val="center"/>
                </w:tcPr>
                <w:p w14:paraId="43D8B998">
                  <w:pPr>
                    <w:pStyle w:val="66"/>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highlight w:val="none"/>
                      <w:lang w:val="en-US" w:eastAsia="zh-CN"/>
                    </w:rPr>
                    <w:t>新建</w:t>
                  </w:r>
                </w:p>
              </w:tc>
            </w:tr>
            <w:tr w14:paraId="24E65B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continue"/>
                  <w:noWrap w:val="0"/>
                  <w:vAlign w:val="center"/>
                </w:tcPr>
                <w:p w14:paraId="7BD6CDE9">
                  <w:pPr>
                    <w:pStyle w:val="66"/>
                    <w:bidi w:val="0"/>
                    <w:rPr>
                      <w:rFonts w:hint="default" w:ascii="Times New Roman" w:hAnsi="Times New Roman" w:cs="Times New Roman"/>
                      <w:color w:val="auto"/>
                    </w:rPr>
                  </w:pPr>
                </w:p>
              </w:tc>
              <w:tc>
                <w:tcPr>
                  <w:tcW w:w="1302" w:type="pct"/>
                  <w:gridSpan w:val="2"/>
                  <w:noWrap w:val="0"/>
                  <w:vAlign w:val="center"/>
                </w:tcPr>
                <w:p w14:paraId="064BE0C4">
                  <w:pPr>
                    <w:pStyle w:val="66"/>
                    <w:bidi w:val="0"/>
                    <w:rPr>
                      <w:rFonts w:hint="default" w:ascii="Times New Roman" w:hAnsi="Times New Roman" w:cs="Times New Roman"/>
                      <w:color w:val="auto"/>
                    </w:rPr>
                  </w:pPr>
                  <w:r>
                    <w:rPr>
                      <w:rFonts w:hint="default" w:ascii="Times New Roman" w:hAnsi="Times New Roman" w:cs="Times New Roman"/>
                      <w:color w:val="auto"/>
                    </w:rPr>
                    <w:t>给水</w:t>
                  </w:r>
                </w:p>
              </w:tc>
              <w:tc>
                <w:tcPr>
                  <w:tcW w:w="2532" w:type="pct"/>
                  <w:tcBorders>
                    <w:right w:val="single" w:color="auto" w:sz="4" w:space="0"/>
                  </w:tcBorders>
                  <w:noWrap w:val="0"/>
                  <w:vAlign w:val="center"/>
                </w:tcPr>
                <w:p w14:paraId="361E6EA1">
                  <w:pPr>
                    <w:pStyle w:val="66"/>
                    <w:bidi w:val="0"/>
                    <w:rPr>
                      <w:rFonts w:hint="default" w:ascii="Times New Roman" w:hAnsi="Times New Roman" w:cs="Times New Roman"/>
                      <w:color w:val="auto"/>
                      <w:lang w:val="en-US"/>
                    </w:rPr>
                  </w:pPr>
                  <w:r>
                    <w:rPr>
                      <w:rFonts w:hint="default" w:ascii="Times New Roman" w:hAnsi="Times New Roman" w:cs="Times New Roman"/>
                      <w:color w:val="auto"/>
                      <w:sz w:val="21"/>
                      <w:szCs w:val="21"/>
                      <w:lang w:eastAsia="zh-CN"/>
                    </w:rPr>
                    <w:t>供水</w:t>
                  </w:r>
                  <w:r>
                    <w:rPr>
                      <w:rFonts w:hint="default" w:ascii="Times New Roman" w:hAnsi="Times New Roman" w:cs="Times New Roman"/>
                      <w:color w:val="auto"/>
                      <w:sz w:val="21"/>
                      <w:szCs w:val="21"/>
                      <w:lang w:val="en-US" w:eastAsia="zh-CN"/>
                    </w:rPr>
                    <w:t>管网供给</w:t>
                  </w:r>
                </w:p>
              </w:tc>
              <w:tc>
                <w:tcPr>
                  <w:tcW w:w="706" w:type="pct"/>
                  <w:tcBorders>
                    <w:left w:val="single" w:color="auto" w:sz="4" w:space="0"/>
                  </w:tcBorders>
                  <w:noWrap w:val="0"/>
                  <w:vAlign w:val="center"/>
                </w:tcPr>
                <w:p w14:paraId="1033CB29">
                  <w:pPr>
                    <w:pStyle w:val="66"/>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highlight w:val="none"/>
                      <w:lang w:val="en-US" w:eastAsia="zh-CN"/>
                    </w:rPr>
                    <w:t>新建</w:t>
                  </w:r>
                </w:p>
              </w:tc>
            </w:tr>
            <w:tr w14:paraId="6BA9A0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restart"/>
                  <w:noWrap w:val="0"/>
                  <w:vAlign w:val="center"/>
                </w:tcPr>
                <w:p w14:paraId="688BABAD">
                  <w:pPr>
                    <w:pStyle w:val="6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环保工程</w:t>
                  </w:r>
                </w:p>
              </w:tc>
              <w:tc>
                <w:tcPr>
                  <w:tcW w:w="636" w:type="pct"/>
                  <w:noWrap w:val="0"/>
                  <w:vAlign w:val="center"/>
                </w:tcPr>
                <w:p w14:paraId="7431D07E">
                  <w:pPr>
                    <w:pStyle w:val="66"/>
                    <w:bidi w:val="0"/>
                    <w:ind w:left="18" w:leftChars="9" w:right="18" w:rightChars="9"/>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rPr>
                    <w:t>废水</w:t>
                  </w:r>
                </w:p>
              </w:tc>
              <w:tc>
                <w:tcPr>
                  <w:tcW w:w="666" w:type="pct"/>
                  <w:noWrap w:val="0"/>
                  <w:vAlign w:val="center"/>
                </w:tcPr>
                <w:p w14:paraId="199436E6">
                  <w:pPr>
                    <w:pStyle w:val="66"/>
                    <w:bidi w:val="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lang w:val="en-US" w:eastAsia="zh-CN"/>
                    </w:rPr>
                    <w:t>生活污水</w:t>
                  </w:r>
                </w:p>
              </w:tc>
              <w:tc>
                <w:tcPr>
                  <w:tcW w:w="2532" w:type="pct"/>
                  <w:tcBorders>
                    <w:right w:val="single" w:color="auto" w:sz="4" w:space="0"/>
                  </w:tcBorders>
                  <w:noWrap w:val="0"/>
                  <w:vAlign w:val="center"/>
                </w:tcPr>
                <w:p w14:paraId="2E35BB94">
                  <w:pPr>
                    <w:pStyle w:val="66"/>
                    <w:bidi w:val="0"/>
                    <w:ind w:left="0" w:leftChars="0" w:right="0" w:righ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隔油池+三级化粪池处理后，用于周边农田灌溉，不外排</w:t>
                  </w:r>
                </w:p>
              </w:tc>
              <w:tc>
                <w:tcPr>
                  <w:tcW w:w="706" w:type="pct"/>
                  <w:tcBorders>
                    <w:left w:val="single" w:color="auto" w:sz="4" w:space="0"/>
                  </w:tcBorders>
                  <w:noWrap w:val="0"/>
                  <w:vAlign w:val="center"/>
                </w:tcPr>
                <w:p w14:paraId="48732E43">
                  <w:pPr>
                    <w:pStyle w:val="66"/>
                    <w:bidi w:val="0"/>
                    <w:ind w:left="0" w:leftChars="0" w:right="0" w:rightChars="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新建</w:t>
                  </w:r>
                </w:p>
              </w:tc>
            </w:tr>
            <w:tr w14:paraId="732E75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58" w:type="pct"/>
                  <w:vMerge w:val="continue"/>
                  <w:noWrap w:val="0"/>
                  <w:vAlign w:val="center"/>
                </w:tcPr>
                <w:p w14:paraId="5B471003">
                  <w:pPr>
                    <w:pStyle w:val="66"/>
                    <w:bidi w:val="0"/>
                    <w:rPr>
                      <w:rFonts w:hint="default" w:ascii="Times New Roman" w:hAnsi="Times New Roman" w:cs="Times New Roman"/>
                      <w:color w:val="auto"/>
                      <w:highlight w:val="none"/>
                    </w:rPr>
                  </w:pPr>
                </w:p>
              </w:tc>
              <w:tc>
                <w:tcPr>
                  <w:tcW w:w="636" w:type="pct"/>
                  <w:vMerge w:val="restart"/>
                  <w:noWrap w:val="0"/>
                  <w:vAlign w:val="center"/>
                </w:tcPr>
                <w:p w14:paraId="36E85AB2">
                  <w:pPr>
                    <w:pStyle w:val="66"/>
                    <w:bidi w:val="0"/>
                    <w:ind w:left="18" w:leftChars="9" w:right="18" w:rightChars="9"/>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废气</w:t>
                  </w:r>
                </w:p>
              </w:tc>
              <w:tc>
                <w:tcPr>
                  <w:tcW w:w="666" w:type="pct"/>
                  <w:tcBorders>
                    <w:bottom w:val="single" w:color="auto" w:sz="4" w:space="0"/>
                  </w:tcBorders>
                  <w:noWrap w:val="0"/>
                  <w:vAlign w:val="center"/>
                </w:tcPr>
                <w:p w14:paraId="273AF3E5">
                  <w:pPr>
                    <w:pStyle w:val="66"/>
                    <w:bidi w:val="0"/>
                    <w:ind w:left="0" w:leftChars="0" w:right="0" w:rightChars="0"/>
                    <w:rPr>
                      <w:rFonts w:hint="default" w:ascii="Times New Roman" w:hAnsi="Times New Roman" w:cs="Times New Roman"/>
                      <w:color w:val="auto"/>
                      <w:highlight w:val="none"/>
                      <w:lang w:val="en-US" w:eastAsia="zh-CN"/>
                    </w:rPr>
                  </w:pPr>
                  <w:r>
                    <w:rPr>
                      <w:rFonts w:hint="eastAsia"/>
                      <w:color w:val="auto"/>
                      <w:sz w:val="21"/>
                      <w:szCs w:val="21"/>
                      <w:highlight w:val="none"/>
                      <w:lang w:val="en-US" w:eastAsia="zh-CN"/>
                    </w:rPr>
                    <w:t>非甲烷总烃</w:t>
                  </w:r>
                </w:p>
              </w:tc>
              <w:tc>
                <w:tcPr>
                  <w:tcW w:w="2532" w:type="pct"/>
                  <w:tcBorders>
                    <w:bottom w:val="single" w:color="auto" w:sz="4" w:space="0"/>
                    <w:right w:val="single" w:color="auto" w:sz="4" w:space="0"/>
                  </w:tcBorders>
                  <w:noWrap w:val="0"/>
                  <w:vAlign w:val="center"/>
                </w:tcPr>
                <w:p w14:paraId="4FB27591">
                  <w:pPr>
                    <w:pStyle w:val="66"/>
                    <w:bidi w:val="0"/>
                    <w:ind w:left="0" w:leftChars="0" w:right="0" w:rightChars="0"/>
                    <w:rPr>
                      <w:rFonts w:hint="default" w:ascii="Times New Roman" w:hAnsi="Times New Roman" w:cs="Times New Roman"/>
                      <w:color w:val="auto"/>
                      <w:lang w:val="en-US" w:eastAsia="zh-CN"/>
                    </w:rPr>
                  </w:pPr>
                  <w:r>
                    <w:rPr>
                      <w:rFonts w:hint="eastAsia"/>
                      <w:color w:val="auto"/>
                      <w:sz w:val="21"/>
                      <w:szCs w:val="21"/>
                      <w:highlight w:val="none"/>
                      <w:lang w:val="en-US" w:eastAsia="zh-CN"/>
                    </w:rPr>
                    <w:t>生产管道及过程全密闭，产生量小且场地十分开阔、利于扩散，通过大气的扩散等形式无组织排放</w:t>
                  </w:r>
                </w:p>
              </w:tc>
              <w:tc>
                <w:tcPr>
                  <w:tcW w:w="706" w:type="pct"/>
                  <w:vMerge w:val="restart"/>
                  <w:tcBorders>
                    <w:left w:val="single" w:color="auto" w:sz="4" w:space="0"/>
                  </w:tcBorders>
                  <w:noWrap w:val="0"/>
                  <w:vAlign w:val="center"/>
                </w:tcPr>
                <w:p w14:paraId="3406B26D">
                  <w:pPr>
                    <w:pStyle w:val="66"/>
                    <w:bidi w:val="0"/>
                    <w:ind w:left="0" w:leftChars="0" w:right="0" w:righ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14:paraId="27FD4B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458" w:type="pct"/>
                  <w:vMerge w:val="continue"/>
                  <w:noWrap w:val="0"/>
                  <w:vAlign w:val="center"/>
                </w:tcPr>
                <w:p w14:paraId="127BD6C3">
                  <w:pPr>
                    <w:pStyle w:val="66"/>
                    <w:bidi w:val="0"/>
                    <w:rPr>
                      <w:rFonts w:hint="default" w:ascii="Times New Roman" w:hAnsi="Times New Roman" w:cs="Times New Roman"/>
                      <w:color w:val="auto"/>
                      <w:highlight w:val="none"/>
                    </w:rPr>
                  </w:pPr>
                </w:p>
              </w:tc>
              <w:tc>
                <w:tcPr>
                  <w:tcW w:w="636" w:type="pct"/>
                  <w:vMerge w:val="continue"/>
                  <w:noWrap w:val="0"/>
                  <w:vAlign w:val="center"/>
                </w:tcPr>
                <w:p w14:paraId="6DFB6A0E">
                  <w:pPr>
                    <w:pStyle w:val="66"/>
                    <w:bidi w:val="0"/>
                    <w:ind w:left="18" w:leftChars="9" w:right="18" w:rightChars="9"/>
                    <w:rPr>
                      <w:rFonts w:hint="eastAsia" w:cs="Times New Roman"/>
                      <w:color w:val="auto"/>
                      <w:highlight w:val="none"/>
                      <w:lang w:val="en-US" w:eastAsia="zh-CN"/>
                    </w:rPr>
                  </w:pPr>
                </w:p>
              </w:tc>
              <w:tc>
                <w:tcPr>
                  <w:tcW w:w="666" w:type="pct"/>
                  <w:tcBorders>
                    <w:top w:val="single" w:color="auto" w:sz="4" w:space="0"/>
                  </w:tcBorders>
                  <w:noWrap w:val="0"/>
                  <w:vAlign w:val="center"/>
                </w:tcPr>
                <w:p w14:paraId="16EEF8A3">
                  <w:pPr>
                    <w:pStyle w:val="66"/>
                    <w:bidi w:val="0"/>
                    <w:ind w:left="0" w:leftChars="0" w:right="0" w:rightChars="0"/>
                    <w:rPr>
                      <w:rFonts w:hint="default" w:ascii="Times New Roman" w:hAnsi="Times New Roman" w:cs="Times New Roman"/>
                      <w:color w:val="auto"/>
                      <w:highlight w:val="none"/>
                      <w:lang w:val="en-US" w:eastAsia="zh-CN"/>
                    </w:rPr>
                  </w:pPr>
                  <w:r>
                    <w:rPr>
                      <w:rFonts w:hint="eastAsia"/>
                      <w:color w:val="auto"/>
                      <w:sz w:val="21"/>
                      <w:szCs w:val="21"/>
                      <w:highlight w:val="none"/>
                      <w:lang w:val="en-US" w:eastAsia="zh-CN"/>
                    </w:rPr>
                    <w:t>食堂油烟</w:t>
                  </w:r>
                </w:p>
              </w:tc>
              <w:tc>
                <w:tcPr>
                  <w:tcW w:w="4455" w:type="dxa"/>
                  <w:tcBorders>
                    <w:top w:val="single" w:color="auto" w:sz="4" w:space="0"/>
                    <w:right w:val="single" w:color="auto" w:sz="4" w:space="0"/>
                  </w:tcBorders>
                  <w:noWrap w:val="0"/>
                  <w:vAlign w:val="center"/>
                </w:tcPr>
                <w:p w14:paraId="64EEFAC2">
                  <w:pPr>
                    <w:pStyle w:val="66"/>
                    <w:bidi w:val="0"/>
                    <w:ind w:left="0" w:leftChars="0" w:right="0" w:rightChars="0"/>
                    <w:rPr>
                      <w:rFonts w:hint="eastAsia"/>
                      <w:color w:val="auto"/>
                      <w:sz w:val="21"/>
                      <w:szCs w:val="21"/>
                      <w:highlight w:val="none"/>
                      <w:lang w:val="en-US" w:eastAsia="zh-CN"/>
                    </w:rPr>
                  </w:pPr>
                  <w:r>
                    <w:rPr>
                      <w:rFonts w:hint="eastAsia"/>
                      <w:color w:val="auto"/>
                      <w:sz w:val="21"/>
                      <w:szCs w:val="21"/>
                      <w:highlight w:val="none"/>
                      <w:lang w:val="en-US" w:eastAsia="zh-CN"/>
                    </w:rPr>
                    <w:t>项目食堂油烟通过抽油烟机处理后，引至楼顶排放</w:t>
                  </w:r>
                </w:p>
              </w:tc>
              <w:tc>
                <w:tcPr>
                  <w:tcW w:w="706" w:type="pct"/>
                  <w:vMerge w:val="continue"/>
                  <w:tcBorders>
                    <w:left w:val="single" w:color="auto" w:sz="4" w:space="0"/>
                  </w:tcBorders>
                  <w:noWrap w:val="0"/>
                  <w:vAlign w:val="center"/>
                </w:tcPr>
                <w:p w14:paraId="07C929CB">
                  <w:pPr>
                    <w:pStyle w:val="66"/>
                    <w:bidi w:val="0"/>
                    <w:ind w:left="0" w:leftChars="0" w:right="0" w:rightChars="0"/>
                    <w:rPr>
                      <w:rFonts w:hint="default" w:ascii="Times New Roman" w:hAnsi="Times New Roman" w:cs="Times New Roman"/>
                      <w:color w:val="auto"/>
                      <w:highlight w:val="none"/>
                      <w:lang w:val="en-US" w:eastAsia="zh-CN"/>
                    </w:rPr>
                  </w:pPr>
                </w:p>
              </w:tc>
            </w:tr>
            <w:tr w14:paraId="6CFB17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continue"/>
                  <w:noWrap w:val="0"/>
                  <w:vAlign w:val="center"/>
                </w:tcPr>
                <w:p w14:paraId="65D4BADE">
                  <w:pPr>
                    <w:pStyle w:val="66"/>
                    <w:bidi w:val="0"/>
                    <w:rPr>
                      <w:rFonts w:hint="default" w:ascii="Times New Roman" w:hAnsi="Times New Roman" w:cs="Times New Roman"/>
                      <w:color w:val="auto"/>
                      <w:highlight w:val="none"/>
                    </w:rPr>
                  </w:pPr>
                </w:p>
              </w:tc>
              <w:tc>
                <w:tcPr>
                  <w:tcW w:w="636" w:type="pct"/>
                  <w:vMerge w:val="restart"/>
                  <w:noWrap w:val="0"/>
                  <w:vAlign w:val="center"/>
                </w:tcPr>
                <w:p w14:paraId="1F6E4156">
                  <w:pPr>
                    <w:pStyle w:val="6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tc>
              <w:tc>
                <w:tcPr>
                  <w:tcW w:w="666" w:type="pct"/>
                  <w:noWrap w:val="0"/>
                  <w:vAlign w:val="center"/>
                </w:tcPr>
                <w:p w14:paraId="769234BC">
                  <w:pPr>
                    <w:pStyle w:val="66"/>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一般固废</w:t>
                  </w:r>
                </w:p>
              </w:tc>
              <w:tc>
                <w:tcPr>
                  <w:tcW w:w="4455" w:type="dxa"/>
                  <w:tcBorders>
                    <w:right w:val="single" w:color="auto" w:sz="4" w:space="0"/>
                  </w:tcBorders>
                  <w:noWrap w:val="0"/>
                  <w:vAlign w:val="center"/>
                </w:tcPr>
                <w:p w14:paraId="05599C6E">
                  <w:pPr>
                    <w:pStyle w:val="66"/>
                    <w:bidi w:val="0"/>
                    <w:ind w:left="18" w:leftChars="9" w:right="18" w:rightChars="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生活垃圾</w:t>
                  </w:r>
                  <w:r>
                    <w:rPr>
                      <w:rFonts w:hint="eastAsia" w:cs="Times New Roman"/>
                      <w:color w:val="auto"/>
                      <w:lang w:val="en-US" w:eastAsia="zh-CN"/>
                    </w:rPr>
                    <w:t>、废油脂</w:t>
                  </w:r>
                  <w:r>
                    <w:rPr>
                      <w:rFonts w:hint="default" w:ascii="Times New Roman" w:hAnsi="Times New Roman" w:eastAsia="宋体" w:cs="Times New Roman"/>
                      <w:color w:val="auto"/>
                      <w:lang w:val="en-US" w:eastAsia="zh-CN"/>
                    </w:rPr>
                    <w:t>经收集后交由环卫部门处理；不合格的钢瓶暂存放在机泵房单独分区内，钢瓶检测站回收处置</w:t>
                  </w:r>
                </w:p>
              </w:tc>
              <w:tc>
                <w:tcPr>
                  <w:tcW w:w="706" w:type="pct"/>
                  <w:tcBorders>
                    <w:left w:val="single" w:color="auto" w:sz="4" w:space="0"/>
                  </w:tcBorders>
                  <w:noWrap w:val="0"/>
                  <w:vAlign w:val="center"/>
                </w:tcPr>
                <w:p w14:paraId="0A8E1CC7">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lang w:val="en-US" w:eastAsia="zh-CN"/>
                    </w:rPr>
                    <w:t>新建</w:t>
                  </w:r>
                </w:p>
              </w:tc>
            </w:tr>
            <w:tr w14:paraId="73AC6B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continue"/>
                  <w:noWrap w:val="0"/>
                  <w:vAlign w:val="center"/>
                </w:tcPr>
                <w:p w14:paraId="5E4426DE">
                  <w:pPr>
                    <w:pStyle w:val="66"/>
                    <w:bidi w:val="0"/>
                    <w:rPr>
                      <w:rFonts w:hint="default" w:ascii="Times New Roman" w:hAnsi="Times New Roman" w:cs="Times New Roman"/>
                      <w:color w:val="auto"/>
                      <w:highlight w:val="none"/>
                    </w:rPr>
                  </w:pPr>
                </w:p>
              </w:tc>
              <w:tc>
                <w:tcPr>
                  <w:tcW w:w="636" w:type="pct"/>
                  <w:vMerge w:val="continue"/>
                  <w:noWrap w:val="0"/>
                  <w:vAlign w:val="center"/>
                </w:tcPr>
                <w:p w14:paraId="4C4FB4A1">
                  <w:pPr>
                    <w:pStyle w:val="66"/>
                    <w:bidi w:val="0"/>
                    <w:rPr>
                      <w:rFonts w:hint="default" w:ascii="Times New Roman" w:hAnsi="Times New Roman" w:cs="Times New Roman"/>
                      <w:color w:val="auto"/>
                      <w:highlight w:val="none"/>
                    </w:rPr>
                  </w:pPr>
                </w:p>
              </w:tc>
              <w:tc>
                <w:tcPr>
                  <w:tcW w:w="666" w:type="pct"/>
                  <w:noWrap w:val="0"/>
                  <w:vAlign w:val="center"/>
                </w:tcPr>
                <w:p w14:paraId="4F0B73FB">
                  <w:pPr>
                    <w:pStyle w:val="66"/>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2532" w:type="pct"/>
                  <w:tcBorders>
                    <w:right w:val="single" w:color="auto" w:sz="4" w:space="0"/>
                  </w:tcBorders>
                  <w:noWrap w:val="0"/>
                  <w:vAlign w:val="center"/>
                </w:tcPr>
                <w:p w14:paraId="12C866D3">
                  <w:pPr>
                    <w:pStyle w:val="66"/>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残液暂存于残液罐，残液罐位于储罐区，定期交由有资质单位处理</w:t>
                  </w:r>
                  <w:r>
                    <w:rPr>
                      <w:rFonts w:hint="eastAsia" w:cs="Times New Roman"/>
                      <w:color w:val="auto"/>
                      <w:lang w:val="en-US" w:eastAsia="zh-CN"/>
                    </w:rPr>
                    <w:t>；废机油、废油桶以及含油抹布</w:t>
                  </w: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c>
                <w:tcPr>
                  <w:tcW w:w="706" w:type="pct"/>
                  <w:tcBorders>
                    <w:left w:val="single" w:color="auto" w:sz="4" w:space="0"/>
                  </w:tcBorders>
                  <w:noWrap w:val="0"/>
                  <w:vAlign w:val="center"/>
                </w:tcPr>
                <w:p w14:paraId="65A80CAD">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新建</w:t>
                  </w:r>
                </w:p>
              </w:tc>
            </w:tr>
            <w:tr w14:paraId="7EAC06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continue"/>
                  <w:noWrap w:val="0"/>
                  <w:vAlign w:val="center"/>
                </w:tcPr>
                <w:p w14:paraId="4F931508">
                  <w:pPr>
                    <w:pStyle w:val="66"/>
                    <w:bidi w:val="0"/>
                    <w:rPr>
                      <w:rFonts w:hint="default" w:ascii="Times New Roman" w:hAnsi="Times New Roman" w:cs="Times New Roman"/>
                      <w:color w:val="auto"/>
                      <w:highlight w:val="none"/>
                    </w:rPr>
                  </w:pPr>
                </w:p>
              </w:tc>
              <w:tc>
                <w:tcPr>
                  <w:tcW w:w="636" w:type="pct"/>
                  <w:vMerge w:val="continue"/>
                  <w:noWrap w:val="0"/>
                  <w:vAlign w:val="center"/>
                </w:tcPr>
                <w:p w14:paraId="03DB75FD">
                  <w:pPr>
                    <w:pStyle w:val="66"/>
                    <w:bidi w:val="0"/>
                    <w:rPr>
                      <w:rFonts w:hint="default" w:ascii="Times New Roman" w:hAnsi="Times New Roman" w:cs="Times New Roman"/>
                      <w:color w:val="auto"/>
                      <w:highlight w:val="none"/>
                    </w:rPr>
                  </w:pPr>
                </w:p>
              </w:tc>
              <w:tc>
                <w:tcPr>
                  <w:tcW w:w="666" w:type="pct"/>
                  <w:noWrap w:val="0"/>
                  <w:vAlign w:val="center"/>
                </w:tcPr>
                <w:p w14:paraId="7FFE5A3C">
                  <w:pPr>
                    <w:pStyle w:val="66"/>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生活垃圾</w:t>
                  </w:r>
                </w:p>
              </w:tc>
              <w:tc>
                <w:tcPr>
                  <w:tcW w:w="2532" w:type="pct"/>
                  <w:tcBorders>
                    <w:right w:val="single" w:color="auto" w:sz="4" w:space="0"/>
                  </w:tcBorders>
                  <w:noWrap w:val="0"/>
                  <w:vAlign w:val="center"/>
                </w:tcPr>
                <w:p w14:paraId="5C4D61A2">
                  <w:pPr>
                    <w:pStyle w:val="66"/>
                    <w:bidi w:val="0"/>
                    <w:rPr>
                      <w:rFonts w:hint="default" w:ascii="Times New Roman" w:hAnsi="Times New Roman" w:cs="Times New Roman"/>
                      <w:color w:val="auto"/>
                    </w:rPr>
                  </w:pPr>
                  <w:r>
                    <w:rPr>
                      <w:rFonts w:hint="default" w:ascii="Times New Roman" w:hAnsi="Times New Roman" w:cs="Times New Roman"/>
                      <w:color w:val="auto"/>
                      <w:lang w:val="en-US" w:eastAsia="zh-CN"/>
                    </w:rPr>
                    <w:t>委托环卫部门定期清理</w:t>
                  </w:r>
                </w:p>
              </w:tc>
              <w:tc>
                <w:tcPr>
                  <w:tcW w:w="706" w:type="pct"/>
                  <w:tcBorders>
                    <w:left w:val="single" w:color="auto" w:sz="4" w:space="0"/>
                  </w:tcBorders>
                  <w:noWrap w:val="0"/>
                  <w:vAlign w:val="center"/>
                </w:tcPr>
                <w:p w14:paraId="06FD7CED">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新建</w:t>
                  </w:r>
                </w:p>
              </w:tc>
            </w:tr>
            <w:tr w14:paraId="1ACF5B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continue"/>
                  <w:noWrap w:val="0"/>
                  <w:vAlign w:val="center"/>
                </w:tcPr>
                <w:p w14:paraId="2409952C">
                  <w:pPr>
                    <w:pStyle w:val="66"/>
                    <w:bidi w:val="0"/>
                    <w:rPr>
                      <w:rFonts w:hint="default" w:ascii="Times New Roman" w:hAnsi="Times New Roman" w:cs="Times New Roman"/>
                      <w:color w:val="auto"/>
                      <w:highlight w:val="none"/>
                    </w:rPr>
                  </w:pPr>
                </w:p>
              </w:tc>
              <w:tc>
                <w:tcPr>
                  <w:tcW w:w="1302" w:type="pct"/>
                  <w:gridSpan w:val="2"/>
                  <w:noWrap w:val="0"/>
                  <w:vAlign w:val="center"/>
                </w:tcPr>
                <w:p w14:paraId="127DF6F0">
                  <w:pPr>
                    <w:pStyle w:val="6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532" w:type="pct"/>
                  <w:tcBorders>
                    <w:right w:val="single" w:color="auto" w:sz="4" w:space="0"/>
                  </w:tcBorders>
                  <w:noWrap w:val="0"/>
                  <w:vAlign w:val="center"/>
                </w:tcPr>
                <w:p w14:paraId="709246B4">
                  <w:pPr>
                    <w:pStyle w:val="66"/>
                    <w:bidi w:val="0"/>
                    <w:rPr>
                      <w:rFonts w:hint="default" w:ascii="Times New Roman" w:hAnsi="Times New Roman" w:cs="Times New Roman"/>
                      <w:color w:val="auto"/>
                    </w:rPr>
                  </w:pPr>
                  <w:r>
                    <w:rPr>
                      <w:rFonts w:hint="default" w:ascii="Times New Roman" w:hAnsi="Times New Roman" w:cs="Times New Roman"/>
                      <w:color w:val="auto"/>
                    </w:rPr>
                    <w:t>选用低噪声设备，定期维护保养，墙体隔声、减振等</w:t>
                  </w:r>
                </w:p>
              </w:tc>
              <w:tc>
                <w:tcPr>
                  <w:tcW w:w="706" w:type="pct"/>
                  <w:tcBorders>
                    <w:left w:val="single" w:color="auto" w:sz="4" w:space="0"/>
                  </w:tcBorders>
                  <w:noWrap w:val="0"/>
                  <w:vAlign w:val="center"/>
                </w:tcPr>
                <w:p w14:paraId="7779B2DD">
                  <w:pPr>
                    <w:pStyle w:val="66"/>
                    <w:bidi w:val="0"/>
                    <w:rPr>
                      <w:rFonts w:hint="default" w:ascii="Times New Roman" w:hAnsi="Times New Roman" w:cs="Times New Roman"/>
                      <w:color w:val="auto"/>
                    </w:rPr>
                  </w:pPr>
                  <w:r>
                    <w:rPr>
                      <w:rFonts w:hint="default" w:ascii="Times New Roman" w:hAnsi="Times New Roman" w:cs="Times New Roman"/>
                      <w:color w:val="auto"/>
                      <w:highlight w:val="none"/>
                      <w:lang w:val="en-US" w:eastAsia="zh-CN"/>
                    </w:rPr>
                    <w:t>新建</w:t>
                  </w:r>
                </w:p>
              </w:tc>
            </w:tr>
            <w:tr w14:paraId="1084B1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58" w:type="pct"/>
                  <w:vMerge w:val="continue"/>
                  <w:noWrap w:val="0"/>
                  <w:vAlign w:val="center"/>
                </w:tcPr>
                <w:p w14:paraId="42153596">
                  <w:pPr>
                    <w:pStyle w:val="66"/>
                    <w:bidi w:val="0"/>
                    <w:rPr>
                      <w:rFonts w:hint="default" w:ascii="Times New Roman" w:hAnsi="Times New Roman" w:cs="Times New Roman"/>
                      <w:color w:val="auto"/>
                      <w:highlight w:val="none"/>
                    </w:rPr>
                  </w:pPr>
                </w:p>
              </w:tc>
              <w:tc>
                <w:tcPr>
                  <w:tcW w:w="1302" w:type="pct"/>
                  <w:gridSpan w:val="2"/>
                  <w:noWrap w:val="0"/>
                  <w:vAlign w:val="center"/>
                </w:tcPr>
                <w:p w14:paraId="4512E1B4">
                  <w:pPr>
                    <w:pStyle w:val="66"/>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风险防范</w:t>
                  </w:r>
                </w:p>
              </w:tc>
              <w:tc>
                <w:tcPr>
                  <w:tcW w:w="2532" w:type="pct"/>
                  <w:tcBorders>
                    <w:right w:val="single" w:color="auto" w:sz="4" w:space="0"/>
                  </w:tcBorders>
                  <w:noWrap w:val="0"/>
                  <w:vAlign w:val="center"/>
                </w:tcPr>
                <w:p w14:paraId="2FA8D1E1">
                  <w:pPr>
                    <w:pStyle w:val="66"/>
                    <w:bidi w:val="0"/>
                    <w:rPr>
                      <w:rFonts w:hint="default" w:ascii="Times New Roman" w:hAnsi="Times New Roman" w:cs="Times New Roman"/>
                      <w:color w:val="auto"/>
                    </w:rPr>
                  </w:pPr>
                  <w:r>
                    <w:rPr>
                      <w:rFonts w:hint="default" w:ascii="Times New Roman" w:hAnsi="Times New Roman" w:cs="Times New Roman"/>
                      <w:color w:val="auto"/>
                    </w:rPr>
                    <w:t>设置事故应急池、储罐区围堰、喷淋系统、泄漏报警系统等</w:t>
                  </w:r>
                </w:p>
              </w:tc>
              <w:tc>
                <w:tcPr>
                  <w:tcW w:w="706" w:type="pct"/>
                  <w:tcBorders>
                    <w:left w:val="single" w:color="auto" w:sz="4" w:space="0"/>
                  </w:tcBorders>
                  <w:noWrap w:val="0"/>
                  <w:vAlign w:val="center"/>
                </w:tcPr>
                <w:p w14:paraId="4C324874">
                  <w:pPr>
                    <w:pStyle w:val="66"/>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bl>
          <w:p w14:paraId="110FDB82">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（三）项目产品方案</w:t>
            </w:r>
          </w:p>
          <w:p w14:paraId="1B1E3F6D">
            <w:pPr>
              <w:adjustRightInd w:val="0"/>
              <w:snapToGrid w:val="0"/>
              <w:spacing w:line="360" w:lineRule="auto"/>
              <w:ind w:firstLine="480" w:firstLineChars="200"/>
              <w:jc w:val="left"/>
              <w:rPr>
                <w:rFonts w:hint="eastAsia" w:ascii="Times New Roman" w:hAnsi="Times New Roman" w:eastAsia="宋体" w:cs="Times New Roman"/>
                <w:bCs/>
                <w:color w:val="auto"/>
                <w:spacing w:val="0"/>
                <w:kern w:val="2"/>
                <w:sz w:val="24"/>
                <w:szCs w:val="24"/>
                <w:lang w:val="en-US" w:eastAsia="zh-CN" w:bidi="ar-SA"/>
              </w:rPr>
            </w:pPr>
            <w:r>
              <w:rPr>
                <w:rFonts w:hint="eastAsia" w:ascii="Times New Roman" w:hAnsi="Times New Roman" w:eastAsia="宋体" w:cs="Times New Roman"/>
                <w:bCs/>
                <w:color w:val="auto"/>
                <w:spacing w:val="0"/>
                <w:kern w:val="2"/>
                <w:sz w:val="24"/>
                <w:szCs w:val="24"/>
                <w:lang w:val="en-US" w:eastAsia="zh-CN" w:bidi="ar-SA"/>
              </w:rPr>
              <w:t>液化石油气储配站储罐总容积为850m</w:t>
            </w:r>
            <w:r>
              <w:rPr>
                <w:rFonts w:hint="eastAsia" w:ascii="Times New Roman" w:hAnsi="Times New Roman" w:eastAsia="宋体" w:cs="Times New Roman"/>
                <w:bCs/>
                <w:color w:val="auto"/>
                <w:spacing w:val="0"/>
                <w:kern w:val="2"/>
                <w:sz w:val="24"/>
                <w:szCs w:val="24"/>
                <w:vertAlign w:val="superscript"/>
                <w:lang w:val="en-US" w:eastAsia="zh-CN" w:bidi="ar-SA"/>
              </w:rPr>
              <w:t>3</w:t>
            </w:r>
            <w:r>
              <w:rPr>
                <w:rFonts w:hint="eastAsia" w:ascii="Times New Roman" w:hAnsi="Times New Roman" w:eastAsia="宋体" w:cs="Times New Roman"/>
                <w:bCs/>
                <w:color w:val="auto"/>
                <w:spacing w:val="0"/>
                <w:kern w:val="2"/>
                <w:sz w:val="24"/>
                <w:szCs w:val="24"/>
                <w:lang w:val="en-US" w:eastAsia="zh-CN" w:bidi="ar-SA"/>
              </w:rPr>
              <w:t>（其中：200m</w:t>
            </w:r>
            <w:r>
              <w:rPr>
                <w:rFonts w:hint="eastAsia" w:ascii="Times New Roman" w:hAnsi="Times New Roman" w:eastAsia="宋体" w:cs="Times New Roman"/>
                <w:bCs/>
                <w:color w:val="auto"/>
                <w:spacing w:val="0"/>
                <w:kern w:val="2"/>
                <w:sz w:val="24"/>
                <w:szCs w:val="24"/>
                <w:vertAlign w:val="superscript"/>
                <w:lang w:val="en-US" w:eastAsia="zh-CN" w:bidi="ar-SA"/>
              </w:rPr>
              <w:t>3</w:t>
            </w:r>
            <w:r>
              <w:rPr>
                <w:rFonts w:hint="eastAsia" w:ascii="Times New Roman" w:hAnsi="Times New Roman" w:eastAsia="宋体" w:cs="Times New Roman"/>
                <w:bCs/>
                <w:color w:val="auto"/>
                <w:spacing w:val="0"/>
                <w:kern w:val="2"/>
                <w:sz w:val="24"/>
                <w:szCs w:val="24"/>
                <w:lang w:val="en-US" w:eastAsia="zh-CN" w:bidi="ar-SA"/>
              </w:rPr>
              <w:t>卧式储罐4台，50m</w:t>
            </w:r>
            <w:r>
              <w:rPr>
                <w:rFonts w:hint="eastAsia" w:ascii="Times New Roman" w:hAnsi="Times New Roman" w:eastAsia="宋体" w:cs="Times New Roman"/>
                <w:bCs/>
                <w:color w:val="auto"/>
                <w:spacing w:val="0"/>
                <w:kern w:val="2"/>
                <w:sz w:val="24"/>
                <w:szCs w:val="24"/>
                <w:vertAlign w:val="superscript"/>
                <w:lang w:val="en-US" w:eastAsia="zh-CN" w:bidi="ar-SA"/>
              </w:rPr>
              <w:t>3</w:t>
            </w:r>
            <w:r>
              <w:rPr>
                <w:rFonts w:hint="eastAsia" w:ascii="Times New Roman" w:hAnsi="Times New Roman" w:eastAsia="宋体" w:cs="Times New Roman"/>
                <w:bCs/>
                <w:color w:val="auto"/>
                <w:spacing w:val="0"/>
                <w:kern w:val="2"/>
                <w:sz w:val="24"/>
                <w:szCs w:val="24"/>
                <w:lang w:val="en-US" w:eastAsia="zh-CN" w:bidi="ar-SA"/>
              </w:rPr>
              <w:t>卧式残液罐1台）。</w:t>
            </w:r>
            <w:r>
              <w:rPr>
                <w:rFonts w:hint="eastAsia" w:ascii="Times New Roman" w:hAnsi="Times New Roman" w:eastAsia="宋体" w:cs="Times New Roman"/>
                <w:bCs/>
                <w:color w:val="auto"/>
                <w:spacing w:val="0"/>
                <w:kern w:val="2"/>
                <w:sz w:val="24"/>
                <w:szCs w:val="24"/>
                <w:lang w:val="en-US" w:eastAsia="zh-CN" w:bidi="ar-SA"/>
              </w:rPr>
              <w:t>根据项目</w:t>
            </w:r>
            <w:r>
              <w:rPr>
                <w:rFonts w:hint="eastAsia" w:cs="Times New Roman"/>
                <w:bCs/>
                <w:color w:val="auto"/>
                <w:spacing w:val="0"/>
                <w:kern w:val="2"/>
                <w:sz w:val="24"/>
                <w:szCs w:val="24"/>
                <w:lang w:val="en-US" w:eastAsia="zh-CN" w:bidi="ar-SA"/>
              </w:rPr>
              <w:t>产品</w:t>
            </w:r>
            <w:r>
              <w:rPr>
                <w:rFonts w:hint="eastAsia" w:ascii="Times New Roman" w:hAnsi="Times New Roman" w:eastAsia="宋体" w:cs="Times New Roman"/>
                <w:bCs/>
                <w:color w:val="auto"/>
                <w:spacing w:val="0"/>
                <w:kern w:val="2"/>
                <w:sz w:val="24"/>
                <w:szCs w:val="24"/>
                <w:lang w:val="en-US" w:eastAsia="zh-CN" w:bidi="ar-SA"/>
              </w:rPr>
              <w:t>设计方案，年充装储配供应液化石油气</w:t>
            </w:r>
            <w:r>
              <w:rPr>
                <w:rFonts w:hint="eastAsia" w:cs="Times New Roman"/>
                <w:bCs/>
                <w:color w:val="auto"/>
                <w:spacing w:val="0"/>
                <w:kern w:val="2"/>
                <w:sz w:val="24"/>
                <w:szCs w:val="24"/>
                <w:lang w:val="en-US" w:eastAsia="zh-CN" w:bidi="ar-SA"/>
              </w:rPr>
              <w:t>设计</w:t>
            </w:r>
            <w:r>
              <w:rPr>
                <w:rFonts w:hint="eastAsia" w:ascii="Times New Roman" w:hAnsi="Times New Roman" w:eastAsia="宋体" w:cs="Times New Roman"/>
                <w:bCs/>
                <w:color w:val="auto"/>
                <w:spacing w:val="0"/>
                <w:kern w:val="2"/>
                <w:sz w:val="24"/>
                <w:szCs w:val="24"/>
                <w:lang w:val="en-US" w:eastAsia="zh-CN" w:bidi="ar-SA"/>
              </w:rPr>
              <w:t>销售规模4320吨</w:t>
            </w:r>
            <w:r>
              <w:rPr>
                <w:rFonts w:hint="eastAsia" w:cs="Times New Roman"/>
                <w:bCs/>
                <w:color w:val="auto"/>
                <w:spacing w:val="0"/>
                <w:kern w:val="2"/>
                <w:sz w:val="24"/>
                <w:szCs w:val="24"/>
                <w:lang w:val="en-US" w:eastAsia="zh-CN" w:bidi="ar-SA"/>
              </w:rPr>
              <w:t>。</w:t>
            </w:r>
          </w:p>
          <w:p w14:paraId="3BE21E9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1"/>
                <w:szCs w:val="21"/>
                <w:highlight w:val="none"/>
                <w:lang w:val="en-US" w:eastAsia="zh-CN"/>
              </w:rPr>
              <w:t>表2-</w:t>
            </w:r>
            <w:r>
              <w:rPr>
                <w:rFonts w:hint="default" w:ascii="Times New Roman" w:hAnsi="Times New Roman" w:cs="Times New Roman"/>
                <w:b/>
                <w:bCs w:val="0"/>
                <w:color w:val="auto"/>
                <w:sz w:val="21"/>
                <w:szCs w:val="21"/>
                <w:highlight w:val="none"/>
                <w:lang w:eastAsia="zh-CN"/>
              </w:rPr>
              <w:t>2</w:t>
            </w:r>
            <w:r>
              <w:rPr>
                <w:rFonts w:hint="default" w:ascii="Times New Roman" w:hAnsi="Times New Roman" w:cs="Times New Roman"/>
                <w:b/>
                <w:bCs w:val="0"/>
                <w:color w:val="auto"/>
                <w:sz w:val="21"/>
                <w:szCs w:val="21"/>
                <w:highlight w:val="none"/>
                <w:lang w:val="en-US" w:eastAsia="zh-CN"/>
              </w:rPr>
              <w:t>建设项目产品方案</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2906"/>
              <w:gridCol w:w="2844"/>
            </w:tblGrid>
            <w:tr w14:paraId="3FF0A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3" w:type="pct"/>
                  <w:tcBorders>
                    <w:tl2br w:val="nil"/>
                    <w:tr2bl w:val="nil"/>
                  </w:tcBorders>
                  <w:noWrap w:val="0"/>
                  <w:vAlign w:val="center"/>
                </w:tcPr>
                <w:p w14:paraId="38FA4427">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产品名称</w:t>
                  </w:r>
                </w:p>
              </w:tc>
              <w:tc>
                <w:tcPr>
                  <w:tcW w:w="1650" w:type="pct"/>
                  <w:tcBorders>
                    <w:tl2br w:val="nil"/>
                    <w:tr2bl w:val="nil"/>
                  </w:tcBorders>
                  <w:noWrap w:val="0"/>
                  <w:vAlign w:val="center"/>
                </w:tcPr>
                <w:p w14:paraId="00A9CCC3">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单位</w:t>
                  </w:r>
                </w:p>
              </w:tc>
              <w:tc>
                <w:tcPr>
                  <w:tcW w:w="1615" w:type="pct"/>
                  <w:tcBorders>
                    <w:tl2br w:val="nil"/>
                    <w:tr2bl w:val="nil"/>
                  </w:tcBorders>
                  <w:noWrap w:val="0"/>
                  <w:vAlign w:val="center"/>
                </w:tcPr>
                <w:p w14:paraId="12B07083">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年销售</w:t>
                  </w:r>
                  <w:r>
                    <w:rPr>
                      <w:rFonts w:hint="default" w:ascii="Times New Roman" w:hAnsi="Times New Roman" w:cs="Times New Roman"/>
                      <w:b/>
                      <w:bCs/>
                      <w:color w:val="auto"/>
                      <w:sz w:val="21"/>
                      <w:szCs w:val="21"/>
                      <w:highlight w:val="none"/>
                      <w:vertAlign w:val="baseline"/>
                      <w:lang w:val="en-US" w:eastAsia="zh-CN"/>
                    </w:rPr>
                    <w:t>量</w:t>
                  </w:r>
                </w:p>
              </w:tc>
            </w:tr>
            <w:tr w14:paraId="17957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3" w:type="pct"/>
                  <w:tcBorders>
                    <w:tl2br w:val="nil"/>
                    <w:tr2bl w:val="nil"/>
                  </w:tcBorders>
                  <w:noWrap w:val="0"/>
                  <w:vAlign w:val="center"/>
                </w:tcPr>
                <w:p w14:paraId="45F54063">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液化石油气</w:t>
                  </w:r>
                </w:p>
              </w:tc>
              <w:tc>
                <w:tcPr>
                  <w:tcW w:w="1650" w:type="pct"/>
                  <w:tcBorders>
                    <w:tl2br w:val="nil"/>
                    <w:tr2bl w:val="nil"/>
                  </w:tcBorders>
                  <w:noWrap w:val="0"/>
                  <w:vAlign w:val="center"/>
                </w:tcPr>
                <w:p w14:paraId="74378FC0">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t/a</w:t>
                  </w:r>
                </w:p>
              </w:tc>
              <w:tc>
                <w:tcPr>
                  <w:tcW w:w="1615" w:type="pct"/>
                  <w:tcBorders>
                    <w:tl2br w:val="nil"/>
                    <w:tr2bl w:val="nil"/>
                  </w:tcBorders>
                  <w:noWrap w:val="0"/>
                  <w:vAlign w:val="center"/>
                </w:tcPr>
                <w:p w14:paraId="15FD588E">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4320</w:t>
                  </w:r>
                </w:p>
              </w:tc>
            </w:tr>
          </w:tbl>
          <w:p w14:paraId="5467E414">
            <w:pPr>
              <w:pStyle w:val="30"/>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rPr>
                <w:rFonts w:hint="default" w:ascii="Times New Roman" w:hAnsi="Times New Roman" w:eastAsia="宋体" w:cs="Times New Roman"/>
                <w:b/>
                <w:bCs w:val="0"/>
                <w:color w:val="auto"/>
                <w:spacing w:val="0"/>
                <w:kern w:val="2"/>
                <w:sz w:val="24"/>
                <w:szCs w:val="24"/>
                <w:lang w:val="en-US" w:eastAsia="zh-CN" w:bidi="ar-SA"/>
              </w:rPr>
            </w:pPr>
            <w:r>
              <w:rPr>
                <w:rFonts w:hint="default" w:ascii="Times New Roman" w:hAnsi="Times New Roman" w:eastAsia="宋体" w:cs="Times New Roman"/>
                <w:b/>
                <w:bCs w:val="0"/>
                <w:color w:val="auto"/>
                <w:spacing w:val="0"/>
                <w:kern w:val="2"/>
                <w:sz w:val="24"/>
                <w:szCs w:val="24"/>
                <w:lang w:val="en-US" w:eastAsia="zh-CN" w:bidi="ar-SA"/>
              </w:rPr>
              <w:t>（四）原辅材料消耗量</w:t>
            </w:r>
          </w:p>
          <w:p w14:paraId="2A4A6CC8">
            <w:pPr>
              <w:pStyle w:val="91"/>
              <w:keepNext w:val="0"/>
              <w:keepLines w:val="0"/>
              <w:pageBreakBefore w:val="0"/>
              <w:widowControl w:val="0"/>
              <w:kinsoku/>
              <w:wordWrap/>
              <w:overflowPunct/>
              <w:topLinePunct w:val="0"/>
              <w:autoSpaceDE/>
              <w:autoSpaceDN/>
              <w:bidi w:val="0"/>
              <w:adjustRightInd w:val="0"/>
              <w:spacing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项目主要原辅材料及能耗情况见下表。</w:t>
            </w:r>
          </w:p>
          <w:p w14:paraId="49D4F1A5">
            <w:pPr>
              <w:pStyle w:val="92"/>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2-3</w:t>
            </w:r>
            <w:r>
              <w:rPr>
                <w:rFonts w:hint="default" w:ascii="Times New Roman" w:hAnsi="Times New Roman" w:cs="Times New Roman"/>
                <w:color w:val="auto"/>
              </w:rPr>
              <w:t>主要原辅材料及能耗情况表</w:t>
            </w:r>
          </w:p>
          <w:tbl>
            <w:tblPr>
              <w:tblStyle w:val="3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460"/>
              <w:gridCol w:w="1148"/>
              <w:gridCol w:w="1756"/>
              <w:gridCol w:w="1525"/>
              <w:gridCol w:w="1965"/>
            </w:tblGrid>
            <w:tr w14:paraId="59CF9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noWrap w:val="0"/>
                  <w:vAlign w:val="center"/>
                </w:tcPr>
                <w:p w14:paraId="7E2759BA">
                  <w:pPr>
                    <w:pStyle w:val="91"/>
                    <w:spacing w:line="240" w:lineRule="auto"/>
                    <w:ind w:left="0" w:right="0" w:firstLine="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项目</w:t>
                  </w:r>
                </w:p>
              </w:tc>
              <w:tc>
                <w:tcPr>
                  <w:tcW w:w="829" w:type="pct"/>
                  <w:noWrap w:val="0"/>
                  <w:vAlign w:val="center"/>
                </w:tcPr>
                <w:p w14:paraId="5D2515A7">
                  <w:pPr>
                    <w:pStyle w:val="91"/>
                    <w:spacing w:line="240" w:lineRule="auto"/>
                    <w:ind w:left="0" w:right="0" w:firstLine="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名称</w:t>
                  </w:r>
                </w:p>
              </w:tc>
              <w:tc>
                <w:tcPr>
                  <w:tcW w:w="652" w:type="pct"/>
                  <w:noWrap w:val="0"/>
                  <w:vAlign w:val="center"/>
                </w:tcPr>
                <w:p w14:paraId="07F5664E">
                  <w:pPr>
                    <w:pStyle w:val="91"/>
                    <w:spacing w:line="240" w:lineRule="auto"/>
                    <w:ind w:left="0" w:right="0" w:firstLine="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单位</w:t>
                  </w:r>
                </w:p>
              </w:tc>
              <w:tc>
                <w:tcPr>
                  <w:tcW w:w="997" w:type="pct"/>
                  <w:noWrap w:val="0"/>
                  <w:vAlign w:val="center"/>
                </w:tcPr>
                <w:p w14:paraId="718A82D7">
                  <w:pPr>
                    <w:pStyle w:val="91"/>
                    <w:spacing w:line="240" w:lineRule="auto"/>
                    <w:ind w:left="0" w:right="0" w:firstLine="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年销售（耗）量</w:t>
                  </w:r>
                </w:p>
              </w:tc>
              <w:tc>
                <w:tcPr>
                  <w:tcW w:w="866" w:type="pct"/>
                  <w:noWrap w:val="0"/>
                  <w:vAlign w:val="center"/>
                </w:tcPr>
                <w:p w14:paraId="1EFDDB53">
                  <w:pPr>
                    <w:pStyle w:val="91"/>
                    <w:spacing w:line="240" w:lineRule="auto"/>
                    <w:ind w:left="0" w:right="0" w:firstLine="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lang w:val="en-US" w:eastAsia="zh-CN"/>
                    </w:rPr>
                    <w:t>最大存储量</w:t>
                  </w:r>
                </w:p>
              </w:tc>
              <w:tc>
                <w:tcPr>
                  <w:tcW w:w="1116" w:type="pct"/>
                  <w:noWrap w:val="0"/>
                  <w:vAlign w:val="center"/>
                </w:tcPr>
                <w:p w14:paraId="383F1BC3">
                  <w:pPr>
                    <w:pStyle w:val="91"/>
                    <w:spacing w:line="240" w:lineRule="auto"/>
                    <w:ind w:left="0" w:right="0" w:firstLine="0"/>
                    <w:jc w:val="center"/>
                    <w:rPr>
                      <w:rFonts w:hint="default" w:ascii="Times New Roman" w:hAnsi="Times New Roman" w:eastAsia="宋体" w:cs="Times New Roman"/>
                      <w:b/>
                      <w:bCs/>
                      <w:snapToGrid w:val="0"/>
                      <w:color w:val="auto"/>
                      <w:sz w:val="21"/>
                      <w:szCs w:val="21"/>
                    </w:rPr>
                  </w:pPr>
                  <w:r>
                    <w:rPr>
                      <w:rFonts w:hint="default" w:ascii="Times New Roman" w:hAnsi="Times New Roman" w:eastAsia="宋体" w:cs="Times New Roman"/>
                      <w:b/>
                      <w:bCs/>
                      <w:snapToGrid w:val="0"/>
                      <w:color w:val="auto"/>
                      <w:sz w:val="21"/>
                      <w:szCs w:val="21"/>
                    </w:rPr>
                    <w:t>来源</w:t>
                  </w:r>
                </w:p>
              </w:tc>
            </w:tr>
            <w:tr w14:paraId="75C10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noWrap w:val="0"/>
                  <w:vAlign w:val="center"/>
                </w:tcPr>
                <w:p w14:paraId="20648103">
                  <w:pPr>
                    <w:pStyle w:val="91"/>
                    <w:spacing w:line="240" w:lineRule="auto"/>
                    <w:ind w:left="0" w:right="0" w:firstLine="0"/>
                    <w:jc w:val="center"/>
                    <w:rPr>
                      <w:rFonts w:hint="default" w:ascii="Times New Roman" w:hAnsi="Times New Roman" w:eastAsia="宋体" w:cs="Times New Roman"/>
                      <w:snapToGrid w:val="0"/>
                      <w:color w:val="auto"/>
                      <w:sz w:val="21"/>
                      <w:szCs w:val="21"/>
                    </w:rPr>
                  </w:pPr>
                  <w:r>
                    <w:rPr>
                      <w:rFonts w:hint="default" w:ascii="Times New Roman" w:hAnsi="Times New Roman" w:cs="Times New Roman"/>
                      <w:snapToGrid w:val="0"/>
                      <w:color w:val="auto"/>
                      <w:sz w:val="21"/>
                      <w:szCs w:val="21"/>
                      <w:lang w:val="en-US" w:eastAsia="zh-CN"/>
                    </w:rPr>
                    <w:t>主</w:t>
                  </w:r>
                  <w:r>
                    <w:rPr>
                      <w:rFonts w:hint="default" w:ascii="Times New Roman" w:hAnsi="Times New Roman" w:eastAsia="宋体" w:cs="Times New Roman"/>
                      <w:snapToGrid w:val="0"/>
                      <w:color w:val="auto"/>
                      <w:sz w:val="21"/>
                      <w:szCs w:val="21"/>
                    </w:rPr>
                    <w:t>料</w:t>
                  </w:r>
                </w:p>
              </w:tc>
              <w:tc>
                <w:tcPr>
                  <w:tcW w:w="829" w:type="pct"/>
                  <w:noWrap w:val="0"/>
                  <w:vAlign w:val="center"/>
                </w:tcPr>
                <w:p w14:paraId="4FDDD2F4">
                  <w:pPr>
                    <w:pStyle w:val="91"/>
                    <w:spacing w:line="240" w:lineRule="auto"/>
                    <w:ind w:left="0" w:right="0" w:firstLine="0"/>
                    <w:jc w:val="center"/>
                    <w:rPr>
                      <w:rFonts w:hint="default" w:ascii="Times New Roman" w:hAnsi="Times New Roman" w:eastAsia="宋体" w:cs="Times New Roman"/>
                      <w:snapToGrid w:val="0"/>
                      <w:color w:val="auto"/>
                      <w:sz w:val="21"/>
                      <w:szCs w:val="21"/>
                      <w:lang w:eastAsia="zh-CN"/>
                    </w:rPr>
                  </w:pPr>
                  <w:r>
                    <w:rPr>
                      <w:rFonts w:hint="default" w:ascii="Times New Roman" w:hAnsi="Times New Roman" w:cs="Times New Roman"/>
                      <w:snapToGrid w:val="0"/>
                      <w:color w:val="auto"/>
                      <w:sz w:val="21"/>
                      <w:szCs w:val="21"/>
                      <w:lang w:val="en-US" w:eastAsia="zh-CN"/>
                    </w:rPr>
                    <w:t>液化石油气</w:t>
                  </w:r>
                </w:p>
              </w:tc>
              <w:tc>
                <w:tcPr>
                  <w:tcW w:w="652" w:type="pct"/>
                  <w:noWrap w:val="0"/>
                  <w:vAlign w:val="center"/>
                </w:tcPr>
                <w:p w14:paraId="3F2CB355">
                  <w:pPr>
                    <w:pStyle w:val="91"/>
                    <w:spacing w:line="240" w:lineRule="auto"/>
                    <w:ind w:left="0" w:right="0" w:firstLine="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t/a</w:t>
                  </w:r>
                </w:p>
              </w:tc>
              <w:tc>
                <w:tcPr>
                  <w:tcW w:w="997" w:type="pct"/>
                  <w:noWrap w:val="0"/>
                  <w:vAlign w:val="center"/>
                </w:tcPr>
                <w:p w14:paraId="18AB0CA3">
                  <w:pPr>
                    <w:pStyle w:val="91"/>
                    <w:spacing w:line="240" w:lineRule="auto"/>
                    <w:ind w:left="0" w:right="0" w:firstLine="0"/>
                    <w:jc w:val="center"/>
                    <w:rPr>
                      <w:rFonts w:hint="default" w:ascii="Times New Roman" w:hAnsi="Times New Roman" w:cs="Times New Roman"/>
                      <w:snapToGrid w:val="0"/>
                      <w:color w:val="auto"/>
                      <w:sz w:val="21"/>
                      <w:szCs w:val="21"/>
                      <w:lang w:val="en-US" w:eastAsia="zh-CN"/>
                    </w:rPr>
                  </w:pPr>
                  <w:r>
                    <w:rPr>
                      <w:rFonts w:hint="eastAsia" w:cs="Times New Roman"/>
                      <w:color w:val="auto"/>
                      <w:sz w:val="21"/>
                      <w:szCs w:val="21"/>
                      <w:highlight w:val="none"/>
                      <w:vertAlign w:val="baseline"/>
                      <w:lang w:val="en-US" w:eastAsia="zh-CN"/>
                    </w:rPr>
                    <w:t>4320</w:t>
                  </w:r>
                </w:p>
              </w:tc>
              <w:tc>
                <w:tcPr>
                  <w:tcW w:w="866" w:type="pct"/>
                  <w:noWrap w:val="0"/>
                  <w:vAlign w:val="center"/>
                </w:tcPr>
                <w:p w14:paraId="11FF8699">
                  <w:pPr>
                    <w:pStyle w:val="91"/>
                    <w:spacing w:line="240" w:lineRule="auto"/>
                    <w:ind w:left="0" w:right="0" w:firstLine="0"/>
                    <w:jc w:val="center"/>
                    <w:rPr>
                      <w:rFonts w:hint="default" w:ascii="Times New Roman" w:hAnsi="Times New Roman"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419</w:t>
                  </w:r>
                </w:p>
              </w:tc>
              <w:tc>
                <w:tcPr>
                  <w:tcW w:w="1116" w:type="pct"/>
                  <w:noWrap w:val="0"/>
                  <w:vAlign w:val="center"/>
                </w:tcPr>
                <w:p w14:paraId="688740EC">
                  <w:pPr>
                    <w:pStyle w:val="91"/>
                    <w:spacing w:line="240" w:lineRule="auto"/>
                    <w:ind w:left="0" w:right="0" w:firstLine="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外购</w:t>
                  </w:r>
                </w:p>
              </w:tc>
            </w:tr>
            <w:tr w14:paraId="5DA2C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19A2D157">
                  <w:pPr>
                    <w:pStyle w:val="91"/>
                    <w:spacing w:line="240" w:lineRule="auto"/>
                    <w:ind w:left="0" w:right="0" w:firstLine="0"/>
                    <w:jc w:val="center"/>
                    <w:rPr>
                      <w:rFonts w:hint="default" w:ascii="Times New Roman" w:hAnsi="Times New Roman" w:cs="Times New Roman"/>
                      <w:snapToGrid w:val="0"/>
                      <w:color w:val="auto"/>
                      <w:sz w:val="21"/>
                      <w:szCs w:val="21"/>
                      <w:lang w:val="en-US" w:eastAsia="zh-CN"/>
                    </w:rPr>
                  </w:pPr>
                </w:p>
              </w:tc>
              <w:tc>
                <w:tcPr>
                  <w:tcW w:w="829" w:type="pct"/>
                  <w:noWrap w:val="0"/>
                  <w:vAlign w:val="center"/>
                </w:tcPr>
                <w:p w14:paraId="05B6DF38">
                  <w:pPr>
                    <w:pStyle w:val="91"/>
                    <w:spacing w:line="240" w:lineRule="auto"/>
                    <w:ind w:left="0" w:right="0" w:firstLine="0"/>
                    <w:jc w:val="center"/>
                    <w:rPr>
                      <w:rFonts w:hint="default" w:ascii="Times New Roman" w:hAnsi="Times New Roman" w:cs="Times New Roman"/>
                      <w:snapToGrid w:val="0"/>
                      <w:color w:val="auto"/>
                      <w:sz w:val="21"/>
                      <w:szCs w:val="21"/>
                      <w:lang w:val="en-US" w:eastAsia="zh-CN"/>
                    </w:rPr>
                  </w:pPr>
                  <w:r>
                    <w:rPr>
                      <w:rFonts w:hint="eastAsia"/>
                      <w:color w:val="auto"/>
                      <w:szCs w:val="21"/>
                    </w:rPr>
                    <w:t>钢瓶</w:t>
                  </w:r>
                </w:p>
              </w:tc>
              <w:tc>
                <w:tcPr>
                  <w:tcW w:w="652" w:type="pct"/>
                  <w:noWrap w:val="0"/>
                  <w:vAlign w:val="center"/>
                </w:tcPr>
                <w:p w14:paraId="779F796E">
                  <w:pPr>
                    <w:pStyle w:val="91"/>
                    <w:spacing w:line="240" w:lineRule="auto"/>
                    <w:ind w:left="0" w:right="0" w:firstLine="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t/a</w:t>
                  </w:r>
                </w:p>
              </w:tc>
              <w:tc>
                <w:tcPr>
                  <w:tcW w:w="997" w:type="pct"/>
                  <w:noWrap w:val="0"/>
                  <w:vAlign w:val="center"/>
                </w:tcPr>
                <w:p w14:paraId="3AF9C561">
                  <w:pPr>
                    <w:pStyle w:val="91"/>
                    <w:spacing w:line="240" w:lineRule="auto"/>
                    <w:ind w:left="0" w:right="0" w:firstLine="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5000个</w:t>
                  </w:r>
                </w:p>
              </w:tc>
              <w:tc>
                <w:tcPr>
                  <w:tcW w:w="866" w:type="pct"/>
                  <w:noWrap w:val="0"/>
                  <w:vAlign w:val="center"/>
                </w:tcPr>
                <w:p w14:paraId="6EAD3398">
                  <w:pPr>
                    <w:pStyle w:val="91"/>
                    <w:spacing w:line="240" w:lineRule="auto"/>
                    <w:ind w:left="0" w:right="0" w:firstLine="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1000个</w:t>
                  </w:r>
                </w:p>
              </w:tc>
              <w:tc>
                <w:tcPr>
                  <w:tcW w:w="1116" w:type="pct"/>
                  <w:noWrap w:val="0"/>
                  <w:vAlign w:val="center"/>
                </w:tcPr>
                <w:p w14:paraId="4D9649F5">
                  <w:pPr>
                    <w:pStyle w:val="91"/>
                    <w:spacing w:line="240" w:lineRule="auto"/>
                    <w:ind w:left="0" w:right="0" w:firstLine="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外购</w:t>
                  </w:r>
                </w:p>
              </w:tc>
            </w:tr>
            <w:tr w14:paraId="339C2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noWrap w:val="0"/>
                  <w:vAlign w:val="center"/>
                </w:tcPr>
                <w:p w14:paraId="3A5F7BCF">
                  <w:pPr>
                    <w:pStyle w:val="91"/>
                    <w:spacing w:line="240" w:lineRule="auto"/>
                    <w:ind w:left="0" w:right="0" w:firstLine="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能耗</w:t>
                  </w:r>
                </w:p>
              </w:tc>
              <w:tc>
                <w:tcPr>
                  <w:tcW w:w="829" w:type="pct"/>
                  <w:noWrap w:val="0"/>
                  <w:vAlign w:val="center"/>
                </w:tcPr>
                <w:p w14:paraId="6898DB6B">
                  <w:pPr>
                    <w:pStyle w:val="91"/>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水</w:t>
                  </w:r>
                </w:p>
              </w:tc>
              <w:tc>
                <w:tcPr>
                  <w:tcW w:w="652" w:type="pct"/>
                  <w:noWrap w:val="0"/>
                  <w:vAlign w:val="center"/>
                </w:tcPr>
                <w:p w14:paraId="777F3CD1">
                  <w:pPr>
                    <w:spacing w:line="240" w:lineRule="auto"/>
                    <w:ind w:firstLine="0" w:firstLineChars="0"/>
                    <w:jc w:val="center"/>
                    <w:rPr>
                      <w:rFonts w:hint="default" w:ascii="Times New Roman" w:hAnsi="Times New Roman" w:eastAsia="宋体" w:cs="Times New Roman"/>
                      <w:snapToGrid w:val="0"/>
                      <w:color w:val="auto"/>
                      <w:spacing w:val="0"/>
                      <w:kern w:val="0"/>
                      <w:sz w:val="21"/>
                      <w:szCs w:val="21"/>
                    </w:rPr>
                  </w:pPr>
                  <w:r>
                    <w:rPr>
                      <w:rFonts w:hint="default" w:ascii="Times New Roman" w:hAnsi="Times New Roman" w:eastAsia="宋体" w:cs="Times New Roman"/>
                      <w:snapToGrid w:val="0"/>
                      <w:color w:val="auto"/>
                      <w:spacing w:val="0"/>
                      <w:kern w:val="0"/>
                      <w:sz w:val="21"/>
                      <w:szCs w:val="21"/>
                    </w:rPr>
                    <w:t>t/a</w:t>
                  </w:r>
                </w:p>
              </w:tc>
              <w:tc>
                <w:tcPr>
                  <w:tcW w:w="997" w:type="pct"/>
                  <w:noWrap w:val="0"/>
                  <w:vAlign w:val="center"/>
                </w:tcPr>
                <w:p w14:paraId="4425C015">
                  <w:pPr>
                    <w:pStyle w:val="91"/>
                    <w:spacing w:line="240" w:lineRule="auto"/>
                    <w:ind w:left="0" w:right="0" w:firstLine="0"/>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lang w:val="en-US" w:eastAsia="zh-CN"/>
                    </w:rPr>
                    <w:t>3300</w:t>
                  </w:r>
                </w:p>
              </w:tc>
              <w:tc>
                <w:tcPr>
                  <w:tcW w:w="866" w:type="pct"/>
                  <w:noWrap w:val="0"/>
                  <w:vAlign w:val="center"/>
                </w:tcPr>
                <w:p w14:paraId="7093CA14">
                  <w:pPr>
                    <w:pStyle w:val="91"/>
                    <w:spacing w:line="240" w:lineRule="auto"/>
                    <w:ind w:left="0" w:right="0" w:firstLine="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w:t>
                  </w:r>
                </w:p>
              </w:tc>
              <w:tc>
                <w:tcPr>
                  <w:tcW w:w="1116" w:type="pct"/>
                  <w:noWrap w:val="0"/>
                  <w:vAlign w:val="center"/>
                </w:tcPr>
                <w:p w14:paraId="77FBF711">
                  <w:pPr>
                    <w:pStyle w:val="91"/>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当地自来水管网</w:t>
                  </w:r>
                  <w:r>
                    <w:rPr>
                      <w:rFonts w:hint="default" w:ascii="Times New Roman" w:hAnsi="Times New Roman" w:eastAsia="宋体" w:cs="Times New Roman"/>
                      <w:snapToGrid w:val="0"/>
                      <w:color w:val="auto"/>
                      <w:sz w:val="21"/>
                      <w:szCs w:val="21"/>
                    </w:rPr>
                    <w:t>供给</w:t>
                  </w:r>
                </w:p>
              </w:tc>
            </w:tr>
            <w:tr w14:paraId="11C9F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4E7CA57B">
                  <w:pPr>
                    <w:pStyle w:val="91"/>
                    <w:spacing w:line="240" w:lineRule="auto"/>
                    <w:ind w:left="0" w:right="0" w:firstLine="0"/>
                    <w:jc w:val="center"/>
                    <w:rPr>
                      <w:rFonts w:hint="default" w:ascii="Times New Roman" w:hAnsi="Times New Roman" w:eastAsia="宋体" w:cs="Times New Roman"/>
                      <w:snapToGrid w:val="0"/>
                      <w:color w:val="auto"/>
                      <w:sz w:val="21"/>
                      <w:szCs w:val="21"/>
                    </w:rPr>
                  </w:pPr>
                </w:p>
              </w:tc>
              <w:tc>
                <w:tcPr>
                  <w:tcW w:w="829" w:type="pct"/>
                  <w:noWrap w:val="0"/>
                  <w:vAlign w:val="center"/>
                </w:tcPr>
                <w:p w14:paraId="15CDC60A">
                  <w:pPr>
                    <w:pStyle w:val="91"/>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电</w:t>
                  </w:r>
                </w:p>
              </w:tc>
              <w:tc>
                <w:tcPr>
                  <w:tcW w:w="652" w:type="pct"/>
                  <w:noWrap w:val="0"/>
                  <w:vAlign w:val="center"/>
                </w:tcPr>
                <w:p w14:paraId="4EF98136">
                  <w:pPr>
                    <w:spacing w:line="240" w:lineRule="auto"/>
                    <w:ind w:firstLine="0" w:firstLineChars="0"/>
                    <w:jc w:val="center"/>
                    <w:rPr>
                      <w:rFonts w:hint="default" w:ascii="Times New Roman" w:hAnsi="Times New Roman" w:eastAsia="宋体" w:cs="Times New Roman"/>
                      <w:snapToGrid w:val="0"/>
                      <w:color w:val="auto"/>
                      <w:spacing w:val="0"/>
                      <w:kern w:val="0"/>
                      <w:sz w:val="21"/>
                      <w:szCs w:val="21"/>
                      <w:lang w:eastAsia="zh-CN"/>
                    </w:rPr>
                  </w:pPr>
                  <w:r>
                    <w:rPr>
                      <w:rFonts w:hint="default" w:ascii="Times New Roman" w:hAnsi="Times New Roman" w:cs="Times New Roman"/>
                      <w:snapToGrid w:val="0"/>
                      <w:color w:val="auto"/>
                      <w:kern w:val="0"/>
                      <w:sz w:val="21"/>
                      <w:szCs w:val="21"/>
                      <w:lang w:val="en-US" w:eastAsia="zh-CN"/>
                    </w:rPr>
                    <w:t>万</w:t>
                  </w:r>
                  <w:r>
                    <w:rPr>
                      <w:rFonts w:hint="default" w:ascii="Times New Roman" w:hAnsi="Times New Roman" w:cs="Times New Roman"/>
                      <w:snapToGrid w:val="0"/>
                      <w:color w:val="auto"/>
                      <w:kern w:val="0"/>
                      <w:sz w:val="21"/>
                      <w:szCs w:val="21"/>
                    </w:rPr>
                    <w:t>kwh/</w:t>
                  </w:r>
                  <w:r>
                    <w:rPr>
                      <w:rFonts w:hint="default" w:ascii="Times New Roman" w:hAnsi="Times New Roman" w:cs="Times New Roman"/>
                      <w:snapToGrid w:val="0"/>
                      <w:color w:val="auto"/>
                      <w:kern w:val="0"/>
                      <w:sz w:val="21"/>
                      <w:szCs w:val="21"/>
                      <w:lang w:val="en-US" w:eastAsia="zh-CN"/>
                    </w:rPr>
                    <w:t>a</w:t>
                  </w:r>
                </w:p>
              </w:tc>
              <w:tc>
                <w:tcPr>
                  <w:tcW w:w="997" w:type="pct"/>
                  <w:noWrap w:val="0"/>
                  <w:vAlign w:val="center"/>
                </w:tcPr>
                <w:p w14:paraId="41D02C5B">
                  <w:pPr>
                    <w:pStyle w:val="91"/>
                    <w:spacing w:line="240" w:lineRule="auto"/>
                    <w:ind w:left="0" w:right="0" w:firstLine="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5</w:t>
                  </w:r>
                  <w:r>
                    <w:rPr>
                      <w:rFonts w:hint="default" w:ascii="Times New Roman" w:hAnsi="Times New Roman" w:eastAsia="宋体" w:cs="Times New Roman"/>
                      <w:snapToGrid w:val="0"/>
                      <w:color w:val="auto"/>
                      <w:sz w:val="21"/>
                      <w:szCs w:val="21"/>
                      <w:highlight w:val="none"/>
                      <w:lang w:val="en-US" w:eastAsia="zh-CN"/>
                    </w:rPr>
                    <w:t>.34</w:t>
                  </w:r>
                </w:p>
              </w:tc>
              <w:tc>
                <w:tcPr>
                  <w:tcW w:w="866" w:type="pct"/>
                  <w:noWrap w:val="0"/>
                  <w:vAlign w:val="center"/>
                </w:tcPr>
                <w:p w14:paraId="77E90041">
                  <w:pPr>
                    <w:pStyle w:val="91"/>
                    <w:spacing w:line="240" w:lineRule="auto"/>
                    <w:ind w:left="0" w:right="0" w:firstLine="0"/>
                    <w:jc w:val="center"/>
                    <w:rPr>
                      <w:rFonts w:hint="default" w:ascii="Times New Roman" w:hAnsi="Times New Roman"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w:t>
                  </w:r>
                </w:p>
              </w:tc>
              <w:tc>
                <w:tcPr>
                  <w:tcW w:w="1116" w:type="pct"/>
                  <w:noWrap w:val="0"/>
                  <w:vAlign w:val="center"/>
                </w:tcPr>
                <w:p w14:paraId="02AE118B">
                  <w:pPr>
                    <w:pStyle w:val="91"/>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当地供电部门供给</w:t>
                  </w:r>
                </w:p>
              </w:tc>
            </w:tr>
            <w:tr w14:paraId="77D87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478C913A">
                  <w:pPr>
                    <w:pStyle w:val="91"/>
                    <w:spacing w:line="240" w:lineRule="auto"/>
                    <w:ind w:left="0" w:right="0" w:firstLine="0"/>
                    <w:jc w:val="center"/>
                    <w:rPr>
                      <w:rFonts w:hint="default" w:ascii="Times New Roman" w:hAnsi="Times New Roman" w:eastAsia="宋体" w:cs="Times New Roman"/>
                      <w:snapToGrid w:val="0"/>
                      <w:color w:val="auto"/>
                      <w:sz w:val="21"/>
                      <w:szCs w:val="21"/>
                    </w:rPr>
                  </w:pPr>
                </w:p>
              </w:tc>
              <w:tc>
                <w:tcPr>
                  <w:tcW w:w="829" w:type="pct"/>
                  <w:noWrap w:val="0"/>
                  <w:vAlign w:val="center"/>
                </w:tcPr>
                <w:p w14:paraId="7FFA96BE">
                  <w:pPr>
                    <w:pStyle w:val="91"/>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柴油</w:t>
                  </w:r>
                </w:p>
              </w:tc>
              <w:tc>
                <w:tcPr>
                  <w:tcW w:w="652" w:type="pct"/>
                  <w:noWrap w:val="0"/>
                  <w:vAlign w:val="center"/>
                </w:tcPr>
                <w:p w14:paraId="62830AEB">
                  <w:pPr>
                    <w:spacing w:line="240" w:lineRule="auto"/>
                    <w:ind w:firstLine="0" w:firstLineChars="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eastAsia="宋体" w:cs="Times New Roman"/>
                      <w:snapToGrid w:val="0"/>
                      <w:color w:val="auto"/>
                      <w:spacing w:val="0"/>
                      <w:kern w:val="0"/>
                      <w:sz w:val="21"/>
                      <w:szCs w:val="21"/>
                    </w:rPr>
                    <w:t>t/a</w:t>
                  </w:r>
                </w:p>
              </w:tc>
              <w:tc>
                <w:tcPr>
                  <w:tcW w:w="997" w:type="pct"/>
                  <w:noWrap w:val="0"/>
                  <w:vAlign w:val="center"/>
                </w:tcPr>
                <w:p w14:paraId="170E4D61">
                  <w:pPr>
                    <w:pStyle w:val="91"/>
                    <w:spacing w:line="240" w:lineRule="auto"/>
                    <w:ind w:left="0" w:right="0" w:firstLine="0"/>
                    <w:jc w:val="center"/>
                    <w:rPr>
                      <w:rFonts w:hint="default" w:ascii="Times New Roman" w:hAnsi="Times New Roman"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0.025</w:t>
                  </w:r>
                </w:p>
              </w:tc>
              <w:tc>
                <w:tcPr>
                  <w:tcW w:w="866" w:type="pct"/>
                  <w:noWrap w:val="0"/>
                  <w:vAlign w:val="center"/>
                </w:tcPr>
                <w:p w14:paraId="574880B1">
                  <w:pPr>
                    <w:pStyle w:val="91"/>
                    <w:spacing w:line="240" w:lineRule="auto"/>
                    <w:ind w:left="0" w:right="0" w:firstLine="0"/>
                    <w:jc w:val="center"/>
                    <w:rPr>
                      <w:rFonts w:hint="default"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0.025</w:t>
                  </w:r>
                </w:p>
              </w:tc>
              <w:tc>
                <w:tcPr>
                  <w:tcW w:w="1116" w:type="pct"/>
                  <w:noWrap w:val="0"/>
                  <w:vAlign w:val="center"/>
                </w:tcPr>
                <w:p w14:paraId="7ABF7C5E">
                  <w:pPr>
                    <w:pStyle w:val="91"/>
                    <w:spacing w:line="240" w:lineRule="auto"/>
                    <w:ind w:left="0" w:leftChars="0" w:right="0" w:rightChars="0" w:firstLine="0" w:firstLineChars="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lang w:val="en-US" w:eastAsia="zh-CN"/>
                    </w:rPr>
                    <w:t>外购</w:t>
                  </w:r>
                </w:p>
              </w:tc>
            </w:tr>
            <w:tr w14:paraId="5723F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4AB73082">
                  <w:pPr>
                    <w:pStyle w:val="91"/>
                    <w:spacing w:line="240" w:lineRule="auto"/>
                    <w:ind w:left="0" w:right="0" w:firstLine="0"/>
                    <w:jc w:val="center"/>
                    <w:rPr>
                      <w:rFonts w:hint="default" w:ascii="Times New Roman" w:hAnsi="Times New Roman" w:eastAsia="宋体" w:cs="Times New Roman"/>
                      <w:snapToGrid w:val="0"/>
                      <w:color w:val="auto"/>
                      <w:sz w:val="21"/>
                      <w:szCs w:val="21"/>
                    </w:rPr>
                  </w:pPr>
                </w:p>
              </w:tc>
              <w:tc>
                <w:tcPr>
                  <w:tcW w:w="829" w:type="pct"/>
                  <w:shd w:val="clear" w:color="auto" w:fill="auto"/>
                  <w:noWrap w:val="0"/>
                  <w:vAlign w:val="top"/>
                </w:tcPr>
                <w:p w14:paraId="3D795BCE">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润滑机油</w:t>
                  </w:r>
                </w:p>
              </w:tc>
              <w:tc>
                <w:tcPr>
                  <w:tcW w:w="652" w:type="pct"/>
                  <w:shd w:val="clear" w:color="auto" w:fill="auto"/>
                  <w:noWrap w:val="0"/>
                  <w:vAlign w:val="center"/>
                </w:tcPr>
                <w:p w14:paraId="18A9C1F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t/a</w:t>
                  </w:r>
                </w:p>
              </w:tc>
              <w:tc>
                <w:tcPr>
                  <w:tcW w:w="997" w:type="pct"/>
                  <w:shd w:val="clear" w:color="auto" w:fill="auto"/>
                  <w:noWrap w:val="0"/>
                  <w:vAlign w:val="center"/>
                </w:tcPr>
                <w:p w14:paraId="69B13E7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w:t>
                  </w:r>
                  <w:r>
                    <w:rPr>
                      <w:rFonts w:hint="eastAsia" w:ascii="Times New Roman" w:hAnsi="Times New Roman" w:eastAsia="等线" w:cs="Times New Roman"/>
                      <w:i w:val="0"/>
                      <w:iCs w:val="0"/>
                      <w:color w:val="auto"/>
                      <w:kern w:val="0"/>
                      <w:sz w:val="21"/>
                      <w:szCs w:val="21"/>
                      <w:u w:val="none"/>
                      <w:lang w:val="en-US" w:eastAsia="zh-CN" w:bidi="ar"/>
                    </w:rPr>
                    <w:t>5</w:t>
                  </w:r>
                </w:p>
              </w:tc>
              <w:tc>
                <w:tcPr>
                  <w:tcW w:w="866" w:type="pct"/>
                  <w:shd w:val="clear" w:color="auto" w:fill="auto"/>
                  <w:noWrap w:val="0"/>
                  <w:vAlign w:val="center"/>
                </w:tcPr>
                <w:p w14:paraId="5421AFAF">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0.2</w:t>
                  </w:r>
                </w:p>
              </w:tc>
              <w:tc>
                <w:tcPr>
                  <w:tcW w:w="1116" w:type="pct"/>
                  <w:shd w:val="clear" w:color="auto" w:fill="auto"/>
                  <w:noWrap w:val="0"/>
                  <w:vAlign w:val="center"/>
                </w:tcPr>
                <w:p w14:paraId="7320CCC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外购</w:t>
                  </w:r>
                </w:p>
              </w:tc>
            </w:tr>
          </w:tbl>
          <w:p w14:paraId="38F31265">
            <w:pPr>
              <w:adjustRightInd w:val="0"/>
              <w:snapToGrid w:val="0"/>
              <w:spacing w:line="240" w:lineRule="auto"/>
              <w:ind w:firstLine="420" w:firstLineChars="200"/>
              <w:jc w:val="left"/>
              <w:rPr>
                <w:rFonts w:hint="default" w:ascii="Times New Roman" w:hAnsi="Times New Roman" w:eastAsia="宋体" w:cs="Times New Roman"/>
                <w:b/>
                <w:bCs/>
                <w:color w:val="auto"/>
                <w:spacing w:val="-1"/>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注：本项目</w:t>
            </w:r>
            <w:r>
              <w:rPr>
                <w:rFonts w:hint="eastAsia" w:ascii="Times New Roman" w:hAnsi="Times New Roman" w:eastAsia="宋体" w:cs="Times New Roman"/>
                <w:bCs/>
                <w:color w:val="auto"/>
                <w:spacing w:val="0"/>
                <w:kern w:val="2"/>
                <w:sz w:val="21"/>
                <w:szCs w:val="21"/>
                <w:highlight w:val="none"/>
                <w:lang w:val="en-US" w:eastAsia="zh-CN" w:bidi="ar-SA"/>
              </w:rPr>
              <w:t>液化石油气储配站储罐总容积为850m</w:t>
            </w:r>
            <w:r>
              <w:rPr>
                <w:rFonts w:hint="eastAsia" w:ascii="Times New Roman" w:hAnsi="Times New Roman" w:eastAsia="宋体" w:cs="Times New Roman"/>
                <w:bCs/>
                <w:color w:val="auto"/>
                <w:spacing w:val="0"/>
                <w:kern w:val="2"/>
                <w:sz w:val="21"/>
                <w:szCs w:val="21"/>
                <w:highlight w:val="none"/>
                <w:vertAlign w:val="superscript"/>
                <w:lang w:val="en-US" w:eastAsia="zh-CN" w:bidi="ar-SA"/>
              </w:rPr>
              <w:t>3</w:t>
            </w:r>
            <w:r>
              <w:rPr>
                <w:rFonts w:hint="eastAsia" w:ascii="Times New Roman" w:hAnsi="Times New Roman" w:eastAsia="宋体" w:cs="Times New Roman"/>
                <w:bCs/>
                <w:color w:val="auto"/>
                <w:spacing w:val="0"/>
                <w:kern w:val="2"/>
                <w:sz w:val="21"/>
                <w:szCs w:val="21"/>
                <w:highlight w:val="none"/>
                <w:lang w:val="en-US" w:eastAsia="zh-CN" w:bidi="ar-SA"/>
              </w:rPr>
              <w:t>（其中200m</w:t>
            </w:r>
            <w:r>
              <w:rPr>
                <w:rFonts w:hint="eastAsia" w:ascii="Times New Roman" w:hAnsi="Times New Roman" w:eastAsia="宋体" w:cs="Times New Roman"/>
                <w:bCs/>
                <w:color w:val="auto"/>
                <w:spacing w:val="0"/>
                <w:kern w:val="2"/>
                <w:sz w:val="21"/>
                <w:szCs w:val="21"/>
                <w:highlight w:val="none"/>
                <w:vertAlign w:val="superscript"/>
                <w:lang w:val="en-US" w:eastAsia="zh-CN" w:bidi="ar-SA"/>
              </w:rPr>
              <w:t>3</w:t>
            </w:r>
            <w:r>
              <w:rPr>
                <w:rFonts w:hint="eastAsia" w:ascii="Times New Roman" w:hAnsi="Times New Roman" w:eastAsia="宋体" w:cs="Times New Roman"/>
                <w:bCs/>
                <w:color w:val="auto"/>
                <w:spacing w:val="0"/>
                <w:kern w:val="2"/>
                <w:sz w:val="21"/>
                <w:szCs w:val="21"/>
                <w:highlight w:val="none"/>
                <w:lang w:val="en-US" w:eastAsia="zh-CN" w:bidi="ar-SA"/>
              </w:rPr>
              <w:t>卧式储罐4台，50m</w:t>
            </w:r>
            <w:r>
              <w:rPr>
                <w:rFonts w:hint="eastAsia" w:ascii="Times New Roman" w:hAnsi="Times New Roman" w:eastAsia="宋体" w:cs="Times New Roman"/>
                <w:bCs/>
                <w:color w:val="auto"/>
                <w:spacing w:val="0"/>
                <w:kern w:val="2"/>
                <w:sz w:val="21"/>
                <w:szCs w:val="21"/>
                <w:highlight w:val="none"/>
                <w:vertAlign w:val="superscript"/>
                <w:lang w:val="en-US" w:eastAsia="zh-CN" w:bidi="ar-SA"/>
              </w:rPr>
              <w:t>3</w:t>
            </w:r>
            <w:r>
              <w:rPr>
                <w:rFonts w:hint="eastAsia" w:ascii="Times New Roman" w:hAnsi="Times New Roman" w:eastAsia="宋体" w:cs="Times New Roman"/>
                <w:bCs/>
                <w:color w:val="auto"/>
                <w:spacing w:val="0"/>
                <w:kern w:val="2"/>
                <w:sz w:val="21"/>
                <w:szCs w:val="21"/>
                <w:highlight w:val="none"/>
                <w:lang w:val="en-US" w:eastAsia="zh-CN" w:bidi="ar-SA"/>
              </w:rPr>
              <w:t>卧式残液罐1台）</w:t>
            </w:r>
            <w:r>
              <w:rPr>
                <w:rFonts w:hint="eastAsia" w:cs="Times New Roman"/>
                <w:bCs/>
                <w:color w:val="auto"/>
                <w:spacing w:val="0"/>
                <w:kern w:val="2"/>
                <w:sz w:val="21"/>
                <w:szCs w:val="21"/>
                <w:highlight w:val="none"/>
                <w:lang w:val="en-US" w:eastAsia="zh-CN" w:bidi="ar-SA"/>
              </w:rPr>
              <w:t>，</w:t>
            </w:r>
            <w:r>
              <w:rPr>
                <w:rFonts w:hint="eastAsia" w:ascii="Times New Roman" w:hAnsi="Times New Roman" w:eastAsia="宋体" w:cs="Times New Roman"/>
                <w:bCs/>
                <w:color w:val="auto"/>
                <w:spacing w:val="0"/>
                <w:kern w:val="2"/>
                <w:sz w:val="21"/>
                <w:szCs w:val="21"/>
                <w:highlight w:val="none"/>
                <w:lang w:val="en-US" w:eastAsia="zh-CN" w:bidi="ar-SA"/>
              </w:rPr>
              <w:t>储罐最大储量按照储罐容量的</w:t>
            </w:r>
            <w:r>
              <w:rPr>
                <w:rFonts w:hint="eastAsia" w:cs="Times New Roman"/>
                <w:bCs/>
                <w:color w:val="auto"/>
                <w:spacing w:val="0"/>
                <w:kern w:val="2"/>
                <w:sz w:val="21"/>
                <w:szCs w:val="21"/>
                <w:highlight w:val="none"/>
                <w:lang w:val="en-US" w:eastAsia="zh-CN" w:bidi="ar-SA"/>
              </w:rPr>
              <w:t>85</w:t>
            </w:r>
            <w:r>
              <w:rPr>
                <w:rFonts w:hint="eastAsia" w:ascii="Times New Roman" w:hAnsi="Times New Roman" w:eastAsia="宋体" w:cs="Times New Roman"/>
                <w:bCs/>
                <w:color w:val="auto"/>
                <w:spacing w:val="0"/>
                <w:kern w:val="2"/>
                <w:sz w:val="21"/>
                <w:szCs w:val="21"/>
                <w:highlight w:val="none"/>
                <w:lang w:val="en-US" w:eastAsia="zh-CN" w:bidi="ar-SA"/>
              </w:rPr>
              <w:t>%计算，液化石油气的密度为580kg/m</w:t>
            </w:r>
            <w:r>
              <w:rPr>
                <w:rFonts w:hint="eastAsia" w:ascii="Times New Roman" w:hAnsi="Times New Roman" w:eastAsia="宋体" w:cs="Times New Roman"/>
                <w:bCs/>
                <w:color w:val="auto"/>
                <w:spacing w:val="0"/>
                <w:kern w:val="2"/>
                <w:sz w:val="21"/>
                <w:szCs w:val="21"/>
                <w:highlight w:val="none"/>
                <w:vertAlign w:val="superscript"/>
                <w:lang w:val="en-US" w:eastAsia="zh-CN" w:bidi="ar-SA"/>
              </w:rPr>
              <w:t>3</w:t>
            </w:r>
            <w:r>
              <w:rPr>
                <w:rFonts w:hint="eastAsia" w:ascii="Times New Roman" w:hAnsi="Times New Roman" w:eastAsia="宋体" w:cs="Times New Roman"/>
                <w:bCs/>
                <w:color w:val="auto"/>
                <w:spacing w:val="0"/>
                <w:kern w:val="2"/>
                <w:sz w:val="21"/>
                <w:szCs w:val="21"/>
                <w:highlight w:val="none"/>
                <w:lang w:val="en-US" w:eastAsia="zh-CN" w:bidi="ar-SA"/>
              </w:rPr>
              <w:t>，则本项目液化石油气的最大储存量为</w:t>
            </w:r>
            <w:r>
              <w:rPr>
                <w:rFonts w:hint="eastAsia" w:cs="Times New Roman"/>
                <w:bCs/>
                <w:color w:val="auto"/>
                <w:spacing w:val="0"/>
                <w:kern w:val="2"/>
                <w:sz w:val="21"/>
                <w:szCs w:val="21"/>
                <w:highlight w:val="none"/>
                <w:lang w:val="en-US" w:eastAsia="zh-CN" w:bidi="ar-SA"/>
              </w:rPr>
              <w:t>419</w:t>
            </w:r>
            <w:r>
              <w:rPr>
                <w:rFonts w:hint="eastAsia" w:ascii="Times New Roman" w:hAnsi="Times New Roman" w:eastAsia="宋体" w:cs="Times New Roman"/>
                <w:bCs/>
                <w:color w:val="auto"/>
                <w:spacing w:val="0"/>
                <w:kern w:val="2"/>
                <w:sz w:val="21"/>
                <w:szCs w:val="21"/>
                <w:highlight w:val="none"/>
                <w:lang w:val="en-US" w:eastAsia="zh-CN" w:bidi="ar-SA"/>
              </w:rPr>
              <w:t>t。</w:t>
            </w:r>
          </w:p>
          <w:p w14:paraId="26EA2904">
            <w:pPr>
              <w:pStyle w:val="29"/>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auto"/>
                <w:spacing w:val="-1"/>
                <w:kern w:val="2"/>
                <w:sz w:val="21"/>
                <w:szCs w:val="21"/>
                <w:lang w:val="en-US" w:eastAsia="zh-CN" w:bidi="ar-SA"/>
              </w:rPr>
            </w:pPr>
            <w:r>
              <w:rPr>
                <w:rFonts w:hint="default" w:ascii="Times New Roman" w:hAnsi="Times New Roman" w:eastAsia="宋体" w:cs="Times New Roman"/>
                <w:b/>
                <w:bCs/>
                <w:color w:val="auto"/>
                <w:spacing w:val="-1"/>
                <w:kern w:val="2"/>
                <w:sz w:val="21"/>
                <w:szCs w:val="21"/>
                <w:lang w:val="en-US" w:eastAsia="zh-CN" w:bidi="ar-SA"/>
              </w:rPr>
              <w:t>表2-4液化石油气理化性质表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7349"/>
            </w:tblGrid>
            <w:tr w14:paraId="065BD5D4">
              <w:tblPrEx>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7C6B6ACB">
                  <w:pPr>
                    <w:keepNext w:val="0"/>
                    <w:keepLines w:val="0"/>
                    <w:pageBreakBefore w:val="0"/>
                    <w:kinsoku/>
                    <w:wordWrap/>
                    <w:overflowPunct/>
                    <w:topLinePunct w:val="0"/>
                    <w:autoSpaceDE/>
                    <w:autoSpaceDN w:val="0"/>
                    <w:bidi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名称</w:t>
                  </w:r>
                </w:p>
              </w:tc>
              <w:tc>
                <w:tcPr>
                  <w:tcW w:w="4172" w:type="pct"/>
                  <w:tcBorders>
                    <w:tl2br w:val="nil"/>
                    <w:tr2bl w:val="nil"/>
                  </w:tcBorders>
                  <w:noWrap w:val="0"/>
                  <w:tcMar>
                    <w:top w:w="0" w:type="dxa"/>
                    <w:left w:w="108" w:type="dxa"/>
                    <w:bottom w:w="0" w:type="dxa"/>
                    <w:right w:w="108" w:type="dxa"/>
                  </w:tcMar>
                  <w:vAlign w:val="center"/>
                </w:tcPr>
                <w:p w14:paraId="005BFB10">
                  <w:pPr>
                    <w:keepNext w:val="0"/>
                    <w:keepLines w:val="0"/>
                    <w:pageBreakBefore w:val="0"/>
                    <w:kinsoku/>
                    <w:wordWrap/>
                    <w:overflowPunct/>
                    <w:topLinePunct w:val="0"/>
                    <w:autoSpaceDE/>
                    <w:autoSpaceDN w:val="0"/>
                    <w:bidi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液化石油气</w:t>
                  </w:r>
                </w:p>
              </w:tc>
            </w:tr>
            <w:tr w14:paraId="08BAF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359B7072">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成分</w:t>
                  </w:r>
                </w:p>
              </w:tc>
              <w:tc>
                <w:tcPr>
                  <w:tcW w:w="4172" w:type="pct"/>
                  <w:tcBorders>
                    <w:tl2br w:val="nil"/>
                    <w:tr2bl w:val="nil"/>
                  </w:tcBorders>
                  <w:noWrap w:val="0"/>
                  <w:tcMar>
                    <w:top w:w="0" w:type="dxa"/>
                    <w:left w:w="108" w:type="dxa"/>
                    <w:bottom w:w="0" w:type="dxa"/>
                    <w:right w:w="108" w:type="dxa"/>
                  </w:tcMar>
                  <w:vAlign w:val="center"/>
                </w:tcPr>
                <w:p w14:paraId="3BAB0822">
                  <w:pPr>
                    <w:keepNext w:val="0"/>
                    <w:keepLines w:val="0"/>
                    <w:pageBreakBefore w:val="0"/>
                    <w:kinsoku/>
                    <w:wordWrap/>
                    <w:overflowPunct/>
                    <w:topLinePunct w:val="0"/>
                    <w:autoSpaceDE/>
                    <w:bidi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丙丁烷混合物</w:t>
                  </w:r>
                </w:p>
              </w:tc>
            </w:tr>
            <w:tr w14:paraId="2DBC83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53E9B3A0">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物理性质</w:t>
                  </w:r>
                </w:p>
              </w:tc>
              <w:tc>
                <w:tcPr>
                  <w:tcW w:w="4172" w:type="pct"/>
                  <w:tcBorders>
                    <w:tl2br w:val="nil"/>
                    <w:tr2bl w:val="nil"/>
                  </w:tcBorders>
                  <w:noWrap w:val="0"/>
                  <w:tcMar>
                    <w:top w:w="0" w:type="dxa"/>
                    <w:left w:w="108" w:type="dxa"/>
                    <w:bottom w:w="0" w:type="dxa"/>
                    <w:right w:w="108" w:type="dxa"/>
                  </w:tcMar>
                  <w:vAlign w:val="center"/>
                </w:tcPr>
                <w:p w14:paraId="720A8CBF">
                  <w:pPr>
                    <w:keepNext w:val="0"/>
                    <w:keepLines w:val="0"/>
                    <w:pageBreakBefore w:val="0"/>
                    <w:widowControl/>
                    <w:kinsoku/>
                    <w:wordWrap/>
                    <w:overflowPunct/>
                    <w:topLinePunct w:val="0"/>
                    <w:autoSpaceDE/>
                    <w:bidi w:val="0"/>
                    <w:spacing w:line="340" w:lineRule="exact"/>
                    <w:ind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kern w:val="0"/>
                      <w:sz w:val="21"/>
                      <w:szCs w:val="21"/>
                    </w:rPr>
                    <w:t>无色气体或黄棕色油状液体，有特殊臭味。闪点-74℃，不溶于水，可产生易燃蒸气气团</w:t>
                  </w:r>
                  <w:r>
                    <w:rPr>
                      <w:rFonts w:hint="default" w:ascii="Times New Roman" w:hAnsi="Times New Roman" w:cs="Times New Roman"/>
                      <w:b w:val="0"/>
                      <w:bCs w:val="0"/>
                      <w:color w:val="auto"/>
                      <w:kern w:val="0"/>
                      <w:sz w:val="21"/>
                      <w:szCs w:val="21"/>
                      <w:lang w:eastAsia="zh-CN"/>
                    </w:rPr>
                    <w:t>。液态液化石油气密度为580kg/m</w:t>
                  </w:r>
                  <w:r>
                    <w:rPr>
                      <w:rFonts w:hint="default" w:ascii="Times New Roman" w:hAnsi="Times New Roman" w:cs="Times New Roman"/>
                      <w:b w:val="0"/>
                      <w:bCs w:val="0"/>
                      <w:color w:val="auto"/>
                      <w:kern w:val="0"/>
                      <w:sz w:val="21"/>
                      <w:szCs w:val="21"/>
                      <w:vertAlign w:val="superscript"/>
                      <w:lang w:eastAsia="zh-CN"/>
                    </w:rPr>
                    <w:t>3</w:t>
                  </w:r>
                  <w:r>
                    <w:rPr>
                      <w:rFonts w:hint="default" w:ascii="Times New Roman" w:hAnsi="Times New Roman" w:cs="Times New Roman"/>
                      <w:b w:val="0"/>
                      <w:bCs w:val="0"/>
                      <w:color w:val="auto"/>
                      <w:kern w:val="0"/>
                      <w:sz w:val="21"/>
                      <w:szCs w:val="21"/>
                      <w:vertAlign w:val="baseline"/>
                      <w:lang w:eastAsia="zh-CN"/>
                    </w:rPr>
                    <w:t>，气态密度为2.35kg/m</w:t>
                  </w:r>
                  <w:r>
                    <w:rPr>
                      <w:rFonts w:hint="default" w:ascii="Times New Roman" w:hAnsi="Times New Roman" w:cs="Times New Roman"/>
                      <w:b w:val="0"/>
                      <w:bCs w:val="0"/>
                      <w:color w:val="auto"/>
                      <w:kern w:val="0"/>
                      <w:sz w:val="21"/>
                      <w:szCs w:val="21"/>
                      <w:vertAlign w:val="superscript"/>
                      <w:lang w:eastAsia="zh-CN"/>
                    </w:rPr>
                    <w:t>3</w:t>
                  </w:r>
                  <w:r>
                    <w:rPr>
                      <w:rFonts w:hint="default" w:ascii="Times New Roman" w:hAnsi="Times New Roman" w:cs="Times New Roman"/>
                      <w:b w:val="0"/>
                      <w:bCs w:val="0"/>
                      <w:color w:val="auto"/>
                      <w:kern w:val="0"/>
                      <w:sz w:val="21"/>
                      <w:szCs w:val="21"/>
                      <w:vertAlign w:val="baseline"/>
                      <w:lang w:eastAsia="zh-CN"/>
                    </w:rPr>
                    <w:t>。引燃温度（℃）：426～537，爆炸上限%（V/V）：9.5，爆炸下限%（V/V）：1.5，燃烧值：45.22～50.23MJ/kg</w:t>
                  </w:r>
                </w:p>
              </w:tc>
            </w:tr>
            <w:tr w14:paraId="5ABE5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7677B59F">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CAS号</w:t>
                  </w:r>
                </w:p>
              </w:tc>
              <w:tc>
                <w:tcPr>
                  <w:tcW w:w="4172" w:type="pct"/>
                  <w:tcBorders>
                    <w:tl2br w:val="nil"/>
                    <w:tr2bl w:val="nil"/>
                  </w:tcBorders>
                  <w:noWrap w:val="0"/>
                  <w:tcMar>
                    <w:top w:w="0" w:type="dxa"/>
                    <w:left w:w="108" w:type="dxa"/>
                    <w:bottom w:w="0" w:type="dxa"/>
                    <w:right w:w="108" w:type="dxa"/>
                  </w:tcMar>
                  <w:vAlign w:val="center"/>
                </w:tcPr>
                <w:p w14:paraId="45294887">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68476-85-7</w:t>
                  </w:r>
                </w:p>
              </w:tc>
            </w:tr>
            <w:tr w14:paraId="7EECD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56823C83">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危险编号</w:t>
                  </w:r>
                </w:p>
              </w:tc>
              <w:tc>
                <w:tcPr>
                  <w:tcW w:w="4172" w:type="pct"/>
                  <w:tcBorders>
                    <w:tl2br w:val="nil"/>
                    <w:tr2bl w:val="nil"/>
                  </w:tcBorders>
                  <w:noWrap w:val="0"/>
                  <w:tcMar>
                    <w:top w:w="0" w:type="dxa"/>
                    <w:left w:w="108" w:type="dxa"/>
                    <w:bottom w:w="0" w:type="dxa"/>
                    <w:right w:w="108" w:type="dxa"/>
                  </w:tcMar>
                  <w:vAlign w:val="center"/>
                </w:tcPr>
                <w:p w14:paraId="2D2EABBF">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20153</w:t>
                  </w:r>
                </w:p>
              </w:tc>
            </w:tr>
            <w:tr w14:paraId="137D9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44726AB7">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化学性质</w:t>
                  </w:r>
                </w:p>
              </w:tc>
              <w:tc>
                <w:tcPr>
                  <w:tcW w:w="4172" w:type="pct"/>
                  <w:tcBorders>
                    <w:tl2br w:val="nil"/>
                    <w:tr2bl w:val="nil"/>
                  </w:tcBorders>
                  <w:noWrap w:val="0"/>
                  <w:tcMar>
                    <w:top w:w="0" w:type="dxa"/>
                    <w:left w:w="108" w:type="dxa"/>
                    <w:bottom w:w="0" w:type="dxa"/>
                    <w:right w:w="108" w:type="dxa"/>
                  </w:tcMar>
                  <w:vAlign w:val="center"/>
                </w:tcPr>
                <w:p w14:paraId="787908D6">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主要成份：氢气5～6%、甲烷10%、乙烷3～5%、乙烯3%、丙烷16~20%、丙烯6~11%、丁烷42~46%、丁烯5~6%、含5个碳原子以上的烃类5~12%、丙烷加丁烷百分比的综合超过60%。极易燃，与空气混合能形成爆炸性混合物。遇热源和明火有燃烧爆炸的危险。与氟、氯等接触会发生剧烈的化学反应。其蒸汽比空气重，能在较低处扩散到相当远的地方，遇火源会着火回燃。燃烧分解产物：CO和CO</w:t>
                  </w:r>
                  <w:r>
                    <w:rPr>
                      <w:rFonts w:hint="default" w:ascii="Times New Roman" w:hAnsi="Times New Roman" w:eastAsia="宋体" w:cs="Times New Roman"/>
                      <w:b w:val="0"/>
                      <w:bCs w:val="0"/>
                      <w:color w:val="auto"/>
                      <w:sz w:val="21"/>
                      <w:szCs w:val="21"/>
                      <w:highlight w:val="none"/>
                      <w:vertAlign w:val="subscript"/>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，禁忌物：强氧化剂、卤素</w:t>
                  </w:r>
                </w:p>
              </w:tc>
            </w:tr>
            <w:tr w14:paraId="4F020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7A2DCBED">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健康危险</w:t>
                  </w:r>
                </w:p>
              </w:tc>
              <w:tc>
                <w:tcPr>
                  <w:tcW w:w="4172" w:type="pct"/>
                  <w:tcBorders>
                    <w:tl2br w:val="nil"/>
                    <w:tr2bl w:val="nil"/>
                  </w:tcBorders>
                  <w:noWrap w:val="0"/>
                  <w:tcMar>
                    <w:top w:w="0" w:type="dxa"/>
                    <w:left w:w="108" w:type="dxa"/>
                    <w:bottom w:w="0" w:type="dxa"/>
                    <w:right w:w="108" w:type="dxa"/>
                  </w:tcMar>
                  <w:vAlign w:val="center"/>
                </w:tcPr>
                <w:p w14:paraId="29162237">
                  <w:pPr>
                    <w:keepNext w:val="0"/>
                    <w:keepLines w:val="0"/>
                    <w:pageBreakBefore w:val="0"/>
                    <w:widowControl/>
                    <w:kinsoku/>
                    <w:wordWrap/>
                    <w:overflowPunct/>
                    <w:topLinePunct w:val="0"/>
                    <w:autoSpaceDE/>
                    <w:bidi w:val="0"/>
                    <w:spacing w:line="340" w:lineRule="exact"/>
                    <w:ind w:firstLine="0" w:firstLineChars="0"/>
                    <w:jc w:val="left"/>
                    <w:textAlignment w:val="auto"/>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主要侵犯中枢神经系统。急性液化气轻度中毒主要表现为头昏、头痛、咳嗽、食欲减退、乏力、失眠等；重者失去知觉、小便失禁、呼吸变浅变慢。</w:t>
                  </w:r>
                </w:p>
                <w:p w14:paraId="2560A4BB">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kern w:val="0"/>
                      <w:sz w:val="21"/>
                      <w:szCs w:val="21"/>
                    </w:rPr>
                    <w:t>职业接触限值：PC-TWA(时间加权平均容许浓度)(mg/m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):1000;PC-STEL(短时间接触容许浓度)(mg/m</w:t>
                  </w:r>
                  <w:r>
                    <w:rPr>
                      <w:rFonts w:hint="default" w:ascii="Times New Roman" w:hAnsi="Times New Roman" w:cs="Times New Roman"/>
                      <w:b w:val="0"/>
                      <w:bCs w:val="0"/>
                      <w:color w:val="auto"/>
                      <w:kern w:val="0"/>
                      <w:sz w:val="21"/>
                      <w:szCs w:val="21"/>
                      <w:vertAlign w:val="superscript"/>
                    </w:rPr>
                    <w:t>3</w:t>
                  </w:r>
                  <w:r>
                    <w:rPr>
                      <w:rFonts w:hint="default" w:ascii="Times New Roman" w:hAnsi="Times New Roman" w:cs="Times New Roman"/>
                      <w:b w:val="0"/>
                      <w:bCs w:val="0"/>
                      <w:color w:val="auto"/>
                      <w:kern w:val="0"/>
                      <w:sz w:val="21"/>
                      <w:szCs w:val="21"/>
                    </w:rPr>
                    <w:t>)：1500。</w:t>
                  </w:r>
                </w:p>
              </w:tc>
            </w:tr>
            <w:tr w14:paraId="54D28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308CD84A">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环境危害</w:t>
                  </w:r>
                </w:p>
              </w:tc>
              <w:tc>
                <w:tcPr>
                  <w:tcW w:w="4172" w:type="pct"/>
                  <w:tcBorders>
                    <w:tl2br w:val="nil"/>
                    <w:tr2bl w:val="nil"/>
                  </w:tcBorders>
                  <w:noWrap w:val="0"/>
                  <w:tcMar>
                    <w:top w:w="0" w:type="dxa"/>
                    <w:left w:w="108" w:type="dxa"/>
                    <w:bottom w:w="0" w:type="dxa"/>
                    <w:right w:w="108" w:type="dxa"/>
                  </w:tcMar>
                  <w:vAlign w:val="center"/>
                </w:tcPr>
                <w:p w14:paraId="46700715">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对环境有危害，对水体、土壤和大气可造成污染</w:t>
                  </w:r>
                </w:p>
              </w:tc>
            </w:tr>
            <w:tr w14:paraId="67E12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34AB2242">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火灾类型</w:t>
                  </w:r>
                </w:p>
              </w:tc>
              <w:tc>
                <w:tcPr>
                  <w:tcW w:w="4172" w:type="pct"/>
                  <w:tcBorders>
                    <w:tl2br w:val="nil"/>
                    <w:tr2bl w:val="nil"/>
                  </w:tcBorders>
                  <w:noWrap w:val="0"/>
                  <w:tcMar>
                    <w:top w:w="0" w:type="dxa"/>
                    <w:left w:w="108" w:type="dxa"/>
                    <w:bottom w:w="0" w:type="dxa"/>
                    <w:right w:w="108" w:type="dxa"/>
                  </w:tcMar>
                  <w:vAlign w:val="center"/>
                </w:tcPr>
                <w:p w14:paraId="577FAFE6">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甲类</w:t>
                  </w:r>
                </w:p>
              </w:tc>
            </w:tr>
            <w:tr w14:paraId="6663E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pct"/>
                  <w:tcBorders>
                    <w:tl2br w:val="nil"/>
                    <w:tr2bl w:val="nil"/>
                  </w:tcBorders>
                  <w:noWrap w:val="0"/>
                  <w:tcMar>
                    <w:top w:w="0" w:type="dxa"/>
                    <w:left w:w="108" w:type="dxa"/>
                    <w:bottom w:w="0" w:type="dxa"/>
                    <w:right w:w="108" w:type="dxa"/>
                  </w:tcMar>
                  <w:vAlign w:val="center"/>
                </w:tcPr>
                <w:p w14:paraId="144E4CF3">
                  <w:pPr>
                    <w:keepNext w:val="0"/>
                    <w:keepLines w:val="0"/>
                    <w:pageBreakBefore w:val="0"/>
                    <w:widowControl/>
                    <w:kinsoku/>
                    <w:wordWrap/>
                    <w:overflowPunct/>
                    <w:topLinePunct w:val="0"/>
                    <w:autoSpaceDE/>
                    <w:autoSpaceDN/>
                    <w:bidi w:val="0"/>
                    <w:adjustRightInd w:val="0"/>
                    <w:snapToGrid w:val="0"/>
                    <w:spacing w:line="340" w:lineRule="exact"/>
                    <w:ind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燃爆危险</w:t>
                  </w:r>
                </w:p>
              </w:tc>
              <w:tc>
                <w:tcPr>
                  <w:tcW w:w="4172" w:type="pct"/>
                  <w:tcBorders>
                    <w:tl2br w:val="nil"/>
                    <w:tr2bl w:val="nil"/>
                  </w:tcBorders>
                  <w:noWrap w:val="0"/>
                  <w:tcMar>
                    <w:top w:w="0" w:type="dxa"/>
                    <w:left w:w="108" w:type="dxa"/>
                    <w:bottom w:w="0" w:type="dxa"/>
                    <w:right w:w="108" w:type="dxa"/>
                  </w:tcMar>
                  <w:vAlign w:val="center"/>
                </w:tcPr>
                <w:p w14:paraId="734297BF">
                  <w:pPr>
                    <w:keepNext w:val="0"/>
                    <w:keepLines w:val="0"/>
                    <w:pageBreakBefore w:val="0"/>
                    <w:kinsoku/>
                    <w:wordWrap/>
                    <w:overflowPunct/>
                    <w:topLinePunct w:val="0"/>
                    <w:autoSpaceDE/>
                    <w:bidi w:val="0"/>
                    <w:snapToGrid w:val="0"/>
                    <w:spacing w:line="3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该品易燃，具麻醉性</w:t>
                  </w:r>
                </w:p>
              </w:tc>
            </w:tr>
          </w:tbl>
          <w:p w14:paraId="58DA5DF6">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（五）主要设备清单</w:t>
            </w:r>
          </w:p>
          <w:p w14:paraId="1B437938">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本项目主要设备及其参数见表2-5。</w:t>
            </w:r>
          </w:p>
          <w:p w14:paraId="411025E3">
            <w:pPr>
              <w:pStyle w:val="85"/>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表2-5主要设备一览表</w:t>
            </w:r>
          </w:p>
          <w:tbl>
            <w:tblPr>
              <w:tblStyle w:val="37"/>
              <w:tblW w:w="48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891"/>
              <w:gridCol w:w="1773"/>
              <w:gridCol w:w="2236"/>
              <w:gridCol w:w="819"/>
              <w:gridCol w:w="1094"/>
            </w:tblGrid>
            <w:tr w14:paraId="5650E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noWrap w:val="0"/>
                  <w:vAlign w:val="center"/>
                </w:tcPr>
                <w:p w14:paraId="03414D1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891" w:type="dxa"/>
                  <w:tcBorders>
                    <w:left w:val="single" w:color="auto" w:sz="4" w:space="0"/>
                    <w:right w:val="single" w:color="auto" w:sz="4" w:space="0"/>
                  </w:tcBorders>
                  <w:noWrap w:val="0"/>
                  <w:vAlign w:val="center"/>
                </w:tcPr>
                <w:p w14:paraId="08F002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设备名称</w:t>
                  </w:r>
                </w:p>
              </w:tc>
              <w:tc>
                <w:tcPr>
                  <w:tcW w:w="1773" w:type="dxa"/>
                  <w:tcBorders>
                    <w:left w:val="single" w:color="auto" w:sz="4" w:space="0"/>
                    <w:right w:val="single" w:color="auto" w:sz="4" w:space="0"/>
                  </w:tcBorders>
                  <w:noWrap w:val="0"/>
                  <w:vAlign w:val="center"/>
                </w:tcPr>
                <w:p w14:paraId="044B58F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数量（台/套）</w:t>
                  </w:r>
                </w:p>
              </w:tc>
              <w:tc>
                <w:tcPr>
                  <w:tcW w:w="2236" w:type="dxa"/>
                  <w:tcBorders>
                    <w:left w:val="single" w:color="auto" w:sz="4" w:space="0"/>
                    <w:right w:val="single" w:color="auto" w:sz="4" w:space="0"/>
                  </w:tcBorders>
                  <w:noWrap w:val="0"/>
                  <w:vAlign w:val="center"/>
                </w:tcPr>
                <w:p w14:paraId="2169289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规格</w:t>
                  </w:r>
                </w:p>
              </w:tc>
              <w:tc>
                <w:tcPr>
                  <w:tcW w:w="819" w:type="dxa"/>
                  <w:tcBorders>
                    <w:left w:val="single" w:color="auto" w:sz="4" w:space="0"/>
                    <w:right w:val="single" w:color="auto" w:sz="4" w:space="0"/>
                  </w:tcBorders>
                  <w:noWrap w:val="0"/>
                  <w:vAlign w:val="center"/>
                </w:tcPr>
                <w:p w14:paraId="72029FA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用途</w:t>
                  </w:r>
                </w:p>
              </w:tc>
              <w:tc>
                <w:tcPr>
                  <w:tcW w:w="1094" w:type="dxa"/>
                  <w:tcBorders>
                    <w:left w:val="single" w:color="auto" w:sz="4" w:space="0"/>
                  </w:tcBorders>
                  <w:noWrap w:val="0"/>
                  <w:vAlign w:val="center"/>
                </w:tcPr>
                <w:p w14:paraId="6E10592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14:paraId="2BE6A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noWrap w:val="0"/>
                  <w:vAlign w:val="center"/>
                </w:tcPr>
                <w:p w14:paraId="45A8065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1891" w:type="dxa"/>
                  <w:tcBorders>
                    <w:left w:val="single" w:color="auto" w:sz="4" w:space="0"/>
                    <w:right w:val="single" w:color="auto" w:sz="4" w:space="0"/>
                  </w:tcBorders>
                  <w:noWrap w:val="0"/>
                  <w:vAlign w:val="center"/>
                </w:tcPr>
                <w:p w14:paraId="551CDE6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液化石油气储罐</w:t>
                  </w:r>
                </w:p>
              </w:tc>
              <w:tc>
                <w:tcPr>
                  <w:tcW w:w="1773" w:type="dxa"/>
                  <w:tcBorders>
                    <w:left w:val="single" w:color="auto" w:sz="4" w:space="0"/>
                    <w:right w:val="single" w:color="auto" w:sz="4" w:space="0"/>
                  </w:tcBorders>
                  <w:noWrap w:val="0"/>
                  <w:vAlign w:val="center"/>
                </w:tcPr>
                <w:p w14:paraId="5FDA01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236" w:type="dxa"/>
                  <w:tcBorders>
                    <w:left w:val="single" w:color="auto" w:sz="4" w:space="0"/>
                    <w:right w:val="single" w:color="auto" w:sz="4" w:space="0"/>
                  </w:tcBorders>
                  <w:noWrap w:val="0"/>
                  <w:vAlign w:val="center"/>
                </w:tcPr>
                <w:p w14:paraId="08F7387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直径3.8m，长18.3m</w:t>
                  </w:r>
                </w:p>
              </w:tc>
              <w:tc>
                <w:tcPr>
                  <w:tcW w:w="819" w:type="dxa"/>
                  <w:tcBorders>
                    <w:left w:val="single" w:color="auto" w:sz="4" w:space="0"/>
                    <w:right w:val="single" w:color="auto" w:sz="4" w:space="0"/>
                  </w:tcBorders>
                  <w:noWrap w:val="0"/>
                  <w:vAlign w:val="center"/>
                </w:tcPr>
                <w:p w14:paraId="47E3205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w:t>
                  </w:r>
                </w:p>
              </w:tc>
              <w:tc>
                <w:tcPr>
                  <w:tcW w:w="1094" w:type="dxa"/>
                  <w:tcBorders>
                    <w:left w:val="single" w:color="auto" w:sz="4" w:space="0"/>
                  </w:tcBorders>
                  <w:noWrap w:val="0"/>
                  <w:vAlign w:val="center"/>
                </w:tcPr>
                <w:p w14:paraId="334D0DF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储罐区</w:t>
                  </w:r>
                </w:p>
              </w:tc>
            </w:tr>
            <w:tr w14:paraId="1291F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noWrap w:val="0"/>
                  <w:vAlign w:val="center"/>
                </w:tcPr>
                <w:p w14:paraId="29A405B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p>
              </w:tc>
              <w:tc>
                <w:tcPr>
                  <w:tcW w:w="1891" w:type="dxa"/>
                  <w:tcBorders>
                    <w:left w:val="single" w:color="auto" w:sz="4" w:space="0"/>
                    <w:right w:val="single" w:color="auto" w:sz="4" w:space="0"/>
                  </w:tcBorders>
                  <w:noWrap w:val="0"/>
                  <w:vAlign w:val="center"/>
                </w:tcPr>
                <w:p w14:paraId="77AA990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地上残液罐</w:t>
                  </w:r>
                </w:p>
              </w:tc>
              <w:tc>
                <w:tcPr>
                  <w:tcW w:w="1773" w:type="dxa"/>
                  <w:tcBorders>
                    <w:left w:val="single" w:color="auto" w:sz="4" w:space="0"/>
                    <w:right w:val="single" w:color="auto" w:sz="4" w:space="0"/>
                  </w:tcBorders>
                  <w:noWrap w:val="0"/>
                  <w:vAlign w:val="center"/>
                </w:tcPr>
                <w:p w14:paraId="19FA66C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236" w:type="dxa"/>
                  <w:tcBorders>
                    <w:left w:val="single" w:color="auto" w:sz="4" w:space="0"/>
                    <w:right w:val="single" w:color="auto" w:sz="4" w:space="0"/>
                  </w:tcBorders>
                  <w:noWrap w:val="0"/>
                  <w:vAlign w:val="center"/>
                </w:tcPr>
                <w:p w14:paraId="250825E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直径2.6m，长9.9m</w:t>
                  </w:r>
                </w:p>
              </w:tc>
              <w:tc>
                <w:tcPr>
                  <w:tcW w:w="819" w:type="dxa"/>
                  <w:tcBorders>
                    <w:left w:val="single" w:color="auto" w:sz="4" w:space="0"/>
                    <w:right w:val="single" w:color="auto" w:sz="4" w:space="0"/>
                  </w:tcBorders>
                  <w:noWrap w:val="0"/>
                  <w:vAlign w:val="center"/>
                </w:tcPr>
                <w:p w14:paraId="3976B74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储存</w:t>
                  </w:r>
                </w:p>
              </w:tc>
              <w:tc>
                <w:tcPr>
                  <w:tcW w:w="1094" w:type="dxa"/>
                  <w:tcBorders>
                    <w:left w:val="single" w:color="auto" w:sz="4" w:space="0"/>
                  </w:tcBorders>
                  <w:noWrap w:val="0"/>
                  <w:vAlign w:val="center"/>
                </w:tcPr>
                <w:p w14:paraId="5A27CB3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储罐区</w:t>
                  </w:r>
                </w:p>
              </w:tc>
            </w:tr>
            <w:tr w14:paraId="6D76A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noWrap w:val="0"/>
                  <w:vAlign w:val="center"/>
                </w:tcPr>
                <w:p w14:paraId="5BEBB44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p>
              </w:tc>
              <w:tc>
                <w:tcPr>
                  <w:tcW w:w="1891" w:type="dxa"/>
                  <w:tcBorders>
                    <w:left w:val="single" w:color="auto" w:sz="4" w:space="0"/>
                    <w:right w:val="single" w:color="auto" w:sz="4" w:space="0"/>
                  </w:tcBorders>
                  <w:noWrap w:val="0"/>
                  <w:vAlign w:val="center"/>
                </w:tcPr>
                <w:p w14:paraId="67613D3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烃泵</w:t>
                  </w:r>
                </w:p>
              </w:tc>
              <w:tc>
                <w:tcPr>
                  <w:tcW w:w="1773" w:type="dxa"/>
                  <w:tcBorders>
                    <w:left w:val="single" w:color="auto" w:sz="4" w:space="0"/>
                    <w:right w:val="single" w:color="auto" w:sz="4" w:space="0"/>
                  </w:tcBorders>
                  <w:noWrap w:val="0"/>
                  <w:vAlign w:val="center"/>
                </w:tcPr>
                <w:p w14:paraId="0AC0FDF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236" w:type="dxa"/>
                  <w:tcBorders>
                    <w:left w:val="single" w:color="auto" w:sz="4" w:space="0"/>
                    <w:right w:val="single" w:color="auto" w:sz="4" w:space="0"/>
                  </w:tcBorders>
                  <w:noWrap w:val="0"/>
                  <w:vAlign w:val="center"/>
                </w:tcPr>
                <w:p w14:paraId="17C8552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YQ15-5 Q＝15m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h   △p＝0.5Mpa</w:t>
                  </w:r>
                </w:p>
              </w:tc>
              <w:tc>
                <w:tcPr>
                  <w:tcW w:w="819" w:type="dxa"/>
                  <w:tcBorders>
                    <w:left w:val="single" w:color="auto" w:sz="4" w:space="0"/>
                    <w:right w:val="single" w:color="auto" w:sz="4" w:space="0"/>
                  </w:tcBorders>
                  <w:noWrap w:val="0"/>
                  <w:vAlign w:val="center"/>
                </w:tcPr>
                <w:p w14:paraId="2C010C3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充装</w:t>
                  </w:r>
                </w:p>
              </w:tc>
              <w:tc>
                <w:tcPr>
                  <w:tcW w:w="1094" w:type="dxa"/>
                  <w:tcBorders>
                    <w:left w:val="single" w:color="auto" w:sz="4" w:space="0"/>
                  </w:tcBorders>
                  <w:noWrap w:val="0"/>
                  <w:vAlign w:val="center"/>
                </w:tcPr>
                <w:p w14:paraId="727DD20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灌瓶间</w:t>
                  </w:r>
                </w:p>
              </w:tc>
            </w:tr>
            <w:tr w14:paraId="09DF6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noWrap w:val="0"/>
                  <w:vAlign w:val="center"/>
                </w:tcPr>
                <w:p w14:paraId="596ECE1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p>
              </w:tc>
              <w:tc>
                <w:tcPr>
                  <w:tcW w:w="1891" w:type="dxa"/>
                  <w:tcBorders>
                    <w:left w:val="single" w:color="auto" w:sz="4" w:space="0"/>
                    <w:right w:val="single" w:color="auto" w:sz="4" w:space="0"/>
                  </w:tcBorders>
                  <w:noWrap w:val="0"/>
                  <w:vAlign w:val="center"/>
                </w:tcPr>
                <w:p w14:paraId="74A5541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压缩机</w:t>
                  </w:r>
                </w:p>
              </w:tc>
              <w:tc>
                <w:tcPr>
                  <w:tcW w:w="1773" w:type="dxa"/>
                  <w:tcBorders>
                    <w:left w:val="single" w:color="auto" w:sz="4" w:space="0"/>
                    <w:right w:val="single" w:color="auto" w:sz="4" w:space="0"/>
                  </w:tcBorders>
                  <w:noWrap w:val="0"/>
                  <w:vAlign w:val="center"/>
                </w:tcPr>
                <w:p w14:paraId="0553A1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2236" w:type="dxa"/>
                  <w:tcBorders>
                    <w:left w:val="single" w:color="auto" w:sz="4" w:space="0"/>
                    <w:right w:val="single" w:color="auto" w:sz="4" w:space="0"/>
                  </w:tcBorders>
                  <w:noWrap w:val="0"/>
                  <w:vAlign w:val="center"/>
                </w:tcPr>
                <w:p w14:paraId="3C77E50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W2.0/16-10参数Q＝2.0m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minP排＝1.6MpaP吸＝1.0Mpa</w:t>
                  </w:r>
                </w:p>
              </w:tc>
              <w:tc>
                <w:tcPr>
                  <w:tcW w:w="819" w:type="dxa"/>
                  <w:tcBorders>
                    <w:left w:val="single" w:color="auto" w:sz="4" w:space="0"/>
                    <w:right w:val="single" w:color="auto" w:sz="4" w:space="0"/>
                  </w:tcBorders>
                  <w:noWrap w:val="0"/>
                  <w:vAlign w:val="center"/>
                </w:tcPr>
                <w:p w14:paraId="70518ED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充装</w:t>
                  </w:r>
                </w:p>
              </w:tc>
              <w:tc>
                <w:tcPr>
                  <w:tcW w:w="1094" w:type="dxa"/>
                  <w:tcBorders>
                    <w:left w:val="single" w:color="auto" w:sz="4" w:space="0"/>
                  </w:tcBorders>
                  <w:noWrap w:val="0"/>
                  <w:vAlign w:val="center"/>
                </w:tcPr>
                <w:p w14:paraId="14150B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灌瓶间</w:t>
                  </w:r>
                </w:p>
              </w:tc>
            </w:tr>
            <w:tr w14:paraId="6167F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shd w:val="clear" w:color="auto" w:fill="auto"/>
                  <w:noWrap w:val="0"/>
                  <w:vAlign w:val="center"/>
                </w:tcPr>
                <w:p w14:paraId="363DBBC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891" w:type="dxa"/>
                  <w:tcBorders>
                    <w:left w:val="single" w:color="auto" w:sz="4" w:space="0"/>
                    <w:right w:val="single" w:color="auto" w:sz="4" w:space="0"/>
                  </w:tcBorders>
                  <w:noWrap w:val="0"/>
                  <w:vAlign w:val="center"/>
                </w:tcPr>
                <w:p w14:paraId="6CE919E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双枪追溯智能系统电子称</w:t>
                  </w:r>
                </w:p>
              </w:tc>
              <w:tc>
                <w:tcPr>
                  <w:tcW w:w="1773" w:type="dxa"/>
                  <w:tcBorders>
                    <w:left w:val="single" w:color="auto" w:sz="4" w:space="0"/>
                    <w:right w:val="single" w:color="auto" w:sz="4" w:space="0"/>
                  </w:tcBorders>
                  <w:noWrap w:val="0"/>
                  <w:vAlign w:val="center"/>
                </w:tcPr>
                <w:p w14:paraId="5ABEA5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236" w:type="dxa"/>
                  <w:tcBorders>
                    <w:left w:val="single" w:color="auto" w:sz="4" w:space="0"/>
                    <w:right w:val="single" w:color="auto" w:sz="4" w:space="0"/>
                  </w:tcBorders>
                  <w:noWrap w:val="0"/>
                  <w:vAlign w:val="center"/>
                </w:tcPr>
                <w:p w14:paraId="3FB6EAF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BCS-150</w:t>
                  </w:r>
                </w:p>
              </w:tc>
              <w:tc>
                <w:tcPr>
                  <w:tcW w:w="819" w:type="dxa"/>
                  <w:tcBorders>
                    <w:left w:val="single" w:color="auto" w:sz="4" w:space="0"/>
                    <w:right w:val="single" w:color="auto" w:sz="4" w:space="0"/>
                  </w:tcBorders>
                  <w:noWrap w:val="0"/>
                  <w:vAlign w:val="center"/>
                </w:tcPr>
                <w:p w14:paraId="72D5F89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充装</w:t>
                  </w:r>
                </w:p>
              </w:tc>
              <w:tc>
                <w:tcPr>
                  <w:tcW w:w="1094" w:type="dxa"/>
                  <w:tcBorders>
                    <w:left w:val="single" w:color="auto" w:sz="4" w:space="0"/>
                  </w:tcBorders>
                  <w:noWrap w:val="0"/>
                  <w:vAlign w:val="center"/>
                </w:tcPr>
                <w:p w14:paraId="2C04E14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灌瓶间</w:t>
                  </w:r>
                </w:p>
              </w:tc>
            </w:tr>
            <w:tr w14:paraId="00A1F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shd w:val="clear" w:color="auto" w:fill="auto"/>
                  <w:noWrap w:val="0"/>
                  <w:vAlign w:val="center"/>
                </w:tcPr>
                <w:p w14:paraId="0ED8763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891" w:type="dxa"/>
                  <w:tcBorders>
                    <w:left w:val="single" w:color="auto" w:sz="4" w:space="0"/>
                    <w:right w:val="single" w:color="auto" w:sz="4" w:space="0"/>
                  </w:tcBorders>
                  <w:noWrap w:val="0"/>
                  <w:vAlign w:val="center"/>
                </w:tcPr>
                <w:p w14:paraId="37E16A8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槽车卸车鹤管</w:t>
                  </w:r>
                </w:p>
              </w:tc>
              <w:tc>
                <w:tcPr>
                  <w:tcW w:w="1773" w:type="dxa"/>
                  <w:tcBorders>
                    <w:left w:val="single" w:color="auto" w:sz="4" w:space="0"/>
                    <w:right w:val="single" w:color="auto" w:sz="4" w:space="0"/>
                  </w:tcBorders>
                  <w:noWrap w:val="0"/>
                  <w:vAlign w:val="center"/>
                </w:tcPr>
                <w:p w14:paraId="0420610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236" w:type="dxa"/>
                  <w:tcBorders>
                    <w:left w:val="single" w:color="auto" w:sz="4" w:space="0"/>
                    <w:right w:val="single" w:color="auto" w:sz="4" w:space="0"/>
                  </w:tcBorders>
                  <w:noWrap w:val="0"/>
                  <w:vAlign w:val="center"/>
                </w:tcPr>
                <w:p w14:paraId="35ABFC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AL2543-DN50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25</w:t>
                  </w:r>
                </w:p>
                <w:p w14:paraId="225B4F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设计压力2.5MPa</w:t>
                  </w:r>
                </w:p>
              </w:tc>
              <w:tc>
                <w:tcPr>
                  <w:tcW w:w="819" w:type="dxa"/>
                  <w:tcBorders>
                    <w:left w:val="single" w:color="auto" w:sz="4" w:space="0"/>
                    <w:right w:val="single" w:color="auto" w:sz="4" w:space="0"/>
                  </w:tcBorders>
                  <w:noWrap w:val="0"/>
                  <w:vAlign w:val="center"/>
                </w:tcPr>
                <w:p w14:paraId="6CD3DB4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卸车</w:t>
                  </w:r>
                </w:p>
              </w:tc>
              <w:tc>
                <w:tcPr>
                  <w:tcW w:w="1094" w:type="dxa"/>
                  <w:tcBorders>
                    <w:left w:val="single" w:color="auto" w:sz="4" w:space="0"/>
                  </w:tcBorders>
                  <w:noWrap w:val="0"/>
                  <w:vAlign w:val="center"/>
                </w:tcPr>
                <w:p w14:paraId="74D61F4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卸车区</w:t>
                  </w:r>
                </w:p>
              </w:tc>
            </w:tr>
            <w:tr w14:paraId="55719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shd w:val="clear" w:color="auto" w:fill="auto"/>
                  <w:noWrap w:val="0"/>
                  <w:vAlign w:val="center"/>
                </w:tcPr>
                <w:p w14:paraId="7EC41B8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w:t>
                  </w:r>
                </w:p>
              </w:tc>
              <w:tc>
                <w:tcPr>
                  <w:tcW w:w="1891" w:type="dxa"/>
                  <w:tcBorders>
                    <w:left w:val="single" w:color="auto" w:sz="4" w:space="0"/>
                    <w:right w:val="single" w:color="auto" w:sz="4" w:space="0"/>
                  </w:tcBorders>
                  <w:noWrap w:val="0"/>
                  <w:vAlign w:val="center"/>
                </w:tcPr>
                <w:p w14:paraId="0F7442D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消防</w:t>
                  </w:r>
                  <w:r>
                    <w:rPr>
                      <w:rFonts w:hint="default" w:ascii="Times New Roman" w:hAnsi="Times New Roman" w:eastAsia="宋体" w:cs="Times New Roman"/>
                      <w:color w:val="auto"/>
                      <w:sz w:val="21"/>
                      <w:szCs w:val="21"/>
                      <w:highlight w:val="none"/>
                      <w:lang w:val="en-US" w:eastAsia="zh-CN"/>
                    </w:rPr>
                    <w:t>设施</w:t>
                  </w:r>
                </w:p>
              </w:tc>
              <w:tc>
                <w:tcPr>
                  <w:tcW w:w="1773" w:type="dxa"/>
                  <w:tcBorders>
                    <w:left w:val="single" w:color="auto" w:sz="4" w:space="0"/>
                    <w:right w:val="single" w:color="auto" w:sz="4" w:space="0"/>
                  </w:tcBorders>
                  <w:noWrap w:val="0"/>
                  <w:vAlign w:val="center"/>
                </w:tcPr>
                <w:p w14:paraId="21F0373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若干</w:t>
                  </w:r>
                </w:p>
              </w:tc>
              <w:tc>
                <w:tcPr>
                  <w:tcW w:w="2236" w:type="dxa"/>
                  <w:tcBorders>
                    <w:left w:val="single" w:color="auto" w:sz="4" w:space="0"/>
                    <w:right w:val="single" w:color="auto" w:sz="4" w:space="0"/>
                  </w:tcBorders>
                  <w:noWrap w:val="0"/>
                  <w:vAlign w:val="center"/>
                </w:tcPr>
                <w:p w14:paraId="0E09B90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9" w:type="dxa"/>
                  <w:tcBorders>
                    <w:left w:val="single" w:color="auto" w:sz="4" w:space="0"/>
                    <w:right w:val="single" w:color="auto" w:sz="4" w:space="0"/>
                  </w:tcBorders>
                  <w:noWrap w:val="0"/>
                  <w:vAlign w:val="center"/>
                </w:tcPr>
                <w:p w14:paraId="699EE9B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消防</w:t>
                  </w:r>
                </w:p>
              </w:tc>
              <w:tc>
                <w:tcPr>
                  <w:tcW w:w="1094" w:type="dxa"/>
                  <w:tcBorders>
                    <w:left w:val="single" w:color="auto" w:sz="4" w:space="0"/>
                  </w:tcBorders>
                  <w:noWrap w:val="0"/>
                  <w:vAlign w:val="center"/>
                </w:tcPr>
                <w:p w14:paraId="45364B1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辅助用房</w:t>
                  </w:r>
                </w:p>
              </w:tc>
            </w:tr>
            <w:tr w14:paraId="41E50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dxa"/>
                  <w:tcBorders>
                    <w:right w:val="single" w:color="auto" w:sz="4" w:space="0"/>
                  </w:tcBorders>
                  <w:noWrap w:val="0"/>
                  <w:vAlign w:val="center"/>
                </w:tcPr>
                <w:p w14:paraId="57E285D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891" w:type="dxa"/>
                  <w:tcBorders>
                    <w:left w:val="single" w:color="auto" w:sz="4" w:space="0"/>
                    <w:right w:val="single" w:color="auto" w:sz="4" w:space="0"/>
                  </w:tcBorders>
                  <w:noWrap w:val="0"/>
                  <w:vAlign w:val="center"/>
                </w:tcPr>
                <w:p w14:paraId="182CE47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消防水池</w:t>
                  </w:r>
                </w:p>
              </w:tc>
              <w:tc>
                <w:tcPr>
                  <w:tcW w:w="1773" w:type="dxa"/>
                  <w:tcBorders>
                    <w:left w:val="single" w:color="auto" w:sz="4" w:space="0"/>
                    <w:right w:val="single" w:color="auto" w:sz="4" w:space="0"/>
                  </w:tcBorders>
                  <w:noWrap w:val="0"/>
                  <w:vAlign w:val="center"/>
                </w:tcPr>
                <w:p w14:paraId="667F483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236" w:type="dxa"/>
                  <w:tcBorders>
                    <w:left w:val="single" w:color="auto" w:sz="4" w:space="0"/>
                    <w:right w:val="single" w:color="auto" w:sz="4" w:space="0"/>
                  </w:tcBorders>
                  <w:noWrap w:val="0"/>
                  <w:vAlign w:val="center"/>
                </w:tcPr>
                <w:p w14:paraId="6681384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9" w:type="dxa"/>
                  <w:tcBorders>
                    <w:left w:val="single" w:color="auto" w:sz="4" w:space="0"/>
                    <w:right w:val="single" w:color="auto" w:sz="4" w:space="0"/>
                  </w:tcBorders>
                  <w:noWrap w:val="0"/>
                  <w:vAlign w:val="center"/>
                </w:tcPr>
                <w:p w14:paraId="73075E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消防</w:t>
                  </w:r>
                </w:p>
              </w:tc>
              <w:tc>
                <w:tcPr>
                  <w:tcW w:w="1094" w:type="dxa"/>
                  <w:tcBorders>
                    <w:left w:val="single" w:color="auto" w:sz="4" w:space="0"/>
                  </w:tcBorders>
                  <w:noWrap w:val="0"/>
                  <w:vAlign w:val="center"/>
                </w:tcPr>
                <w:p w14:paraId="4D2B3D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081C8868">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（六）劳动定员及工作制度</w:t>
            </w:r>
          </w:p>
          <w:p w14:paraId="6A6C225A">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劳动定员：劳动定员25人，其中2人在厂内食宿。</w:t>
            </w:r>
          </w:p>
          <w:p w14:paraId="7B02ECCA">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工作制度：每天工作8小时，年工作365天。</w:t>
            </w:r>
          </w:p>
          <w:p w14:paraId="37A8610A">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（七）公用工程</w:t>
            </w:r>
          </w:p>
          <w:p w14:paraId="219AB65C">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1、给水</w:t>
            </w:r>
          </w:p>
          <w:p w14:paraId="3A07CA08">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项目生活用水水源由站外自来水厂的供水管网提供。</w:t>
            </w:r>
          </w:p>
          <w:p w14:paraId="160200D1">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2、排水</w:t>
            </w:r>
          </w:p>
          <w:p w14:paraId="55058747">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本项目运营期废水主要为生产废水和生活污水。生产废水为</w:t>
            </w:r>
            <w:r>
              <w:rPr>
                <w:rFonts w:hint="eastAsia" w:cs="Times New Roman"/>
                <w:color w:val="auto"/>
                <w:lang w:val="en-US" w:eastAsia="zh-CN"/>
              </w:rPr>
              <w:t>储罐</w:t>
            </w:r>
            <w:r>
              <w:rPr>
                <w:rFonts w:hint="eastAsia"/>
                <w:color w:val="auto"/>
              </w:rPr>
              <w:t>喷淋降温用水</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全部蒸发</w:t>
            </w:r>
            <w:r>
              <w:rPr>
                <w:rFonts w:hint="default" w:ascii="Times New Roman" w:hAnsi="Times New Roman" w:cs="Times New Roman"/>
                <w:color w:val="auto"/>
                <w:highlight w:val="none"/>
              </w:rPr>
              <w:t>，不外排</w:t>
            </w:r>
            <w:r>
              <w:rPr>
                <w:rFonts w:hint="default" w:ascii="Times New Roman" w:hAnsi="Times New Roman" w:cs="Times New Roman"/>
                <w:color w:val="auto"/>
                <w:lang w:val="en-US" w:eastAsia="zh-CN"/>
              </w:rPr>
              <w:t>。生活污水排入</w:t>
            </w:r>
            <w:r>
              <w:rPr>
                <w:rFonts w:hint="eastAsia" w:cs="Times New Roman"/>
                <w:color w:val="auto"/>
                <w:lang w:val="en-US" w:eastAsia="zh-CN"/>
              </w:rPr>
              <w:t>隔油池+</w:t>
            </w:r>
            <w:r>
              <w:rPr>
                <w:rFonts w:hint="default" w:ascii="Times New Roman" w:hAnsi="Times New Roman" w:cs="Times New Roman"/>
                <w:color w:val="auto"/>
                <w:lang w:val="en-US" w:eastAsia="zh-CN"/>
              </w:rPr>
              <w:t>化粪池处理达《农田灌溉水质标准》（GB5084-2021）中旱作标准后用于周边农田灌溉，不外排。</w:t>
            </w:r>
          </w:p>
          <w:p w14:paraId="7B6BD7DB">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3、供电</w:t>
            </w:r>
          </w:p>
          <w:p w14:paraId="4A3178B6">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val="0"/>
                <w:bCs w:val="0"/>
                <w:color w:val="auto"/>
                <w:lang w:val="en-US" w:eastAsia="zh-CN"/>
              </w:rPr>
              <w:t>本项目站内普通生产用电为三级用电负荷。消防用电为二级用电负荷，消防配电采用双电源供电,并在其配电线路的最末一级配电箱处设置自动切换装置，采用阻燃交联聚乙烯绝缘铠装电力电缆（ZR-YJV22-0.6/1kV)电缆埋地引入。</w:t>
            </w:r>
            <w:r>
              <w:rPr>
                <w:rFonts w:hint="default" w:ascii="Times New Roman" w:hAnsi="Times New Roman" w:cs="Times New Roman"/>
                <w:b w:val="0"/>
                <w:bCs w:val="0"/>
                <w:color w:val="auto"/>
                <w:highlight w:val="none"/>
                <w:lang w:val="en-US" w:eastAsia="zh-CN"/>
              </w:rPr>
              <w:t>备用电源采用自备柴油发电机组，</w:t>
            </w:r>
            <w:bookmarkStart w:id="9" w:name="OLE_LINK9"/>
            <w:r>
              <w:rPr>
                <w:rFonts w:hint="default" w:ascii="Times New Roman" w:hAnsi="Times New Roman" w:cs="Times New Roman"/>
                <w:b w:val="0"/>
                <w:bCs w:val="0"/>
                <w:color w:val="auto"/>
                <w:highlight w:val="none"/>
                <w:lang w:val="en-US" w:eastAsia="zh-CN"/>
              </w:rPr>
              <w:t>柴油发电机</w:t>
            </w:r>
            <w:bookmarkEnd w:id="9"/>
            <w:r>
              <w:rPr>
                <w:rFonts w:hint="default" w:ascii="Times New Roman" w:hAnsi="Times New Roman" w:cs="Times New Roman"/>
                <w:b w:val="0"/>
                <w:bCs w:val="0"/>
                <w:color w:val="auto"/>
                <w:highlight w:val="none"/>
                <w:lang w:val="en-US" w:eastAsia="zh-CN"/>
              </w:rPr>
              <w:t>功率为150kW。</w:t>
            </w:r>
          </w:p>
          <w:p w14:paraId="361F05B0">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（八）项目总平面布置</w:t>
            </w:r>
          </w:p>
          <w:p w14:paraId="521370BA">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气站分区布置，设生产区（包括储罐区和灌瓶区）和辅助区。生产区位于站区的西侧，设置液化气灌装区和储罐区；储罐区采用露天布置，储罐区布置4台200m³卧式储罐和1台50m³卧式残液罐，罐区周边设置1米高防火堤，并在防火堤的两</w:t>
            </w:r>
            <w:r>
              <w:rPr>
                <w:rFonts w:hint="default" w:ascii="Times New Roman" w:hAnsi="Times New Roman" w:cs="Times New Roman"/>
                <w:color w:val="auto"/>
                <w:lang w:val="en-US" w:eastAsia="zh-CN"/>
              </w:rPr>
              <w:t>个方向各设置了一个进罐区的踏步；液化气储罐最外壁与液化气机泵房距离为2</w:t>
            </w:r>
            <w:r>
              <w:rPr>
                <w:rFonts w:hint="eastAsia" w:ascii="Times New Roman" w:hAnsi="Times New Roman" w:cs="Times New Roman"/>
                <w:color w:val="auto"/>
                <w:lang w:val="en-US" w:eastAsia="zh-CN"/>
              </w:rPr>
              <w:t>6.5</w:t>
            </w:r>
            <w:r>
              <w:rPr>
                <w:rFonts w:hint="default" w:ascii="Times New Roman" w:hAnsi="Times New Roman" w:cs="Times New Roman"/>
                <w:color w:val="auto"/>
                <w:lang w:val="en-US" w:eastAsia="zh-CN"/>
              </w:rPr>
              <w:t>m。灌装区设灌瓶间和机泵房；该站总存瓶量＜10t，日灌瓶量260瓶，其机泵房与灌瓶间、汽车装卸柱帖邻建设，其间墙为无门、窗洞口的防火墙。辅助区设辅助用房（含有</w:t>
            </w:r>
            <w:r>
              <w:rPr>
                <w:rFonts w:hint="eastAsia" w:ascii="Times New Roman" w:hAnsi="Times New Roman" w:cs="Times New Roman"/>
                <w:color w:val="auto"/>
                <w:lang w:val="en-US" w:eastAsia="zh-CN"/>
              </w:rPr>
              <w:t>机泵房、灌瓶间与实瓶间</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配套用房、消防泵房、办公楼</w:t>
            </w:r>
            <w:r>
              <w:rPr>
                <w:rFonts w:hint="eastAsia" w:ascii="Times New Roman" w:hAnsi="Times New Roman" w:cs="Times New Roman"/>
                <w:color w:val="auto"/>
                <w:lang w:val="en-US" w:eastAsia="zh-CN"/>
              </w:rPr>
              <w:t>（含</w:t>
            </w:r>
            <w:r>
              <w:rPr>
                <w:rFonts w:hint="default" w:ascii="Times New Roman" w:hAnsi="Times New Roman" w:cs="Times New Roman"/>
                <w:color w:val="auto"/>
                <w:lang w:val="en-US" w:eastAsia="zh-CN"/>
              </w:rPr>
              <w:t>食堂</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，消防水池。辅助用房与液化气储罐外壁最小距离</w:t>
            </w:r>
            <w:r>
              <w:rPr>
                <w:rFonts w:hint="eastAsia" w:ascii="Times New Roman" w:hAnsi="Times New Roman" w:cs="Times New Roman"/>
                <w:color w:val="auto"/>
                <w:lang w:val="en-US" w:eastAsia="zh-CN"/>
              </w:rPr>
              <w:t>26.5</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办公楼</w:t>
            </w:r>
            <w:r>
              <w:rPr>
                <w:rFonts w:hint="default" w:ascii="Times New Roman" w:hAnsi="Times New Roman" w:cs="Times New Roman"/>
                <w:color w:val="auto"/>
                <w:lang w:val="en-US" w:eastAsia="zh-CN"/>
              </w:rPr>
              <w:t>与液化气储罐外壁最小距离</w:t>
            </w:r>
            <w:r>
              <w:rPr>
                <w:rFonts w:hint="eastAsia" w:ascii="Times New Roman" w:hAnsi="Times New Roman" w:cs="Times New Roman"/>
                <w:color w:val="auto"/>
                <w:lang w:val="en-US" w:eastAsia="zh-CN"/>
              </w:rPr>
              <w:t>60.01</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消防泵房与液化气储罐外壁最小距离</w:t>
            </w:r>
            <w:r>
              <w:rPr>
                <w:rFonts w:hint="eastAsia" w:ascii="Times New Roman" w:hAnsi="Times New Roman" w:cs="Times New Roman"/>
                <w:color w:val="auto"/>
                <w:lang w:val="en-US" w:eastAsia="zh-CN"/>
              </w:rPr>
              <w:t>61.82</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配套用房与液化气储罐外壁最小距离</w:t>
            </w:r>
            <w:r>
              <w:rPr>
                <w:rFonts w:hint="eastAsia" w:ascii="Times New Roman" w:hAnsi="Times New Roman" w:cs="Times New Roman"/>
                <w:color w:val="auto"/>
                <w:lang w:val="en-US" w:eastAsia="zh-CN"/>
              </w:rPr>
              <w:t>73.21</w:t>
            </w:r>
            <w:r>
              <w:rPr>
                <w:rFonts w:hint="default" w:ascii="Times New Roman" w:hAnsi="Times New Roman" w:cs="Times New Roman"/>
                <w:color w:val="auto"/>
                <w:lang w:val="en-US" w:eastAsia="zh-CN"/>
              </w:rPr>
              <w:t>m，消防水池设于站区西南部，占地面积152.4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。消防水池位于辅助用房</w:t>
            </w:r>
            <w:r>
              <w:rPr>
                <w:rFonts w:hint="default" w:ascii="Times New Roman" w:hAnsi="Times New Roman" w:cs="Times New Roman"/>
                <w:color w:val="auto"/>
                <w:highlight w:val="none"/>
                <w:lang w:val="en-US" w:eastAsia="zh-CN"/>
              </w:rPr>
              <w:t>站区西北侧</w:t>
            </w:r>
            <w:r>
              <w:rPr>
                <w:rFonts w:hint="default" w:ascii="Times New Roman" w:hAnsi="Times New Roman" w:cs="Times New Roman"/>
                <w:color w:val="auto"/>
                <w:lang w:val="en-US" w:eastAsia="zh-CN"/>
              </w:rPr>
              <w:t>，消防车取水口距离储罐</w:t>
            </w:r>
            <w:r>
              <w:rPr>
                <w:rFonts w:hint="eastAsia" w:ascii="Times New Roman" w:hAnsi="Times New Roman" w:cs="Times New Roman"/>
                <w:color w:val="auto"/>
                <w:lang w:val="en-US" w:eastAsia="zh-CN"/>
              </w:rPr>
              <w:t>20.5</w:t>
            </w:r>
            <w:r>
              <w:rPr>
                <w:rFonts w:hint="default" w:ascii="Times New Roman" w:hAnsi="Times New Roman" w:cs="Times New Roman"/>
                <w:color w:val="auto"/>
                <w:lang w:val="en-US" w:eastAsia="zh-CN"/>
              </w:rPr>
              <w:t>m。各建构筑物之间、建构筑物与储罐之间安全防火间距设计符合《液化石油气供应工程设计规范》GB51142-2015、《建筑设计防火规范》（2018年版）GB50016-2014的要求。</w:t>
            </w:r>
          </w:p>
          <w:p w14:paraId="67D51503">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项目气站具体平面布置见附图2。</w:t>
            </w:r>
          </w:p>
          <w:p w14:paraId="2214A982">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（九）水平衡</w:t>
            </w:r>
          </w:p>
          <w:p w14:paraId="3D84EBD7">
            <w:pPr>
              <w:pStyle w:val="71"/>
              <w:bidi w:val="0"/>
              <w:rPr>
                <w:rFonts w:hint="default" w:ascii="Times New Roman" w:hAnsi="Times New Roman" w:cs="Times New Roman"/>
                <w:color w:val="auto"/>
                <w:lang w:eastAsia="zh-CN"/>
              </w:rPr>
            </w:pPr>
            <w:r>
              <w:rPr>
                <w:rFonts w:hint="default" w:ascii="Times New Roman" w:hAnsi="Times New Roman" w:cs="Times New Roman"/>
                <w:color w:val="auto"/>
              </w:rPr>
              <w:t>本项目用</w:t>
            </w:r>
            <w:r>
              <w:rPr>
                <w:rFonts w:hint="default" w:ascii="Times New Roman" w:hAnsi="Times New Roman" w:cs="Times New Roman"/>
                <w:color w:val="auto"/>
                <w:lang w:val="en-US" w:eastAsia="zh-CN"/>
              </w:rPr>
              <w:t>水主要为生活用水和生产用水</w:t>
            </w:r>
            <w:r>
              <w:rPr>
                <w:rFonts w:hint="default" w:ascii="Times New Roman" w:hAnsi="Times New Roman" w:cs="Times New Roman"/>
                <w:color w:val="auto"/>
                <w:lang w:eastAsia="zh-CN"/>
              </w:rPr>
              <w:t>。</w:t>
            </w:r>
          </w:p>
          <w:p w14:paraId="3B45BE2C">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生活用水</w:t>
            </w:r>
          </w:p>
          <w:p w14:paraId="0012B8A8">
            <w:pPr>
              <w:pStyle w:val="71"/>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本项目劳动定员</w:t>
            </w:r>
            <w:r>
              <w:rPr>
                <w:rFonts w:hint="eastAsia" w:ascii="Times New Roman" w:hAnsi="Times New Roman" w:cs="Times New Roman"/>
                <w:color w:val="auto"/>
                <w:lang w:val="en-US" w:eastAsia="zh-CN"/>
              </w:rPr>
              <w:t>25</w:t>
            </w:r>
            <w:r>
              <w:rPr>
                <w:rFonts w:hint="default" w:ascii="Times New Roman" w:hAnsi="Times New Roman" w:cs="Times New Roman"/>
                <w:color w:val="auto"/>
                <w:lang w:val="en-US" w:eastAsia="zh-CN"/>
              </w:rPr>
              <w:t>人，</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人在站内住宿</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住宿人员生活用水量以150</w:t>
            </w:r>
            <w:r>
              <w:rPr>
                <w:rFonts w:hint="default" w:ascii="Times New Roman" w:hAnsi="Times New Roman" w:cs="Times New Roman"/>
                <w:color w:val="auto"/>
                <w:lang w:eastAsia="zh-CN"/>
              </w:rPr>
              <w:t>L/d计，</w:t>
            </w:r>
            <w:r>
              <w:rPr>
                <w:rFonts w:hint="default" w:ascii="Times New Roman" w:hAnsi="Times New Roman" w:cs="Times New Roman"/>
                <w:color w:val="auto"/>
                <w:lang w:val="en-US" w:eastAsia="zh-CN"/>
              </w:rPr>
              <w:t>不住宿人员生活用水量以50</w:t>
            </w:r>
            <w:r>
              <w:rPr>
                <w:rFonts w:hint="default" w:ascii="Times New Roman" w:hAnsi="Times New Roman" w:cs="Times New Roman"/>
                <w:color w:val="auto"/>
                <w:lang w:eastAsia="zh-CN"/>
              </w:rPr>
              <w:t>L/d计，年工作时间为</w:t>
            </w: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65</w:t>
            </w:r>
            <w:r>
              <w:rPr>
                <w:rFonts w:hint="default" w:ascii="Times New Roman" w:hAnsi="Times New Roman" w:cs="Times New Roman"/>
                <w:color w:val="auto"/>
                <w:lang w:val="en-US" w:eastAsia="zh-CN"/>
              </w:rPr>
              <w:t>天，</w:t>
            </w:r>
            <w:r>
              <w:rPr>
                <w:rFonts w:hint="default" w:ascii="Times New Roman" w:hAnsi="Times New Roman" w:cs="Times New Roman"/>
                <w:color w:val="auto"/>
                <w:lang w:eastAsia="zh-CN"/>
              </w:rPr>
              <w:t>则全厂生活用水量为</w:t>
            </w:r>
            <w:r>
              <w:rPr>
                <w:rFonts w:hint="eastAsia" w:ascii="Times New Roman" w:hAnsi="Times New Roman" w:cs="Times New Roman"/>
                <w:color w:val="auto"/>
                <w:lang w:val="en-US" w:eastAsia="zh-CN"/>
              </w:rPr>
              <w:t>1.45</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d</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529.25</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产污</w:t>
            </w:r>
            <w:r>
              <w:rPr>
                <w:rFonts w:hint="default" w:ascii="Times New Roman" w:hAnsi="Times New Roman" w:cs="Times New Roman"/>
                <w:color w:val="auto"/>
                <w:lang w:eastAsia="zh-CN"/>
              </w:rPr>
              <w:t>系数取0.8，</w:t>
            </w:r>
            <w:r>
              <w:rPr>
                <w:rFonts w:hint="default" w:ascii="Times New Roman" w:hAnsi="Times New Roman" w:cs="Times New Roman"/>
                <w:color w:val="auto"/>
                <w:lang w:val="en-US" w:eastAsia="zh-CN"/>
              </w:rPr>
              <w:t>生活废水产生</w:t>
            </w:r>
            <w:r>
              <w:rPr>
                <w:rFonts w:hint="default" w:ascii="Times New Roman" w:hAnsi="Times New Roman" w:cs="Times New Roman"/>
                <w:color w:val="auto"/>
                <w:lang w:eastAsia="zh-CN"/>
              </w:rPr>
              <w:t>量为</w:t>
            </w:r>
            <w:r>
              <w:rPr>
                <w:rFonts w:hint="eastAsia" w:ascii="Times New Roman" w:hAnsi="Times New Roman" w:cs="Times New Roman"/>
                <w:color w:val="auto"/>
                <w:lang w:val="en-US" w:eastAsia="zh-CN"/>
              </w:rPr>
              <w:t>1.16</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d</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423.4</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a</w:t>
            </w:r>
            <w:r>
              <w:rPr>
                <w:rFonts w:hint="default" w:ascii="Times New Roman" w:hAnsi="Times New Roman" w:cs="Times New Roman"/>
                <w:color w:val="auto"/>
                <w:lang w:eastAsia="zh-CN"/>
              </w:rPr>
              <w:t>）。</w:t>
            </w:r>
          </w:p>
          <w:p w14:paraId="51B02142">
            <w:pPr>
              <w:pStyle w:val="7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本项目生活废水经隔油池+三级化粪池处理达《农田灌溉水质标准》（GB5084-2021）旱作标准后用于周边农田浇灌，不外排。</w:t>
            </w:r>
          </w:p>
          <w:p w14:paraId="2EBF9E6E">
            <w:pPr>
              <w:pStyle w:val="111"/>
              <w:ind w:firstLine="480"/>
              <w:rPr>
                <w:color w:val="auto"/>
              </w:rPr>
            </w:pPr>
            <w:r>
              <w:rPr>
                <w:rFonts w:hint="default" w:ascii="Times New Roman" w:hAnsi="Times New Roman" w:cs="Times New Roman"/>
                <w:color w:val="auto"/>
                <w:lang w:val="en-US" w:eastAsia="zh-CN"/>
              </w:rPr>
              <w:t>（2）</w:t>
            </w:r>
            <w:r>
              <w:rPr>
                <w:rFonts w:hint="eastAsia"/>
                <w:color w:val="auto"/>
              </w:rPr>
              <w:t>喷淋降温用水</w:t>
            </w:r>
          </w:p>
          <w:p w14:paraId="3927BA26">
            <w:pPr>
              <w:pStyle w:val="71"/>
              <w:bidi w:val="0"/>
              <w:rPr>
                <w:rFonts w:hint="default" w:ascii="Times New Roman" w:hAnsi="Times New Roman" w:cs="Times New Roman"/>
                <w:color w:val="auto"/>
                <w:lang w:val="en-US" w:eastAsia="zh-CN"/>
              </w:rPr>
            </w:pPr>
            <w:r>
              <w:rPr>
                <w:rFonts w:hint="eastAsia"/>
                <w:color w:val="auto"/>
                <w:lang w:val="en-US" w:eastAsia="zh-CN"/>
              </w:rPr>
              <w:t>项目储罐在自然条件下，有可能因温度的升高出现爆炸等事故，因此一般地上储罐采取喷淋降温措施。根据南部高温情况，夏季出现大高温季节主要集中在7-9月份，估算喷淋天数约90天/年，每天需喷淋6h（11点到17点时段）；根据项目规模，夏季喷淋用水量为5m</w:t>
            </w:r>
            <w:r>
              <w:rPr>
                <w:rFonts w:hint="eastAsia"/>
                <w:color w:val="auto"/>
                <w:vertAlign w:val="superscript"/>
                <w:lang w:val="en-US" w:eastAsia="zh-CN"/>
              </w:rPr>
              <w:t>3</w:t>
            </w:r>
            <w:r>
              <w:rPr>
                <w:rFonts w:hint="eastAsia"/>
                <w:color w:val="auto"/>
                <w:lang w:val="en-US" w:eastAsia="zh-CN"/>
              </w:rPr>
              <w:t>/h，则项目喷淋用水量为30m</w:t>
            </w:r>
            <w:r>
              <w:rPr>
                <w:rFonts w:hint="eastAsia"/>
                <w:color w:val="auto"/>
                <w:vertAlign w:val="superscript"/>
                <w:lang w:val="en-US" w:eastAsia="zh-CN"/>
              </w:rPr>
              <w:t>3</w:t>
            </w:r>
            <w:r>
              <w:rPr>
                <w:rFonts w:hint="eastAsia"/>
                <w:color w:val="auto"/>
                <w:lang w:val="en-US" w:eastAsia="zh-CN"/>
              </w:rPr>
              <w:t>/d（2700m</w:t>
            </w:r>
            <w:r>
              <w:rPr>
                <w:rFonts w:hint="eastAsia"/>
                <w:color w:val="auto"/>
                <w:vertAlign w:val="superscript"/>
                <w:lang w:val="en-US" w:eastAsia="zh-CN"/>
              </w:rPr>
              <w:t>3</w:t>
            </w:r>
            <w:r>
              <w:rPr>
                <w:rFonts w:hint="eastAsia"/>
                <w:color w:val="auto"/>
                <w:lang w:val="en-US" w:eastAsia="zh-CN"/>
              </w:rPr>
              <w:t>/a）。若以蒸发量10%计算，则储罐喷淋废水排放量为27m</w:t>
            </w:r>
            <w:r>
              <w:rPr>
                <w:rFonts w:hint="eastAsia"/>
                <w:color w:val="auto"/>
                <w:vertAlign w:val="superscript"/>
                <w:lang w:val="en-US" w:eastAsia="zh-CN"/>
              </w:rPr>
              <w:t>3</w:t>
            </w:r>
            <w:r>
              <w:rPr>
                <w:rFonts w:hint="eastAsia"/>
                <w:color w:val="auto"/>
                <w:lang w:val="en-US" w:eastAsia="zh-CN"/>
              </w:rPr>
              <w:t>/d（2430m</w:t>
            </w:r>
            <w:r>
              <w:rPr>
                <w:rFonts w:hint="eastAsia"/>
                <w:color w:val="auto"/>
                <w:vertAlign w:val="superscript"/>
                <w:lang w:val="en-US" w:eastAsia="zh-CN"/>
              </w:rPr>
              <w:t>3</w:t>
            </w:r>
            <w:r>
              <w:rPr>
                <w:rFonts w:hint="eastAsia"/>
                <w:color w:val="auto"/>
                <w:lang w:val="en-US" w:eastAsia="zh-CN"/>
              </w:rPr>
              <w:t>/a）。此部分水较为清洁，由消防水池收集后，可循环使用，并不定时补充因挥发而损耗的水量</w:t>
            </w:r>
            <w:r>
              <w:rPr>
                <w:rFonts w:hint="default" w:ascii="Times New Roman" w:hAnsi="Times New Roman" w:cs="Times New Roman"/>
                <w:color w:val="auto"/>
                <w:lang w:val="en-US" w:eastAsia="zh-CN"/>
              </w:rPr>
              <w:t>。</w:t>
            </w:r>
          </w:p>
          <w:p w14:paraId="6E1BB171">
            <w:pPr>
              <w:pStyle w:val="111"/>
              <w:ind w:firstLine="480"/>
              <w:rPr>
                <w:rFonts w:hint="default" w:ascii="Times New Roman" w:hAnsi="Times New Roman" w:cs="Times New Roman"/>
                <w:color w:val="auto"/>
                <w:sz w:val="24"/>
                <w:szCs w:val="24"/>
                <w:lang w:val="en-US" w:eastAsia="zh-CN"/>
              </w:rPr>
            </w:pPr>
            <w:r>
              <w:rPr>
                <w:rFonts w:hint="default" w:ascii="Times New Roman" w:hAnsi="Times New Roman" w:eastAsia="宋体" w:cs="Times New Roman"/>
                <w:bCs/>
                <w:color w:val="auto"/>
                <w:sz w:val="24"/>
                <w:lang w:val="en-US" w:eastAsia="zh-CN"/>
              </w:rPr>
              <w:t>根据上述分析，本项目新鲜水用水量为</w:t>
            </w:r>
            <w:r>
              <w:rPr>
                <w:rFonts w:hint="eastAsia" w:cs="Times New Roman"/>
                <w:color w:val="auto"/>
                <w:lang w:val="en-US" w:eastAsia="zh-CN"/>
              </w:rPr>
              <w:t>2719.25</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a</w:t>
            </w:r>
            <w:r>
              <w:rPr>
                <w:rFonts w:hint="default" w:ascii="Times New Roman" w:hAnsi="Times New Roman" w:eastAsia="宋体" w:cs="Times New Roman"/>
                <w:bCs/>
                <w:color w:val="auto"/>
                <w:sz w:val="24"/>
                <w:lang w:eastAsia="zh-CN"/>
              </w:rPr>
              <w:t>。</w:t>
            </w:r>
            <w:r>
              <w:rPr>
                <w:rFonts w:hint="default" w:ascii="Times New Roman" w:hAnsi="Times New Roman" w:cs="Times New Roman"/>
                <w:color w:val="auto"/>
                <w:sz w:val="24"/>
                <w:szCs w:val="24"/>
                <w:lang w:eastAsia="zh-CN"/>
              </w:rPr>
              <w:t>项目用水平衡见表</w:t>
            </w:r>
            <w:r>
              <w:rPr>
                <w:rFonts w:hint="default"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2-1。</w:t>
            </w:r>
          </w:p>
          <w:p w14:paraId="45A57DA8">
            <w:pPr>
              <w:pStyle w:val="45"/>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表2-6项目水平衡一览表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115"/>
              <w:gridCol w:w="1253"/>
              <w:gridCol w:w="1256"/>
              <w:gridCol w:w="1256"/>
              <w:gridCol w:w="1255"/>
              <w:gridCol w:w="1277"/>
            </w:tblGrid>
            <w:tr w14:paraId="6AEBE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restart"/>
                  <w:tcBorders>
                    <w:tl2br w:val="nil"/>
                    <w:tr2bl w:val="nil"/>
                  </w:tcBorders>
                  <w:noWrap w:val="0"/>
                  <w:vAlign w:val="center"/>
                </w:tcPr>
                <w:p w14:paraId="0BBE46B6">
                  <w:pPr>
                    <w:keepNext w:val="0"/>
                    <w:keepLines w:val="0"/>
                    <w:widowControl/>
                    <w:suppressLineNumbers w:val="0"/>
                    <w:jc w:val="center"/>
                    <w:textAlignment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i w:val="0"/>
                      <w:color w:val="auto"/>
                      <w:kern w:val="0"/>
                      <w:sz w:val="21"/>
                      <w:szCs w:val="21"/>
                      <w:u w:val="none"/>
                      <w:lang w:val="en-US" w:eastAsia="zh-CN" w:bidi="ar"/>
                    </w:rPr>
                    <w:t>项目</w:t>
                  </w:r>
                </w:p>
              </w:tc>
              <w:tc>
                <w:tcPr>
                  <w:tcW w:w="3553" w:type="dxa"/>
                  <w:gridSpan w:val="3"/>
                  <w:tcBorders>
                    <w:tl2br w:val="nil"/>
                    <w:tr2bl w:val="nil"/>
                  </w:tcBorders>
                  <w:noWrap w:val="0"/>
                  <w:vAlign w:val="center"/>
                </w:tcPr>
                <w:p w14:paraId="53120A1F">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i w:val="0"/>
                      <w:color w:val="auto"/>
                      <w:kern w:val="0"/>
                      <w:sz w:val="21"/>
                      <w:szCs w:val="21"/>
                      <w:u w:val="none"/>
                      <w:lang w:val="en-US" w:eastAsia="zh-CN" w:bidi="ar"/>
                    </w:rPr>
                    <w:t>入方（m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/d）</w:t>
                  </w:r>
                </w:p>
              </w:tc>
              <w:tc>
                <w:tcPr>
                  <w:tcW w:w="3713" w:type="dxa"/>
                  <w:gridSpan w:val="3"/>
                  <w:tcBorders>
                    <w:tl2br w:val="nil"/>
                    <w:tr2bl w:val="nil"/>
                  </w:tcBorders>
                  <w:noWrap w:val="0"/>
                  <w:vAlign w:val="center"/>
                </w:tcPr>
                <w:p w14:paraId="0B4D215F">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i w:val="0"/>
                      <w:color w:val="auto"/>
                      <w:kern w:val="0"/>
                      <w:sz w:val="21"/>
                      <w:szCs w:val="21"/>
                      <w:u w:val="none"/>
                      <w:lang w:val="en-US" w:eastAsia="zh-CN" w:bidi="ar"/>
                    </w:rPr>
                    <w:t>出方（m</w:t>
                  </w:r>
                  <w:r>
                    <w:rPr>
                      <w:rFonts w:hint="default" w:ascii="Times New Roman" w:hAnsi="Times New Roman" w:eastAsia="宋体" w:cs="Times New Roman"/>
                      <w:b/>
                      <w:bCs/>
                      <w:i w:val="0"/>
                      <w:color w:val="auto"/>
                      <w:kern w:val="0"/>
                      <w:sz w:val="21"/>
                      <w:szCs w:val="21"/>
                      <w:u w:val="none"/>
                      <w:vertAlign w:val="superscript"/>
                      <w:lang w:val="en-US" w:eastAsia="zh-CN" w:bidi="ar"/>
                    </w:rPr>
                    <w:t>3</w:t>
                  </w:r>
                  <w:r>
                    <w:rPr>
                      <w:rFonts w:hint="default" w:ascii="Times New Roman" w:hAnsi="Times New Roman" w:eastAsia="宋体" w:cs="Times New Roman"/>
                      <w:b/>
                      <w:bCs/>
                      <w:i w:val="0"/>
                      <w:color w:val="auto"/>
                      <w:kern w:val="0"/>
                      <w:sz w:val="21"/>
                      <w:szCs w:val="21"/>
                      <w:u w:val="none"/>
                      <w:lang w:val="en-US" w:eastAsia="zh-CN" w:bidi="ar"/>
                    </w:rPr>
                    <w:t>/d）</w:t>
                  </w:r>
                </w:p>
              </w:tc>
            </w:tr>
            <w:tr w14:paraId="26F9E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vMerge w:val="continue"/>
                  <w:tcBorders>
                    <w:tl2br w:val="nil"/>
                    <w:tr2bl w:val="nil"/>
                  </w:tcBorders>
                  <w:noWrap w:val="0"/>
                  <w:vAlign w:val="center"/>
                </w:tcPr>
                <w:p w14:paraId="4DC8CC85">
                  <w:pPr>
                    <w:jc w:val="center"/>
                    <w:rPr>
                      <w:rFonts w:hint="default" w:ascii="Times New Roman" w:hAnsi="Times New Roman" w:cs="Times New Roman"/>
                      <w:b w:val="0"/>
                      <w:bCs w:val="0"/>
                      <w:color w:val="auto"/>
                      <w:sz w:val="21"/>
                      <w:szCs w:val="21"/>
                      <w:vertAlign w:val="baseline"/>
                      <w:lang w:val="en-US" w:eastAsia="zh-CN"/>
                    </w:rPr>
                  </w:pPr>
                </w:p>
              </w:tc>
              <w:tc>
                <w:tcPr>
                  <w:tcW w:w="1093" w:type="dxa"/>
                  <w:tcBorders>
                    <w:tl2br w:val="nil"/>
                    <w:tr2bl w:val="nil"/>
                  </w:tcBorders>
                  <w:noWrap w:val="0"/>
                  <w:vAlign w:val="center"/>
                </w:tcPr>
                <w:p w14:paraId="688BF19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总用水</w:t>
                  </w:r>
                </w:p>
              </w:tc>
              <w:tc>
                <w:tcPr>
                  <w:tcW w:w="1229" w:type="dxa"/>
                  <w:tcBorders>
                    <w:tl2br w:val="nil"/>
                    <w:tr2bl w:val="nil"/>
                  </w:tcBorders>
                  <w:noWrap w:val="0"/>
                  <w:vAlign w:val="center"/>
                </w:tcPr>
                <w:p w14:paraId="6CDD509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新鲜水</w:t>
                  </w:r>
                </w:p>
              </w:tc>
              <w:tc>
                <w:tcPr>
                  <w:tcW w:w="1231" w:type="dxa"/>
                  <w:tcBorders>
                    <w:tl2br w:val="nil"/>
                    <w:tr2bl w:val="nil"/>
                  </w:tcBorders>
                  <w:noWrap w:val="0"/>
                  <w:vAlign w:val="center"/>
                </w:tcPr>
                <w:p w14:paraId="1B56A5F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循环水</w:t>
                  </w:r>
                </w:p>
              </w:tc>
              <w:tc>
                <w:tcPr>
                  <w:tcW w:w="1231" w:type="dxa"/>
                  <w:tcBorders>
                    <w:tl2br w:val="nil"/>
                    <w:tr2bl w:val="nil"/>
                  </w:tcBorders>
                  <w:noWrap w:val="0"/>
                  <w:vAlign w:val="center"/>
                </w:tcPr>
                <w:p w14:paraId="502DD7D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回用</w:t>
                  </w:r>
                </w:p>
              </w:tc>
              <w:tc>
                <w:tcPr>
                  <w:tcW w:w="1230" w:type="dxa"/>
                  <w:tcBorders>
                    <w:tl2br w:val="nil"/>
                    <w:tr2bl w:val="nil"/>
                  </w:tcBorders>
                  <w:noWrap w:val="0"/>
                  <w:vAlign w:val="center"/>
                </w:tcPr>
                <w:p w14:paraId="04D9004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损耗</w:t>
                  </w:r>
                </w:p>
              </w:tc>
              <w:tc>
                <w:tcPr>
                  <w:tcW w:w="1252" w:type="dxa"/>
                  <w:tcBorders>
                    <w:tl2br w:val="nil"/>
                    <w:tr2bl w:val="nil"/>
                  </w:tcBorders>
                  <w:noWrap w:val="0"/>
                  <w:vAlign w:val="center"/>
                </w:tcPr>
                <w:p w14:paraId="595A2A8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排放</w:t>
                  </w:r>
                </w:p>
              </w:tc>
            </w:tr>
            <w:tr w14:paraId="629CB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tcBorders>
                    <w:tl2br w:val="nil"/>
                    <w:tr2bl w:val="nil"/>
                  </w:tcBorders>
                  <w:noWrap w:val="0"/>
                  <w:vAlign w:val="center"/>
                </w:tcPr>
                <w:p w14:paraId="6D76CE0F">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生活用水</w:t>
                  </w:r>
                </w:p>
              </w:tc>
              <w:tc>
                <w:tcPr>
                  <w:tcW w:w="1093" w:type="dxa"/>
                  <w:tcBorders>
                    <w:tl2br w:val="nil"/>
                    <w:tr2bl w:val="nil"/>
                  </w:tcBorders>
                  <w:noWrap w:val="0"/>
                  <w:vAlign w:val="center"/>
                </w:tcPr>
                <w:p w14:paraId="6BB30AC3">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1.45</w:t>
                  </w:r>
                </w:p>
              </w:tc>
              <w:tc>
                <w:tcPr>
                  <w:tcW w:w="1229" w:type="dxa"/>
                  <w:tcBorders>
                    <w:tl2br w:val="nil"/>
                    <w:tr2bl w:val="nil"/>
                  </w:tcBorders>
                  <w:noWrap w:val="0"/>
                  <w:vAlign w:val="center"/>
                </w:tcPr>
                <w:p w14:paraId="34110EF8">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1.45</w:t>
                  </w:r>
                </w:p>
              </w:tc>
              <w:tc>
                <w:tcPr>
                  <w:tcW w:w="1231" w:type="dxa"/>
                  <w:tcBorders>
                    <w:tl2br w:val="nil"/>
                    <w:tr2bl w:val="nil"/>
                  </w:tcBorders>
                  <w:noWrap w:val="0"/>
                  <w:vAlign w:val="center"/>
                </w:tcPr>
                <w:p w14:paraId="1FC6110C">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p>
              </w:tc>
              <w:tc>
                <w:tcPr>
                  <w:tcW w:w="1231" w:type="dxa"/>
                  <w:tcBorders>
                    <w:tl2br w:val="nil"/>
                    <w:tr2bl w:val="nil"/>
                  </w:tcBorders>
                  <w:noWrap w:val="0"/>
                  <w:vAlign w:val="center"/>
                </w:tcPr>
                <w:p w14:paraId="38420C83">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p>
              </w:tc>
              <w:tc>
                <w:tcPr>
                  <w:tcW w:w="1230" w:type="dxa"/>
                  <w:tcBorders>
                    <w:tl2br w:val="nil"/>
                    <w:tr2bl w:val="nil"/>
                  </w:tcBorders>
                  <w:noWrap w:val="0"/>
                  <w:vAlign w:val="center"/>
                </w:tcPr>
                <w:p w14:paraId="22BBBA36">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0.29</w:t>
                  </w:r>
                </w:p>
              </w:tc>
              <w:tc>
                <w:tcPr>
                  <w:tcW w:w="1252" w:type="dxa"/>
                  <w:tcBorders>
                    <w:tl2br w:val="nil"/>
                    <w:tr2bl w:val="nil"/>
                  </w:tcBorders>
                  <w:noWrap w:val="0"/>
                  <w:vAlign w:val="center"/>
                </w:tcPr>
                <w:p w14:paraId="323E8F00">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1.16</w:t>
                  </w:r>
                </w:p>
              </w:tc>
            </w:tr>
            <w:tr w14:paraId="4DBF7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4" w:type="dxa"/>
                  <w:tcBorders>
                    <w:tl2br w:val="nil"/>
                    <w:tr2bl w:val="nil"/>
                  </w:tcBorders>
                  <w:noWrap w:val="0"/>
                  <w:vAlign w:val="center"/>
                </w:tcPr>
                <w:p w14:paraId="529A101B">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喷淋用水</w:t>
                  </w:r>
                </w:p>
              </w:tc>
              <w:tc>
                <w:tcPr>
                  <w:tcW w:w="1093" w:type="dxa"/>
                  <w:tcBorders>
                    <w:tl2br w:val="nil"/>
                    <w:tr2bl w:val="nil"/>
                  </w:tcBorders>
                  <w:noWrap w:val="0"/>
                  <w:vAlign w:val="center"/>
                </w:tcPr>
                <w:p w14:paraId="79E5CFC1">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c>
                <w:tcPr>
                  <w:tcW w:w="1229" w:type="dxa"/>
                  <w:tcBorders>
                    <w:tl2br w:val="nil"/>
                    <w:tr2bl w:val="nil"/>
                  </w:tcBorders>
                  <w:noWrap w:val="0"/>
                  <w:vAlign w:val="center"/>
                </w:tcPr>
                <w:p w14:paraId="59B1CD96">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1231" w:type="dxa"/>
                  <w:tcBorders>
                    <w:tl2br w:val="nil"/>
                    <w:tr2bl w:val="nil"/>
                  </w:tcBorders>
                  <w:noWrap w:val="0"/>
                  <w:vAlign w:val="center"/>
                </w:tcPr>
                <w:p w14:paraId="3F1DF8CF">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27</w:t>
                  </w:r>
                </w:p>
              </w:tc>
              <w:tc>
                <w:tcPr>
                  <w:tcW w:w="1231" w:type="dxa"/>
                  <w:tcBorders>
                    <w:tl2br w:val="nil"/>
                    <w:tr2bl w:val="nil"/>
                  </w:tcBorders>
                  <w:noWrap w:val="0"/>
                  <w:vAlign w:val="center"/>
                </w:tcPr>
                <w:p w14:paraId="4396CBF1">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27</w:t>
                  </w:r>
                </w:p>
              </w:tc>
              <w:tc>
                <w:tcPr>
                  <w:tcW w:w="1230" w:type="dxa"/>
                  <w:tcBorders>
                    <w:tl2br w:val="nil"/>
                    <w:tr2bl w:val="nil"/>
                  </w:tcBorders>
                  <w:noWrap w:val="0"/>
                  <w:vAlign w:val="center"/>
                </w:tcPr>
                <w:p w14:paraId="4E1C0F67">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1252" w:type="dxa"/>
                  <w:tcBorders>
                    <w:tl2br w:val="nil"/>
                    <w:tr2bl w:val="nil"/>
                  </w:tcBorders>
                  <w:noWrap w:val="0"/>
                  <w:vAlign w:val="center"/>
                </w:tcPr>
                <w:p w14:paraId="66D49BCE">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p>
              </w:tc>
            </w:tr>
            <w:tr w14:paraId="561EF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4" w:type="dxa"/>
                  <w:tcBorders>
                    <w:tl2br w:val="nil"/>
                    <w:tr2bl w:val="nil"/>
                  </w:tcBorders>
                  <w:noWrap w:val="0"/>
                  <w:vAlign w:val="center"/>
                </w:tcPr>
                <w:p w14:paraId="63D4499E">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合计</w:t>
                  </w:r>
                </w:p>
              </w:tc>
              <w:tc>
                <w:tcPr>
                  <w:tcW w:w="1093" w:type="dxa"/>
                  <w:tcBorders>
                    <w:tl2br w:val="nil"/>
                    <w:tr2bl w:val="nil"/>
                  </w:tcBorders>
                  <w:noWrap w:val="0"/>
                  <w:vAlign w:val="center"/>
                </w:tcPr>
                <w:p w14:paraId="12A60CB0">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31.45</w:t>
                  </w:r>
                </w:p>
              </w:tc>
              <w:tc>
                <w:tcPr>
                  <w:tcW w:w="1229" w:type="dxa"/>
                  <w:tcBorders>
                    <w:tl2br w:val="nil"/>
                    <w:tr2bl w:val="nil"/>
                  </w:tcBorders>
                  <w:noWrap w:val="0"/>
                  <w:vAlign w:val="center"/>
                </w:tcPr>
                <w:p w14:paraId="5C51AE85">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4.45</w:t>
                  </w:r>
                </w:p>
              </w:tc>
              <w:tc>
                <w:tcPr>
                  <w:tcW w:w="1231" w:type="dxa"/>
                  <w:tcBorders>
                    <w:tl2br w:val="nil"/>
                    <w:tr2bl w:val="nil"/>
                  </w:tcBorders>
                  <w:noWrap w:val="0"/>
                  <w:vAlign w:val="center"/>
                </w:tcPr>
                <w:p w14:paraId="1009C16A">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27</w:t>
                  </w:r>
                </w:p>
              </w:tc>
              <w:tc>
                <w:tcPr>
                  <w:tcW w:w="1231" w:type="dxa"/>
                  <w:tcBorders>
                    <w:tl2br w:val="nil"/>
                    <w:tr2bl w:val="nil"/>
                  </w:tcBorders>
                  <w:noWrap w:val="0"/>
                  <w:vAlign w:val="center"/>
                </w:tcPr>
                <w:p w14:paraId="24D8D99F">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27</w:t>
                  </w:r>
                </w:p>
              </w:tc>
              <w:tc>
                <w:tcPr>
                  <w:tcW w:w="1230" w:type="dxa"/>
                  <w:tcBorders>
                    <w:tl2br w:val="nil"/>
                    <w:tr2bl w:val="nil"/>
                  </w:tcBorders>
                  <w:noWrap w:val="0"/>
                  <w:vAlign w:val="center"/>
                </w:tcPr>
                <w:p w14:paraId="73D07268">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3.29</w:t>
                  </w:r>
                </w:p>
              </w:tc>
              <w:tc>
                <w:tcPr>
                  <w:tcW w:w="1252" w:type="dxa"/>
                  <w:tcBorders>
                    <w:tl2br w:val="nil"/>
                    <w:tr2bl w:val="nil"/>
                  </w:tcBorders>
                  <w:noWrap w:val="0"/>
                  <w:vAlign w:val="center"/>
                </w:tcPr>
                <w:p w14:paraId="7B59E099">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1.1</w:t>
                  </w:r>
                  <w:r>
                    <w:rPr>
                      <w:rFonts w:hint="default" w:ascii="Times New Roman" w:hAnsi="Times New Roman" w:eastAsia="宋体" w:cs="Times New Roman"/>
                      <w:b w:val="0"/>
                      <w:bCs w:val="0"/>
                      <w:color w:val="auto"/>
                      <w:sz w:val="21"/>
                      <w:szCs w:val="21"/>
                      <w:vertAlign w:val="baseline"/>
                      <w:lang w:val="en-US" w:eastAsia="zh-CN"/>
                    </w:rPr>
                    <w:t>6</w:t>
                  </w:r>
                </w:p>
              </w:tc>
            </w:tr>
          </w:tbl>
          <w:p w14:paraId="77735920">
            <w:pPr>
              <w:pStyle w:val="4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color w:val="auto"/>
                <w:sz w:val="24"/>
              </w:rPr>
            </w:pPr>
            <w:r>
              <w:rPr>
                <w:rFonts w:hint="default" w:ascii="Times New Roman" w:hAnsi="Times New Roman" w:cs="Times New Roman"/>
                <w:b/>
                <w:bCs/>
                <w:color w:val="auto"/>
                <w:sz w:val="21"/>
                <w:szCs w:val="21"/>
                <w:lang w:val="en-US" w:eastAsia="zh-CN"/>
              </w:rPr>
              <w:object>
                <v:shape id="_x0000_i1025" o:spt="75" type="#_x0000_t75" style="height:165.75pt;width:401.2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4E0EB5F9">
            <w:pPr>
              <w:adjustRightInd w:val="0"/>
              <w:snapToGrid w:val="0"/>
              <w:spacing w:line="360" w:lineRule="auto"/>
              <w:jc w:val="center"/>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图2-1项目水平衡图单位：m</w:t>
            </w:r>
            <w:r>
              <w:rPr>
                <w:rFonts w:hint="default" w:ascii="Times New Roman" w:hAnsi="Times New Roman" w:cs="Times New Roman"/>
                <w:b/>
                <w:bCs/>
                <w:color w:val="auto"/>
                <w:vertAlign w:val="superscript"/>
                <w:lang w:val="en-US" w:eastAsia="zh-CN"/>
              </w:rPr>
              <w:t>3</w:t>
            </w:r>
            <w:r>
              <w:rPr>
                <w:rFonts w:hint="default" w:ascii="Times New Roman" w:hAnsi="Times New Roman" w:cs="Times New Roman"/>
                <w:b/>
                <w:bCs/>
                <w:color w:val="auto"/>
                <w:lang w:val="en-US" w:eastAsia="zh-CN"/>
              </w:rPr>
              <w:t>/d</w:t>
            </w:r>
          </w:p>
        </w:tc>
      </w:tr>
      <w:tr w14:paraId="12BF5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42" w:type="pct"/>
            <w:noWrap w:val="0"/>
            <w:vAlign w:val="center"/>
          </w:tcPr>
          <w:p w14:paraId="00C5190B">
            <w:pPr>
              <w:pStyle w:val="32"/>
              <w:adjustRightInd w:val="0"/>
              <w:snapToGrid w:val="0"/>
              <w:spacing w:before="0" w:beforeAutospacing="0" w:after="0" w:afterAutospacing="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工艺流程和产排污环节</w:t>
            </w:r>
          </w:p>
        </w:tc>
        <w:tc>
          <w:tcPr>
            <w:tcW w:w="4657" w:type="pct"/>
            <w:noWrap w:val="0"/>
            <w:vAlign w:val="top"/>
          </w:tcPr>
          <w:p w14:paraId="12B786CD">
            <w:pPr>
              <w:topLinePunct/>
              <w:spacing w:line="360" w:lineRule="auto"/>
              <w:ind w:firstLine="420" w:firstLineChars="200"/>
              <w:rPr>
                <w:b/>
                <w:bCs/>
                <w:color w:val="auto"/>
                <w:sz w:val="24"/>
                <w:szCs w:val="24"/>
              </w:rPr>
            </w:pPr>
            <w:r>
              <w:rPr>
                <w:rFonts w:hint="default" w:ascii="Times New Roman" w:hAnsi="Times New Roman" w:cs="Times New Roman"/>
                <w:b/>
                <w:bCs/>
                <w:color w:val="auto"/>
                <w:lang w:val="en-US" w:eastAsia="zh-CN"/>
              </w:rPr>
              <w:t>（一）</w:t>
            </w:r>
            <w:r>
              <w:rPr>
                <w:b/>
                <w:bCs/>
                <w:color w:val="auto"/>
                <w:sz w:val="24"/>
                <w:szCs w:val="24"/>
              </w:rPr>
              <w:t>施工期工艺流程</w:t>
            </w:r>
            <w:r>
              <w:rPr>
                <w:rFonts w:hint="eastAsia"/>
                <w:b/>
                <w:bCs/>
                <w:color w:val="auto"/>
                <w:sz w:val="24"/>
                <w:szCs w:val="24"/>
              </w:rPr>
              <w:t>及产污环节</w:t>
            </w:r>
            <w:r>
              <w:rPr>
                <w:b/>
                <w:bCs/>
                <w:color w:val="auto"/>
                <w:sz w:val="24"/>
                <w:szCs w:val="24"/>
              </w:rPr>
              <w:t>：</w:t>
            </w:r>
          </w:p>
          <w:p w14:paraId="52081E13">
            <w:pPr>
              <w:pStyle w:val="71"/>
              <w:ind w:firstLine="482"/>
              <w:rPr>
                <w:rFonts w:hint="eastAsia"/>
                <w:b w:val="0"/>
                <w:bCs w:val="0"/>
                <w:color w:val="auto"/>
              </w:rPr>
            </w:pPr>
            <w:r>
              <w:rPr>
                <w:rFonts w:hint="eastAsia"/>
                <w:b w:val="0"/>
                <w:bCs w:val="0"/>
                <w:color w:val="auto"/>
              </w:rPr>
              <w:t>项目施工工艺主要为场地整理、建筑施工、设备安装。项目施工期产生的主要环境问题是项目施工期场地整理及建筑施工过程产生的扬尘</w:t>
            </w:r>
            <w:r>
              <w:rPr>
                <w:rFonts w:hint="eastAsia"/>
                <w:b w:val="0"/>
                <w:bCs w:val="0"/>
                <w:color w:val="auto"/>
                <w:lang w:eastAsia="zh-CN"/>
              </w:rPr>
              <w:t>；</w:t>
            </w:r>
            <w:r>
              <w:rPr>
                <w:rFonts w:hint="eastAsia"/>
                <w:b w:val="0"/>
                <w:bCs w:val="0"/>
                <w:color w:val="auto"/>
              </w:rPr>
              <w:t>施工时产生的施工噪声和施工废水</w:t>
            </w:r>
            <w:r>
              <w:rPr>
                <w:rFonts w:hint="eastAsia"/>
                <w:b w:val="0"/>
                <w:bCs w:val="0"/>
                <w:color w:val="auto"/>
                <w:lang w:eastAsia="zh-CN"/>
              </w:rPr>
              <w:t>；</w:t>
            </w:r>
            <w:r>
              <w:rPr>
                <w:rFonts w:hint="eastAsia"/>
                <w:b w:val="0"/>
                <w:bCs w:val="0"/>
                <w:color w:val="auto"/>
              </w:rPr>
              <w:t>设备的包装、建筑垃圾等固体废物。</w:t>
            </w:r>
          </w:p>
          <w:p w14:paraId="38A310BC">
            <w:pPr>
              <w:pStyle w:val="71"/>
              <w:bidi w:val="0"/>
              <w:rPr>
                <w:color w:val="auto"/>
              </w:rPr>
            </w:pPr>
            <w:r>
              <w:rPr>
                <w:color w:val="auto"/>
              </w:rPr>
              <mc:AlternateContent>
                <mc:Choice Requires="wpc">
                  <w:drawing>
                    <wp:inline distT="0" distB="0" distL="114300" distR="114300">
                      <wp:extent cx="5325110" cy="916940"/>
                      <wp:effectExtent l="0" t="0" r="0" b="0"/>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文本框 22"/>
                              <wps:cNvSpPr txBox="1"/>
                              <wps:spPr>
                                <a:xfrm>
                                  <a:off x="450850" y="412687"/>
                                  <a:ext cx="862965" cy="3478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314FD0">
                                    <w:pPr>
                                      <w:pStyle w:val="83"/>
                                      <w:tabs>
                                        <w:tab w:val="right" w:leader="dot" w:pos="9459"/>
                                      </w:tabs>
                                      <w:spacing w:line="240" w:lineRule="auto"/>
                                      <w:ind w:left="0" w:leftChars="0" w:firstLine="0" w:firstLineChars="0"/>
                                      <w:jc w:val="center"/>
                                      <w:outlineLvl w:val="9"/>
                                      <w:rPr>
                                        <w:rFonts w:cs="Calibri"/>
                                        <w:b w:val="0"/>
                                        <w:bCs w:val="0"/>
                                        <w:sz w:val="21"/>
                                        <w:szCs w:val="21"/>
                                      </w:rPr>
                                    </w:pPr>
                                    <w:r>
                                      <w:rPr>
                                        <w:rFonts w:hint="eastAsia" w:cs="Calibri"/>
                                        <w:b w:val="0"/>
                                        <w:bCs w:val="0"/>
                                        <w:sz w:val="21"/>
                                        <w:szCs w:val="21"/>
                                      </w:rPr>
                                      <w:t>场地清理</w:t>
                                    </w:r>
                                  </w:p>
                                  <w:p w14:paraId="4C10E365">
                                    <w:pPr>
                                      <w:adjustRightInd w:val="0"/>
                                      <w:snapToGrid w:val="0"/>
                                      <w:jc w:val="center"/>
                                      <w:rPr>
                                        <w:sz w:val="21"/>
                                        <w:szCs w:val="21"/>
                                      </w:rPr>
                                    </w:pPr>
                                  </w:p>
                                </w:txbxContent>
                              </wps:txbx>
                              <wps:bodyPr lIns="0" tIns="0" rIns="0" bIns="0" upright="1"/>
                            </wps:wsp>
                            <wps:wsp>
                              <wps:cNvPr id="23" name="文本框 23"/>
                              <wps:cNvSpPr txBox="1"/>
                              <wps:spPr>
                                <a:xfrm>
                                  <a:off x="1758315" y="404420"/>
                                  <a:ext cx="820420" cy="3738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9413BF">
                                    <w:pPr>
                                      <w:pStyle w:val="83"/>
                                      <w:tabs>
                                        <w:tab w:val="right" w:leader="dot" w:pos="9459"/>
                                      </w:tabs>
                                      <w:spacing w:line="240" w:lineRule="auto"/>
                                      <w:ind w:left="0" w:leftChars="0" w:firstLine="0" w:firstLineChars="0"/>
                                      <w:jc w:val="center"/>
                                      <w:outlineLvl w:val="9"/>
                                      <w:rPr>
                                        <w:rFonts w:hint="eastAsia" w:eastAsia="宋体" w:cs="Calibri"/>
                                        <w:b w:val="0"/>
                                        <w:bCs w:val="0"/>
                                        <w:sz w:val="21"/>
                                        <w:szCs w:val="21"/>
                                        <w:lang w:eastAsia="zh-CN"/>
                                      </w:rPr>
                                    </w:pPr>
                                    <w:r>
                                      <w:rPr>
                                        <w:rFonts w:hint="eastAsia" w:cs="Calibri"/>
                                        <w:b w:val="0"/>
                                        <w:bCs w:val="0"/>
                                        <w:sz w:val="21"/>
                                        <w:szCs w:val="21"/>
                                        <w:lang w:eastAsia="zh-CN"/>
                                      </w:rPr>
                                      <w:t>建筑施工</w:t>
                                    </w:r>
                                  </w:p>
                                </w:txbxContent>
                              </wps:txbx>
                              <wps:bodyPr lIns="0" tIns="0" rIns="0" bIns="0" upright="1"/>
                            </wps:wsp>
                            <wps:wsp>
                              <wps:cNvPr id="24" name="文本框 24"/>
                              <wps:cNvSpPr txBox="1"/>
                              <wps:spPr>
                                <a:xfrm>
                                  <a:off x="4200525" y="387251"/>
                                  <a:ext cx="802640" cy="3853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D7B2A6">
                                    <w:pPr>
                                      <w:pStyle w:val="83"/>
                                      <w:tabs>
                                        <w:tab w:val="right" w:leader="dot" w:pos="9459"/>
                                      </w:tabs>
                                      <w:spacing w:line="240" w:lineRule="auto"/>
                                      <w:ind w:left="0" w:leftChars="0" w:firstLine="0" w:firstLineChars="0"/>
                                      <w:jc w:val="center"/>
                                      <w:outlineLvl w:val="9"/>
                                      <w:rPr>
                                        <w:b w:val="0"/>
                                        <w:bCs w:val="0"/>
                                        <w:sz w:val="21"/>
                                        <w:szCs w:val="21"/>
                                      </w:rPr>
                                    </w:pPr>
                                    <w:r>
                                      <w:rPr>
                                        <w:rFonts w:hint="eastAsia" w:cs="Calibri"/>
                                        <w:b w:val="0"/>
                                        <w:bCs w:val="0"/>
                                        <w:sz w:val="21"/>
                                        <w:szCs w:val="21"/>
                                        <w:lang w:eastAsia="zh-CN"/>
                                      </w:rPr>
                                      <w:t>投入使用</w:t>
                                    </w:r>
                                  </w:p>
                                </w:txbxContent>
                              </wps:txbx>
                              <wps:bodyPr upright="1"/>
                            </wps:wsp>
                            <wps:wsp>
                              <wps:cNvPr id="25" name="文本框 25"/>
                              <wps:cNvSpPr txBox="1"/>
                              <wps:spPr>
                                <a:xfrm>
                                  <a:off x="3021965" y="402512"/>
                                  <a:ext cx="741680" cy="387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37DF97">
                                    <w:pPr>
                                      <w:pStyle w:val="83"/>
                                      <w:tabs>
                                        <w:tab w:val="right" w:leader="dot" w:pos="9459"/>
                                      </w:tabs>
                                      <w:spacing w:line="240" w:lineRule="auto"/>
                                      <w:ind w:left="0" w:leftChars="0" w:firstLine="0" w:firstLineChars="0"/>
                                      <w:jc w:val="center"/>
                                      <w:outlineLvl w:val="9"/>
                                      <w:rPr>
                                        <w:rFonts w:hint="eastAsia" w:eastAsia="宋体" w:cs="Calibri"/>
                                        <w:b w:val="0"/>
                                        <w:bCs w:val="0"/>
                                        <w:sz w:val="21"/>
                                        <w:szCs w:val="21"/>
                                        <w:lang w:eastAsia="zh-CN"/>
                                      </w:rPr>
                                    </w:pPr>
                                    <w:r>
                                      <w:rPr>
                                        <w:rFonts w:hint="eastAsia" w:cs="Calibri"/>
                                        <w:b w:val="0"/>
                                        <w:bCs w:val="0"/>
                                        <w:sz w:val="21"/>
                                        <w:szCs w:val="21"/>
                                        <w:lang w:eastAsia="zh-CN"/>
                                      </w:rPr>
                                      <w:t>设备安装</w:t>
                                    </w:r>
                                  </w:p>
                                </w:txbxContent>
                              </wps:txbx>
                              <wps:bodyPr upright="1"/>
                            </wps:wsp>
                            <wps:wsp>
                              <wps:cNvPr id="26" name="文本框 26"/>
                              <wps:cNvSpPr txBox="1"/>
                              <wps:spPr>
                                <a:xfrm>
                                  <a:off x="285115" y="0"/>
                                  <a:ext cx="1262380" cy="317940"/>
                                </a:xfrm>
                                <a:prstGeom prst="rect">
                                  <a:avLst/>
                                </a:prstGeom>
                                <a:solidFill>
                                  <a:srgbClr val="FFFFFF"/>
                                </a:solidFill>
                                <a:ln>
                                  <a:noFill/>
                                </a:ln>
                              </wps:spPr>
                              <wps:txbx>
                                <w:txbxContent>
                                  <w:p w14:paraId="49F2C1FA">
                                    <w:pPr>
                                      <w:pStyle w:val="83"/>
                                      <w:tabs>
                                        <w:tab w:val="right" w:leader="dot" w:pos="9459"/>
                                      </w:tabs>
                                      <w:spacing w:line="240" w:lineRule="auto"/>
                                      <w:ind w:left="0" w:leftChars="0" w:firstLine="0" w:firstLineChars="0"/>
                                      <w:outlineLvl w:val="9"/>
                                      <w:rPr>
                                        <w:rFonts w:cs="Calibri"/>
                                        <w:b w:val="0"/>
                                        <w:bCs w:val="0"/>
                                        <w:sz w:val="21"/>
                                        <w:szCs w:val="21"/>
                                      </w:rPr>
                                    </w:pPr>
                                    <w:r>
                                      <w:rPr>
                                        <w:rFonts w:hint="eastAsia" w:cs="Calibri"/>
                                        <w:b w:val="0"/>
                                        <w:bCs w:val="0"/>
                                        <w:sz w:val="21"/>
                                        <w:szCs w:val="21"/>
                                      </w:rPr>
                                      <w:t>噪声、固废、扬尘</w:t>
                                    </w:r>
                                  </w:p>
                                </w:txbxContent>
                              </wps:txbx>
                              <wps:bodyPr lIns="0" tIns="0" rIns="0" bIns="0" upright="1"/>
                            </wps:wsp>
                            <wps:wsp>
                              <wps:cNvPr id="27" name="文本框 27"/>
                              <wps:cNvSpPr txBox="1"/>
                              <wps:spPr>
                                <a:xfrm>
                                  <a:off x="2109470" y="0"/>
                                  <a:ext cx="1543050" cy="282967"/>
                                </a:xfrm>
                                <a:prstGeom prst="rect">
                                  <a:avLst/>
                                </a:prstGeom>
                                <a:solidFill>
                                  <a:srgbClr val="FFFFFF"/>
                                </a:solidFill>
                                <a:ln>
                                  <a:noFill/>
                                </a:ln>
                              </wps:spPr>
                              <wps:txbx>
                                <w:txbxContent>
                                  <w:p w14:paraId="186DE05C">
                                    <w:pPr>
                                      <w:pStyle w:val="83"/>
                                      <w:tabs>
                                        <w:tab w:val="right" w:leader="dot" w:pos="9459"/>
                                      </w:tabs>
                                      <w:spacing w:line="240" w:lineRule="auto"/>
                                      <w:ind w:left="0" w:leftChars="0" w:firstLine="0" w:firstLineChars="0"/>
                                      <w:jc w:val="both"/>
                                      <w:outlineLvl w:val="9"/>
                                      <w:rPr>
                                        <w:rFonts w:cs="Calibri"/>
                                        <w:b w:val="0"/>
                                        <w:bCs w:val="0"/>
                                        <w:sz w:val="21"/>
                                        <w:szCs w:val="21"/>
                                      </w:rPr>
                                    </w:pPr>
                                    <w:r>
                                      <w:rPr>
                                        <w:rFonts w:hint="eastAsia" w:cs="Calibri"/>
                                        <w:b w:val="0"/>
                                        <w:bCs w:val="0"/>
                                        <w:sz w:val="21"/>
                                        <w:szCs w:val="21"/>
                                      </w:rPr>
                                      <w:t>噪声、废水、固废、扬尘</w:t>
                                    </w:r>
                                  </w:p>
                                </w:txbxContent>
                              </wps:txbx>
                              <wps:bodyPr lIns="0" tIns="0" rIns="0" bIns="0" upright="1"/>
                            </wps:wsp>
                            <wps:wsp>
                              <wps:cNvPr id="28" name="直接连接符 28"/>
                              <wps:cNvCnPr/>
                              <wps:spPr>
                                <a:xfrm flipV="1">
                                  <a:off x="1358265" y="575472"/>
                                  <a:ext cx="333375" cy="6359"/>
                                </a:xfrm>
                                <a:prstGeom prst="line">
                                  <a:avLst/>
                                </a:prstGeom>
                                <a:ln w="9525" cap="flat" cmpd="sng">
                                  <a:solidFill>
                                    <a:srgbClr val="000000"/>
                                  </a:solidFill>
                                  <a:prstDash val="solid"/>
                                  <a:headEnd type="none" w="med" len="med"/>
                                  <a:tailEnd type="stealth" w="med" len="med"/>
                                </a:ln>
                              </wps:spPr>
                              <wps:bodyPr upright="1"/>
                            </wps:wsp>
                            <wps:wsp>
                              <wps:cNvPr id="29" name="直接连接符 29"/>
                              <wps:cNvCnPr/>
                              <wps:spPr>
                                <a:xfrm>
                                  <a:off x="2615565" y="569113"/>
                                  <a:ext cx="306705" cy="1272"/>
                                </a:xfrm>
                                <a:prstGeom prst="line">
                                  <a:avLst/>
                                </a:prstGeom>
                                <a:ln w="9525" cap="flat" cmpd="sng">
                                  <a:solidFill>
                                    <a:srgbClr val="000000"/>
                                  </a:solidFill>
                                  <a:prstDash val="solid"/>
                                  <a:headEnd type="none" w="med" len="med"/>
                                  <a:tailEnd type="stealth" w="med" len="med"/>
                                </a:ln>
                              </wps:spPr>
                              <wps:bodyPr upright="1"/>
                            </wps:wsp>
                            <wps:wsp>
                              <wps:cNvPr id="30" name="直接连接符 30"/>
                              <wps:cNvCnPr/>
                              <wps:spPr>
                                <a:xfrm>
                                  <a:off x="3904615" y="608538"/>
                                  <a:ext cx="275590" cy="636"/>
                                </a:xfrm>
                                <a:prstGeom prst="line">
                                  <a:avLst/>
                                </a:prstGeom>
                                <a:ln w="9525" cap="flat" cmpd="sng">
                                  <a:solidFill>
                                    <a:srgbClr val="000000"/>
                                  </a:solidFill>
                                  <a:prstDash val="solid"/>
                                  <a:headEnd type="none" w="med" len="med"/>
                                  <a:tailEnd type="stealth" w="med" len="med"/>
                                </a:ln>
                              </wps:spPr>
                              <wps:bodyPr upright="1"/>
                            </wps:wsp>
                            <wps:wsp>
                              <wps:cNvPr id="31" name="上箭头 31"/>
                              <wps:cNvSpPr/>
                              <wps:spPr>
                                <a:xfrm>
                                  <a:off x="812165" y="290597"/>
                                  <a:ext cx="266700" cy="105556"/>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32" name="上箭头 32"/>
                              <wps:cNvSpPr/>
                              <wps:spPr>
                                <a:xfrm>
                                  <a:off x="2012315" y="260075"/>
                                  <a:ext cx="267335" cy="120181"/>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33" name="上箭头 33"/>
                              <wps:cNvSpPr/>
                              <wps:spPr>
                                <a:xfrm>
                                  <a:off x="3284855" y="264526"/>
                                  <a:ext cx="266700" cy="118274"/>
                                </a:xfrm>
                                <a:prstGeom prst="up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wpc:wpc>
                        </a:graphicData>
                      </a:graphic>
                    </wp:inline>
                  </w:drawing>
                </mc:Choice>
                <mc:Fallback>
                  <w:pict>
                    <v:group id="_x0000_s1026" o:spid="_x0000_s1026" o:spt="203" style="height:72.2pt;width:419.3pt;" coordsize="5325110,916940" editas="canvas" o:gfxdata="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h9Hkj1wAAAAUBAAAPAAAAAAAAAAEAIAAAACIAAABkcnMvZG93bnJldi54bWxQSwEC&#10;FAAUAAAACACHTuJA1KLfGhMFAACoHgAADgAAAAAAAAABACAAAAAmAQAAZHJzL2Uyb0RvYy54bWxQ&#10;SwUGAAAAAAYABgBZAQAAqwgAAAAA&#10;">
                      <o:lock v:ext="edit" aspectratio="f"/>
                      <v:shape id="_x0000_s1026" o:spid="_x0000_s1026" style="position:absolute;left:0;top:0;height:916940;width:5325110;" filled="f" stroked="f" coordsize="21600,21600" o:gfxdata="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">
                        <v:fill on="f" focussize="0,0"/>
                        <v:stroke on="f"/>
                        <v:imagedata o:title=""/>
                        <o:lock v:ext="edit" aspectratio="t"/>
                      </v:shape>
                      <v:shape id="_x0000_s1026" o:spid="_x0000_s1026" o:spt="202" type="#_x0000_t202" style="position:absolute;left:450850;top:412687;height:347827;width:862965;" fillcolor="#FFFFFF" filled="t" stroked="t" coordsize="21600,21600" o:gfxdata="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qgc&#10;3NUAAAAFAQAADwAAAAAAAAABACAAAAAiAAAAZHJzL2Rvd25yZXYueG1sUEsBAhQAFAAAAAgAh07i&#10;QElvKqslAgAAZQQAAA4AAAAAAAAAAQAgAAAAJAEAAGRycy9lMm9Eb2MueG1sUEsFBgAAAAAGAAYA&#10;WQEAALsFAAAAAA==&#10;">
                        <v:fill on="t" focussize="0,0"/>
                        <v:stroke color="#000000" joinstyle="miter"/>
                        <v:imagedata o:title=""/>
                        <o:lock v:ext="edit" aspectratio="f"/>
                        <v:textbox inset="0mm,0mm,0mm,0mm">
                          <w:txbxContent>
                            <w:p w14:paraId="60314FD0">
                              <w:pPr>
                                <w:pStyle w:val="83"/>
                                <w:tabs>
                                  <w:tab w:val="right" w:leader="dot" w:pos="9459"/>
                                </w:tabs>
                                <w:spacing w:line="240" w:lineRule="auto"/>
                                <w:ind w:left="0" w:leftChars="0" w:firstLine="0" w:firstLineChars="0"/>
                                <w:jc w:val="center"/>
                                <w:outlineLvl w:val="9"/>
                                <w:rPr>
                                  <w:rFonts w:cs="Calibri"/>
                                  <w:b w:val="0"/>
                                  <w:bCs w:val="0"/>
                                  <w:sz w:val="21"/>
                                  <w:szCs w:val="21"/>
                                </w:rPr>
                              </w:pPr>
                              <w:r>
                                <w:rPr>
                                  <w:rFonts w:hint="eastAsia" w:cs="Calibri"/>
                                  <w:b w:val="0"/>
                                  <w:bCs w:val="0"/>
                                  <w:sz w:val="21"/>
                                  <w:szCs w:val="21"/>
                                </w:rPr>
                                <w:t>场地清理</w:t>
                              </w:r>
                            </w:p>
                            <w:p w14:paraId="4C10E365">
                              <w:pPr>
                                <w:adjustRightInd w:val="0"/>
                                <w:snapToGrid w:val="0"/>
                                <w:jc w:val="center"/>
                                <w:rPr>
                                  <w:sz w:val="21"/>
                                  <w:szCs w:val="21"/>
                                </w:rPr>
                              </w:pPr>
                            </w:p>
                          </w:txbxContent>
                        </v:textbox>
                      </v:shape>
                      <v:shape id="_x0000_s1026" o:spid="_x0000_s1026" o:spt="202" type="#_x0000_t202" style="position:absolute;left:1758315;top:404420;height:373898;width:820420;" fillcolor="#FFFFFF" filled="t" stroked="t" coordsize="21600,21600" o:gfxdata="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oHNzV&#10;AAAABQEAAA8AAAAAAAAAAQAgAAAAIgAAAGRycy9kb3ducmV2LnhtbFBLAQIUABQAAAAIAIdO4kAd&#10;1/O1IwIAAGYEAAAOAAAAAAAAAAEAIAAAACQBAABkcnMvZTJvRG9jLnhtbFBLBQYAAAAABgAGAFkB&#10;AAC5BQAAAAA=&#10;">
                        <v:fill on="t" focussize="0,0"/>
                        <v:stroke color="#000000" joinstyle="miter"/>
                        <v:imagedata o:title=""/>
                        <o:lock v:ext="edit" aspectratio="f"/>
                        <v:textbox inset="0mm,0mm,0mm,0mm">
                          <w:txbxContent>
                            <w:p w14:paraId="2D9413BF">
                              <w:pPr>
                                <w:pStyle w:val="83"/>
                                <w:tabs>
                                  <w:tab w:val="right" w:leader="dot" w:pos="9459"/>
                                </w:tabs>
                                <w:spacing w:line="240" w:lineRule="auto"/>
                                <w:ind w:left="0" w:leftChars="0" w:firstLine="0" w:firstLineChars="0"/>
                                <w:jc w:val="center"/>
                                <w:outlineLvl w:val="9"/>
                                <w:rPr>
                                  <w:rFonts w:hint="eastAsia" w:eastAsia="宋体" w:cs="Calibri"/>
                                  <w:b w:val="0"/>
                                  <w:bCs w:val="0"/>
                                  <w:sz w:val="21"/>
                                  <w:szCs w:val="21"/>
                                  <w:lang w:eastAsia="zh-CN"/>
                                </w:rPr>
                              </w:pPr>
                              <w:r>
                                <w:rPr>
                                  <w:rFonts w:hint="eastAsia" w:cs="Calibri"/>
                                  <w:b w:val="0"/>
                                  <w:bCs w:val="0"/>
                                  <w:sz w:val="21"/>
                                  <w:szCs w:val="21"/>
                                  <w:lang w:eastAsia="zh-CN"/>
                                </w:rPr>
                                <w:t>建筑施工</w:t>
                              </w:r>
                            </w:p>
                          </w:txbxContent>
                        </v:textbox>
                      </v:shape>
                      <v:shape id="_x0000_s1026" o:spid="_x0000_s1026" o:spt="202" type="#_x0000_t202" style="position:absolute;left:4200525;top:387251;height:385344;width:802640;" fillcolor="#FFFFFF" filled="t" stroked="t" coordsize="21600,21600" o:gfxdata="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hhcXNUAAAAFAQAADwAAAAAA&#10;AAABACAAAAAiAAAAZHJzL2Rvd25yZXYueG1sUEsBAhQAFAAAAAgAh07iQAiYC+EWAgAAQgQAAA4A&#10;AAAAAAAAAQAgAAAAJAEAAGRycy9lMm9Eb2MueG1sUEsFBgAAAAAGAAYAWQEAAKwFAAAAAA==&#10;">
                        <v:fill on="t" focussize="0,0"/>
                        <v:stroke color="#000000" joinstyle="miter"/>
                        <v:imagedata o:title=""/>
                        <o:lock v:ext="edit" aspectratio="f"/>
                        <v:textbox>
                          <w:txbxContent>
                            <w:p w14:paraId="4CD7B2A6">
                              <w:pPr>
                                <w:pStyle w:val="83"/>
                                <w:tabs>
                                  <w:tab w:val="right" w:leader="dot" w:pos="9459"/>
                                </w:tabs>
                                <w:spacing w:line="240" w:lineRule="auto"/>
                                <w:ind w:left="0" w:leftChars="0" w:firstLine="0" w:firstLineChars="0"/>
                                <w:jc w:val="center"/>
                                <w:outlineLvl w:val="9"/>
                                <w:rPr>
                                  <w:b w:val="0"/>
                                  <w:bCs w:val="0"/>
                                  <w:sz w:val="21"/>
                                  <w:szCs w:val="21"/>
                                </w:rPr>
                              </w:pPr>
                              <w:r>
                                <w:rPr>
                                  <w:rFonts w:hint="eastAsia" w:cs="Calibri"/>
                                  <w:b w:val="0"/>
                                  <w:bCs w:val="0"/>
                                  <w:sz w:val="21"/>
                                  <w:szCs w:val="21"/>
                                  <w:lang w:eastAsia="zh-CN"/>
                                </w:rPr>
                                <w:t>投入使用</w:t>
                              </w:r>
                            </w:p>
                          </w:txbxContent>
                        </v:textbox>
                      </v:shape>
                      <v:shape id="_x0000_s1026" o:spid="_x0000_s1026" o:spt="202" type="#_x0000_t202" style="position:absolute;left:3021965;top:402512;height:387887;width:741680;" fillcolor="#FFFFFF" filled="t" stroked="t" coordsize="21600,21600" o:gfxdata="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hhcXNUAAAAFAQAADwAAAAAA&#10;AAABACAAAAAiAAAAZHJzL2Rvd25yZXYueG1sUEsBAhQAFAAAAAgAh07iQH+zuVEWAgAAQgQAAA4A&#10;AAAAAAAAAQAgAAAAJAEAAGRycy9lMm9Eb2MueG1sUEsFBgAAAAAGAAYAWQEAAKwFAAAAAA==&#10;">
                        <v:fill on="t" focussize="0,0"/>
                        <v:stroke color="#000000" joinstyle="miter"/>
                        <v:imagedata o:title=""/>
                        <o:lock v:ext="edit" aspectratio="f"/>
                        <v:textbox>
                          <w:txbxContent>
                            <w:p w14:paraId="0337DF97">
                              <w:pPr>
                                <w:pStyle w:val="83"/>
                                <w:tabs>
                                  <w:tab w:val="right" w:leader="dot" w:pos="9459"/>
                                </w:tabs>
                                <w:spacing w:line="240" w:lineRule="auto"/>
                                <w:ind w:left="0" w:leftChars="0" w:firstLine="0" w:firstLineChars="0"/>
                                <w:jc w:val="center"/>
                                <w:outlineLvl w:val="9"/>
                                <w:rPr>
                                  <w:rFonts w:hint="eastAsia" w:eastAsia="宋体" w:cs="Calibri"/>
                                  <w:b w:val="0"/>
                                  <w:bCs w:val="0"/>
                                  <w:sz w:val="21"/>
                                  <w:szCs w:val="21"/>
                                  <w:lang w:eastAsia="zh-CN"/>
                                </w:rPr>
                              </w:pPr>
                              <w:r>
                                <w:rPr>
                                  <w:rFonts w:hint="eastAsia" w:cs="Calibri"/>
                                  <w:b w:val="0"/>
                                  <w:bCs w:val="0"/>
                                  <w:sz w:val="21"/>
                                  <w:szCs w:val="21"/>
                                  <w:lang w:eastAsia="zh-CN"/>
                                </w:rPr>
                                <w:t>设备安装</w:t>
                              </w:r>
                            </w:p>
                          </w:txbxContent>
                        </v:textbox>
                      </v:shape>
                      <v:shape id="_x0000_s1026" o:spid="_x0000_s1026" o:spt="202" type="#_x0000_t202" style="position:absolute;left:285115;top:0;height:317940;width:1262380;" fillcolor="#FFFFFF" filled="t" stroked="f" coordsize="21600,21600" o:gfxdata="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Q6PE1QAAAAUBAAAPAAAAAAAAAAEAIAAA&#10;ACIAAABkcnMvZG93bnJldi54bWxQSwECFAAUAAAACACHTuJA26ELD9YBAACiAwAADgAAAAAAAAAB&#10;ACAAAAAkAQAAZHJzL2Uyb0RvYy54bWxQSwUGAAAAAAYABgBZAQAAbAUAAAAA&#10;">
                        <v:fill on="t" focussize="0,0"/>
                        <v:stroke on="f"/>
                        <v:imagedata o:title=""/>
                        <o:lock v:ext="edit" aspectratio="f"/>
                        <v:textbox inset="0mm,0mm,0mm,0mm">
                          <w:txbxContent>
                            <w:p w14:paraId="49F2C1FA">
                              <w:pPr>
                                <w:pStyle w:val="83"/>
                                <w:tabs>
                                  <w:tab w:val="right" w:leader="dot" w:pos="9459"/>
                                </w:tabs>
                                <w:spacing w:line="240" w:lineRule="auto"/>
                                <w:ind w:left="0" w:leftChars="0" w:firstLine="0" w:firstLineChars="0"/>
                                <w:outlineLvl w:val="9"/>
                                <w:rPr>
                                  <w:rFonts w:cs="Calibri"/>
                                  <w:b w:val="0"/>
                                  <w:bCs w:val="0"/>
                                  <w:sz w:val="21"/>
                                  <w:szCs w:val="21"/>
                                </w:rPr>
                              </w:pPr>
                              <w:r>
                                <w:rPr>
                                  <w:rFonts w:hint="eastAsia" w:cs="Calibri"/>
                                  <w:b w:val="0"/>
                                  <w:bCs w:val="0"/>
                                  <w:sz w:val="21"/>
                                  <w:szCs w:val="21"/>
                                </w:rPr>
                                <w:t>噪声、固废、扬尘</w:t>
                              </w:r>
                            </w:p>
                          </w:txbxContent>
                        </v:textbox>
                      </v:shape>
                      <v:shape id="_x0000_s1026" o:spid="_x0000_s1026" o:spt="202" type="#_x0000_t202" style="position:absolute;left:2109470;top:0;height:282967;width:1543050;" fillcolor="#FFFFFF" filled="t" stroked="f" coordsize="21600,21600" o:gfxdata="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Q6PE1QAAAAUBAAAPAAAAAAAAAAEAIAAA&#10;ACIAAABkcnMvZG93bnJldi54bWxQSwECFAAUAAAACACHTuJA4gF5T9YBAACjAwAADgAAAAAAAAAB&#10;ACAAAAAkAQAAZHJzL2Uyb0RvYy54bWxQSwUGAAAAAAYABgBZAQAAbAUAAAAA&#10;">
                        <v:fill on="t" focussize="0,0"/>
                        <v:stroke on="f"/>
                        <v:imagedata o:title=""/>
                        <o:lock v:ext="edit" aspectratio="f"/>
                        <v:textbox inset="0mm,0mm,0mm,0mm">
                          <w:txbxContent>
                            <w:p w14:paraId="186DE05C">
                              <w:pPr>
                                <w:pStyle w:val="83"/>
                                <w:tabs>
                                  <w:tab w:val="right" w:leader="dot" w:pos="9459"/>
                                </w:tabs>
                                <w:spacing w:line="240" w:lineRule="auto"/>
                                <w:ind w:left="0" w:leftChars="0" w:firstLine="0" w:firstLineChars="0"/>
                                <w:jc w:val="both"/>
                                <w:outlineLvl w:val="9"/>
                                <w:rPr>
                                  <w:rFonts w:cs="Calibri"/>
                                  <w:b w:val="0"/>
                                  <w:bCs w:val="0"/>
                                  <w:sz w:val="21"/>
                                  <w:szCs w:val="21"/>
                                </w:rPr>
                              </w:pPr>
                              <w:r>
                                <w:rPr>
                                  <w:rFonts w:hint="eastAsia" w:cs="Calibri"/>
                                  <w:b w:val="0"/>
                                  <w:bCs w:val="0"/>
                                  <w:sz w:val="21"/>
                                  <w:szCs w:val="21"/>
                                </w:rPr>
                                <w:t>噪声、废水、固废、扬尘</w:t>
                              </w:r>
                            </w:p>
                          </w:txbxContent>
                        </v:textbox>
                      </v:shape>
                      <v:line id="_x0000_s1026" o:spid="_x0000_s1026" o:spt="20" style="position:absolute;left:1358265;top:575472;flip:y;height:6359;width:333375;" filled="f" stroked="t" coordsize="21600,21600" o:gfxdata="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lwA20wAAAAUBAAAPAAAAAAAAAAEAIAAA&#10;ACIAAABkcnMvZG93bnJldi54bWxQSwECFAAUAAAACACHTuJA60xAHxECAAAABAAADgAAAAAAAAAB&#10;ACAAAAAiAQAAZHJzL2Uyb0RvYy54bWxQSwUGAAAAAAYABgBZAQAApQUAAAAA&#10;">
                        <v:fill on="f" focussize="0,0"/>
                        <v:stroke color="#000000" joinstyle="round" endarrow="classic"/>
                        <v:imagedata o:title=""/>
                        <o:lock v:ext="edit" aspectratio="f"/>
                      </v:line>
                      <v:line id="_x0000_s1026" o:spid="_x0000_s1026" o:spt="20" style="position:absolute;left:2615565;top:569113;height:1272;width:306705;" filled="f" stroked="t" coordsize="21600,21600" o:gfxdata="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ScLNMAAAAFAQAADwAAAAAAAAABACAAAAAiAAAAZHJz&#10;L2Rvd25yZXYueG1sUEsBAhQAFAAAAAgAh07iQO7MCqEJAgAA9gMAAA4AAAAAAAAAAQAgAAAAIgEA&#10;AGRycy9lMm9Eb2MueG1sUEsFBgAAAAAGAAYAWQEAAJ0FAAAAAA==&#10;">
                        <v:fill on="f" focussize="0,0"/>
                        <v:stroke color="#000000" joinstyle="round" endarrow="classic"/>
                        <v:imagedata o:title=""/>
                        <o:lock v:ext="edit" aspectratio="f"/>
                      </v:line>
                      <v:line id="_x0000_s1026" o:spid="_x0000_s1026" o:spt="20" style="position:absolute;left:3904615;top:608538;height:636;width:275590;" filled="f" stroked="t" coordsize="21600,21600" o:gfxdata="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ScLNMAAAAFAQAADwAAAAAAAAABACAAAAAiAAAAZHJz&#10;L2Rvd25yZXYueG1sUEsBAhQAFAAAAAgAh07iQBZbJucJAgAA9QMAAA4AAAAAAAAAAQAgAAAAIgEA&#10;AGRycy9lMm9Eb2MueG1sUEsFBgAAAAAGAAYAWQEAAJ0FAAAAAA==&#10;">
                        <v:fill on="f" focussize="0,0"/>
                        <v:stroke color="#000000" joinstyle="round" endarrow="classic"/>
                        <v:imagedata o:title=""/>
                        <o:lock v:ext="edit" aspectratio="f"/>
                      </v:line>
                      <v:shape id="_x0000_s1026" o:spid="_x0000_s1026" o:spt="68" type="#_x0000_t68" style="position:absolute;left:812165;top:290597;height:105556;width:266700;" fillcolor="#FFFFFF" filled="t" stroked="t" coordsize="21600,21600" o:gfxdata="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em7D1AAAAAUBAAAPAAAAAAAAAAEAIAAAACIAAABkcnMvZG93bnJldi54bWxQSwEC&#10;FAAUAAAACACHTuJAGKUZqjECAACABAAADgAAAAAAAAABACAAAAAjAQAAZHJzL2Uyb0RvYy54bWxQ&#10;SwUGAAAAAAYABgBZAQAAxgUAAAAA&#10;" adj="5400,5400">
                        <v:fill on="t" focussize="0,0"/>
                        <v:stroke color="#000000" joinstyle="miter"/>
                        <v:imagedata o:title=""/>
                        <o:lock v:ext="edit" aspectratio="f"/>
                      </v:shape>
                      <v:shape id="_x0000_s1026" o:spid="_x0000_s1026" o:spt="68" type="#_x0000_t68" style="position:absolute;left:2012315;top:260075;height:120181;width:267335;" fillcolor="#FFFFFF" filled="t" stroked="t" coordsize="21600,21600" o:gfxdata="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em7D1AAAAAUBAAAPAAAAAAAAAAEAIAAAACIAAABkcnMvZG93bnJldi54bWxQSwECFAAU&#10;AAAACACHTuJAUEITpS4CAACBBAAADgAAAAAAAAABACAAAAAjAQAAZHJzL2Uyb0RvYy54bWxQSwUG&#10;AAAAAAYABgBZAQAAwwUAAAAA&#10;" adj="5400,5400">
                        <v:fill on="t" focussize="0,0"/>
                        <v:stroke color="#000000" joinstyle="miter"/>
                        <v:imagedata o:title=""/>
                        <o:lock v:ext="edit" aspectratio="f"/>
                      </v:shape>
                      <v:shape id="_x0000_s1026" o:spid="_x0000_s1026" o:spt="68" type="#_x0000_t68" style="position:absolute;left:3284855;top:264526;height:118274;width:266700;" fillcolor="#FFFFFF" filled="t" stroked="t" coordsize="21600,21600" o:gfxdata="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6bsPUAAAABQEAAA8AAAAAAAAAAQAgAAAAIgAAAGRycy9kb3ducmV2LnhtbFBL&#10;AQIUABQAAAAIAIdO4kBuT0V4MwIAAIEEAAAOAAAAAAAAAAEAIAAAACMBAABkcnMvZTJvRG9jLnht&#10;bFBLBQYAAAAABgAGAFkBAADIBQAAAAA=&#10;" adj="5400,5400">
                        <v:fill on="t" focussize="0,0"/>
                        <v:stroke color="#000000" joinstyle="miter"/>
                        <v:imagedata o:title=""/>
                        <o:lock v:ext="edit" aspectratio="f"/>
                      </v:shape>
                      <w10:wrap type="none"/>
                      <w10:anchorlock/>
                    </v:group>
                  </w:pict>
                </mc:Fallback>
              </mc:AlternateContent>
            </w:r>
          </w:p>
          <w:p w14:paraId="502C03FD">
            <w:pPr>
              <w:pStyle w:val="71"/>
              <w:bidi w:val="0"/>
              <w:ind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图2-2</w:t>
            </w:r>
            <w:r>
              <w:rPr>
                <w:rFonts w:hint="eastAsia" w:cs="Times New Roman"/>
                <w:b/>
                <w:bCs/>
                <w:color w:val="auto"/>
                <w:sz w:val="21"/>
                <w:szCs w:val="21"/>
                <w:lang w:val="en-US" w:eastAsia="zh-CN"/>
              </w:rPr>
              <w:t>施工</w:t>
            </w:r>
            <w:r>
              <w:rPr>
                <w:rFonts w:hint="default" w:ascii="Times New Roman" w:hAnsi="Times New Roman" w:cs="Times New Roman"/>
                <w:b/>
                <w:bCs/>
                <w:color w:val="auto"/>
                <w:sz w:val="21"/>
                <w:szCs w:val="21"/>
                <w:lang w:val="en-US" w:eastAsia="zh-CN"/>
              </w:rPr>
              <w:t>工艺流程</w:t>
            </w:r>
            <w:r>
              <w:rPr>
                <w:rFonts w:hint="eastAsia" w:cs="Times New Roman"/>
                <w:b/>
                <w:bCs/>
                <w:color w:val="auto"/>
                <w:sz w:val="21"/>
                <w:szCs w:val="21"/>
                <w:lang w:val="en-US" w:eastAsia="zh-CN"/>
              </w:rPr>
              <w:t>图</w:t>
            </w:r>
          </w:p>
          <w:p w14:paraId="22FAD905">
            <w:pPr>
              <w:pStyle w:val="71"/>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w:t>
            </w:r>
            <w:r>
              <w:rPr>
                <w:rFonts w:hint="eastAsia" w:cs="Times New Roman"/>
                <w:b/>
                <w:bCs/>
                <w:color w:val="auto"/>
                <w:lang w:val="en-US" w:eastAsia="zh-CN"/>
              </w:rPr>
              <w:t>二</w:t>
            </w:r>
            <w:r>
              <w:rPr>
                <w:rFonts w:hint="default" w:ascii="Times New Roman" w:hAnsi="Times New Roman" w:cs="Times New Roman"/>
                <w:b/>
                <w:bCs/>
                <w:color w:val="auto"/>
                <w:lang w:val="en-US" w:eastAsia="zh-CN"/>
              </w:rPr>
              <w:t>）工艺流程及产污环节</w:t>
            </w:r>
          </w:p>
          <w:p w14:paraId="1E86BCE8">
            <w:pPr>
              <w:pStyle w:val="8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液化气供应站的任务是液化气的接收、储存、灌装和外运。项目运营过程产生的污染物主要为废气。主要产污环节为装卸工序；在运输过程中，储罐密闭不产生废气。</w:t>
            </w:r>
          </w:p>
          <w:p w14:paraId="28A3C6E9">
            <w:pPr>
              <w:pStyle w:val="8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工艺流程框图如下：</w:t>
            </w:r>
          </w:p>
          <w:p w14:paraId="2D81E295">
            <w:pPr>
              <w:pStyle w:val="8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（1）液化石油气卸车</w:t>
            </w:r>
          </w:p>
          <w:p w14:paraId="10F5364F">
            <w:pPr>
              <w:pStyle w:val="8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液化石油气自气源厂用汽车槽车运至储配站，将汽车槽车与万向管道系统的液、气相管接通，再用压缩机抽吸贮罐中的气体，加压后压入槽车，迫使车内液体经过滤后卸入贮罐；或经烃泵抽吸槽车内液体，压入贮罐，槽车卸完后应保持槽车内压力不应过低，一般应保持剩余压力147－196kPa。</w:t>
            </w:r>
          </w:p>
          <w:p w14:paraId="2A987796">
            <w:pPr>
              <w:pStyle w:val="60"/>
              <w:spacing w:before="0" w:after="0" w:line="360" w:lineRule="auto"/>
              <w:ind w:firstLine="480" w:firstLineChars="200"/>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该工艺废气产生环节为汽车槽车将液体转存于液化气储罐的过程中及储罐泄压时产生的少量非甲烷总烃</w:t>
            </w:r>
            <w:r>
              <w:rPr>
                <w:rFonts w:hint="default" w:ascii="Times New Roman" w:hAnsi="Times New Roman" w:eastAsia="宋体" w:cs="Times New Roman"/>
                <w:bCs/>
                <w:color w:val="auto"/>
                <w:kern w:val="2"/>
                <w:sz w:val="24"/>
                <w:szCs w:val="24"/>
              </w:rPr>
              <w:t>，废气</w:t>
            </w:r>
            <w:r>
              <w:rPr>
                <w:rFonts w:ascii="Times New Roman" w:hAnsi="Times New Roman" w:eastAsia="宋体" w:cs="Times New Roman"/>
                <w:bCs/>
                <w:color w:val="auto"/>
                <w:kern w:val="2"/>
                <w:sz w:val="24"/>
                <w:szCs w:val="24"/>
              </w:rPr>
              <w:t>无组织排放</w:t>
            </w:r>
            <w:r>
              <w:rPr>
                <w:rFonts w:hint="default" w:ascii="Times New Roman" w:hAnsi="Times New Roman" w:eastAsia="宋体" w:cs="Times New Roman"/>
                <w:bCs/>
                <w:color w:val="auto"/>
                <w:kern w:val="2"/>
                <w:sz w:val="24"/>
                <w:szCs w:val="24"/>
              </w:rPr>
              <w:t>。</w:t>
            </w:r>
            <w:r>
              <w:rPr>
                <w:rFonts w:ascii="Times New Roman" w:hAnsi="Times New Roman" w:eastAsia="宋体" w:cs="Times New Roman"/>
                <w:bCs/>
                <w:color w:val="auto"/>
                <w:kern w:val="2"/>
                <w:sz w:val="24"/>
                <w:szCs w:val="24"/>
              </w:rPr>
              <w:t>噪声由压缩机及槽车运行时产生。</w:t>
            </w:r>
          </w:p>
          <w:p w14:paraId="7C2C5BEB">
            <w:pPr>
              <w:pStyle w:val="4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工艺流程框图如下：</w:t>
            </w:r>
          </w:p>
          <w:p w14:paraId="7CF3C8C4">
            <w:pPr>
              <w:pStyle w:val="45"/>
              <w:ind w:left="0" w:leftChars="0" w:firstLine="0" w:firstLineChars="0"/>
              <w:jc w:val="center"/>
              <w:rPr>
                <w:rFonts w:hint="default" w:ascii="Times New Roman" w:hAnsi="Times New Roman" w:cs="Times New Roman"/>
                <w:color w:val="auto"/>
                <w:lang w:val="en-US" w:eastAsia="zh-CN"/>
              </w:rPr>
            </w:pPr>
            <w:r>
              <w:rPr>
                <w:rFonts w:hint="eastAsia"/>
                <w:color w:val="auto"/>
                <w:szCs w:val="21"/>
              </w:rPr>
              <w:drawing>
                <wp:inline distT="0" distB="0" distL="114300" distR="114300">
                  <wp:extent cx="5205095" cy="1985645"/>
                  <wp:effectExtent l="0" t="0" r="0" b="0"/>
                  <wp:docPr id="36" name="图片 36" descr="槽车卸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槽车卸车"/>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5205095" cy="1985645"/>
                          </a:xfrm>
                          <a:prstGeom prst="rect">
                            <a:avLst/>
                          </a:prstGeom>
                        </pic:spPr>
                      </pic:pic>
                    </a:graphicData>
                  </a:graphic>
                </wp:inline>
              </w:drawing>
            </w:r>
          </w:p>
          <w:p w14:paraId="0E6BAD2F">
            <w:pPr>
              <w:pStyle w:val="71"/>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液化石油气卸车工艺流程图</w:t>
            </w:r>
          </w:p>
          <w:p w14:paraId="590E6262">
            <w:pPr>
              <w:pStyle w:val="7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（2）钢瓶灌装</w:t>
            </w:r>
          </w:p>
          <w:p w14:paraId="3D8395BD">
            <w:pPr>
              <w:pStyle w:val="7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化石油气经烃泵送至充装台机械式液化石油气自动灌装秤给钢瓶充装，当秤量达到预定的量值时，控制阀门立即切断液化气通路，防止钢瓶过量充装，灌装压力一般控制在0.8-1.0MPa,以保证正常的灌装速度和准确的灌装量，压力过高时，液相安全回流阀开启，液化气回流至贮罐。</w:t>
            </w:r>
          </w:p>
          <w:p w14:paraId="5B312DF3">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灌装时，储罐处因压力改变会产生呼吸废气。</w:t>
            </w:r>
          </w:p>
          <w:p w14:paraId="5ED074BC">
            <w:pPr>
              <w:pStyle w:val="71"/>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工艺流程框图如下：</w:t>
            </w:r>
          </w:p>
          <w:p w14:paraId="761C0E01">
            <w:pPr>
              <w:pStyle w:val="7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0"/>
              </w:rPr>
            </w:pPr>
            <w:r>
              <w:rPr>
                <w:rFonts w:hint="eastAsia"/>
                <w:color w:val="auto"/>
                <w:szCs w:val="21"/>
              </w:rPr>
              <w:drawing>
                <wp:inline distT="0" distB="0" distL="114300" distR="114300">
                  <wp:extent cx="4668520" cy="2503805"/>
                  <wp:effectExtent l="0" t="0" r="0" b="0"/>
                  <wp:docPr id="37" name="图片 37" descr="钢瓶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钢瓶充装"/>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668520" cy="2503805"/>
                          </a:xfrm>
                          <a:prstGeom prst="rect">
                            <a:avLst/>
                          </a:prstGeom>
                        </pic:spPr>
                      </pic:pic>
                    </a:graphicData>
                  </a:graphic>
                </wp:inline>
              </w:drawing>
            </w:r>
          </w:p>
          <w:p w14:paraId="50EF42F9">
            <w:pPr>
              <w:pStyle w:val="7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钢瓶灌装工艺流程图</w:t>
            </w:r>
          </w:p>
          <w:p w14:paraId="342C40AA">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该过程会产生少量非甲烷总烃，以及压缩机、烃泵运行噪声。废气为无组织排放。</w:t>
            </w:r>
          </w:p>
          <w:p w14:paraId="5C9BD9AB">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（3）倒罐</w:t>
            </w:r>
          </w:p>
          <w:p w14:paraId="5DBA58C1">
            <w:pPr>
              <w:pStyle w:val="60"/>
              <w:spacing w:before="0" w:after="0" w:line="360" w:lineRule="auto"/>
              <w:ind w:firstLine="480" w:firstLineChars="200"/>
              <w:rPr>
                <w:rFonts w:ascii="Times New Roman" w:hAnsi="Times New Roman" w:eastAsia="宋体" w:cs="Times New Roman"/>
                <w:b w:val="0"/>
                <w:color w:val="auto"/>
                <w:kern w:val="2"/>
                <w:sz w:val="24"/>
                <w:szCs w:val="24"/>
              </w:rPr>
            </w:pPr>
            <w:r>
              <w:rPr>
                <w:rFonts w:ascii="Times New Roman" w:hAnsi="Times New Roman" w:eastAsia="宋体" w:cs="Times New Roman"/>
                <w:bCs w:val="0"/>
                <w:color w:val="auto"/>
                <w:kern w:val="2"/>
                <w:sz w:val="24"/>
                <w:szCs w:val="24"/>
              </w:rPr>
              <w:t>当储罐检修或其他原因需要时，可用烃泵或压缩机将液化石油气从一罐倒入另一罐中。</w:t>
            </w:r>
          </w:p>
          <w:p w14:paraId="7B40B9C2">
            <w:pPr>
              <w:pStyle w:val="60"/>
              <w:spacing w:before="0" w:after="0" w:line="360" w:lineRule="auto"/>
              <w:ind w:firstLine="480" w:firstLineChars="200"/>
              <w:rPr>
                <w:rFonts w:ascii="Times New Roman" w:hAnsi="Times New Roman" w:eastAsia="宋体" w:cs="Times New Roman"/>
                <w:bCs w:val="0"/>
                <w:color w:val="auto"/>
                <w:kern w:val="2"/>
                <w:sz w:val="24"/>
                <w:szCs w:val="24"/>
              </w:rPr>
            </w:pPr>
            <w:r>
              <w:rPr>
                <w:rFonts w:ascii="Times New Roman" w:hAnsi="Times New Roman" w:eastAsia="宋体" w:cs="Times New Roman"/>
                <w:bCs w:val="0"/>
                <w:color w:val="auto"/>
                <w:kern w:val="2"/>
                <w:sz w:val="24"/>
                <w:szCs w:val="24"/>
              </w:rPr>
              <w:t>烃泵倒罐：将两储罐的气相管相互接通，出液罐的出液管接至烃泵入口，进液储罐的进液管接在烃泵的出口，然后开启烃泵，将液态液化石油气由出液储罐打入进液储罐。</w:t>
            </w:r>
          </w:p>
          <w:p w14:paraId="4DA84086">
            <w:pPr>
              <w:pStyle w:val="60"/>
              <w:spacing w:before="0" w:after="0" w:line="360" w:lineRule="auto"/>
              <w:ind w:firstLine="480" w:firstLineChars="200"/>
              <w:rPr>
                <w:rFonts w:ascii="Times New Roman" w:hAnsi="Times New Roman" w:eastAsia="宋体" w:cs="Times New Roman"/>
                <w:bCs w:val="0"/>
                <w:color w:val="auto"/>
                <w:kern w:val="2"/>
                <w:sz w:val="24"/>
                <w:szCs w:val="24"/>
              </w:rPr>
            </w:pPr>
            <w:r>
              <w:rPr>
                <w:rFonts w:ascii="Times New Roman" w:hAnsi="Times New Roman" w:eastAsia="宋体" w:cs="Times New Roman"/>
                <w:bCs w:val="0"/>
                <w:color w:val="auto"/>
                <w:kern w:val="2"/>
                <w:sz w:val="24"/>
                <w:szCs w:val="24"/>
              </w:rPr>
              <w:t>压缩机倒罐：将两储罐液相管接通，出液罐的气相管接到压缩机出口管路上，将进液储罐的气相接到压缩机入口管路上，用压缩机抽吸进液储罐的气相，经压缩加压后送入出液储罐，在两储罐之间压差的作用下，液化气便由出液罐流往进液罐。</w:t>
            </w:r>
          </w:p>
          <w:p w14:paraId="00FCC5BB">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工艺流程框图如下：</w:t>
            </w:r>
          </w:p>
          <w:p w14:paraId="4BD90040">
            <w:pPr>
              <w:pStyle w:val="7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4"/>
                <w:szCs w:val="24"/>
                <w:lang w:val="en-US" w:eastAsia="zh-CN"/>
              </w:rPr>
            </w:pPr>
            <w:r>
              <w:rPr>
                <w:color w:val="auto"/>
              </w:rPr>
              <w:drawing>
                <wp:inline distT="0" distB="0" distL="114300" distR="114300">
                  <wp:extent cx="4859655" cy="2235200"/>
                  <wp:effectExtent l="0" t="0" r="0" b="0"/>
                  <wp:docPr id="38" name="图片 38" descr="倒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倒灌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859655" cy="2235200"/>
                          </a:xfrm>
                          <a:prstGeom prst="rect">
                            <a:avLst/>
                          </a:prstGeom>
                        </pic:spPr>
                      </pic:pic>
                    </a:graphicData>
                  </a:graphic>
                </wp:inline>
              </w:drawing>
            </w:r>
          </w:p>
          <w:p w14:paraId="3B718587">
            <w:pPr>
              <w:pStyle w:val="7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倒罐工艺流程图</w:t>
            </w:r>
          </w:p>
          <w:p w14:paraId="7CF1FD94">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该过程会产生少量非甲烷总烃，以及压缩机、烃泵运行噪声。废气为无组织排放。</w:t>
            </w:r>
          </w:p>
          <w:p w14:paraId="44DDC8F9">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（4）残液</w:t>
            </w:r>
            <w:r>
              <w:rPr>
                <w:rFonts w:hint="eastAsia" w:cs="Times New Roman"/>
                <w:color w:val="auto"/>
                <w:lang w:val="en-US" w:eastAsia="zh-CN"/>
              </w:rPr>
              <w:t>回收</w:t>
            </w:r>
          </w:p>
          <w:p w14:paraId="6A84A091">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用正压法残液倒空工艺，即将残液倒空嘴和钢瓶角阀接通后，压缩机自贮罐抽出气体向钢瓶加压，当瓶内压力大于残液罐的压力0.1-0.2MPa时,切换倒空管路上的阀门，翻转倒空架即将瓶内的残液倒入残液罐（未安装压缩机的储配站也可利用氮气抽残）。回收在残液罐的残液，可用烃泵或压缩机装槽车外运处理。</w:t>
            </w:r>
          </w:p>
          <w:p w14:paraId="43992309">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清空残液时，残液罐处因压力改变会产生呼吸废气</w:t>
            </w:r>
          </w:p>
          <w:p w14:paraId="7E323A98">
            <w:pPr>
              <w:pStyle w:val="7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0"/>
              </w:rPr>
            </w:pPr>
            <w:r>
              <w:rPr>
                <w:color w:val="auto"/>
              </w:rPr>
              <w:drawing>
                <wp:inline distT="0" distB="0" distL="114300" distR="114300">
                  <wp:extent cx="5026025" cy="1955800"/>
                  <wp:effectExtent l="0" t="0" r="0" b="0"/>
                  <wp:docPr id="41" name="图片 41" descr="残液回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残液回收"/>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5026025" cy="1955800"/>
                          </a:xfrm>
                          <a:prstGeom prst="rect">
                            <a:avLst/>
                          </a:prstGeom>
                        </pic:spPr>
                      </pic:pic>
                    </a:graphicData>
                  </a:graphic>
                </wp:inline>
              </w:drawing>
            </w:r>
          </w:p>
          <w:p w14:paraId="0C466F22">
            <w:pPr>
              <w:pStyle w:val="71"/>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lang w:val="en-US" w:eastAsia="zh-CN"/>
              </w:rPr>
              <w:t>液化石油气残液回收工艺流程图</w:t>
            </w:r>
          </w:p>
          <w:p w14:paraId="33E428F0">
            <w:pPr>
              <w:pStyle w:val="60"/>
              <w:spacing w:before="0" w:after="0" w:line="360" w:lineRule="auto"/>
              <w:ind w:firstLine="480" w:firstLineChars="200"/>
              <w:rPr>
                <w:rFonts w:ascii="Times New Roman" w:hAnsi="Times New Roman" w:eastAsia="宋体" w:cs="Times New Roman"/>
                <w:b w:val="0"/>
                <w:color w:val="auto"/>
                <w:kern w:val="2"/>
                <w:sz w:val="24"/>
                <w:szCs w:val="24"/>
              </w:rPr>
            </w:pPr>
            <w:r>
              <w:rPr>
                <w:rFonts w:hint="eastAsia" w:ascii="Times New Roman" w:hAnsi="Times New Roman" w:eastAsia="宋体" w:cs="Times New Roman"/>
                <w:b w:val="0"/>
                <w:color w:val="auto"/>
                <w:kern w:val="2"/>
                <w:sz w:val="24"/>
                <w:szCs w:val="24"/>
                <w:lang w:val="en-US" w:eastAsia="zh-CN"/>
              </w:rPr>
              <w:t>（</w:t>
            </w:r>
            <w:r>
              <w:rPr>
                <w:rFonts w:hint="default" w:ascii="Times New Roman" w:hAnsi="Times New Roman" w:eastAsia="宋体" w:cs="Times New Roman"/>
                <w:b w:val="0"/>
                <w:color w:val="auto"/>
                <w:kern w:val="2"/>
                <w:sz w:val="24"/>
                <w:szCs w:val="24"/>
                <w:lang w:val="en-US" w:eastAsia="zh-CN"/>
              </w:rPr>
              <w:t>5</w:t>
            </w:r>
            <w:r>
              <w:rPr>
                <w:rFonts w:ascii="Times New Roman" w:hAnsi="Times New Roman" w:eastAsia="宋体" w:cs="Times New Roman"/>
                <w:b w:val="0"/>
                <w:color w:val="auto"/>
                <w:kern w:val="2"/>
                <w:sz w:val="24"/>
                <w:szCs w:val="24"/>
              </w:rPr>
              <w:t>）</w:t>
            </w:r>
            <w:r>
              <w:rPr>
                <w:rFonts w:hint="default" w:ascii="Times New Roman" w:hAnsi="Times New Roman" w:eastAsia="宋体" w:cs="Times New Roman"/>
                <w:b w:val="0"/>
                <w:color w:val="auto"/>
                <w:kern w:val="2"/>
                <w:sz w:val="24"/>
                <w:szCs w:val="24"/>
              </w:rPr>
              <w:t>外运（残液罐残液倒出）</w:t>
            </w:r>
          </w:p>
          <w:p w14:paraId="025D8464">
            <w:pPr>
              <w:pStyle w:val="60"/>
              <w:spacing w:before="0" w:after="0"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将</w:t>
            </w:r>
            <w:r>
              <w:rPr>
                <w:rFonts w:hint="eastAsia" w:ascii="Times New Roman" w:hAnsi="Times New Roman" w:cs="Times New Roman"/>
                <w:bCs/>
                <w:color w:val="auto"/>
                <w:sz w:val="24"/>
                <w:szCs w:val="24"/>
              </w:rPr>
              <w:t>残液回收</w:t>
            </w:r>
            <w:r>
              <w:rPr>
                <w:rFonts w:ascii="Times New Roman" w:hAnsi="Times New Roman" w:cs="Times New Roman"/>
                <w:bCs/>
                <w:color w:val="auto"/>
                <w:sz w:val="24"/>
                <w:szCs w:val="24"/>
              </w:rPr>
              <w:t>槽车液气相管与汽车装卸台液气相管接通，再用压缩机抽吸槽车中的气体，加压后经气相阀门组压入</w:t>
            </w:r>
            <w:r>
              <w:rPr>
                <w:rFonts w:hint="eastAsia" w:ascii="Times New Roman" w:hAnsi="Times New Roman" w:cs="Times New Roman"/>
                <w:bCs/>
                <w:color w:val="auto"/>
                <w:sz w:val="24"/>
                <w:szCs w:val="24"/>
              </w:rPr>
              <w:t>残液罐</w:t>
            </w:r>
            <w:r>
              <w:rPr>
                <w:rFonts w:ascii="Times New Roman" w:hAnsi="Times New Roman" w:cs="Times New Roman"/>
                <w:bCs/>
                <w:color w:val="auto"/>
                <w:sz w:val="24"/>
                <w:szCs w:val="24"/>
              </w:rPr>
              <w:t>，迫使</w:t>
            </w:r>
            <w:r>
              <w:rPr>
                <w:rFonts w:hint="eastAsia" w:ascii="Times New Roman" w:hAnsi="Times New Roman" w:cs="Times New Roman"/>
                <w:bCs/>
                <w:color w:val="auto"/>
                <w:sz w:val="24"/>
                <w:szCs w:val="24"/>
              </w:rPr>
              <w:t>残液</w:t>
            </w:r>
            <w:r>
              <w:rPr>
                <w:rFonts w:ascii="Times New Roman" w:hAnsi="Times New Roman" w:cs="Times New Roman"/>
                <w:bCs/>
                <w:color w:val="auto"/>
                <w:sz w:val="24"/>
                <w:szCs w:val="24"/>
              </w:rPr>
              <w:t>罐内液体卸入槽车。</w:t>
            </w:r>
          </w:p>
          <w:p w14:paraId="3FC44B41">
            <w:pPr>
              <w:pStyle w:val="60"/>
              <w:spacing w:before="0" w:after="0" w:line="360" w:lineRule="auto"/>
              <w:ind w:firstLine="480" w:firstLineChars="200"/>
              <w:jc w:val="left"/>
              <w:rPr>
                <w:rFonts w:ascii="Times New Roman" w:hAnsi="Times New Roman" w:cs="Times New Roman"/>
                <w:bCs/>
                <w:color w:val="auto"/>
                <w:sz w:val="24"/>
                <w:szCs w:val="24"/>
              </w:rPr>
            </w:pPr>
            <w:r>
              <w:rPr>
                <w:rFonts w:ascii="Times New Roman" w:hAnsi="Times New Roman" w:cs="Times New Roman"/>
                <w:bCs/>
                <w:color w:val="auto"/>
                <w:sz w:val="24"/>
                <w:szCs w:val="24"/>
              </w:rPr>
              <w:t>工艺流程图如下：</w:t>
            </w:r>
          </w:p>
          <w:p w14:paraId="12FB13AE">
            <w:pPr>
              <w:pStyle w:val="60"/>
              <w:spacing w:before="0" w:after="0" w:line="36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drawing>
                <wp:inline distT="0" distB="0" distL="114300" distR="114300">
                  <wp:extent cx="4319905" cy="1680845"/>
                  <wp:effectExtent l="0" t="0" r="0" b="0"/>
                  <wp:docPr id="42" name="图片 42" descr="残液倒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残液倒出"/>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4319905" cy="1680845"/>
                          </a:xfrm>
                          <a:prstGeom prst="rect">
                            <a:avLst/>
                          </a:prstGeom>
                        </pic:spPr>
                      </pic:pic>
                    </a:graphicData>
                  </a:graphic>
                </wp:inline>
              </w:drawing>
            </w:r>
          </w:p>
          <w:p w14:paraId="53403FFC">
            <w:pPr>
              <w:pStyle w:val="19"/>
              <w:ind w:firstLine="0" w:firstLineChars="0"/>
              <w:jc w:val="center"/>
              <w:rPr>
                <w:rFonts w:ascii="Times New Roman" w:hAnsi="Times New Roman"/>
                <w:b/>
                <w:bCs w:val="0"/>
                <w:color w:val="auto"/>
                <w:sz w:val="21"/>
                <w:szCs w:val="21"/>
              </w:rPr>
            </w:pPr>
            <w:r>
              <w:rPr>
                <w:rFonts w:hint="eastAsia" w:ascii="Times New Roman" w:hAnsi="Times New Roman"/>
                <w:b/>
                <w:bCs w:val="0"/>
                <w:color w:val="auto"/>
                <w:sz w:val="21"/>
                <w:szCs w:val="21"/>
              </w:rPr>
              <w:t>图2-</w:t>
            </w:r>
            <w:r>
              <w:rPr>
                <w:rFonts w:hint="eastAsia" w:ascii="Times New Roman" w:hAnsi="Times New Roman"/>
                <w:b/>
                <w:bCs w:val="0"/>
                <w:color w:val="auto"/>
                <w:sz w:val="21"/>
                <w:szCs w:val="21"/>
                <w:lang w:val="en-US" w:eastAsia="zh-CN"/>
              </w:rPr>
              <w:t>7</w:t>
            </w:r>
            <w:r>
              <w:rPr>
                <w:rFonts w:hint="eastAsia" w:ascii="Times New Roman" w:hAnsi="Times New Roman"/>
                <w:b/>
                <w:bCs w:val="0"/>
                <w:color w:val="auto"/>
                <w:sz w:val="21"/>
                <w:szCs w:val="21"/>
              </w:rPr>
              <w:t xml:space="preserve"> 液化石油气残液倒出工艺流程图</w:t>
            </w:r>
          </w:p>
          <w:p w14:paraId="36460A60">
            <w:pPr>
              <w:pStyle w:val="60"/>
              <w:spacing w:before="0" w:after="0"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该</w:t>
            </w:r>
            <w:r>
              <w:rPr>
                <w:rFonts w:hint="eastAsia" w:ascii="Times New Roman" w:hAnsi="Times New Roman" w:cs="Times New Roman"/>
                <w:bCs/>
                <w:color w:val="auto"/>
                <w:sz w:val="24"/>
                <w:szCs w:val="24"/>
              </w:rPr>
              <w:t>过程会产生少量非甲烷总烃，以及</w:t>
            </w:r>
            <w:r>
              <w:rPr>
                <w:rFonts w:ascii="Times New Roman" w:hAnsi="Times New Roman" w:cs="Times New Roman"/>
                <w:bCs/>
                <w:color w:val="auto"/>
                <w:sz w:val="24"/>
                <w:szCs w:val="24"/>
              </w:rPr>
              <w:t>压缩机</w:t>
            </w:r>
            <w:r>
              <w:rPr>
                <w:rFonts w:hint="eastAsia" w:ascii="Times New Roman" w:hAnsi="Times New Roman" w:cs="Times New Roman"/>
                <w:bCs/>
                <w:color w:val="auto"/>
                <w:sz w:val="24"/>
                <w:szCs w:val="24"/>
              </w:rPr>
              <w:t>运行噪声。废气为无组织排放</w:t>
            </w:r>
            <w:r>
              <w:rPr>
                <w:rFonts w:ascii="Times New Roman" w:hAnsi="Times New Roman" w:cs="Times New Roman"/>
                <w:bCs/>
                <w:color w:val="auto"/>
                <w:sz w:val="24"/>
                <w:szCs w:val="24"/>
              </w:rPr>
              <w:t>。</w:t>
            </w:r>
          </w:p>
          <w:p w14:paraId="0C0998AE">
            <w:pPr>
              <w:pStyle w:val="7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6</w:t>
            </w:r>
            <w:r>
              <w:rPr>
                <w:rFonts w:hint="default" w:ascii="Times New Roman" w:hAnsi="Times New Roman" w:cs="Times New Roman"/>
                <w:b w:val="0"/>
                <w:bCs w:val="0"/>
                <w:color w:val="auto"/>
                <w:sz w:val="24"/>
                <w:szCs w:val="24"/>
                <w:lang w:val="en-US" w:eastAsia="zh-CN"/>
              </w:rPr>
              <w:t>）钢瓶抽真空</w:t>
            </w:r>
          </w:p>
          <w:p w14:paraId="0644BB00">
            <w:pPr>
              <w:pStyle w:val="60"/>
              <w:spacing w:before="0" w:after="0" w:line="360" w:lineRule="auto"/>
              <w:ind w:firstLine="480" w:firstLineChars="200"/>
              <w:rPr>
                <w:rFonts w:ascii="Times New Roman" w:hAnsi="Times New Roman" w:eastAsia="宋体" w:cs="Times New Roman"/>
                <w:bCs w:val="0"/>
                <w:color w:val="auto"/>
                <w:kern w:val="2"/>
                <w:sz w:val="24"/>
                <w:szCs w:val="24"/>
              </w:rPr>
            </w:pPr>
            <w:r>
              <w:rPr>
                <w:rFonts w:ascii="Times New Roman" w:hAnsi="Times New Roman" w:eastAsia="宋体" w:cs="Times New Roman"/>
                <w:bCs w:val="0"/>
                <w:color w:val="auto"/>
                <w:kern w:val="2"/>
                <w:sz w:val="24"/>
                <w:szCs w:val="24"/>
              </w:rPr>
              <w:t>新钢瓶和检修后的钢瓶在充装前，应将钢瓶内的空气抽出。为保证安全，钢瓶内气相空间的含氧量不大于4%，且液化石油的浓度应低于爆炸下限，故应将钢瓶抽至真空度620mm汞柱以上。工作时将被抽气瓶与抽空系统连接严密，打开气瓶角阀，开启进气阀和排气阀，启动真空泵，当真空表指针到83kPa（620mmHg）以上时，停泵，关闭气瓶角阀和隔膜式真空阀，卸下抽真空接头，关进气阀和排气阀。</w:t>
            </w:r>
          </w:p>
          <w:p w14:paraId="3A344435">
            <w:pPr>
              <w:pStyle w:val="60"/>
              <w:spacing w:before="0" w:after="0" w:line="360" w:lineRule="auto"/>
              <w:ind w:firstLine="480" w:firstLineChars="200"/>
              <w:rPr>
                <w:rFonts w:ascii="Times New Roman" w:hAnsi="Times New Roman" w:eastAsia="宋体" w:cs="Times New Roman"/>
                <w:bCs w:val="0"/>
                <w:color w:val="auto"/>
                <w:kern w:val="2"/>
                <w:sz w:val="24"/>
                <w:szCs w:val="24"/>
              </w:rPr>
            </w:pPr>
            <w:r>
              <w:rPr>
                <w:rFonts w:ascii="Times New Roman" w:hAnsi="Times New Roman" w:eastAsia="宋体" w:cs="Times New Roman"/>
                <w:bCs w:val="0"/>
                <w:color w:val="auto"/>
                <w:kern w:val="2"/>
                <w:sz w:val="24"/>
                <w:szCs w:val="24"/>
              </w:rPr>
              <w:t>该</w:t>
            </w:r>
            <w:r>
              <w:rPr>
                <w:rFonts w:hint="default" w:ascii="Times New Roman" w:hAnsi="Times New Roman" w:eastAsia="宋体" w:cs="Times New Roman"/>
                <w:bCs w:val="0"/>
                <w:color w:val="auto"/>
                <w:kern w:val="2"/>
                <w:sz w:val="24"/>
                <w:szCs w:val="24"/>
              </w:rPr>
              <w:t>过程会产生噪声。</w:t>
            </w:r>
          </w:p>
          <w:p w14:paraId="412292A3">
            <w:pPr>
              <w:pStyle w:val="71"/>
              <w:bidi w:val="0"/>
              <w:ind w:left="0" w:leftChars="0" w:firstLine="480"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（二）产污环节汇总</w:t>
            </w:r>
          </w:p>
          <w:p w14:paraId="0D82366C">
            <w:pPr>
              <w:pStyle w:val="71"/>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本项目液化气站运营期产污环节汇总如下：</w:t>
            </w:r>
          </w:p>
          <w:p w14:paraId="261118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表2-</w:t>
            </w:r>
            <w:r>
              <w:rPr>
                <w:rFonts w:hint="default" w:ascii="Times New Roman" w:hAnsi="Times New Roman" w:eastAsia="宋体"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主要污染工序及污染物因子识别一览表</w:t>
            </w:r>
          </w:p>
          <w:tbl>
            <w:tblPr>
              <w:tblStyle w:val="36"/>
              <w:tblW w:w="499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96"/>
              <w:gridCol w:w="757"/>
              <w:gridCol w:w="1765"/>
              <w:gridCol w:w="2268"/>
              <w:gridCol w:w="2233"/>
              <w:gridCol w:w="1275"/>
            </w:tblGrid>
            <w:tr w14:paraId="0EAAD10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4" w:type="dxa"/>
                  <w:gridSpan w:val="2"/>
                  <w:tcBorders>
                    <w:tl2br w:val="nil"/>
                    <w:tr2bl w:val="nil"/>
                  </w:tcBorders>
                  <w:noWrap w:val="0"/>
                  <w:vAlign w:val="center"/>
                </w:tcPr>
                <w:p w14:paraId="5CE2839E">
                  <w:pPr>
                    <w:adjustRightInd w:val="0"/>
                    <w:snapToGrid w:val="0"/>
                    <w:spacing w:line="32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w:t>
                  </w:r>
                </w:p>
              </w:tc>
              <w:tc>
                <w:tcPr>
                  <w:tcW w:w="1765" w:type="dxa"/>
                  <w:tcBorders>
                    <w:tl2br w:val="nil"/>
                    <w:tr2bl w:val="nil"/>
                  </w:tcBorders>
                  <w:noWrap w:val="0"/>
                  <w:vAlign w:val="center"/>
                </w:tcPr>
                <w:p w14:paraId="12B736B3">
                  <w:pPr>
                    <w:adjustRightInd w:val="0"/>
                    <w:snapToGrid w:val="0"/>
                    <w:spacing w:line="320" w:lineRule="exact"/>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rPr>
                    <w:t>污染工序</w:t>
                  </w:r>
                </w:p>
              </w:tc>
              <w:tc>
                <w:tcPr>
                  <w:tcW w:w="2268" w:type="dxa"/>
                  <w:tcBorders>
                    <w:tl2br w:val="nil"/>
                    <w:tr2bl w:val="nil"/>
                  </w:tcBorders>
                  <w:noWrap w:val="0"/>
                  <w:vAlign w:val="center"/>
                </w:tcPr>
                <w:p w14:paraId="0E338476">
                  <w:pPr>
                    <w:adjustRightInd w:val="0"/>
                    <w:snapToGrid w:val="0"/>
                    <w:spacing w:line="32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污染物名称</w:t>
                  </w:r>
                </w:p>
              </w:tc>
              <w:tc>
                <w:tcPr>
                  <w:tcW w:w="2233" w:type="dxa"/>
                  <w:tcBorders>
                    <w:right w:val="single" w:color="auto" w:sz="4" w:space="0"/>
                    <w:tl2br w:val="nil"/>
                    <w:tr2bl w:val="nil"/>
                  </w:tcBorders>
                  <w:noWrap w:val="0"/>
                  <w:vAlign w:val="center"/>
                </w:tcPr>
                <w:p w14:paraId="3BCC1F23">
                  <w:pPr>
                    <w:adjustRightInd w:val="0"/>
                    <w:snapToGrid w:val="0"/>
                    <w:spacing w:line="32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污染因子</w:t>
                  </w:r>
                </w:p>
              </w:tc>
              <w:tc>
                <w:tcPr>
                  <w:tcW w:w="1275" w:type="dxa"/>
                  <w:tcBorders>
                    <w:left w:val="single" w:color="auto" w:sz="4" w:space="0"/>
                    <w:tl2br w:val="nil"/>
                    <w:tr2bl w:val="nil"/>
                  </w:tcBorders>
                  <w:noWrap w:val="0"/>
                  <w:vAlign w:val="center"/>
                </w:tcPr>
                <w:p w14:paraId="6A772062">
                  <w:pPr>
                    <w:adjustRightInd w:val="0"/>
                    <w:snapToGrid w:val="0"/>
                    <w:spacing w:line="320" w:lineRule="exact"/>
                    <w:jc w:val="center"/>
                    <w:rPr>
                      <w:rFonts w:hint="default" w:ascii="Times New Roman" w:hAnsi="Times New Roman" w:cs="Times New Roman"/>
                      <w:b/>
                      <w:bCs/>
                      <w:color w:val="auto"/>
                      <w:highlight w:val="none"/>
                    </w:rPr>
                  </w:pPr>
                  <w:r>
                    <w:rPr>
                      <w:rFonts w:hint="default" w:ascii="Times New Roman" w:hAnsi="Times New Roman" w:eastAsia="宋体" w:cs="Times New Roman"/>
                      <w:b/>
                      <w:bCs/>
                      <w:color w:val="auto"/>
                      <w:w w:val="100"/>
                      <w:kern w:val="0"/>
                      <w:sz w:val="21"/>
                      <w:szCs w:val="21"/>
                      <w:highlight w:val="none"/>
                    </w:rPr>
                    <w:t>排放方式</w:t>
                  </w:r>
                </w:p>
              </w:tc>
            </w:tr>
            <w:tr w14:paraId="17D6E8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4" w:type="dxa"/>
                  <w:gridSpan w:val="2"/>
                  <w:vMerge w:val="restart"/>
                  <w:tcBorders>
                    <w:tl2br w:val="nil"/>
                    <w:tr2bl w:val="nil"/>
                  </w:tcBorders>
                  <w:noWrap w:val="0"/>
                  <w:vAlign w:val="center"/>
                </w:tcPr>
                <w:p w14:paraId="748E6FA3">
                  <w:pPr>
                    <w:adjustRightInd w:val="0"/>
                    <w:snapToGrid w:val="0"/>
                    <w:spacing w:line="32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w:t>
                  </w:r>
                  <w:r>
                    <w:rPr>
                      <w:rFonts w:hint="default" w:ascii="Times New Roman" w:hAnsi="Times New Roman" w:cs="Times New Roman"/>
                      <w:color w:val="auto"/>
                      <w:highlight w:val="none"/>
                      <w:lang w:val="en-US" w:eastAsia="zh-CN"/>
                    </w:rPr>
                    <w:t>期</w:t>
                  </w:r>
                </w:p>
              </w:tc>
              <w:tc>
                <w:tcPr>
                  <w:tcW w:w="1765" w:type="dxa"/>
                  <w:tcBorders>
                    <w:tl2br w:val="nil"/>
                    <w:tr2bl w:val="nil"/>
                  </w:tcBorders>
                  <w:noWrap w:val="0"/>
                  <w:vAlign w:val="center"/>
                </w:tcPr>
                <w:p w14:paraId="522E023D">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废水</w:t>
                  </w:r>
                </w:p>
              </w:tc>
              <w:tc>
                <w:tcPr>
                  <w:tcW w:w="2268" w:type="dxa"/>
                  <w:tcBorders>
                    <w:tl2br w:val="nil"/>
                    <w:tr2bl w:val="nil"/>
                  </w:tcBorders>
                  <w:noWrap w:val="0"/>
                  <w:vAlign w:val="center"/>
                </w:tcPr>
                <w:p w14:paraId="3EC1A501">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建筑施工及生活污水</w:t>
                  </w:r>
                </w:p>
              </w:tc>
              <w:tc>
                <w:tcPr>
                  <w:tcW w:w="2233" w:type="dxa"/>
                  <w:tcBorders>
                    <w:right w:val="single" w:color="auto" w:sz="4" w:space="0"/>
                    <w:tl2br w:val="nil"/>
                    <w:tr2bl w:val="nil"/>
                  </w:tcBorders>
                  <w:noWrap w:val="0"/>
                  <w:vAlign w:val="center"/>
                </w:tcPr>
                <w:p w14:paraId="6B036CEF">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COD、BOD</w:t>
                  </w:r>
                  <w:r>
                    <w:rPr>
                      <w:rFonts w:hint="default" w:ascii="Times New Roman" w:hAnsi="Times New Roman" w:eastAsia="宋体" w:cs="Times New Roman"/>
                      <w:b w:val="0"/>
                      <w:bCs w:val="0"/>
                      <w:color w:val="auto"/>
                      <w:w w:val="100"/>
                      <w:kern w:val="0"/>
                      <w:sz w:val="21"/>
                      <w:szCs w:val="21"/>
                      <w:highlight w:val="none"/>
                      <w:vertAlign w:val="subscript"/>
                      <w:lang w:val="en-US" w:eastAsia="zh-CN"/>
                    </w:rPr>
                    <w:t>5</w:t>
                  </w:r>
                  <w:r>
                    <w:rPr>
                      <w:rFonts w:hint="default" w:ascii="Times New Roman" w:hAnsi="Times New Roman" w:cs="Times New Roman"/>
                      <w:b w:val="0"/>
                      <w:bCs w:val="0"/>
                      <w:color w:val="auto"/>
                      <w:w w:val="100"/>
                      <w:kern w:val="0"/>
                      <w:sz w:val="21"/>
                      <w:szCs w:val="21"/>
                      <w:highlight w:val="none"/>
                      <w:lang w:eastAsia="zh-CN"/>
                    </w:rPr>
                    <w:t>、</w:t>
                  </w:r>
                  <w:r>
                    <w:rPr>
                      <w:rFonts w:hint="default" w:ascii="Times New Roman" w:hAnsi="Times New Roman" w:eastAsia="宋体" w:cs="Times New Roman"/>
                      <w:b w:val="0"/>
                      <w:bCs w:val="0"/>
                      <w:color w:val="auto"/>
                      <w:w w:val="100"/>
                      <w:kern w:val="0"/>
                      <w:sz w:val="21"/>
                      <w:szCs w:val="21"/>
                      <w:highlight w:val="none"/>
                    </w:rPr>
                    <w:t>NH</w:t>
                  </w:r>
                  <w:r>
                    <w:rPr>
                      <w:rFonts w:hint="default" w:ascii="Times New Roman" w:hAnsi="Times New Roman" w:eastAsia="宋体" w:cs="Times New Roman"/>
                      <w:b w:val="0"/>
                      <w:bCs w:val="0"/>
                      <w:color w:val="auto"/>
                      <w:w w:val="100"/>
                      <w:kern w:val="0"/>
                      <w:sz w:val="21"/>
                      <w:szCs w:val="21"/>
                      <w:highlight w:val="none"/>
                      <w:vertAlign w:val="subscript"/>
                    </w:rPr>
                    <w:t>3</w:t>
                  </w:r>
                  <w:r>
                    <w:rPr>
                      <w:rFonts w:hint="default" w:ascii="Times New Roman" w:hAnsi="Times New Roman" w:eastAsia="宋体" w:cs="Times New Roman"/>
                      <w:b w:val="0"/>
                      <w:bCs w:val="0"/>
                      <w:color w:val="auto"/>
                      <w:w w:val="100"/>
                      <w:kern w:val="0"/>
                      <w:sz w:val="21"/>
                      <w:szCs w:val="21"/>
                      <w:highlight w:val="none"/>
                    </w:rPr>
                    <w:t>-N、SS、动植物油</w:t>
                  </w:r>
                </w:p>
              </w:tc>
              <w:tc>
                <w:tcPr>
                  <w:tcW w:w="1275" w:type="dxa"/>
                  <w:tcBorders>
                    <w:left w:val="single" w:color="auto" w:sz="4" w:space="0"/>
                    <w:tl2br w:val="nil"/>
                    <w:tr2bl w:val="nil"/>
                  </w:tcBorders>
                  <w:noWrap w:val="0"/>
                  <w:vAlign w:val="center"/>
                </w:tcPr>
                <w:p w14:paraId="5D09D4E8">
                  <w:pPr>
                    <w:pStyle w:val="81"/>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cs="Times New Roman"/>
                      <w:b w:val="0"/>
                      <w:bCs w:val="0"/>
                      <w:color w:val="auto"/>
                      <w:w w:val="100"/>
                      <w:sz w:val="21"/>
                      <w:szCs w:val="21"/>
                      <w:highlight w:val="none"/>
                      <w:lang w:val="en-US" w:eastAsia="zh-CN"/>
                    </w:rPr>
                    <w:t>用作农家肥，不外排</w:t>
                  </w:r>
                </w:p>
              </w:tc>
            </w:tr>
            <w:tr w14:paraId="2FBB4F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4" w:type="dxa"/>
                  <w:gridSpan w:val="2"/>
                  <w:vMerge w:val="continue"/>
                  <w:tcBorders>
                    <w:tl2br w:val="nil"/>
                    <w:tr2bl w:val="nil"/>
                  </w:tcBorders>
                  <w:noWrap w:val="0"/>
                  <w:vAlign w:val="center"/>
                </w:tcPr>
                <w:p w14:paraId="3291A19E">
                  <w:pPr>
                    <w:adjustRightInd w:val="0"/>
                    <w:snapToGrid w:val="0"/>
                    <w:spacing w:line="320" w:lineRule="exact"/>
                    <w:jc w:val="center"/>
                    <w:rPr>
                      <w:rFonts w:hint="default" w:ascii="Times New Roman" w:hAnsi="Times New Roman" w:cs="Times New Roman"/>
                      <w:color w:val="auto"/>
                      <w:highlight w:val="none"/>
                    </w:rPr>
                  </w:pPr>
                </w:p>
              </w:tc>
              <w:tc>
                <w:tcPr>
                  <w:tcW w:w="1765" w:type="dxa"/>
                  <w:tcBorders>
                    <w:tl2br w:val="nil"/>
                    <w:tr2bl w:val="nil"/>
                  </w:tcBorders>
                  <w:noWrap w:val="0"/>
                  <w:vAlign w:val="center"/>
                </w:tcPr>
                <w:p w14:paraId="557DDF14">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扬尘</w:t>
                  </w:r>
                </w:p>
              </w:tc>
              <w:tc>
                <w:tcPr>
                  <w:tcW w:w="2268" w:type="dxa"/>
                  <w:tcBorders>
                    <w:tl2br w:val="nil"/>
                    <w:tr2bl w:val="nil"/>
                  </w:tcBorders>
                  <w:noWrap w:val="0"/>
                  <w:vAlign w:val="center"/>
                </w:tcPr>
                <w:p w14:paraId="31A98612">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土地平整，建筑施工和设备运输</w:t>
                  </w:r>
                </w:p>
              </w:tc>
              <w:tc>
                <w:tcPr>
                  <w:tcW w:w="2233" w:type="dxa"/>
                  <w:tcBorders>
                    <w:right w:val="single" w:color="auto" w:sz="4" w:space="0"/>
                    <w:tl2br w:val="nil"/>
                    <w:tr2bl w:val="nil"/>
                  </w:tcBorders>
                  <w:noWrap w:val="0"/>
                  <w:vAlign w:val="center"/>
                </w:tcPr>
                <w:p w14:paraId="63153E42">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TSP</w:t>
                  </w:r>
                </w:p>
              </w:tc>
              <w:tc>
                <w:tcPr>
                  <w:tcW w:w="1275" w:type="dxa"/>
                  <w:tcBorders>
                    <w:left w:val="single" w:color="auto" w:sz="4" w:space="0"/>
                    <w:tl2br w:val="nil"/>
                    <w:tr2bl w:val="nil"/>
                  </w:tcBorders>
                  <w:noWrap w:val="0"/>
                  <w:vAlign w:val="center"/>
                </w:tcPr>
                <w:p w14:paraId="7379BDD4">
                  <w:pPr>
                    <w:pStyle w:val="81"/>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b w:val="0"/>
                      <w:bCs w:val="0"/>
                      <w:color w:val="auto"/>
                      <w:w w:val="100"/>
                      <w:sz w:val="21"/>
                      <w:szCs w:val="21"/>
                      <w:highlight w:val="none"/>
                    </w:rPr>
                    <w:t>间断</w:t>
                  </w:r>
                </w:p>
              </w:tc>
            </w:tr>
            <w:tr w14:paraId="4B7DEA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4" w:type="dxa"/>
                  <w:gridSpan w:val="2"/>
                  <w:vMerge w:val="continue"/>
                  <w:tcBorders>
                    <w:tl2br w:val="nil"/>
                    <w:tr2bl w:val="nil"/>
                  </w:tcBorders>
                  <w:noWrap w:val="0"/>
                  <w:vAlign w:val="center"/>
                </w:tcPr>
                <w:p w14:paraId="042C458C">
                  <w:pPr>
                    <w:adjustRightInd w:val="0"/>
                    <w:snapToGrid w:val="0"/>
                    <w:spacing w:line="320" w:lineRule="exact"/>
                    <w:jc w:val="center"/>
                    <w:rPr>
                      <w:rFonts w:hint="default" w:ascii="Times New Roman" w:hAnsi="Times New Roman" w:cs="Times New Roman"/>
                      <w:color w:val="auto"/>
                      <w:highlight w:val="none"/>
                    </w:rPr>
                  </w:pPr>
                </w:p>
              </w:tc>
              <w:tc>
                <w:tcPr>
                  <w:tcW w:w="1765" w:type="dxa"/>
                  <w:tcBorders>
                    <w:tl2br w:val="nil"/>
                    <w:tr2bl w:val="nil"/>
                  </w:tcBorders>
                  <w:noWrap w:val="0"/>
                  <w:vAlign w:val="center"/>
                </w:tcPr>
                <w:p w14:paraId="5CA7DB9F">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snapToGrid w:val="0"/>
                      <w:color w:val="auto"/>
                      <w:w w:val="100"/>
                      <w:kern w:val="0"/>
                      <w:sz w:val="21"/>
                      <w:szCs w:val="21"/>
                      <w:highlight w:val="none"/>
                    </w:rPr>
                    <w:t>噪声</w:t>
                  </w:r>
                </w:p>
              </w:tc>
              <w:tc>
                <w:tcPr>
                  <w:tcW w:w="2268" w:type="dxa"/>
                  <w:tcBorders>
                    <w:tl2br w:val="nil"/>
                    <w:tr2bl w:val="nil"/>
                  </w:tcBorders>
                  <w:noWrap w:val="0"/>
                  <w:vAlign w:val="center"/>
                </w:tcPr>
                <w:p w14:paraId="2E5725EB">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施工设备和运输汽车</w:t>
                  </w:r>
                </w:p>
              </w:tc>
              <w:tc>
                <w:tcPr>
                  <w:tcW w:w="2233" w:type="dxa"/>
                  <w:tcBorders>
                    <w:right w:val="single" w:color="auto" w:sz="4" w:space="0"/>
                    <w:tl2br w:val="nil"/>
                    <w:tr2bl w:val="nil"/>
                  </w:tcBorders>
                  <w:noWrap w:val="0"/>
                  <w:vAlign w:val="center"/>
                </w:tcPr>
                <w:p w14:paraId="744FBF12">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snapToGrid w:val="0"/>
                      <w:color w:val="auto"/>
                      <w:w w:val="100"/>
                      <w:sz w:val="21"/>
                      <w:szCs w:val="21"/>
                      <w:highlight w:val="none"/>
                    </w:rPr>
                    <w:t>等效A声级</w:t>
                  </w:r>
                </w:p>
              </w:tc>
              <w:tc>
                <w:tcPr>
                  <w:tcW w:w="1275" w:type="dxa"/>
                  <w:tcBorders>
                    <w:left w:val="single" w:color="auto" w:sz="4" w:space="0"/>
                    <w:tl2br w:val="nil"/>
                    <w:tr2bl w:val="nil"/>
                  </w:tcBorders>
                  <w:noWrap w:val="0"/>
                  <w:vAlign w:val="center"/>
                </w:tcPr>
                <w:p w14:paraId="066CC18F">
                  <w:pPr>
                    <w:pStyle w:val="81"/>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b w:val="0"/>
                      <w:bCs w:val="0"/>
                      <w:color w:val="auto"/>
                      <w:w w:val="100"/>
                      <w:sz w:val="21"/>
                      <w:szCs w:val="21"/>
                      <w:highlight w:val="none"/>
                    </w:rPr>
                    <w:t>间断</w:t>
                  </w:r>
                </w:p>
              </w:tc>
            </w:tr>
            <w:tr w14:paraId="51A767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54" w:type="dxa"/>
                  <w:gridSpan w:val="2"/>
                  <w:vMerge w:val="continue"/>
                  <w:tcBorders>
                    <w:tl2br w:val="nil"/>
                    <w:tr2bl w:val="nil"/>
                  </w:tcBorders>
                  <w:noWrap w:val="0"/>
                  <w:vAlign w:val="center"/>
                </w:tcPr>
                <w:p w14:paraId="366D3CB9">
                  <w:pPr>
                    <w:adjustRightInd w:val="0"/>
                    <w:snapToGrid w:val="0"/>
                    <w:spacing w:line="320" w:lineRule="exact"/>
                    <w:jc w:val="center"/>
                    <w:rPr>
                      <w:rFonts w:hint="default" w:ascii="Times New Roman" w:hAnsi="Times New Roman" w:cs="Times New Roman"/>
                      <w:color w:val="auto"/>
                      <w:highlight w:val="none"/>
                    </w:rPr>
                  </w:pPr>
                </w:p>
              </w:tc>
              <w:tc>
                <w:tcPr>
                  <w:tcW w:w="1765" w:type="dxa"/>
                  <w:tcBorders>
                    <w:tl2br w:val="nil"/>
                    <w:tr2bl w:val="nil"/>
                  </w:tcBorders>
                  <w:noWrap w:val="0"/>
                  <w:vAlign w:val="center"/>
                </w:tcPr>
                <w:p w14:paraId="4558C466">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固体废物</w:t>
                  </w:r>
                </w:p>
              </w:tc>
              <w:tc>
                <w:tcPr>
                  <w:tcW w:w="2268" w:type="dxa"/>
                  <w:tcBorders>
                    <w:tl2br w:val="nil"/>
                    <w:tr2bl w:val="nil"/>
                  </w:tcBorders>
                  <w:noWrap w:val="0"/>
                  <w:vAlign w:val="center"/>
                </w:tcPr>
                <w:p w14:paraId="7DE042D3">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建筑施工</w:t>
                  </w:r>
                </w:p>
              </w:tc>
              <w:tc>
                <w:tcPr>
                  <w:tcW w:w="2233" w:type="dxa"/>
                  <w:tcBorders>
                    <w:right w:val="single" w:color="auto" w:sz="4" w:space="0"/>
                    <w:tl2br w:val="nil"/>
                    <w:tr2bl w:val="nil"/>
                  </w:tcBorders>
                  <w:noWrap w:val="0"/>
                  <w:vAlign w:val="center"/>
                </w:tcPr>
                <w:p w14:paraId="77B29D34">
                  <w:pPr>
                    <w:pStyle w:val="93"/>
                    <w:keepNext w:val="0"/>
                    <w:keepLines w:val="0"/>
                    <w:suppressLineNumbers w:val="0"/>
                    <w:spacing w:before="0" w:beforeAutospacing="0" w:after="0" w:afterAutospacing="0" w:line="340" w:lineRule="exact"/>
                    <w:ind w:left="0" w:leftChars="0" w:right="0" w:rightChars="0"/>
                    <w:rPr>
                      <w:rFonts w:hint="default" w:ascii="Times New Roman" w:hAnsi="Times New Roman" w:eastAsia="宋体" w:cs="Times New Roman"/>
                      <w:b w:val="0"/>
                      <w:bCs w:val="0"/>
                      <w:color w:val="auto"/>
                      <w:spacing w:val="4"/>
                      <w:w w:val="100"/>
                      <w:kern w:val="0"/>
                      <w:sz w:val="21"/>
                      <w:szCs w:val="21"/>
                      <w:highlight w:val="none"/>
                      <w:lang w:val="en-US" w:eastAsia="zh-CN" w:bidi="ar-SA"/>
                    </w:rPr>
                  </w:pPr>
                  <w:r>
                    <w:rPr>
                      <w:rFonts w:hint="default" w:ascii="Times New Roman" w:hAnsi="Times New Roman" w:eastAsia="宋体" w:cs="Times New Roman"/>
                      <w:b w:val="0"/>
                      <w:bCs w:val="0"/>
                      <w:color w:val="auto"/>
                      <w:w w:val="100"/>
                      <w:kern w:val="0"/>
                      <w:sz w:val="21"/>
                      <w:szCs w:val="21"/>
                      <w:highlight w:val="none"/>
                    </w:rPr>
                    <w:t>碎砖废石</w:t>
                  </w:r>
                  <w:r>
                    <w:rPr>
                      <w:rFonts w:hint="default" w:ascii="Times New Roman" w:hAnsi="Times New Roman" w:cs="Times New Roman"/>
                      <w:b w:val="0"/>
                      <w:bCs w:val="0"/>
                      <w:color w:val="auto"/>
                      <w:w w:val="100"/>
                      <w:kern w:val="0"/>
                      <w:sz w:val="21"/>
                      <w:szCs w:val="21"/>
                      <w:highlight w:val="none"/>
                      <w:lang w:val="en-US" w:eastAsia="zh-CN"/>
                    </w:rPr>
                    <w:t>、</w:t>
                  </w:r>
                  <w:r>
                    <w:rPr>
                      <w:rFonts w:hint="default" w:ascii="Times New Roman" w:hAnsi="Times New Roman" w:eastAsia="宋体" w:cs="Times New Roman"/>
                      <w:b w:val="0"/>
                      <w:bCs w:val="0"/>
                      <w:color w:val="auto"/>
                      <w:w w:val="100"/>
                      <w:kern w:val="0"/>
                      <w:sz w:val="21"/>
                      <w:szCs w:val="21"/>
                      <w:highlight w:val="none"/>
                    </w:rPr>
                    <w:t>有机物等</w:t>
                  </w:r>
                </w:p>
              </w:tc>
              <w:tc>
                <w:tcPr>
                  <w:tcW w:w="1275" w:type="dxa"/>
                  <w:tcBorders>
                    <w:left w:val="single" w:color="auto" w:sz="4" w:space="0"/>
                    <w:tl2br w:val="nil"/>
                    <w:tr2bl w:val="nil"/>
                  </w:tcBorders>
                  <w:noWrap w:val="0"/>
                  <w:vAlign w:val="center"/>
                </w:tcPr>
                <w:p w14:paraId="6607A292">
                  <w:pPr>
                    <w:pStyle w:val="81"/>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default" w:ascii="Times New Roman" w:hAnsi="Times New Roman" w:cs="Times New Roman"/>
                      <w:color w:val="auto"/>
                      <w:sz w:val="21"/>
                      <w:szCs w:val="21"/>
                      <w:highlight w:val="none"/>
                      <w:lang w:val="en-US" w:eastAsia="zh-CN"/>
                    </w:rPr>
                    <w:t>/</w:t>
                  </w:r>
                </w:p>
              </w:tc>
            </w:tr>
            <w:tr w14:paraId="7FB9A4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restart"/>
                  <w:tcBorders>
                    <w:tl2br w:val="nil"/>
                    <w:tr2bl w:val="nil"/>
                  </w:tcBorders>
                  <w:noWrap w:val="0"/>
                  <w:vAlign w:val="center"/>
                </w:tcPr>
                <w:p w14:paraId="544BE445">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营运期</w:t>
                  </w:r>
                </w:p>
              </w:tc>
              <w:tc>
                <w:tcPr>
                  <w:tcW w:w="757" w:type="dxa"/>
                  <w:vMerge w:val="restart"/>
                  <w:tcBorders>
                    <w:tl2br w:val="nil"/>
                    <w:tr2bl w:val="nil"/>
                  </w:tcBorders>
                  <w:noWrap w:val="0"/>
                  <w:vAlign w:val="center"/>
                </w:tcPr>
                <w:p w14:paraId="6BC170BE">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1765" w:type="dxa"/>
                  <w:tcBorders>
                    <w:tl2br w:val="nil"/>
                    <w:tr2bl w:val="nil"/>
                  </w:tcBorders>
                  <w:noWrap w:val="0"/>
                  <w:vAlign w:val="center"/>
                </w:tcPr>
                <w:p w14:paraId="00EC98D4">
                  <w:pPr>
                    <w:adjustRightInd w:val="0"/>
                    <w:snapToGrid w:val="0"/>
                    <w:spacing w:line="320" w:lineRule="exact"/>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油罐收发作业呼吸废气</w:t>
                  </w:r>
                </w:p>
              </w:tc>
              <w:tc>
                <w:tcPr>
                  <w:tcW w:w="2268" w:type="dxa"/>
                  <w:tcBorders>
                    <w:tl2br w:val="nil"/>
                    <w:tr2bl w:val="nil"/>
                  </w:tcBorders>
                  <w:noWrap w:val="0"/>
                  <w:vAlign w:val="center"/>
                </w:tcPr>
                <w:p w14:paraId="76881C41">
                  <w:pPr>
                    <w:spacing w:line="320" w:lineRule="exact"/>
                    <w:jc w:val="center"/>
                    <w:rPr>
                      <w:rFonts w:hint="default" w:ascii="Times New Roman" w:hAnsi="Times New Roman" w:cs="Times New Roman"/>
                      <w:color w:val="auto"/>
                      <w:highlight w:val="none"/>
                    </w:rPr>
                  </w:pPr>
                  <w:r>
                    <w:rPr>
                      <w:rFonts w:hint="eastAsia"/>
                      <w:color w:val="auto"/>
                      <w:szCs w:val="21"/>
                    </w:rPr>
                    <w:t>逸散废气</w:t>
                  </w:r>
                </w:p>
              </w:tc>
              <w:tc>
                <w:tcPr>
                  <w:tcW w:w="2233" w:type="dxa"/>
                  <w:tcBorders>
                    <w:right w:val="single" w:color="auto" w:sz="4" w:space="0"/>
                    <w:tl2br w:val="nil"/>
                    <w:tr2bl w:val="nil"/>
                  </w:tcBorders>
                  <w:noWrap w:val="0"/>
                  <w:vAlign w:val="center"/>
                </w:tcPr>
                <w:p w14:paraId="7AF382A7">
                  <w:pPr>
                    <w:spacing w:line="320" w:lineRule="exact"/>
                    <w:jc w:val="center"/>
                    <w:rPr>
                      <w:rFonts w:hint="default" w:ascii="Times New Roman" w:hAnsi="Times New Roman" w:cs="Times New Roman"/>
                      <w:color w:val="auto"/>
                      <w:highlight w:val="none"/>
                    </w:rPr>
                  </w:pPr>
                  <w:r>
                    <w:rPr>
                      <w:rFonts w:hint="eastAsia"/>
                      <w:color w:val="auto"/>
                      <w:szCs w:val="21"/>
                      <w:lang w:val="zh-CN"/>
                    </w:rPr>
                    <w:t>挥发性有机物、臭气浓度</w:t>
                  </w:r>
                </w:p>
              </w:tc>
              <w:tc>
                <w:tcPr>
                  <w:tcW w:w="1275" w:type="dxa"/>
                  <w:tcBorders>
                    <w:left w:val="single" w:color="auto" w:sz="4" w:space="0"/>
                    <w:tl2br w:val="nil"/>
                    <w:tr2bl w:val="nil"/>
                  </w:tcBorders>
                  <w:noWrap w:val="0"/>
                  <w:vAlign w:val="center"/>
                </w:tcPr>
                <w:p w14:paraId="544A785A">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w w:val="100"/>
                      <w:sz w:val="21"/>
                      <w:szCs w:val="21"/>
                      <w:highlight w:val="none"/>
                    </w:rPr>
                    <w:t>间断</w:t>
                  </w:r>
                </w:p>
              </w:tc>
            </w:tr>
            <w:tr w14:paraId="1837F0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14809224">
                  <w:pPr>
                    <w:adjustRightInd w:val="0"/>
                    <w:snapToGrid w:val="0"/>
                    <w:spacing w:line="320" w:lineRule="exact"/>
                    <w:jc w:val="center"/>
                    <w:rPr>
                      <w:rFonts w:hint="default" w:ascii="Times New Roman" w:hAnsi="Times New Roman" w:cs="Times New Roman"/>
                      <w:color w:val="auto"/>
                      <w:highlight w:val="none"/>
                    </w:rPr>
                  </w:pPr>
                </w:p>
              </w:tc>
              <w:tc>
                <w:tcPr>
                  <w:tcW w:w="757" w:type="dxa"/>
                  <w:vMerge w:val="continue"/>
                  <w:tcBorders>
                    <w:tl2br w:val="nil"/>
                    <w:tr2bl w:val="nil"/>
                  </w:tcBorders>
                  <w:noWrap w:val="0"/>
                  <w:vAlign w:val="center"/>
                </w:tcPr>
                <w:p w14:paraId="5ACF97D4">
                  <w:pPr>
                    <w:adjustRightInd w:val="0"/>
                    <w:snapToGrid w:val="0"/>
                    <w:spacing w:line="320" w:lineRule="exact"/>
                    <w:jc w:val="center"/>
                    <w:rPr>
                      <w:rFonts w:hint="default" w:ascii="Times New Roman" w:hAnsi="Times New Roman" w:cs="Times New Roman"/>
                      <w:color w:val="auto"/>
                      <w:highlight w:val="none"/>
                    </w:rPr>
                  </w:pPr>
                </w:p>
              </w:tc>
              <w:tc>
                <w:tcPr>
                  <w:tcW w:w="1765" w:type="dxa"/>
                  <w:tcBorders>
                    <w:tl2br w:val="nil"/>
                    <w:tr2bl w:val="nil"/>
                  </w:tcBorders>
                  <w:noWrap w:val="0"/>
                  <w:vAlign w:val="center"/>
                </w:tcPr>
                <w:p w14:paraId="37AAED65">
                  <w:pPr>
                    <w:spacing w:line="320" w:lineRule="exact"/>
                    <w:jc w:val="center"/>
                    <w:rPr>
                      <w:rFonts w:hint="default" w:ascii="Times New Roman" w:hAnsi="Times New Roman" w:eastAsia="宋体" w:cs="Times New Roman"/>
                      <w:color w:val="auto"/>
                      <w:highlight w:val="none"/>
                      <w:lang w:eastAsia="zh-CN"/>
                    </w:rPr>
                  </w:pPr>
                  <w:r>
                    <w:rPr>
                      <w:rFonts w:hint="eastAsia"/>
                      <w:color w:val="auto"/>
                      <w:szCs w:val="21"/>
                    </w:rPr>
                    <w:t>备用发电机</w:t>
                  </w:r>
                </w:p>
              </w:tc>
              <w:tc>
                <w:tcPr>
                  <w:tcW w:w="2268" w:type="dxa"/>
                  <w:tcBorders>
                    <w:tl2br w:val="nil"/>
                    <w:tr2bl w:val="nil"/>
                  </w:tcBorders>
                  <w:noWrap w:val="0"/>
                  <w:vAlign w:val="center"/>
                </w:tcPr>
                <w:p w14:paraId="29B4D76E">
                  <w:pPr>
                    <w:spacing w:line="320" w:lineRule="exact"/>
                    <w:jc w:val="center"/>
                    <w:rPr>
                      <w:rFonts w:hint="default" w:ascii="Times New Roman" w:hAnsi="Times New Roman" w:cs="Times New Roman"/>
                      <w:color w:val="auto"/>
                      <w:highlight w:val="none"/>
                    </w:rPr>
                  </w:pPr>
                  <w:r>
                    <w:rPr>
                      <w:rFonts w:hint="eastAsia"/>
                      <w:color w:val="auto"/>
                      <w:szCs w:val="21"/>
                    </w:rPr>
                    <w:t>柴油机尾气</w:t>
                  </w:r>
                </w:p>
              </w:tc>
              <w:tc>
                <w:tcPr>
                  <w:tcW w:w="2233" w:type="dxa"/>
                  <w:tcBorders>
                    <w:right w:val="single" w:color="auto" w:sz="4" w:space="0"/>
                    <w:tl2br w:val="nil"/>
                    <w:tr2bl w:val="nil"/>
                  </w:tcBorders>
                  <w:noWrap w:val="0"/>
                  <w:vAlign w:val="center"/>
                </w:tcPr>
                <w:p w14:paraId="2FD01B46">
                  <w:pPr>
                    <w:spacing w:line="320" w:lineRule="exact"/>
                    <w:jc w:val="center"/>
                    <w:rPr>
                      <w:rFonts w:hint="default" w:ascii="Times New Roman" w:hAnsi="Times New Roman" w:cs="Times New Roman"/>
                      <w:color w:val="auto"/>
                      <w:highlight w:val="none"/>
                    </w:rPr>
                  </w:pPr>
                  <w:r>
                    <w:rPr>
                      <w:rFonts w:hint="eastAsia"/>
                      <w:color w:val="auto"/>
                      <w:szCs w:val="21"/>
                      <w:lang w:val="zh-CN"/>
                    </w:rPr>
                    <w:t>颗粒物、氮氧化物、二氧化硫</w:t>
                  </w:r>
                </w:p>
              </w:tc>
              <w:tc>
                <w:tcPr>
                  <w:tcW w:w="1275" w:type="dxa"/>
                  <w:tcBorders>
                    <w:left w:val="single" w:color="auto" w:sz="4" w:space="0"/>
                    <w:tl2br w:val="nil"/>
                    <w:tr2bl w:val="nil"/>
                  </w:tcBorders>
                  <w:noWrap w:val="0"/>
                  <w:vAlign w:val="center"/>
                </w:tcPr>
                <w:p w14:paraId="2144D90B">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w w:val="100"/>
                      <w:sz w:val="21"/>
                      <w:szCs w:val="21"/>
                      <w:highlight w:val="none"/>
                    </w:rPr>
                    <w:t>间断</w:t>
                  </w:r>
                </w:p>
              </w:tc>
            </w:tr>
            <w:tr w14:paraId="3BA35B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381CBCAC">
                  <w:pPr>
                    <w:adjustRightInd w:val="0"/>
                    <w:snapToGrid w:val="0"/>
                    <w:spacing w:line="320" w:lineRule="exact"/>
                    <w:jc w:val="center"/>
                    <w:rPr>
                      <w:rFonts w:hint="default" w:ascii="Times New Roman" w:hAnsi="Times New Roman" w:cs="Times New Roman"/>
                      <w:color w:val="auto"/>
                      <w:highlight w:val="none"/>
                    </w:rPr>
                  </w:pPr>
                </w:p>
              </w:tc>
              <w:tc>
                <w:tcPr>
                  <w:tcW w:w="757" w:type="dxa"/>
                  <w:vMerge w:val="continue"/>
                  <w:tcBorders>
                    <w:tl2br w:val="nil"/>
                    <w:tr2bl w:val="nil"/>
                  </w:tcBorders>
                  <w:noWrap w:val="0"/>
                  <w:vAlign w:val="center"/>
                </w:tcPr>
                <w:p w14:paraId="30FBDC0A">
                  <w:pPr>
                    <w:adjustRightInd w:val="0"/>
                    <w:snapToGrid w:val="0"/>
                    <w:spacing w:line="320" w:lineRule="exact"/>
                    <w:jc w:val="center"/>
                    <w:rPr>
                      <w:rFonts w:hint="default" w:ascii="Times New Roman" w:hAnsi="Times New Roman" w:cs="Times New Roman"/>
                      <w:color w:val="auto"/>
                      <w:highlight w:val="none"/>
                    </w:rPr>
                  </w:pPr>
                </w:p>
              </w:tc>
              <w:tc>
                <w:tcPr>
                  <w:tcW w:w="1765" w:type="dxa"/>
                  <w:tcBorders>
                    <w:tl2br w:val="nil"/>
                    <w:tr2bl w:val="nil"/>
                  </w:tcBorders>
                  <w:noWrap w:val="0"/>
                  <w:vAlign w:val="center"/>
                </w:tcPr>
                <w:p w14:paraId="06FC6D24">
                  <w:pPr>
                    <w:spacing w:line="320" w:lineRule="exact"/>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员工生活</w:t>
                  </w:r>
                </w:p>
              </w:tc>
              <w:tc>
                <w:tcPr>
                  <w:tcW w:w="2268" w:type="dxa"/>
                  <w:tcBorders>
                    <w:tl2br w:val="nil"/>
                    <w:tr2bl w:val="nil"/>
                  </w:tcBorders>
                  <w:noWrap w:val="0"/>
                  <w:vAlign w:val="center"/>
                </w:tcPr>
                <w:p w14:paraId="556EC405">
                  <w:pPr>
                    <w:bidi w:val="0"/>
                    <w:spacing w:line="240" w:lineRule="auto"/>
                    <w:ind w:left="0" w:leftChars="0" w:firstLine="0" w:firstLineChars="0"/>
                    <w:jc w:val="center"/>
                    <w:rPr>
                      <w:rFonts w:hint="default" w:ascii="Times New Roman" w:hAnsi="Times New Roman" w:cs="Times New Roman"/>
                      <w:color w:val="auto"/>
                      <w:highlight w:val="none"/>
                    </w:rPr>
                  </w:pPr>
                  <w:r>
                    <w:rPr>
                      <w:rFonts w:hint="eastAsia" w:cs="Times New Roman"/>
                      <w:b w:val="0"/>
                      <w:bCs w:val="0"/>
                      <w:color w:val="auto"/>
                      <w:sz w:val="21"/>
                      <w:szCs w:val="21"/>
                      <w:lang w:val="en-US" w:eastAsia="zh-CN"/>
                    </w:rPr>
                    <w:t>食堂油烟</w:t>
                  </w:r>
                </w:p>
              </w:tc>
              <w:tc>
                <w:tcPr>
                  <w:tcW w:w="2233" w:type="dxa"/>
                  <w:tcBorders>
                    <w:right w:val="single" w:color="auto" w:sz="4" w:space="0"/>
                    <w:tl2br w:val="nil"/>
                    <w:tr2bl w:val="nil"/>
                  </w:tcBorders>
                  <w:noWrap w:val="0"/>
                  <w:vAlign w:val="center"/>
                </w:tcPr>
                <w:p w14:paraId="1FA12429">
                  <w:pPr>
                    <w:bidi w:val="0"/>
                    <w:spacing w:line="240" w:lineRule="auto"/>
                    <w:ind w:left="0" w:leftChars="0" w:firstLine="0" w:firstLineChars="0"/>
                    <w:jc w:val="center"/>
                    <w:rPr>
                      <w:rFonts w:hint="default" w:ascii="Times New Roman" w:hAnsi="Times New Roman" w:cs="Times New Roman"/>
                      <w:color w:val="auto"/>
                      <w:highlight w:val="none"/>
                    </w:rPr>
                  </w:pPr>
                  <w:r>
                    <w:rPr>
                      <w:rFonts w:hint="eastAsia" w:cs="Times New Roman"/>
                      <w:b w:val="0"/>
                      <w:bCs w:val="0"/>
                      <w:color w:val="auto"/>
                      <w:sz w:val="21"/>
                      <w:szCs w:val="21"/>
                      <w:lang w:val="en-US" w:eastAsia="zh-CN"/>
                    </w:rPr>
                    <w:t>油烟</w:t>
                  </w:r>
                </w:p>
              </w:tc>
              <w:tc>
                <w:tcPr>
                  <w:tcW w:w="1275" w:type="dxa"/>
                  <w:tcBorders>
                    <w:left w:val="single" w:color="auto" w:sz="4" w:space="0"/>
                    <w:tl2br w:val="nil"/>
                    <w:tr2bl w:val="nil"/>
                  </w:tcBorders>
                  <w:noWrap w:val="0"/>
                  <w:vAlign w:val="center"/>
                </w:tcPr>
                <w:p w14:paraId="0C056F27">
                  <w:pPr>
                    <w:adjustRightInd w:val="0"/>
                    <w:snapToGrid w:val="0"/>
                    <w:spacing w:line="320" w:lineRule="exact"/>
                    <w:jc w:val="center"/>
                    <w:rPr>
                      <w:rFonts w:hint="default" w:ascii="Times New Roman" w:hAnsi="Times New Roman" w:eastAsia="宋体" w:cs="Times New Roman"/>
                      <w:b w:val="0"/>
                      <w:bCs w:val="0"/>
                      <w:color w:val="auto"/>
                      <w:w w:val="100"/>
                      <w:sz w:val="21"/>
                      <w:szCs w:val="21"/>
                      <w:highlight w:val="none"/>
                    </w:rPr>
                  </w:pPr>
                  <w:r>
                    <w:rPr>
                      <w:rFonts w:hint="default" w:ascii="Times New Roman" w:hAnsi="Times New Roman" w:eastAsia="宋体" w:cs="Times New Roman"/>
                      <w:b w:val="0"/>
                      <w:bCs w:val="0"/>
                      <w:color w:val="auto"/>
                      <w:w w:val="100"/>
                      <w:sz w:val="21"/>
                      <w:szCs w:val="21"/>
                      <w:highlight w:val="none"/>
                    </w:rPr>
                    <w:t>间断</w:t>
                  </w:r>
                </w:p>
              </w:tc>
            </w:tr>
            <w:tr w14:paraId="377C2D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3A9E8516">
                  <w:pPr>
                    <w:adjustRightInd w:val="0"/>
                    <w:snapToGrid w:val="0"/>
                    <w:spacing w:line="320" w:lineRule="exact"/>
                    <w:jc w:val="center"/>
                    <w:rPr>
                      <w:rFonts w:hint="default" w:ascii="Times New Roman" w:hAnsi="Times New Roman" w:cs="Times New Roman"/>
                      <w:color w:val="auto"/>
                      <w:highlight w:val="none"/>
                    </w:rPr>
                  </w:pPr>
                </w:p>
              </w:tc>
              <w:tc>
                <w:tcPr>
                  <w:tcW w:w="757" w:type="dxa"/>
                  <w:tcBorders>
                    <w:tl2br w:val="nil"/>
                    <w:tr2bl w:val="nil"/>
                  </w:tcBorders>
                  <w:noWrap w:val="0"/>
                  <w:vAlign w:val="center"/>
                </w:tcPr>
                <w:p w14:paraId="08DB4038">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1765" w:type="dxa"/>
                  <w:tcBorders>
                    <w:tl2br w:val="nil"/>
                    <w:tr2bl w:val="nil"/>
                  </w:tcBorders>
                  <w:noWrap w:val="0"/>
                  <w:vAlign w:val="center"/>
                </w:tcPr>
                <w:p w14:paraId="6E31D4E5">
                  <w:pPr>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员工生活</w:t>
                  </w:r>
                </w:p>
              </w:tc>
              <w:tc>
                <w:tcPr>
                  <w:tcW w:w="2268" w:type="dxa"/>
                  <w:tcBorders>
                    <w:tl2br w:val="nil"/>
                    <w:tr2bl w:val="nil"/>
                  </w:tcBorders>
                  <w:noWrap w:val="0"/>
                  <w:vAlign w:val="center"/>
                </w:tcPr>
                <w:p w14:paraId="427F0EA7">
                  <w:pPr>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w:t>
                  </w:r>
                </w:p>
              </w:tc>
              <w:tc>
                <w:tcPr>
                  <w:tcW w:w="2233" w:type="dxa"/>
                  <w:tcBorders>
                    <w:right w:val="single" w:color="auto" w:sz="4" w:space="0"/>
                    <w:tl2br w:val="nil"/>
                    <w:tr2bl w:val="nil"/>
                  </w:tcBorders>
                  <w:noWrap w:val="0"/>
                  <w:vAlign w:val="center"/>
                </w:tcPr>
                <w:p w14:paraId="65DD57E0">
                  <w:pPr>
                    <w:pStyle w:val="11"/>
                    <w:jc w:val="center"/>
                    <w:rPr>
                      <w:rFonts w:hint="eastAsia" w:ascii="Times New Roman" w:hAnsi="Times New Roman" w:eastAsia="宋体" w:cs="Times New Roman"/>
                      <w:color w:val="auto"/>
                      <w:highlight w:val="none"/>
                      <w:lang w:eastAsia="zh-CN"/>
                    </w:rPr>
                  </w:pPr>
                  <w:r>
                    <w:rPr>
                      <w:rFonts w:hint="default"/>
                      <w:color w:val="auto"/>
                      <w:sz w:val="21"/>
                      <w:szCs w:val="16"/>
                      <w:lang w:val="en-US" w:eastAsia="zh-CN"/>
                    </w:rPr>
                    <w:t>CODcr、BOD</w:t>
                  </w:r>
                  <w:r>
                    <w:rPr>
                      <w:rFonts w:hint="default"/>
                      <w:color w:val="auto"/>
                      <w:sz w:val="21"/>
                      <w:szCs w:val="16"/>
                      <w:vertAlign w:val="subscript"/>
                      <w:lang w:val="en-US" w:eastAsia="zh-CN"/>
                    </w:rPr>
                    <w:t>5</w:t>
                  </w:r>
                  <w:r>
                    <w:rPr>
                      <w:rFonts w:hint="default"/>
                      <w:color w:val="auto"/>
                      <w:sz w:val="21"/>
                      <w:szCs w:val="16"/>
                      <w:lang w:val="en-US" w:eastAsia="zh-CN"/>
                    </w:rPr>
                    <w:t>、SS、NH</w:t>
                  </w:r>
                  <w:r>
                    <w:rPr>
                      <w:rFonts w:hint="default"/>
                      <w:color w:val="auto"/>
                      <w:sz w:val="21"/>
                      <w:szCs w:val="16"/>
                      <w:vertAlign w:val="subscript"/>
                      <w:lang w:val="en-US" w:eastAsia="zh-CN"/>
                    </w:rPr>
                    <w:t>3</w:t>
                  </w:r>
                  <w:r>
                    <w:rPr>
                      <w:rFonts w:hint="default"/>
                      <w:color w:val="auto"/>
                      <w:sz w:val="21"/>
                      <w:szCs w:val="16"/>
                      <w:lang w:val="en-US" w:eastAsia="zh-CN"/>
                    </w:rPr>
                    <w:t>-N</w:t>
                  </w:r>
                  <w:r>
                    <w:rPr>
                      <w:rFonts w:hint="eastAsia"/>
                      <w:color w:val="auto"/>
                      <w:sz w:val="21"/>
                      <w:szCs w:val="16"/>
                      <w:lang w:val="en-US" w:eastAsia="zh-CN"/>
                    </w:rPr>
                    <w:t>、</w:t>
                  </w:r>
                  <w:r>
                    <w:rPr>
                      <w:rFonts w:hint="eastAsia"/>
                      <w:color w:val="auto"/>
                      <w:sz w:val="21"/>
                      <w:szCs w:val="16"/>
                      <w:vertAlign w:val="baseline"/>
                      <w:lang w:val="en-US" w:eastAsia="zh-CN"/>
                    </w:rPr>
                    <w:t>TN、TP</w:t>
                  </w:r>
                  <w:r>
                    <w:rPr>
                      <w:rFonts w:hint="eastAsia"/>
                      <w:color w:val="auto"/>
                      <w:sz w:val="21"/>
                      <w:szCs w:val="16"/>
                      <w:lang w:eastAsia="zh-CN"/>
                    </w:rPr>
                    <w:t>、</w:t>
                  </w:r>
                  <w:r>
                    <w:rPr>
                      <w:rFonts w:hint="eastAsia"/>
                      <w:color w:val="auto"/>
                      <w:sz w:val="21"/>
                      <w:szCs w:val="16"/>
                      <w:lang w:val="en-US" w:eastAsia="zh-CN"/>
                    </w:rPr>
                    <w:t>pH、动植物油</w:t>
                  </w:r>
                </w:p>
              </w:tc>
              <w:tc>
                <w:tcPr>
                  <w:tcW w:w="1275" w:type="dxa"/>
                  <w:tcBorders>
                    <w:left w:val="single" w:color="auto" w:sz="4" w:space="0"/>
                    <w:tl2br w:val="nil"/>
                    <w:tr2bl w:val="nil"/>
                  </w:tcBorders>
                  <w:noWrap w:val="0"/>
                  <w:vAlign w:val="center"/>
                </w:tcPr>
                <w:p w14:paraId="0ECD0CB5">
                  <w:pPr>
                    <w:spacing w:line="320" w:lineRule="exact"/>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w w:val="100"/>
                      <w:sz w:val="21"/>
                      <w:szCs w:val="21"/>
                      <w:highlight w:val="none"/>
                    </w:rPr>
                    <w:t>间断</w:t>
                  </w:r>
                </w:p>
              </w:tc>
            </w:tr>
            <w:tr w14:paraId="020890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79A0A779">
                  <w:pPr>
                    <w:adjustRightInd w:val="0"/>
                    <w:snapToGrid w:val="0"/>
                    <w:spacing w:line="320" w:lineRule="exact"/>
                    <w:jc w:val="center"/>
                    <w:rPr>
                      <w:rFonts w:hint="default" w:ascii="Times New Roman" w:hAnsi="Times New Roman" w:cs="Times New Roman"/>
                      <w:color w:val="auto"/>
                      <w:highlight w:val="none"/>
                    </w:rPr>
                  </w:pPr>
                </w:p>
              </w:tc>
              <w:tc>
                <w:tcPr>
                  <w:tcW w:w="757" w:type="dxa"/>
                  <w:tcBorders>
                    <w:tl2br w:val="nil"/>
                    <w:tr2bl w:val="nil"/>
                  </w:tcBorders>
                  <w:noWrap w:val="0"/>
                  <w:vAlign w:val="center"/>
                </w:tcPr>
                <w:p w14:paraId="4C7FCB58">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1765" w:type="dxa"/>
                  <w:tcBorders>
                    <w:tl2br w:val="nil"/>
                    <w:tr2bl w:val="nil"/>
                  </w:tcBorders>
                  <w:noWrap w:val="0"/>
                  <w:vAlign w:val="center"/>
                </w:tcPr>
                <w:p w14:paraId="56EFCCC3">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生产</w:t>
                  </w:r>
                  <w:r>
                    <w:rPr>
                      <w:rFonts w:hint="default" w:ascii="Times New Roman" w:hAnsi="Times New Roman" w:cs="Times New Roman"/>
                      <w:color w:val="auto"/>
                      <w:highlight w:val="none"/>
                    </w:rPr>
                    <w:t>设备运行</w:t>
                  </w:r>
                </w:p>
              </w:tc>
              <w:tc>
                <w:tcPr>
                  <w:tcW w:w="2268" w:type="dxa"/>
                  <w:tcBorders>
                    <w:tl2br w:val="nil"/>
                    <w:tr2bl w:val="nil"/>
                  </w:tcBorders>
                  <w:noWrap w:val="0"/>
                  <w:vAlign w:val="center"/>
                </w:tcPr>
                <w:p w14:paraId="580C8344">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2233" w:type="dxa"/>
                  <w:tcBorders>
                    <w:right w:val="single" w:color="auto" w:sz="4" w:space="0"/>
                    <w:tl2br w:val="nil"/>
                    <w:tr2bl w:val="nil"/>
                  </w:tcBorders>
                  <w:noWrap w:val="0"/>
                  <w:vAlign w:val="center"/>
                </w:tcPr>
                <w:p w14:paraId="3DF4AABD">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dB(A)</w:t>
                  </w:r>
                </w:p>
              </w:tc>
              <w:tc>
                <w:tcPr>
                  <w:tcW w:w="1275" w:type="dxa"/>
                  <w:tcBorders>
                    <w:left w:val="single" w:color="auto" w:sz="4" w:space="0"/>
                    <w:tl2br w:val="nil"/>
                    <w:tr2bl w:val="nil"/>
                  </w:tcBorders>
                  <w:noWrap w:val="0"/>
                  <w:vAlign w:val="center"/>
                </w:tcPr>
                <w:p w14:paraId="124698B3">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w w:val="100"/>
                      <w:sz w:val="21"/>
                      <w:szCs w:val="21"/>
                      <w:highlight w:val="none"/>
                    </w:rPr>
                    <w:t>间断</w:t>
                  </w:r>
                </w:p>
              </w:tc>
            </w:tr>
            <w:tr w14:paraId="567FFB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744325D0">
                  <w:pPr>
                    <w:adjustRightInd w:val="0"/>
                    <w:snapToGrid w:val="0"/>
                    <w:spacing w:line="320" w:lineRule="exact"/>
                    <w:jc w:val="center"/>
                    <w:rPr>
                      <w:rFonts w:hint="default" w:ascii="Times New Roman" w:hAnsi="Times New Roman" w:cs="Times New Roman"/>
                      <w:color w:val="auto"/>
                      <w:highlight w:val="none"/>
                    </w:rPr>
                  </w:pPr>
                </w:p>
              </w:tc>
              <w:tc>
                <w:tcPr>
                  <w:tcW w:w="757" w:type="dxa"/>
                  <w:vMerge w:val="restart"/>
                  <w:tcBorders>
                    <w:tl2br w:val="nil"/>
                    <w:tr2bl w:val="nil"/>
                  </w:tcBorders>
                  <w:noWrap w:val="0"/>
                  <w:vAlign w:val="center"/>
                </w:tcPr>
                <w:p w14:paraId="4C07C34F">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1765" w:type="dxa"/>
                  <w:tcBorders>
                    <w:tl2br w:val="nil"/>
                    <w:tr2bl w:val="nil"/>
                  </w:tcBorders>
                  <w:noWrap w:val="0"/>
                  <w:vAlign w:val="center"/>
                </w:tcPr>
                <w:p w14:paraId="5303CB9E">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生产固废</w:t>
                  </w:r>
                </w:p>
              </w:tc>
              <w:tc>
                <w:tcPr>
                  <w:tcW w:w="2268" w:type="dxa"/>
                  <w:tcBorders>
                    <w:tl2br w:val="nil"/>
                    <w:tr2bl w:val="nil"/>
                  </w:tcBorders>
                  <w:noWrap w:val="0"/>
                  <w:vAlign w:val="center"/>
                </w:tcPr>
                <w:p w14:paraId="76382696">
                  <w:pPr>
                    <w:adjustRightInd w:val="0"/>
                    <w:snapToGrid w:val="0"/>
                    <w:spacing w:line="320" w:lineRule="exact"/>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危险废物</w:t>
                  </w:r>
                </w:p>
              </w:tc>
              <w:tc>
                <w:tcPr>
                  <w:tcW w:w="2233" w:type="dxa"/>
                  <w:tcBorders>
                    <w:right w:val="single" w:color="auto" w:sz="4" w:space="0"/>
                    <w:tl2br w:val="nil"/>
                    <w:tr2bl w:val="nil"/>
                  </w:tcBorders>
                  <w:noWrap w:val="0"/>
                  <w:vAlign w:val="center"/>
                </w:tcPr>
                <w:p w14:paraId="7F010941">
                  <w:pPr>
                    <w:adjustRightInd w:val="0"/>
                    <w:snapToGrid w:val="0"/>
                    <w:spacing w:line="320" w:lineRule="exact"/>
                    <w:jc w:val="center"/>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残液</w:t>
                  </w:r>
                </w:p>
              </w:tc>
              <w:tc>
                <w:tcPr>
                  <w:tcW w:w="1275" w:type="dxa"/>
                  <w:tcBorders>
                    <w:left w:val="single" w:color="auto" w:sz="4" w:space="0"/>
                    <w:tl2br w:val="nil"/>
                    <w:tr2bl w:val="nil"/>
                  </w:tcBorders>
                  <w:noWrap w:val="0"/>
                  <w:vAlign w:val="center"/>
                </w:tcPr>
                <w:p w14:paraId="44FE7D8E">
                  <w:pPr>
                    <w:adjustRightInd w:val="0"/>
                    <w:snapToGrid w:val="0"/>
                    <w:spacing w:line="320" w:lineRule="exact"/>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0BCB68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28FF0FAF">
                  <w:pPr>
                    <w:adjustRightInd w:val="0"/>
                    <w:snapToGrid w:val="0"/>
                    <w:spacing w:line="320" w:lineRule="exact"/>
                    <w:jc w:val="center"/>
                    <w:rPr>
                      <w:rFonts w:hint="default" w:ascii="Times New Roman" w:hAnsi="Times New Roman" w:cs="Times New Roman"/>
                      <w:color w:val="auto"/>
                      <w:highlight w:val="none"/>
                    </w:rPr>
                  </w:pPr>
                </w:p>
              </w:tc>
              <w:tc>
                <w:tcPr>
                  <w:tcW w:w="757" w:type="dxa"/>
                  <w:vMerge w:val="continue"/>
                  <w:tcBorders>
                    <w:tl2br w:val="nil"/>
                    <w:tr2bl w:val="nil"/>
                  </w:tcBorders>
                  <w:noWrap w:val="0"/>
                  <w:vAlign w:val="center"/>
                </w:tcPr>
                <w:p w14:paraId="642BD04C">
                  <w:pPr>
                    <w:adjustRightInd w:val="0"/>
                    <w:snapToGrid w:val="0"/>
                    <w:spacing w:line="320" w:lineRule="exact"/>
                    <w:jc w:val="center"/>
                    <w:rPr>
                      <w:rFonts w:hint="default" w:ascii="Times New Roman" w:hAnsi="Times New Roman" w:cs="Times New Roman"/>
                      <w:color w:val="auto"/>
                      <w:highlight w:val="none"/>
                    </w:rPr>
                  </w:pPr>
                </w:p>
              </w:tc>
              <w:tc>
                <w:tcPr>
                  <w:tcW w:w="1765" w:type="dxa"/>
                  <w:tcBorders>
                    <w:tl2br w:val="nil"/>
                    <w:tr2bl w:val="nil"/>
                  </w:tcBorders>
                  <w:noWrap w:val="0"/>
                  <w:vAlign w:val="center"/>
                </w:tcPr>
                <w:p w14:paraId="0748176D">
                  <w:pPr>
                    <w:widowControl/>
                    <w:jc w:val="center"/>
                    <w:textAlignment w:val="center"/>
                    <w:rPr>
                      <w:rFonts w:hint="default" w:ascii="Times New Roman" w:hAnsi="Times New Roman" w:cs="Times New Roman"/>
                      <w:color w:val="auto"/>
                      <w:highlight w:val="none"/>
                    </w:rPr>
                  </w:pPr>
                  <w:r>
                    <w:rPr>
                      <w:rFonts w:hint="eastAsia"/>
                      <w:color w:val="auto"/>
                      <w:szCs w:val="21"/>
                    </w:rPr>
                    <w:t>钢瓶检测</w:t>
                  </w:r>
                </w:p>
              </w:tc>
              <w:tc>
                <w:tcPr>
                  <w:tcW w:w="2268" w:type="dxa"/>
                  <w:tcBorders>
                    <w:tl2br w:val="nil"/>
                    <w:tr2bl w:val="nil"/>
                  </w:tcBorders>
                  <w:noWrap w:val="0"/>
                  <w:vAlign w:val="center"/>
                </w:tcPr>
                <w:p w14:paraId="20BCB4CD">
                  <w:pPr>
                    <w:jc w:val="center"/>
                    <w:rPr>
                      <w:rFonts w:hint="default" w:ascii="Times New Roman" w:hAnsi="Times New Roman" w:cs="Times New Roman"/>
                      <w:color w:val="auto"/>
                      <w:szCs w:val="22"/>
                      <w:highlight w:val="none"/>
                    </w:rPr>
                  </w:pPr>
                  <w:r>
                    <w:rPr>
                      <w:rFonts w:hint="eastAsia"/>
                      <w:color w:val="auto"/>
                      <w:szCs w:val="21"/>
                      <w:lang w:val="en-US" w:eastAsia="zh-CN"/>
                    </w:rPr>
                    <w:t>一般固体废物</w:t>
                  </w:r>
                </w:p>
              </w:tc>
              <w:tc>
                <w:tcPr>
                  <w:tcW w:w="2233" w:type="dxa"/>
                  <w:tcBorders>
                    <w:right w:val="single" w:color="auto" w:sz="4" w:space="0"/>
                    <w:tl2br w:val="nil"/>
                    <w:tr2bl w:val="nil"/>
                  </w:tcBorders>
                  <w:noWrap w:val="0"/>
                  <w:vAlign w:val="center"/>
                </w:tcPr>
                <w:p w14:paraId="612C0100">
                  <w:pPr>
                    <w:adjustRightInd w:val="0"/>
                    <w:snapToGrid w:val="0"/>
                    <w:spacing w:line="320" w:lineRule="exact"/>
                    <w:jc w:val="center"/>
                    <w:rPr>
                      <w:color w:val="auto"/>
                    </w:rPr>
                  </w:pPr>
                  <w:r>
                    <w:rPr>
                      <w:rFonts w:hint="eastAsia"/>
                      <w:color w:val="auto"/>
                      <w:szCs w:val="21"/>
                    </w:rPr>
                    <w:t>不合格钢瓶</w:t>
                  </w:r>
                </w:p>
              </w:tc>
              <w:tc>
                <w:tcPr>
                  <w:tcW w:w="1275" w:type="dxa"/>
                  <w:tcBorders>
                    <w:left w:val="single" w:color="auto" w:sz="4" w:space="0"/>
                    <w:tl2br w:val="nil"/>
                    <w:tr2bl w:val="nil"/>
                  </w:tcBorders>
                  <w:noWrap w:val="0"/>
                  <w:vAlign w:val="center"/>
                </w:tcPr>
                <w:p w14:paraId="147E4C2F">
                  <w:pPr>
                    <w:adjustRightInd w:val="0"/>
                    <w:snapToGrid w:val="0"/>
                    <w:spacing w:line="320" w:lineRule="exact"/>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14:paraId="0FF0CE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4E1A9218">
                  <w:pPr>
                    <w:adjustRightInd w:val="0"/>
                    <w:snapToGrid w:val="0"/>
                    <w:spacing w:line="320" w:lineRule="exact"/>
                    <w:jc w:val="center"/>
                    <w:rPr>
                      <w:rFonts w:hint="default" w:ascii="Times New Roman" w:hAnsi="Times New Roman" w:cs="Times New Roman"/>
                      <w:color w:val="auto"/>
                      <w:highlight w:val="none"/>
                    </w:rPr>
                  </w:pPr>
                </w:p>
              </w:tc>
              <w:tc>
                <w:tcPr>
                  <w:tcW w:w="757" w:type="dxa"/>
                  <w:vMerge w:val="continue"/>
                  <w:tcBorders>
                    <w:tl2br w:val="nil"/>
                    <w:tr2bl w:val="nil"/>
                  </w:tcBorders>
                  <w:noWrap w:val="0"/>
                  <w:vAlign w:val="center"/>
                </w:tcPr>
                <w:p w14:paraId="2DD7343B">
                  <w:pPr>
                    <w:adjustRightInd w:val="0"/>
                    <w:snapToGrid w:val="0"/>
                    <w:spacing w:line="320" w:lineRule="exact"/>
                    <w:jc w:val="center"/>
                    <w:rPr>
                      <w:rFonts w:hint="default" w:ascii="Times New Roman" w:hAnsi="Times New Roman" w:cs="Times New Roman"/>
                      <w:color w:val="auto"/>
                      <w:highlight w:val="none"/>
                    </w:rPr>
                  </w:pPr>
                </w:p>
              </w:tc>
              <w:tc>
                <w:tcPr>
                  <w:tcW w:w="1765" w:type="dxa"/>
                  <w:vMerge w:val="restart"/>
                  <w:tcBorders>
                    <w:tl2br w:val="nil"/>
                    <w:tr2bl w:val="nil"/>
                  </w:tcBorders>
                  <w:noWrap w:val="0"/>
                  <w:vAlign w:val="center"/>
                </w:tcPr>
                <w:p w14:paraId="4FDBAB67">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职工生活</w:t>
                  </w:r>
                </w:p>
              </w:tc>
              <w:tc>
                <w:tcPr>
                  <w:tcW w:w="2268" w:type="dxa"/>
                  <w:tcBorders>
                    <w:tl2br w:val="nil"/>
                    <w:tr2bl w:val="nil"/>
                  </w:tcBorders>
                  <w:noWrap w:val="0"/>
                  <w:vAlign w:val="center"/>
                </w:tcPr>
                <w:p w14:paraId="786FF8FA">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2233" w:type="dxa"/>
                  <w:tcBorders>
                    <w:right w:val="single" w:color="auto" w:sz="4" w:space="0"/>
                    <w:tl2br w:val="nil"/>
                    <w:tr2bl w:val="nil"/>
                  </w:tcBorders>
                  <w:noWrap w:val="0"/>
                  <w:vAlign w:val="center"/>
                </w:tcPr>
                <w:p w14:paraId="2A0E2621">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1275" w:type="dxa"/>
                  <w:tcBorders>
                    <w:left w:val="single" w:color="auto" w:sz="4" w:space="0"/>
                    <w:tl2br w:val="nil"/>
                    <w:tr2bl w:val="nil"/>
                  </w:tcBorders>
                  <w:noWrap w:val="0"/>
                  <w:vAlign w:val="center"/>
                </w:tcPr>
                <w:p w14:paraId="0361392E">
                  <w:pPr>
                    <w:adjustRightInd w:val="0"/>
                    <w:snapToGrid w:val="0"/>
                    <w:spacing w:line="320" w:lineRule="exact"/>
                    <w:jc w:val="center"/>
                    <w:rPr>
                      <w:rFonts w:hint="default" w:ascii="Times New Roman" w:hAnsi="Times New Roman" w:cs="Times New Roman"/>
                      <w:color w:val="auto"/>
                      <w:highlight w:val="none"/>
                    </w:rPr>
                  </w:pPr>
                  <w:r>
                    <w:rPr>
                      <w:rFonts w:hint="default" w:ascii="Times New Roman" w:hAnsi="Times New Roman" w:eastAsia="宋体" w:cs="Times New Roman"/>
                      <w:b w:val="0"/>
                      <w:bCs w:val="0"/>
                      <w:color w:val="auto"/>
                      <w:w w:val="100"/>
                      <w:sz w:val="21"/>
                      <w:szCs w:val="21"/>
                      <w:highlight w:val="none"/>
                    </w:rPr>
                    <w:t>间断</w:t>
                  </w:r>
                </w:p>
              </w:tc>
            </w:tr>
            <w:tr w14:paraId="4D6945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97" w:type="dxa"/>
                  <w:vMerge w:val="continue"/>
                  <w:tcBorders>
                    <w:tl2br w:val="nil"/>
                    <w:tr2bl w:val="nil"/>
                  </w:tcBorders>
                  <w:noWrap w:val="0"/>
                  <w:vAlign w:val="center"/>
                </w:tcPr>
                <w:p w14:paraId="0E76F2FD">
                  <w:pPr>
                    <w:adjustRightInd w:val="0"/>
                    <w:snapToGrid w:val="0"/>
                    <w:spacing w:line="320" w:lineRule="exact"/>
                    <w:jc w:val="center"/>
                    <w:rPr>
                      <w:rFonts w:hint="default" w:ascii="Times New Roman" w:hAnsi="Times New Roman" w:cs="Times New Roman"/>
                      <w:color w:val="auto"/>
                      <w:highlight w:val="none"/>
                    </w:rPr>
                  </w:pPr>
                </w:p>
              </w:tc>
              <w:tc>
                <w:tcPr>
                  <w:tcW w:w="757" w:type="dxa"/>
                  <w:vMerge w:val="continue"/>
                  <w:tcBorders>
                    <w:tl2br w:val="nil"/>
                    <w:tr2bl w:val="nil"/>
                  </w:tcBorders>
                  <w:noWrap w:val="0"/>
                  <w:vAlign w:val="center"/>
                </w:tcPr>
                <w:p w14:paraId="1DF8E7A2">
                  <w:pPr>
                    <w:adjustRightInd w:val="0"/>
                    <w:snapToGrid w:val="0"/>
                    <w:spacing w:line="320" w:lineRule="exact"/>
                    <w:jc w:val="center"/>
                    <w:rPr>
                      <w:rFonts w:hint="default" w:ascii="Times New Roman" w:hAnsi="Times New Roman" w:cs="Times New Roman"/>
                      <w:color w:val="auto"/>
                      <w:highlight w:val="none"/>
                    </w:rPr>
                  </w:pPr>
                </w:p>
              </w:tc>
              <w:tc>
                <w:tcPr>
                  <w:tcW w:w="1765" w:type="dxa"/>
                  <w:vMerge w:val="continue"/>
                  <w:tcBorders>
                    <w:tl2br w:val="nil"/>
                    <w:tr2bl w:val="nil"/>
                  </w:tcBorders>
                  <w:noWrap w:val="0"/>
                  <w:vAlign w:val="center"/>
                </w:tcPr>
                <w:p w14:paraId="7F905A8A">
                  <w:pPr>
                    <w:adjustRightInd w:val="0"/>
                    <w:snapToGrid w:val="0"/>
                    <w:spacing w:line="320" w:lineRule="exact"/>
                    <w:jc w:val="center"/>
                    <w:rPr>
                      <w:rFonts w:hint="default" w:ascii="Times New Roman" w:hAnsi="Times New Roman" w:cs="Times New Roman"/>
                      <w:color w:val="auto"/>
                      <w:highlight w:val="none"/>
                    </w:rPr>
                  </w:pPr>
                </w:p>
              </w:tc>
              <w:tc>
                <w:tcPr>
                  <w:tcW w:w="2268" w:type="dxa"/>
                  <w:tcBorders>
                    <w:tl2br w:val="nil"/>
                    <w:tr2bl w:val="nil"/>
                  </w:tcBorders>
                  <w:noWrap w:val="0"/>
                  <w:vAlign w:val="center"/>
                </w:tcPr>
                <w:p w14:paraId="740E7C93">
                  <w:pPr>
                    <w:adjustRightInd w:val="0"/>
                    <w:snapToGrid w:val="0"/>
                    <w:spacing w:line="320" w:lineRule="exact"/>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废油脂</w:t>
                  </w:r>
                </w:p>
              </w:tc>
              <w:tc>
                <w:tcPr>
                  <w:tcW w:w="2233" w:type="dxa"/>
                  <w:tcBorders>
                    <w:right w:val="single" w:color="auto" w:sz="4" w:space="0"/>
                    <w:tl2br w:val="nil"/>
                    <w:tr2bl w:val="nil"/>
                  </w:tcBorders>
                  <w:noWrap w:val="0"/>
                  <w:vAlign w:val="center"/>
                </w:tcPr>
                <w:p w14:paraId="3EEE2CCA">
                  <w:pPr>
                    <w:adjustRightInd w:val="0"/>
                    <w:snapToGrid w:val="0"/>
                    <w:spacing w:line="320" w:lineRule="exact"/>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废油脂</w:t>
                  </w:r>
                </w:p>
              </w:tc>
              <w:tc>
                <w:tcPr>
                  <w:tcW w:w="1275" w:type="dxa"/>
                  <w:tcBorders>
                    <w:left w:val="single" w:color="auto" w:sz="4" w:space="0"/>
                    <w:tl2br w:val="nil"/>
                    <w:tr2bl w:val="nil"/>
                  </w:tcBorders>
                  <w:noWrap w:val="0"/>
                  <w:vAlign w:val="center"/>
                </w:tcPr>
                <w:p w14:paraId="016BF9D3">
                  <w:pPr>
                    <w:adjustRightInd w:val="0"/>
                    <w:snapToGrid w:val="0"/>
                    <w:spacing w:line="320" w:lineRule="exact"/>
                    <w:jc w:val="center"/>
                    <w:rPr>
                      <w:rFonts w:hint="eastAsia" w:ascii="Times New Roman" w:hAnsi="Times New Roman" w:eastAsia="宋体" w:cs="Times New Roman"/>
                      <w:b w:val="0"/>
                      <w:bCs w:val="0"/>
                      <w:color w:val="auto"/>
                      <w:w w:val="100"/>
                      <w:sz w:val="21"/>
                      <w:szCs w:val="21"/>
                      <w:highlight w:val="none"/>
                      <w:lang w:val="en-US" w:eastAsia="zh-CN"/>
                    </w:rPr>
                  </w:pPr>
                  <w:r>
                    <w:rPr>
                      <w:rFonts w:hint="default" w:ascii="Times New Roman" w:hAnsi="Times New Roman" w:eastAsia="宋体" w:cs="Times New Roman"/>
                      <w:b w:val="0"/>
                      <w:bCs w:val="0"/>
                      <w:color w:val="auto"/>
                      <w:w w:val="100"/>
                      <w:sz w:val="21"/>
                      <w:szCs w:val="21"/>
                      <w:highlight w:val="none"/>
                    </w:rPr>
                    <w:t>间断</w:t>
                  </w:r>
                </w:p>
              </w:tc>
            </w:tr>
          </w:tbl>
          <w:p w14:paraId="2E81EC8D">
            <w:pPr>
              <w:pStyle w:val="71"/>
              <w:bidi w:val="0"/>
              <w:ind w:left="0" w:leftChars="0" w:firstLine="0" w:firstLineChars="0"/>
              <w:rPr>
                <w:rFonts w:hint="default" w:ascii="Times New Roman" w:hAnsi="Times New Roman" w:cs="Times New Roman"/>
                <w:color w:val="auto"/>
                <w:lang w:val="en-US" w:eastAsia="zh-CN"/>
              </w:rPr>
            </w:pPr>
          </w:p>
        </w:tc>
      </w:tr>
      <w:tr w14:paraId="6A782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42" w:type="pct"/>
            <w:noWrap w:val="0"/>
            <w:vAlign w:val="center"/>
          </w:tcPr>
          <w:p w14:paraId="009B9946">
            <w:pPr>
              <w:pStyle w:val="32"/>
              <w:adjustRightInd w:val="0"/>
              <w:snapToGrid w:val="0"/>
              <w:spacing w:before="0" w:beforeAutospacing="0" w:after="0" w:afterAutospacing="0"/>
              <w:jc w:val="center"/>
              <w:rPr>
                <w:rFonts w:hint="default" w:ascii="Times New Roman" w:hAnsi="Times New Roman" w:cs="Times New Roman"/>
                <w:bCs/>
                <w:color w:val="auto"/>
                <w:kern w:val="2"/>
                <w:sz w:val="24"/>
                <w:szCs w:val="24"/>
              </w:rPr>
            </w:pPr>
            <w:r>
              <w:rPr>
                <w:rFonts w:hint="default" w:ascii="Times New Roman" w:hAnsi="Times New Roman" w:cs="Times New Roman"/>
                <w:bCs/>
                <w:color w:val="auto"/>
                <w:kern w:val="2"/>
                <w:sz w:val="24"/>
                <w:szCs w:val="24"/>
              </w:rPr>
              <w:t>与项目有关的原有环境污染问题</w:t>
            </w:r>
          </w:p>
        </w:tc>
        <w:tc>
          <w:tcPr>
            <w:tcW w:w="4657" w:type="pct"/>
            <w:noWrap w:val="0"/>
            <w:vAlign w:val="center"/>
          </w:tcPr>
          <w:p w14:paraId="54B24BC4">
            <w:pPr>
              <w:pStyle w:val="62"/>
              <w:ind w:left="0" w:leftChars="0" w:firstLine="0" w:firstLineChars="0"/>
              <w:jc w:val="center"/>
              <w:rPr>
                <w:rFonts w:hint="default" w:ascii="Times New Roman" w:hAnsi="Times New Roman" w:cs="Times New Roman"/>
                <w:color w:val="auto"/>
                <w:lang w:val="en-US" w:eastAsia="zh-CN"/>
              </w:rPr>
            </w:pPr>
          </w:p>
          <w:p w14:paraId="7DF6AD15">
            <w:pPr>
              <w:pStyle w:val="62"/>
              <w:ind w:left="0" w:leftChars="0" w:firstLine="0" w:firstLineChars="0"/>
              <w:jc w:val="center"/>
              <w:rPr>
                <w:rFonts w:hint="default" w:ascii="Times New Roman" w:hAnsi="Times New Roman" w:cs="Times New Roman"/>
                <w:color w:val="auto"/>
                <w:lang w:val="en-US" w:eastAsia="zh-CN"/>
              </w:rPr>
            </w:pPr>
          </w:p>
          <w:p w14:paraId="5B014BCA">
            <w:pPr>
              <w:pStyle w:val="62"/>
              <w:ind w:left="0" w:leftChars="0" w:firstLine="0" w:firstLineChars="0"/>
              <w:jc w:val="center"/>
              <w:rPr>
                <w:rFonts w:hint="default" w:ascii="Times New Roman" w:hAnsi="Times New Roman" w:cs="Times New Roman"/>
                <w:color w:val="auto"/>
                <w:lang w:val="en-US" w:eastAsia="zh-CN"/>
              </w:rPr>
            </w:pPr>
          </w:p>
          <w:p w14:paraId="6179CCD5">
            <w:pPr>
              <w:pStyle w:val="62"/>
              <w:ind w:left="0" w:leftChars="0" w:firstLine="0" w:firstLineChars="0"/>
              <w:jc w:val="center"/>
              <w:rPr>
                <w:rFonts w:hint="default" w:ascii="Times New Roman" w:hAnsi="Times New Roman" w:cs="Times New Roman"/>
                <w:color w:val="auto"/>
                <w:lang w:val="en-US" w:eastAsia="zh-CN"/>
              </w:rPr>
            </w:pPr>
          </w:p>
          <w:p w14:paraId="34803099">
            <w:pPr>
              <w:pStyle w:val="62"/>
              <w:ind w:left="0" w:leftChars="0" w:firstLine="0" w:firstLineChars="0"/>
              <w:jc w:val="center"/>
              <w:rPr>
                <w:rFonts w:hint="default" w:ascii="Times New Roman" w:hAnsi="Times New Roman" w:cs="Times New Roman"/>
                <w:color w:val="auto"/>
                <w:lang w:val="en-US" w:eastAsia="zh-CN"/>
              </w:rPr>
            </w:pPr>
          </w:p>
          <w:p w14:paraId="5FC1E9DB">
            <w:pPr>
              <w:pStyle w:val="62"/>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p w14:paraId="706D62C7">
            <w:pPr>
              <w:pStyle w:val="63"/>
              <w:rPr>
                <w:rFonts w:hint="default" w:ascii="Times New Roman" w:hAnsi="Times New Roman" w:cs="Times New Roman"/>
                <w:color w:val="auto"/>
                <w:lang w:val="en-US" w:eastAsia="zh-CN"/>
              </w:rPr>
            </w:pPr>
          </w:p>
          <w:p w14:paraId="63F50635">
            <w:pPr>
              <w:pStyle w:val="64"/>
              <w:rPr>
                <w:rFonts w:hint="default" w:ascii="Times New Roman" w:hAnsi="Times New Roman" w:cs="Times New Roman"/>
                <w:color w:val="auto"/>
                <w:lang w:val="en-US" w:eastAsia="zh-CN"/>
              </w:rPr>
            </w:pPr>
          </w:p>
          <w:p w14:paraId="5AFFD632">
            <w:pPr>
              <w:rPr>
                <w:rFonts w:hint="default" w:ascii="Times New Roman" w:hAnsi="Times New Roman" w:cs="Times New Roman"/>
                <w:color w:val="auto"/>
                <w:lang w:val="en-US" w:eastAsia="zh-CN"/>
              </w:rPr>
            </w:pPr>
          </w:p>
          <w:p w14:paraId="07DE435D">
            <w:pPr>
              <w:rPr>
                <w:rFonts w:hint="default" w:ascii="Times New Roman" w:hAnsi="Times New Roman" w:cs="Times New Roman"/>
                <w:color w:val="auto"/>
                <w:lang w:val="en-US" w:eastAsia="zh-CN"/>
              </w:rPr>
            </w:pPr>
          </w:p>
          <w:p w14:paraId="477B41FC">
            <w:pPr>
              <w:rPr>
                <w:rFonts w:hint="default" w:ascii="Times New Roman" w:hAnsi="Times New Roman" w:cs="Times New Roman"/>
                <w:color w:val="auto"/>
                <w:lang w:val="en-US" w:eastAsia="zh-CN"/>
              </w:rPr>
            </w:pPr>
          </w:p>
          <w:p w14:paraId="331B4CE6">
            <w:pPr>
              <w:rPr>
                <w:rFonts w:hint="default" w:ascii="Times New Roman" w:hAnsi="Times New Roman" w:cs="Times New Roman"/>
                <w:color w:val="auto"/>
                <w:lang w:val="en-US" w:eastAsia="zh-CN"/>
              </w:rPr>
            </w:pPr>
          </w:p>
          <w:p w14:paraId="5303FADF">
            <w:pPr>
              <w:rPr>
                <w:rFonts w:hint="default" w:ascii="Times New Roman" w:hAnsi="Times New Roman" w:cs="Times New Roman"/>
                <w:color w:val="auto"/>
                <w:lang w:val="en-US" w:eastAsia="zh-CN"/>
              </w:rPr>
            </w:pPr>
          </w:p>
          <w:p w14:paraId="5F3E9097">
            <w:pPr>
              <w:rPr>
                <w:rFonts w:hint="default" w:ascii="Times New Roman" w:hAnsi="Times New Roman" w:cs="Times New Roman"/>
                <w:color w:val="auto"/>
                <w:lang w:val="en-US" w:eastAsia="zh-CN"/>
              </w:rPr>
            </w:pPr>
          </w:p>
          <w:p w14:paraId="6CE45371">
            <w:pPr>
              <w:rPr>
                <w:rFonts w:hint="default" w:ascii="Times New Roman" w:hAnsi="Times New Roman" w:cs="Times New Roman"/>
                <w:color w:val="auto"/>
                <w:lang w:val="en-US" w:eastAsia="zh-CN"/>
              </w:rPr>
            </w:pPr>
          </w:p>
          <w:p w14:paraId="4AFA937C">
            <w:pPr>
              <w:rPr>
                <w:rFonts w:hint="default" w:ascii="Times New Roman" w:hAnsi="Times New Roman" w:cs="Times New Roman"/>
                <w:color w:val="auto"/>
                <w:lang w:val="en-US" w:eastAsia="zh-CN"/>
              </w:rPr>
            </w:pPr>
          </w:p>
          <w:p w14:paraId="5C8A37C7">
            <w:pPr>
              <w:rPr>
                <w:rFonts w:hint="default" w:ascii="Times New Roman" w:hAnsi="Times New Roman" w:cs="Times New Roman"/>
                <w:color w:val="auto"/>
                <w:lang w:val="en-US" w:eastAsia="zh-CN"/>
              </w:rPr>
            </w:pPr>
          </w:p>
          <w:p w14:paraId="7918F373">
            <w:pPr>
              <w:rPr>
                <w:rFonts w:hint="default" w:ascii="Times New Roman" w:hAnsi="Times New Roman" w:cs="Times New Roman"/>
                <w:color w:val="auto"/>
                <w:lang w:val="en-US" w:eastAsia="zh-CN"/>
              </w:rPr>
            </w:pPr>
          </w:p>
        </w:tc>
      </w:tr>
    </w:tbl>
    <w:p w14:paraId="146F2908">
      <w:pPr>
        <w:pStyle w:val="32"/>
        <w:jc w:val="center"/>
        <w:rPr>
          <w:rFonts w:ascii="黑体" w:hAnsi="黑体" w:eastAsia="黑体"/>
          <w:snapToGrid w:val="0"/>
          <w:color w:val="auto"/>
          <w:sz w:val="36"/>
          <w:szCs w:val="36"/>
        </w:rPr>
        <w:sectPr>
          <w:pgSz w:w="11905" w:h="16838"/>
          <w:pgMar w:top="1440" w:right="1304" w:bottom="1440" w:left="1304" w:header="851" w:footer="1077" w:gutter="0"/>
          <w:pgBorders>
            <w:top w:val="none" w:sz="0" w:space="0"/>
            <w:left w:val="none" w:sz="0" w:space="0"/>
            <w:bottom w:val="none" w:sz="0" w:space="0"/>
            <w:right w:val="none" w:sz="0" w:space="0"/>
          </w:pgBorders>
          <w:cols w:space="720" w:num="1"/>
          <w:rtlGutter w:val="0"/>
          <w:docGrid w:type="linesAndChars" w:linePitch="312" w:charSpace="0"/>
        </w:sectPr>
      </w:pPr>
    </w:p>
    <w:p w14:paraId="0E3B5830">
      <w:pPr>
        <w:pStyle w:val="32"/>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eastAsia" w:ascii="黑体" w:hAnsi="黑体" w:eastAsia="黑体"/>
          <w:snapToGrid w:val="0"/>
          <w:color w:val="auto"/>
          <w:sz w:val="30"/>
          <w:szCs w:val="30"/>
        </w:rPr>
      </w:pPr>
    </w:p>
    <w:p w14:paraId="679C597E">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8878"/>
      </w:tblGrid>
      <w:tr w14:paraId="40DF7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1" w:hRule="atLeast"/>
          <w:jc w:val="center"/>
        </w:trPr>
        <w:tc>
          <w:tcPr>
            <w:tcW w:w="331" w:type="pct"/>
            <w:noWrap w:val="0"/>
            <w:vAlign w:val="center"/>
          </w:tcPr>
          <w:p w14:paraId="3F252B7A">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区域环境质量现状</w:t>
            </w:r>
          </w:p>
        </w:tc>
        <w:tc>
          <w:tcPr>
            <w:tcW w:w="4668" w:type="pct"/>
            <w:noWrap w:val="0"/>
            <w:vAlign w:val="center"/>
          </w:tcPr>
          <w:p w14:paraId="335D48F0">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（一）大气环境</w:t>
            </w:r>
          </w:p>
          <w:p w14:paraId="7D560448">
            <w:pPr>
              <w:spacing w:line="360" w:lineRule="auto"/>
              <w:ind w:firstLine="480" w:firstLineChars="200"/>
              <w:rPr>
                <w:rFonts w:hint="eastAsia"/>
                <w:color w:val="auto"/>
                <w:lang w:val="en-US"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项目所在区域达标性判断</w:t>
            </w:r>
          </w:p>
          <w:p w14:paraId="1F4F9FC5">
            <w:pPr>
              <w:pStyle w:val="71"/>
              <w:bidi w:val="0"/>
              <w:rPr>
                <w:rFonts w:hint="eastAsia"/>
                <w:color w:val="auto"/>
                <w:lang w:val="en-US" w:eastAsia="zh-CN"/>
              </w:rPr>
            </w:pPr>
            <w:r>
              <w:rPr>
                <w:rFonts w:hint="eastAsia"/>
                <w:color w:val="auto"/>
                <w:lang w:val="en-US" w:eastAsia="zh-CN"/>
              </w:rPr>
              <w:t>本评价引用江西省生态环境厅发布的《2023年江西省各县（市、区）六项污染物浓度年均值》中宁都县数据，具体数值及达标情况判定见表3-1。</w:t>
            </w:r>
          </w:p>
          <w:p w14:paraId="09068C1D">
            <w:pPr>
              <w:pStyle w:val="85"/>
              <w:bidi w:val="0"/>
              <w:rPr>
                <w:rFonts w:hint="eastAsia"/>
                <w:color w:val="auto"/>
                <w:lang w:val="en-US" w:eastAsia="zh-CN"/>
              </w:rPr>
            </w:pPr>
            <w:r>
              <w:rPr>
                <w:rFonts w:hint="eastAsia"/>
                <w:color w:val="auto"/>
                <w:lang w:val="en-US" w:eastAsia="zh-CN"/>
              </w:rPr>
              <w:t>表3-1区域环境空气质量评价表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2146"/>
              <w:gridCol w:w="1426"/>
              <w:gridCol w:w="1337"/>
              <w:gridCol w:w="1266"/>
              <w:gridCol w:w="1143"/>
            </w:tblGrid>
            <w:tr w14:paraId="58328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23AD0596">
                  <w:pPr>
                    <w:pStyle w:val="44"/>
                    <w:bidi w:val="0"/>
                    <w:ind w:firstLine="0" w:firstLineChars="0"/>
                    <w:jc w:val="center"/>
                    <w:rPr>
                      <w:rFonts w:hint="default"/>
                      <w:b/>
                      <w:bCs/>
                      <w:color w:val="auto"/>
                      <w:lang w:val="en-US" w:eastAsia="zh-CN"/>
                    </w:rPr>
                  </w:pPr>
                  <w:r>
                    <w:rPr>
                      <w:rFonts w:hint="default"/>
                      <w:b/>
                      <w:bCs/>
                      <w:color w:val="auto"/>
                      <w:lang w:val="en-US" w:eastAsia="zh-CN"/>
                    </w:rPr>
                    <w:t>污染物</w:t>
                  </w:r>
                </w:p>
              </w:tc>
              <w:tc>
                <w:tcPr>
                  <w:tcW w:w="2145" w:type="dxa"/>
                  <w:tcBorders>
                    <w:tl2br w:val="nil"/>
                    <w:tr2bl w:val="nil"/>
                  </w:tcBorders>
                  <w:noWrap w:val="0"/>
                  <w:vAlign w:val="center"/>
                </w:tcPr>
                <w:p w14:paraId="78C6CBB8">
                  <w:pPr>
                    <w:pStyle w:val="44"/>
                    <w:bidi w:val="0"/>
                    <w:ind w:firstLine="0" w:firstLineChars="0"/>
                    <w:jc w:val="center"/>
                    <w:rPr>
                      <w:rFonts w:hint="default"/>
                      <w:b/>
                      <w:bCs/>
                      <w:color w:val="auto"/>
                      <w:lang w:val="en-US" w:eastAsia="zh-CN"/>
                    </w:rPr>
                  </w:pPr>
                  <w:r>
                    <w:rPr>
                      <w:rFonts w:hint="default"/>
                      <w:b/>
                      <w:bCs/>
                      <w:color w:val="auto"/>
                      <w:lang w:val="en-US" w:eastAsia="zh-CN"/>
                    </w:rPr>
                    <w:t>年评价指标</w:t>
                  </w:r>
                </w:p>
              </w:tc>
              <w:tc>
                <w:tcPr>
                  <w:tcW w:w="1426" w:type="dxa"/>
                  <w:tcBorders>
                    <w:tl2br w:val="nil"/>
                    <w:tr2bl w:val="nil"/>
                  </w:tcBorders>
                  <w:noWrap w:val="0"/>
                  <w:vAlign w:val="center"/>
                </w:tcPr>
                <w:p w14:paraId="39261420">
                  <w:pPr>
                    <w:pStyle w:val="44"/>
                    <w:bidi w:val="0"/>
                    <w:ind w:firstLine="0" w:firstLineChars="0"/>
                    <w:jc w:val="center"/>
                    <w:rPr>
                      <w:rFonts w:hint="default"/>
                      <w:b/>
                      <w:bCs/>
                      <w:color w:val="auto"/>
                      <w:lang w:val="en-US" w:eastAsia="zh-CN"/>
                    </w:rPr>
                  </w:pPr>
                  <w:r>
                    <w:rPr>
                      <w:b/>
                      <w:bCs/>
                      <w:color w:val="auto"/>
                    </w:rPr>
                    <w:t>现状浓度/（μg/</w:t>
                  </w:r>
                  <w:r>
                    <w:rPr>
                      <w:rFonts w:hint="default"/>
                      <w:b/>
                      <w:bCs/>
                      <w:color w:val="auto"/>
                      <w:vertAlign w:val="baseline"/>
                      <w:lang w:eastAsia="zh-CN"/>
                    </w:rPr>
                    <w:t>m</w:t>
                  </w:r>
                  <w:r>
                    <w:rPr>
                      <w:rFonts w:hint="default"/>
                      <w:b/>
                      <w:bCs/>
                      <w:color w:val="auto"/>
                      <w:vertAlign w:val="superscript"/>
                      <w:lang w:eastAsia="zh-CN"/>
                    </w:rPr>
                    <w:t>3</w:t>
                  </w:r>
                  <w:r>
                    <w:rPr>
                      <w:b/>
                      <w:bCs/>
                      <w:color w:val="auto"/>
                    </w:rPr>
                    <w:t>）</w:t>
                  </w:r>
                </w:p>
              </w:tc>
              <w:tc>
                <w:tcPr>
                  <w:tcW w:w="1337" w:type="dxa"/>
                  <w:tcBorders>
                    <w:tl2br w:val="nil"/>
                    <w:tr2bl w:val="nil"/>
                  </w:tcBorders>
                  <w:noWrap w:val="0"/>
                  <w:vAlign w:val="center"/>
                </w:tcPr>
                <w:p w14:paraId="764833B6">
                  <w:pPr>
                    <w:pStyle w:val="44"/>
                    <w:bidi w:val="0"/>
                    <w:ind w:firstLine="0" w:firstLineChars="0"/>
                    <w:jc w:val="center"/>
                    <w:rPr>
                      <w:rFonts w:hint="default"/>
                      <w:b/>
                      <w:bCs/>
                      <w:color w:val="auto"/>
                    </w:rPr>
                  </w:pPr>
                  <w:r>
                    <w:rPr>
                      <w:b/>
                      <w:bCs/>
                      <w:color w:val="auto"/>
                    </w:rPr>
                    <w:t>标准限值/（μg/</w:t>
                  </w:r>
                  <w:r>
                    <w:rPr>
                      <w:rFonts w:hint="default"/>
                      <w:b/>
                      <w:bCs/>
                      <w:color w:val="auto"/>
                      <w:vertAlign w:val="baseline"/>
                      <w:lang w:eastAsia="zh-CN"/>
                    </w:rPr>
                    <w:t>m</w:t>
                  </w:r>
                  <w:r>
                    <w:rPr>
                      <w:rFonts w:hint="default"/>
                      <w:b/>
                      <w:bCs/>
                      <w:color w:val="auto"/>
                      <w:vertAlign w:val="superscript"/>
                      <w:lang w:eastAsia="zh-CN"/>
                    </w:rPr>
                    <w:t>3</w:t>
                  </w:r>
                  <w:r>
                    <w:rPr>
                      <w:b/>
                      <w:bCs/>
                      <w:color w:val="auto"/>
                    </w:rPr>
                    <w:t>）</w:t>
                  </w:r>
                </w:p>
              </w:tc>
              <w:tc>
                <w:tcPr>
                  <w:tcW w:w="1265" w:type="dxa"/>
                  <w:tcBorders>
                    <w:tl2br w:val="nil"/>
                    <w:tr2bl w:val="nil"/>
                  </w:tcBorders>
                  <w:noWrap w:val="0"/>
                  <w:vAlign w:val="center"/>
                </w:tcPr>
                <w:p w14:paraId="78BACDDB">
                  <w:pPr>
                    <w:pStyle w:val="44"/>
                    <w:bidi w:val="0"/>
                    <w:ind w:firstLine="0" w:firstLineChars="0"/>
                    <w:jc w:val="center"/>
                    <w:rPr>
                      <w:rFonts w:hint="default"/>
                      <w:b/>
                      <w:bCs/>
                      <w:color w:val="auto"/>
                      <w:lang w:val="en-US" w:eastAsia="zh-CN"/>
                    </w:rPr>
                  </w:pPr>
                  <w:r>
                    <w:rPr>
                      <w:rFonts w:hint="default"/>
                      <w:b/>
                      <w:bCs/>
                      <w:color w:val="auto"/>
                      <w:lang w:val="en-US" w:eastAsia="zh-CN"/>
                    </w:rPr>
                    <w:t>占标率/%</w:t>
                  </w:r>
                </w:p>
              </w:tc>
              <w:tc>
                <w:tcPr>
                  <w:tcW w:w="1142" w:type="dxa"/>
                  <w:tcBorders>
                    <w:tl2br w:val="nil"/>
                    <w:tr2bl w:val="nil"/>
                  </w:tcBorders>
                  <w:noWrap w:val="0"/>
                  <w:vAlign w:val="center"/>
                </w:tcPr>
                <w:p w14:paraId="61B445E3">
                  <w:pPr>
                    <w:pStyle w:val="44"/>
                    <w:bidi w:val="0"/>
                    <w:ind w:firstLine="0" w:firstLineChars="0"/>
                    <w:jc w:val="center"/>
                    <w:rPr>
                      <w:rFonts w:hint="default"/>
                      <w:b/>
                      <w:bCs/>
                      <w:color w:val="auto"/>
                      <w:lang w:val="en-US" w:eastAsia="zh-CN"/>
                    </w:rPr>
                  </w:pPr>
                  <w:r>
                    <w:rPr>
                      <w:rFonts w:hint="default"/>
                      <w:b/>
                      <w:bCs/>
                      <w:color w:val="auto"/>
                      <w:lang w:val="en-US" w:eastAsia="zh-CN"/>
                    </w:rPr>
                    <w:t>达标情况</w:t>
                  </w:r>
                </w:p>
              </w:tc>
            </w:tr>
            <w:tr w14:paraId="7610A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11637997">
                  <w:pPr>
                    <w:pStyle w:val="44"/>
                    <w:bidi w:val="0"/>
                    <w:ind w:firstLine="0" w:firstLineChars="0"/>
                    <w:jc w:val="center"/>
                    <w:rPr>
                      <w:rFonts w:hint="default"/>
                      <w:color w:val="auto"/>
                    </w:rPr>
                  </w:pPr>
                  <w:r>
                    <w:rPr>
                      <w:rFonts w:hint="default"/>
                      <w:color w:val="auto"/>
                      <w:lang w:val="en-US" w:eastAsia="zh-CN"/>
                    </w:rPr>
                    <w:t>SO</w:t>
                  </w:r>
                  <w:r>
                    <w:rPr>
                      <w:rFonts w:hint="default"/>
                      <w:color w:val="auto"/>
                      <w:vertAlign w:val="subscript"/>
                      <w:lang w:val="en-US" w:eastAsia="zh-CN"/>
                    </w:rPr>
                    <w:t>2</w:t>
                  </w:r>
                </w:p>
              </w:tc>
              <w:tc>
                <w:tcPr>
                  <w:tcW w:w="2145" w:type="dxa"/>
                  <w:tcBorders>
                    <w:tl2br w:val="nil"/>
                    <w:tr2bl w:val="nil"/>
                  </w:tcBorders>
                  <w:noWrap w:val="0"/>
                  <w:vAlign w:val="center"/>
                </w:tcPr>
                <w:p w14:paraId="2B2A1BB8">
                  <w:pPr>
                    <w:pStyle w:val="44"/>
                    <w:bidi w:val="0"/>
                    <w:ind w:firstLine="0" w:firstLineChars="0"/>
                    <w:jc w:val="center"/>
                    <w:rPr>
                      <w:rFonts w:hint="default"/>
                      <w:color w:val="auto"/>
                      <w:lang w:val="en-US" w:eastAsia="zh-CN"/>
                    </w:rPr>
                  </w:pPr>
                  <w:r>
                    <w:rPr>
                      <w:color w:val="auto"/>
                    </w:rPr>
                    <w:t>年均浓度</w:t>
                  </w:r>
                </w:p>
              </w:tc>
              <w:tc>
                <w:tcPr>
                  <w:tcW w:w="1426" w:type="dxa"/>
                  <w:tcBorders>
                    <w:tl2br w:val="nil"/>
                    <w:tr2bl w:val="nil"/>
                  </w:tcBorders>
                  <w:noWrap w:val="0"/>
                  <w:vAlign w:val="center"/>
                </w:tcPr>
                <w:p w14:paraId="1DDF99D8">
                  <w:pPr>
                    <w:pStyle w:val="44"/>
                    <w:bidi w:val="0"/>
                    <w:ind w:firstLine="0" w:firstLineChars="0"/>
                    <w:jc w:val="center"/>
                    <w:rPr>
                      <w:rFonts w:hint="default"/>
                      <w:color w:val="auto"/>
                      <w:lang w:val="en-US"/>
                    </w:rPr>
                  </w:pPr>
                  <w:r>
                    <w:rPr>
                      <w:rFonts w:hint="eastAsia" w:cs="Times New Roman"/>
                      <w:color w:val="auto"/>
                      <w:sz w:val="21"/>
                      <w:szCs w:val="21"/>
                      <w:lang w:val="en-US" w:eastAsia="zh-CN"/>
                    </w:rPr>
                    <w:t>4</w:t>
                  </w:r>
                </w:p>
              </w:tc>
              <w:tc>
                <w:tcPr>
                  <w:tcW w:w="1337" w:type="dxa"/>
                  <w:tcBorders>
                    <w:tl2br w:val="nil"/>
                    <w:tr2bl w:val="nil"/>
                  </w:tcBorders>
                  <w:noWrap w:val="0"/>
                  <w:vAlign w:val="center"/>
                </w:tcPr>
                <w:p w14:paraId="1DF36DD0">
                  <w:pPr>
                    <w:pStyle w:val="32"/>
                    <w:widowControl w:val="0"/>
                    <w:adjustRightInd w:val="0"/>
                    <w:snapToGrid w:val="0"/>
                    <w:spacing w:before="0" w:beforeAutospacing="0" w:after="0" w:afterAutospacing="0" w:line="340" w:lineRule="exact"/>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60</w:t>
                  </w:r>
                </w:p>
              </w:tc>
              <w:tc>
                <w:tcPr>
                  <w:tcW w:w="1265" w:type="dxa"/>
                  <w:tcBorders>
                    <w:tl2br w:val="nil"/>
                    <w:tr2bl w:val="nil"/>
                  </w:tcBorders>
                  <w:noWrap w:val="0"/>
                  <w:vAlign w:val="center"/>
                </w:tcPr>
                <w:p w14:paraId="404503E4">
                  <w:pPr>
                    <w:pStyle w:val="44"/>
                    <w:bidi w:val="0"/>
                    <w:ind w:firstLine="0" w:firstLineChars="0"/>
                    <w:jc w:val="center"/>
                    <w:rPr>
                      <w:rFonts w:hint="default" w:eastAsia="宋体"/>
                      <w:color w:val="auto"/>
                      <w:lang w:val="en-US" w:eastAsia="zh-CN"/>
                    </w:rPr>
                  </w:pPr>
                  <w:r>
                    <w:rPr>
                      <w:rFonts w:hint="eastAsia"/>
                      <w:color w:val="auto"/>
                      <w:lang w:val="en-US" w:eastAsia="zh-CN"/>
                    </w:rPr>
                    <w:t>6.7</w:t>
                  </w:r>
                </w:p>
              </w:tc>
              <w:tc>
                <w:tcPr>
                  <w:tcW w:w="1142" w:type="dxa"/>
                  <w:vMerge w:val="restart"/>
                  <w:tcBorders>
                    <w:tl2br w:val="nil"/>
                    <w:tr2bl w:val="nil"/>
                  </w:tcBorders>
                  <w:noWrap w:val="0"/>
                  <w:vAlign w:val="center"/>
                </w:tcPr>
                <w:p w14:paraId="485BD2E8">
                  <w:pPr>
                    <w:pStyle w:val="44"/>
                    <w:bidi w:val="0"/>
                    <w:ind w:firstLine="0" w:firstLineChars="0"/>
                    <w:jc w:val="center"/>
                    <w:rPr>
                      <w:rFonts w:hint="default"/>
                      <w:color w:val="auto"/>
                      <w:lang w:val="en-US" w:eastAsia="zh-CN"/>
                    </w:rPr>
                  </w:pPr>
                  <w:r>
                    <w:rPr>
                      <w:rFonts w:hint="default"/>
                      <w:color w:val="auto"/>
                      <w:lang w:val="en-US" w:eastAsia="zh-CN"/>
                    </w:rPr>
                    <w:t>达标</w:t>
                  </w:r>
                </w:p>
              </w:tc>
            </w:tr>
            <w:tr w14:paraId="34881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0C86E5C4">
                  <w:pPr>
                    <w:pStyle w:val="44"/>
                    <w:bidi w:val="0"/>
                    <w:ind w:firstLine="0" w:firstLineChars="0"/>
                    <w:jc w:val="center"/>
                    <w:rPr>
                      <w:rFonts w:hint="default"/>
                      <w:color w:val="auto"/>
                    </w:rPr>
                  </w:pPr>
                  <w:r>
                    <w:rPr>
                      <w:rFonts w:hint="default"/>
                      <w:color w:val="auto"/>
                      <w:lang w:val="en-US" w:eastAsia="zh-CN"/>
                    </w:rPr>
                    <w:t>NO</w:t>
                  </w:r>
                  <w:r>
                    <w:rPr>
                      <w:rFonts w:hint="default"/>
                      <w:color w:val="auto"/>
                      <w:vertAlign w:val="subscript"/>
                      <w:lang w:val="en-US" w:eastAsia="zh-CN"/>
                    </w:rPr>
                    <w:t>2</w:t>
                  </w:r>
                </w:p>
              </w:tc>
              <w:tc>
                <w:tcPr>
                  <w:tcW w:w="2145" w:type="dxa"/>
                  <w:tcBorders>
                    <w:tl2br w:val="nil"/>
                    <w:tr2bl w:val="nil"/>
                  </w:tcBorders>
                  <w:noWrap w:val="0"/>
                  <w:vAlign w:val="center"/>
                </w:tcPr>
                <w:p w14:paraId="474FDA39">
                  <w:pPr>
                    <w:pStyle w:val="44"/>
                    <w:bidi w:val="0"/>
                    <w:ind w:firstLine="0" w:firstLineChars="0"/>
                    <w:jc w:val="center"/>
                    <w:rPr>
                      <w:rFonts w:hint="default"/>
                      <w:color w:val="auto"/>
                    </w:rPr>
                  </w:pPr>
                  <w:r>
                    <w:rPr>
                      <w:color w:val="auto"/>
                    </w:rPr>
                    <w:t>年均浓度</w:t>
                  </w:r>
                </w:p>
              </w:tc>
              <w:tc>
                <w:tcPr>
                  <w:tcW w:w="1426" w:type="dxa"/>
                  <w:tcBorders>
                    <w:tl2br w:val="nil"/>
                    <w:tr2bl w:val="nil"/>
                  </w:tcBorders>
                  <w:noWrap w:val="0"/>
                  <w:vAlign w:val="center"/>
                </w:tcPr>
                <w:p w14:paraId="47C4B129">
                  <w:pPr>
                    <w:pStyle w:val="44"/>
                    <w:bidi w:val="0"/>
                    <w:ind w:firstLine="0" w:firstLineChars="0"/>
                    <w:jc w:val="center"/>
                    <w:rPr>
                      <w:rFonts w:hint="default"/>
                      <w:color w:val="auto"/>
                      <w:lang w:val="en-US"/>
                    </w:rPr>
                  </w:pPr>
                  <w:r>
                    <w:rPr>
                      <w:rFonts w:hint="eastAsia" w:cs="Times New Roman"/>
                      <w:color w:val="auto"/>
                      <w:sz w:val="21"/>
                      <w:szCs w:val="21"/>
                      <w:lang w:val="en-US" w:eastAsia="zh-CN"/>
                    </w:rPr>
                    <w:t>13</w:t>
                  </w:r>
                </w:p>
              </w:tc>
              <w:tc>
                <w:tcPr>
                  <w:tcW w:w="1337" w:type="dxa"/>
                  <w:tcBorders>
                    <w:tl2br w:val="nil"/>
                    <w:tr2bl w:val="nil"/>
                  </w:tcBorders>
                  <w:noWrap w:val="0"/>
                  <w:vAlign w:val="center"/>
                </w:tcPr>
                <w:p w14:paraId="54167DE5">
                  <w:pPr>
                    <w:pStyle w:val="32"/>
                    <w:widowControl w:val="0"/>
                    <w:adjustRightInd w:val="0"/>
                    <w:snapToGrid w:val="0"/>
                    <w:spacing w:before="0" w:beforeAutospacing="0" w:after="0" w:afterAutospacing="0" w:line="340" w:lineRule="exact"/>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40</w:t>
                  </w:r>
                </w:p>
              </w:tc>
              <w:tc>
                <w:tcPr>
                  <w:tcW w:w="1265" w:type="dxa"/>
                  <w:tcBorders>
                    <w:tl2br w:val="nil"/>
                    <w:tr2bl w:val="nil"/>
                  </w:tcBorders>
                  <w:noWrap w:val="0"/>
                  <w:vAlign w:val="center"/>
                </w:tcPr>
                <w:p w14:paraId="5A4F55B3">
                  <w:pPr>
                    <w:pStyle w:val="44"/>
                    <w:bidi w:val="0"/>
                    <w:ind w:firstLine="0" w:firstLineChars="0"/>
                    <w:jc w:val="center"/>
                    <w:rPr>
                      <w:rFonts w:hint="default"/>
                      <w:color w:val="auto"/>
                      <w:lang w:val="en-US"/>
                    </w:rPr>
                  </w:pPr>
                  <w:r>
                    <w:rPr>
                      <w:rFonts w:hint="eastAsia" w:cs="Times New Roman"/>
                      <w:color w:val="auto"/>
                      <w:sz w:val="21"/>
                      <w:szCs w:val="21"/>
                      <w:lang w:val="en-US" w:eastAsia="zh-CN"/>
                    </w:rPr>
                    <w:t>32.5</w:t>
                  </w:r>
                </w:p>
              </w:tc>
              <w:tc>
                <w:tcPr>
                  <w:tcW w:w="1142" w:type="dxa"/>
                  <w:vMerge w:val="continue"/>
                  <w:tcBorders>
                    <w:tl2br w:val="nil"/>
                    <w:tr2bl w:val="nil"/>
                  </w:tcBorders>
                  <w:noWrap w:val="0"/>
                  <w:vAlign w:val="center"/>
                </w:tcPr>
                <w:p w14:paraId="7E82B38A">
                  <w:pPr>
                    <w:pStyle w:val="44"/>
                    <w:bidi w:val="0"/>
                    <w:ind w:firstLine="0" w:firstLineChars="0"/>
                    <w:jc w:val="center"/>
                    <w:rPr>
                      <w:rFonts w:hint="default"/>
                      <w:color w:val="auto"/>
                    </w:rPr>
                  </w:pPr>
                </w:p>
              </w:tc>
            </w:tr>
            <w:tr w14:paraId="60783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4FBAE7EA">
                  <w:pPr>
                    <w:pStyle w:val="44"/>
                    <w:bidi w:val="0"/>
                    <w:ind w:firstLine="0" w:firstLineChars="0"/>
                    <w:jc w:val="center"/>
                    <w:rPr>
                      <w:rFonts w:hint="default"/>
                      <w:color w:val="auto"/>
                    </w:rPr>
                  </w:pPr>
                  <w:r>
                    <w:rPr>
                      <w:color w:val="auto"/>
                    </w:rPr>
                    <w:t>P</w:t>
                  </w:r>
                  <w:r>
                    <w:rPr>
                      <w:rFonts w:hint="default"/>
                      <w:color w:val="auto"/>
                      <w:lang w:val="en-US" w:eastAsia="zh-CN"/>
                    </w:rPr>
                    <w:t>M</w:t>
                  </w:r>
                  <w:r>
                    <w:rPr>
                      <w:rFonts w:hint="default"/>
                      <w:color w:val="auto"/>
                      <w:vertAlign w:val="subscript"/>
                      <w:lang w:val="en-US" w:eastAsia="zh-CN"/>
                    </w:rPr>
                    <w:t>2.5</w:t>
                  </w:r>
                </w:p>
              </w:tc>
              <w:tc>
                <w:tcPr>
                  <w:tcW w:w="2145" w:type="dxa"/>
                  <w:tcBorders>
                    <w:tl2br w:val="nil"/>
                    <w:tr2bl w:val="nil"/>
                  </w:tcBorders>
                  <w:noWrap w:val="0"/>
                  <w:vAlign w:val="center"/>
                </w:tcPr>
                <w:p w14:paraId="74A12765">
                  <w:pPr>
                    <w:pStyle w:val="44"/>
                    <w:bidi w:val="0"/>
                    <w:ind w:firstLine="0" w:firstLineChars="0"/>
                    <w:jc w:val="center"/>
                    <w:rPr>
                      <w:rFonts w:hint="default"/>
                      <w:color w:val="auto"/>
                    </w:rPr>
                  </w:pPr>
                  <w:r>
                    <w:rPr>
                      <w:color w:val="auto"/>
                    </w:rPr>
                    <w:t>年均浓度</w:t>
                  </w:r>
                </w:p>
              </w:tc>
              <w:tc>
                <w:tcPr>
                  <w:tcW w:w="1426" w:type="dxa"/>
                  <w:tcBorders>
                    <w:tl2br w:val="nil"/>
                    <w:tr2bl w:val="nil"/>
                  </w:tcBorders>
                  <w:noWrap w:val="0"/>
                  <w:vAlign w:val="center"/>
                </w:tcPr>
                <w:p w14:paraId="47727EDC">
                  <w:pPr>
                    <w:pStyle w:val="44"/>
                    <w:bidi w:val="0"/>
                    <w:ind w:firstLine="0" w:firstLineChars="0"/>
                    <w:jc w:val="center"/>
                    <w:rPr>
                      <w:rFonts w:hint="default"/>
                      <w:color w:val="auto"/>
                      <w:lang w:val="en-US"/>
                    </w:rPr>
                  </w:pPr>
                  <w:r>
                    <w:rPr>
                      <w:rFonts w:hint="eastAsia" w:cs="Times New Roman"/>
                      <w:color w:val="auto"/>
                      <w:sz w:val="21"/>
                      <w:szCs w:val="21"/>
                      <w:lang w:val="en-US" w:eastAsia="zh-CN"/>
                    </w:rPr>
                    <w:t>16</w:t>
                  </w:r>
                </w:p>
              </w:tc>
              <w:tc>
                <w:tcPr>
                  <w:tcW w:w="1337" w:type="dxa"/>
                  <w:tcBorders>
                    <w:tl2br w:val="nil"/>
                    <w:tr2bl w:val="nil"/>
                  </w:tcBorders>
                  <w:noWrap w:val="0"/>
                  <w:vAlign w:val="center"/>
                </w:tcPr>
                <w:p w14:paraId="372F67C6">
                  <w:pPr>
                    <w:pStyle w:val="32"/>
                    <w:widowControl w:val="0"/>
                    <w:adjustRightInd w:val="0"/>
                    <w:snapToGrid w:val="0"/>
                    <w:spacing w:before="0" w:beforeAutospacing="0" w:after="0" w:afterAutospacing="0" w:line="340" w:lineRule="exact"/>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35</w:t>
                  </w:r>
                </w:p>
              </w:tc>
              <w:tc>
                <w:tcPr>
                  <w:tcW w:w="1265" w:type="dxa"/>
                  <w:tcBorders>
                    <w:tl2br w:val="nil"/>
                    <w:tr2bl w:val="nil"/>
                  </w:tcBorders>
                  <w:noWrap w:val="0"/>
                  <w:vAlign w:val="center"/>
                </w:tcPr>
                <w:p w14:paraId="52D187F5">
                  <w:pPr>
                    <w:pStyle w:val="44"/>
                    <w:bidi w:val="0"/>
                    <w:ind w:firstLine="0" w:firstLineChars="0"/>
                    <w:jc w:val="center"/>
                    <w:rPr>
                      <w:rFonts w:hint="default"/>
                      <w:color w:val="auto"/>
                      <w:lang w:val="en-US"/>
                    </w:rPr>
                  </w:pPr>
                  <w:r>
                    <w:rPr>
                      <w:rFonts w:hint="eastAsia" w:cs="Times New Roman"/>
                      <w:color w:val="auto"/>
                      <w:sz w:val="21"/>
                      <w:szCs w:val="21"/>
                      <w:lang w:val="en-US" w:eastAsia="zh-CN"/>
                    </w:rPr>
                    <w:t>45.7</w:t>
                  </w:r>
                </w:p>
              </w:tc>
              <w:tc>
                <w:tcPr>
                  <w:tcW w:w="1142" w:type="dxa"/>
                  <w:vMerge w:val="continue"/>
                  <w:tcBorders>
                    <w:tl2br w:val="nil"/>
                    <w:tr2bl w:val="nil"/>
                  </w:tcBorders>
                  <w:noWrap w:val="0"/>
                  <w:vAlign w:val="center"/>
                </w:tcPr>
                <w:p w14:paraId="22626079">
                  <w:pPr>
                    <w:pStyle w:val="44"/>
                    <w:bidi w:val="0"/>
                    <w:ind w:firstLine="0" w:firstLineChars="0"/>
                    <w:jc w:val="center"/>
                    <w:rPr>
                      <w:rFonts w:hint="default"/>
                      <w:color w:val="auto"/>
                    </w:rPr>
                  </w:pPr>
                </w:p>
              </w:tc>
            </w:tr>
            <w:tr w14:paraId="754C2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71270ACE">
                  <w:pPr>
                    <w:pStyle w:val="44"/>
                    <w:bidi w:val="0"/>
                    <w:ind w:firstLine="0" w:firstLineChars="0"/>
                    <w:jc w:val="center"/>
                    <w:rPr>
                      <w:rFonts w:hint="default"/>
                      <w:color w:val="auto"/>
                    </w:rPr>
                  </w:pPr>
                  <w:r>
                    <w:rPr>
                      <w:rFonts w:hint="default"/>
                      <w:color w:val="auto"/>
                      <w:lang w:val="en-US" w:eastAsia="zh-CN"/>
                    </w:rPr>
                    <w:t>PM</w:t>
                  </w:r>
                  <w:r>
                    <w:rPr>
                      <w:rFonts w:hint="default"/>
                      <w:color w:val="auto"/>
                      <w:vertAlign w:val="subscript"/>
                      <w:lang w:val="en-US" w:eastAsia="zh-CN"/>
                    </w:rPr>
                    <w:t>10</w:t>
                  </w:r>
                </w:p>
              </w:tc>
              <w:tc>
                <w:tcPr>
                  <w:tcW w:w="2145" w:type="dxa"/>
                  <w:tcBorders>
                    <w:tl2br w:val="nil"/>
                    <w:tr2bl w:val="nil"/>
                  </w:tcBorders>
                  <w:noWrap w:val="0"/>
                  <w:vAlign w:val="center"/>
                </w:tcPr>
                <w:p w14:paraId="6C3209A4">
                  <w:pPr>
                    <w:pStyle w:val="44"/>
                    <w:bidi w:val="0"/>
                    <w:ind w:firstLine="0" w:firstLineChars="0"/>
                    <w:jc w:val="center"/>
                    <w:rPr>
                      <w:rFonts w:hint="default"/>
                      <w:color w:val="auto"/>
                    </w:rPr>
                  </w:pPr>
                  <w:r>
                    <w:rPr>
                      <w:color w:val="auto"/>
                    </w:rPr>
                    <w:t>年均浓度</w:t>
                  </w:r>
                </w:p>
              </w:tc>
              <w:tc>
                <w:tcPr>
                  <w:tcW w:w="1426" w:type="dxa"/>
                  <w:tcBorders>
                    <w:tl2br w:val="nil"/>
                    <w:tr2bl w:val="nil"/>
                  </w:tcBorders>
                  <w:noWrap w:val="0"/>
                  <w:vAlign w:val="center"/>
                </w:tcPr>
                <w:p w14:paraId="17D1CEEF">
                  <w:pPr>
                    <w:pStyle w:val="44"/>
                    <w:bidi w:val="0"/>
                    <w:ind w:firstLine="0" w:firstLineChars="0"/>
                    <w:jc w:val="center"/>
                    <w:rPr>
                      <w:rFonts w:hint="default"/>
                      <w:color w:val="auto"/>
                      <w:lang w:val="en-US"/>
                    </w:rPr>
                  </w:pPr>
                  <w:r>
                    <w:rPr>
                      <w:rFonts w:hint="eastAsia" w:cs="Times New Roman"/>
                      <w:color w:val="auto"/>
                      <w:sz w:val="21"/>
                      <w:szCs w:val="21"/>
                      <w:lang w:val="en-US" w:eastAsia="zh-CN"/>
                    </w:rPr>
                    <w:t>37</w:t>
                  </w:r>
                </w:p>
              </w:tc>
              <w:tc>
                <w:tcPr>
                  <w:tcW w:w="1337" w:type="dxa"/>
                  <w:tcBorders>
                    <w:tl2br w:val="nil"/>
                    <w:tr2bl w:val="nil"/>
                  </w:tcBorders>
                  <w:noWrap w:val="0"/>
                  <w:vAlign w:val="center"/>
                </w:tcPr>
                <w:p w14:paraId="2AEF760C">
                  <w:pPr>
                    <w:pStyle w:val="32"/>
                    <w:widowControl w:val="0"/>
                    <w:adjustRightInd w:val="0"/>
                    <w:snapToGrid w:val="0"/>
                    <w:spacing w:before="0" w:beforeAutospacing="0" w:after="0" w:afterAutospacing="0" w:line="340" w:lineRule="exact"/>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70</w:t>
                  </w:r>
                </w:p>
              </w:tc>
              <w:tc>
                <w:tcPr>
                  <w:tcW w:w="1265" w:type="dxa"/>
                  <w:tcBorders>
                    <w:tl2br w:val="nil"/>
                    <w:tr2bl w:val="nil"/>
                  </w:tcBorders>
                  <w:noWrap w:val="0"/>
                  <w:vAlign w:val="center"/>
                </w:tcPr>
                <w:p w14:paraId="28FD5FA1">
                  <w:pPr>
                    <w:pStyle w:val="44"/>
                    <w:bidi w:val="0"/>
                    <w:ind w:firstLine="0" w:firstLineChars="0"/>
                    <w:jc w:val="center"/>
                    <w:rPr>
                      <w:rFonts w:hint="default"/>
                      <w:color w:val="auto"/>
                      <w:lang w:val="en-US"/>
                    </w:rPr>
                  </w:pPr>
                  <w:r>
                    <w:rPr>
                      <w:rFonts w:hint="eastAsia" w:cs="Times New Roman"/>
                      <w:color w:val="auto"/>
                      <w:sz w:val="21"/>
                      <w:szCs w:val="21"/>
                      <w:lang w:val="en-US" w:eastAsia="zh-CN"/>
                    </w:rPr>
                    <w:t>52.9</w:t>
                  </w:r>
                </w:p>
              </w:tc>
              <w:tc>
                <w:tcPr>
                  <w:tcW w:w="1142" w:type="dxa"/>
                  <w:vMerge w:val="continue"/>
                  <w:tcBorders>
                    <w:tl2br w:val="nil"/>
                    <w:tr2bl w:val="nil"/>
                  </w:tcBorders>
                  <w:noWrap w:val="0"/>
                  <w:vAlign w:val="center"/>
                </w:tcPr>
                <w:p w14:paraId="6CD00F12">
                  <w:pPr>
                    <w:pStyle w:val="44"/>
                    <w:bidi w:val="0"/>
                    <w:ind w:firstLine="0" w:firstLineChars="0"/>
                    <w:jc w:val="center"/>
                    <w:rPr>
                      <w:rFonts w:hint="default"/>
                      <w:color w:val="auto"/>
                    </w:rPr>
                  </w:pPr>
                </w:p>
              </w:tc>
            </w:tr>
            <w:tr w14:paraId="244BE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53C6572D">
                  <w:pPr>
                    <w:pStyle w:val="44"/>
                    <w:bidi w:val="0"/>
                    <w:ind w:firstLine="0" w:firstLineChars="0"/>
                    <w:jc w:val="center"/>
                    <w:rPr>
                      <w:rFonts w:hint="default"/>
                      <w:color w:val="auto"/>
                    </w:rPr>
                  </w:pPr>
                  <w:r>
                    <w:rPr>
                      <w:rFonts w:hint="default"/>
                      <w:color w:val="auto"/>
                      <w:lang w:val="en-US" w:eastAsia="zh-CN"/>
                    </w:rPr>
                    <w:t>CO</w:t>
                  </w:r>
                </w:p>
              </w:tc>
              <w:tc>
                <w:tcPr>
                  <w:tcW w:w="2145" w:type="dxa"/>
                  <w:tcBorders>
                    <w:tl2br w:val="nil"/>
                    <w:tr2bl w:val="nil"/>
                  </w:tcBorders>
                  <w:noWrap w:val="0"/>
                  <w:vAlign w:val="center"/>
                </w:tcPr>
                <w:p w14:paraId="01F868EC">
                  <w:pPr>
                    <w:pStyle w:val="44"/>
                    <w:bidi w:val="0"/>
                    <w:ind w:firstLine="0" w:firstLineChars="0"/>
                    <w:jc w:val="center"/>
                    <w:rPr>
                      <w:rFonts w:hint="default"/>
                      <w:color w:val="auto"/>
                    </w:rPr>
                  </w:pPr>
                  <w:r>
                    <w:rPr>
                      <w:rFonts w:hint="default"/>
                      <w:color w:val="auto"/>
                      <w:lang w:val="en-US" w:eastAsia="zh-CN"/>
                    </w:rPr>
                    <w:t>日均值95%位数值</w:t>
                  </w:r>
                </w:p>
              </w:tc>
              <w:tc>
                <w:tcPr>
                  <w:tcW w:w="1426" w:type="dxa"/>
                  <w:tcBorders>
                    <w:tl2br w:val="nil"/>
                    <w:tr2bl w:val="nil"/>
                  </w:tcBorders>
                  <w:noWrap w:val="0"/>
                  <w:vAlign w:val="center"/>
                </w:tcPr>
                <w:p w14:paraId="7DBC8C18">
                  <w:pPr>
                    <w:pStyle w:val="44"/>
                    <w:bidi w:val="0"/>
                    <w:ind w:firstLine="0" w:firstLineChars="0"/>
                    <w:jc w:val="center"/>
                    <w:rPr>
                      <w:rFonts w:hint="default"/>
                      <w:color w:val="auto"/>
                      <w:lang w:val="en-US"/>
                    </w:rPr>
                  </w:pPr>
                  <w:r>
                    <w:rPr>
                      <w:rFonts w:hint="eastAsia" w:cs="Times New Roman"/>
                      <w:color w:val="auto"/>
                      <w:sz w:val="21"/>
                      <w:szCs w:val="21"/>
                      <w:lang w:val="en-US" w:eastAsia="zh-CN"/>
                    </w:rPr>
                    <w:t>1200</w:t>
                  </w:r>
                </w:p>
              </w:tc>
              <w:tc>
                <w:tcPr>
                  <w:tcW w:w="1337" w:type="dxa"/>
                  <w:tcBorders>
                    <w:tl2br w:val="nil"/>
                    <w:tr2bl w:val="nil"/>
                  </w:tcBorders>
                  <w:noWrap w:val="0"/>
                  <w:vAlign w:val="center"/>
                </w:tcPr>
                <w:p w14:paraId="721B9BA5">
                  <w:pPr>
                    <w:pStyle w:val="32"/>
                    <w:widowControl w:val="0"/>
                    <w:adjustRightInd w:val="0"/>
                    <w:snapToGrid w:val="0"/>
                    <w:spacing w:before="0" w:beforeAutospacing="0" w:after="0" w:afterAutospacing="0" w:line="340" w:lineRule="exact"/>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bidi="ar"/>
                    </w:rPr>
                    <w:t>4</w:t>
                  </w:r>
                  <w:r>
                    <w:rPr>
                      <w:rFonts w:hint="eastAsia" w:ascii="Times New Roman" w:hAnsi="Times New Roman" w:cs="Times New Roman"/>
                      <w:color w:val="auto"/>
                      <w:sz w:val="21"/>
                      <w:szCs w:val="21"/>
                      <w:lang w:val="en-US" w:eastAsia="zh-CN" w:bidi="ar"/>
                    </w:rPr>
                    <w:t>000</w:t>
                  </w:r>
                </w:p>
              </w:tc>
              <w:tc>
                <w:tcPr>
                  <w:tcW w:w="1265" w:type="dxa"/>
                  <w:tcBorders>
                    <w:tl2br w:val="nil"/>
                    <w:tr2bl w:val="nil"/>
                  </w:tcBorders>
                  <w:noWrap w:val="0"/>
                  <w:vAlign w:val="center"/>
                </w:tcPr>
                <w:p w14:paraId="455A3E76">
                  <w:pPr>
                    <w:pStyle w:val="44"/>
                    <w:bidi w:val="0"/>
                    <w:ind w:firstLine="0" w:firstLineChars="0"/>
                    <w:jc w:val="center"/>
                    <w:rPr>
                      <w:rFonts w:hint="default"/>
                      <w:color w:val="auto"/>
                      <w:lang w:val="en-US"/>
                    </w:rPr>
                  </w:pPr>
                  <w:r>
                    <w:rPr>
                      <w:rFonts w:hint="eastAsia" w:cs="Times New Roman"/>
                      <w:color w:val="auto"/>
                      <w:sz w:val="21"/>
                      <w:szCs w:val="21"/>
                      <w:lang w:val="en-US" w:eastAsia="zh-CN"/>
                    </w:rPr>
                    <w:t>30.0</w:t>
                  </w:r>
                </w:p>
              </w:tc>
              <w:tc>
                <w:tcPr>
                  <w:tcW w:w="1142" w:type="dxa"/>
                  <w:vMerge w:val="continue"/>
                  <w:tcBorders>
                    <w:tl2br w:val="nil"/>
                    <w:tr2bl w:val="nil"/>
                  </w:tcBorders>
                  <w:noWrap w:val="0"/>
                  <w:vAlign w:val="center"/>
                </w:tcPr>
                <w:p w14:paraId="0D3372F9">
                  <w:pPr>
                    <w:pStyle w:val="44"/>
                    <w:bidi w:val="0"/>
                    <w:ind w:firstLine="0" w:firstLineChars="0"/>
                    <w:jc w:val="center"/>
                    <w:rPr>
                      <w:rFonts w:hint="default"/>
                      <w:color w:val="auto"/>
                    </w:rPr>
                  </w:pPr>
                </w:p>
              </w:tc>
            </w:tr>
            <w:tr w14:paraId="4CB59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1" w:type="dxa"/>
                  <w:tcBorders>
                    <w:tl2br w:val="nil"/>
                    <w:tr2bl w:val="nil"/>
                  </w:tcBorders>
                  <w:noWrap w:val="0"/>
                  <w:vAlign w:val="center"/>
                </w:tcPr>
                <w:p w14:paraId="543ED0B3">
                  <w:pPr>
                    <w:pStyle w:val="44"/>
                    <w:bidi w:val="0"/>
                    <w:ind w:firstLine="0" w:firstLineChars="0"/>
                    <w:jc w:val="center"/>
                    <w:rPr>
                      <w:rFonts w:hint="default"/>
                      <w:color w:val="auto"/>
                    </w:rPr>
                  </w:pPr>
                  <w:r>
                    <w:rPr>
                      <w:rFonts w:hint="default"/>
                      <w:color w:val="auto"/>
                      <w:lang w:val="en-US" w:eastAsia="zh-CN"/>
                    </w:rPr>
                    <w:t>O</w:t>
                  </w:r>
                  <w:r>
                    <w:rPr>
                      <w:rFonts w:hint="default"/>
                      <w:color w:val="auto"/>
                      <w:vertAlign w:val="subscript"/>
                      <w:lang w:val="en-US" w:eastAsia="zh-CN"/>
                    </w:rPr>
                    <w:t>3</w:t>
                  </w:r>
                </w:p>
              </w:tc>
              <w:tc>
                <w:tcPr>
                  <w:tcW w:w="2145" w:type="dxa"/>
                  <w:tcBorders>
                    <w:tl2br w:val="nil"/>
                    <w:tr2bl w:val="nil"/>
                  </w:tcBorders>
                  <w:noWrap w:val="0"/>
                  <w:vAlign w:val="center"/>
                </w:tcPr>
                <w:p w14:paraId="7521DADB">
                  <w:pPr>
                    <w:pStyle w:val="44"/>
                    <w:bidi w:val="0"/>
                    <w:ind w:firstLine="0" w:firstLineChars="0"/>
                    <w:jc w:val="center"/>
                    <w:rPr>
                      <w:rFonts w:hint="default"/>
                      <w:color w:val="auto"/>
                    </w:rPr>
                  </w:pPr>
                  <w:r>
                    <w:rPr>
                      <w:rFonts w:hint="default"/>
                      <w:color w:val="auto"/>
                      <w:lang w:val="en-US" w:eastAsia="zh-CN"/>
                    </w:rPr>
                    <w:t>日最大8小时值90%位数值</w:t>
                  </w:r>
                </w:p>
              </w:tc>
              <w:tc>
                <w:tcPr>
                  <w:tcW w:w="1426" w:type="dxa"/>
                  <w:tcBorders>
                    <w:tl2br w:val="nil"/>
                    <w:tr2bl w:val="nil"/>
                  </w:tcBorders>
                  <w:noWrap w:val="0"/>
                  <w:vAlign w:val="center"/>
                </w:tcPr>
                <w:p w14:paraId="3886B925">
                  <w:pPr>
                    <w:pStyle w:val="44"/>
                    <w:bidi w:val="0"/>
                    <w:ind w:firstLine="0" w:firstLineChars="0"/>
                    <w:jc w:val="center"/>
                    <w:rPr>
                      <w:rFonts w:hint="default"/>
                      <w:color w:val="auto"/>
                      <w:lang w:val="en-US"/>
                    </w:rPr>
                  </w:pPr>
                  <w:r>
                    <w:rPr>
                      <w:rFonts w:hint="eastAsia" w:cs="Times New Roman"/>
                      <w:color w:val="auto"/>
                      <w:sz w:val="21"/>
                      <w:szCs w:val="21"/>
                      <w:lang w:val="en-US" w:eastAsia="zh-CN"/>
                    </w:rPr>
                    <w:t>110</w:t>
                  </w:r>
                </w:p>
              </w:tc>
              <w:tc>
                <w:tcPr>
                  <w:tcW w:w="1337" w:type="dxa"/>
                  <w:tcBorders>
                    <w:tl2br w:val="nil"/>
                    <w:tr2bl w:val="nil"/>
                  </w:tcBorders>
                  <w:noWrap w:val="0"/>
                  <w:vAlign w:val="center"/>
                </w:tcPr>
                <w:p w14:paraId="19430D23">
                  <w:pPr>
                    <w:pStyle w:val="32"/>
                    <w:widowControl w:val="0"/>
                    <w:adjustRightInd w:val="0"/>
                    <w:snapToGrid w:val="0"/>
                    <w:spacing w:before="0" w:beforeAutospacing="0" w:after="0" w:afterAutospacing="0" w:line="340" w:lineRule="exact"/>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bidi="ar"/>
                    </w:rPr>
                    <w:t>160</w:t>
                  </w:r>
                </w:p>
              </w:tc>
              <w:tc>
                <w:tcPr>
                  <w:tcW w:w="1265" w:type="dxa"/>
                  <w:tcBorders>
                    <w:tl2br w:val="nil"/>
                    <w:tr2bl w:val="nil"/>
                  </w:tcBorders>
                  <w:noWrap w:val="0"/>
                  <w:vAlign w:val="center"/>
                </w:tcPr>
                <w:p w14:paraId="105D57A8">
                  <w:pPr>
                    <w:pStyle w:val="44"/>
                    <w:bidi w:val="0"/>
                    <w:ind w:firstLine="0" w:firstLineChars="0"/>
                    <w:jc w:val="center"/>
                    <w:rPr>
                      <w:rFonts w:hint="default"/>
                      <w:color w:val="auto"/>
                      <w:lang w:val="en-US"/>
                    </w:rPr>
                  </w:pPr>
                  <w:r>
                    <w:rPr>
                      <w:rFonts w:hint="eastAsia" w:cs="Times New Roman"/>
                      <w:color w:val="auto"/>
                      <w:sz w:val="21"/>
                      <w:szCs w:val="21"/>
                      <w:lang w:val="en-US" w:eastAsia="zh-CN"/>
                    </w:rPr>
                    <w:t>68.8</w:t>
                  </w:r>
                </w:p>
              </w:tc>
              <w:tc>
                <w:tcPr>
                  <w:tcW w:w="1142" w:type="dxa"/>
                  <w:vMerge w:val="continue"/>
                  <w:tcBorders>
                    <w:tl2br w:val="nil"/>
                    <w:tr2bl w:val="nil"/>
                  </w:tcBorders>
                  <w:noWrap w:val="0"/>
                  <w:vAlign w:val="center"/>
                </w:tcPr>
                <w:p w14:paraId="6E8B50DF">
                  <w:pPr>
                    <w:pStyle w:val="44"/>
                    <w:bidi w:val="0"/>
                    <w:ind w:firstLine="0" w:firstLineChars="0"/>
                    <w:jc w:val="center"/>
                    <w:rPr>
                      <w:rFonts w:hint="default"/>
                      <w:color w:val="auto"/>
                    </w:rPr>
                  </w:pPr>
                </w:p>
              </w:tc>
            </w:tr>
          </w:tbl>
          <w:p w14:paraId="2551F858">
            <w:pPr>
              <w:pStyle w:val="71"/>
              <w:bidi w:val="0"/>
              <w:rPr>
                <w:rFonts w:hint="eastAsia" w:eastAsia="宋体"/>
                <w:color w:val="auto"/>
                <w:lang w:val="en-US" w:eastAsia="zh-CN"/>
              </w:rPr>
            </w:pPr>
            <w:r>
              <w:rPr>
                <w:rFonts w:hint="eastAsia"/>
                <w:color w:val="auto"/>
              </w:rPr>
              <w:t>根据上表可知，SO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、CO、O</w:t>
            </w:r>
            <w:r>
              <w:rPr>
                <w:rFonts w:hint="eastAsia"/>
                <w:color w:val="auto"/>
                <w:vertAlign w:val="subscript"/>
              </w:rPr>
              <w:t>3</w:t>
            </w:r>
            <w:r>
              <w:rPr>
                <w:rFonts w:hint="eastAsia"/>
                <w:color w:val="auto"/>
              </w:rPr>
              <w:t>监测数据均可达到《环境空气质量标准》（GB3095-2012）及其修改单中的二级标准要求，因此判断项目所在区域为达标区。说明评价区域内环境质量现状总体良好</w:t>
            </w:r>
            <w:r>
              <w:rPr>
                <w:rFonts w:hint="eastAsia"/>
                <w:color w:val="auto"/>
                <w:lang w:eastAsia="zh-CN"/>
              </w:rPr>
              <w:t>。</w:t>
            </w:r>
          </w:p>
          <w:p w14:paraId="4DEB9661">
            <w:pPr>
              <w:pStyle w:val="71"/>
              <w:bidi w:val="0"/>
              <w:rPr>
                <w:rFonts w:hint="default"/>
                <w:color w:val="auto"/>
                <w:highlight w:val="none"/>
                <w:lang w:val="en-US" w:eastAsia="zh-CN"/>
              </w:rPr>
            </w:pPr>
            <w:r>
              <w:rPr>
                <w:rFonts w:hint="eastAsia" w:ascii="Times New Roman" w:hAnsi="Times New Roman" w:eastAsia="宋体" w:cs="Times New Roman"/>
                <w:b w:val="0"/>
                <w:bCs w:val="0"/>
                <w:color w:val="auto"/>
                <w:kern w:val="0"/>
                <w:sz w:val="24"/>
                <w:lang w:eastAsia="zh-CN"/>
              </w:rPr>
              <w:t>（</w:t>
            </w:r>
            <w:r>
              <w:rPr>
                <w:rFonts w:hint="eastAsia" w:ascii="Times New Roman" w:hAnsi="Times New Roman" w:eastAsia="宋体" w:cs="Times New Roman"/>
                <w:b w:val="0"/>
                <w:bCs w:val="0"/>
                <w:color w:val="auto"/>
                <w:kern w:val="0"/>
                <w:sz w:val="24"/>
                <w:lang w:val="en-US" w:eastAsia="zh-CN"/>
              </w:rPr>
              <w:t>2</w:t>
            </w:r>
            <w:r>
              <w:rPr>
                <w:rFonts w:hint="eastAsia" w:ascii="Times New Roman" w:hAnsi="Times New Roman" w:eastAsia="宋体" w:cs="Times New Roman"/>
                <w:b w:val="0"/>
                <w:bCs w:val="0"/>
                <w:color w:val="auto"/>
                <w:kern w:val="0"/>
                <w:sz w:val="24"/>
                <w:lang w:eastAsia="zh-CN"/>
              </w:rPr>
              <w:t>）</w:t>
            </w:r>
            <w:r>
              <w:rPr>
                <w:rFonts w:hint="eastAsia"/>
                <w:color w:val="auto"/>
                <w:highlight w:val="none"/>
                <w:lang w:val="en-US" w:eastAsia="zh-CN"/>
              </w:rPr>
              <w:t>特征污染物补充监测及评价</w:t>
            </w:r>
          </w:p>
          <w:p w14:paraId="49CB9DD3">
            <w:pPr>
              <w:spacing w:line="360" w:lineRule="auto"/>
              <w:ind w:firstLine="480" w:firstLineChars="200"/>
              <w:rPr>
                <w:rFonts w:hint="eastAsia"/>
                <w:color w:val="auto"/>
                <w:sz w:val="24"/>
              </w:rPr>
            </w:pPr>
            <w:r>
              <w:rPr>
                <w:rFonts w:hint="eastAsia"/>
                <w:color w:val="auto"/>
                <w:sz w:val="24"/>
              </w:rPr>
              <w:t>本项目涉及特征污染物为</w:t>
            </w:r>
            <w:r>
              <w:rPr>
                <w:rFonts w:hint="eastAsia"/>
                <w:color w:val="auto"/>
                <w:sz w:val="24"/>
                <w:lang w:val="en-US" w:eastAsia="zh-CN"/>
              </w:rPr>
              <w:t>非甲烷总烃</w:t>
            </w:r>
            <w:r>
              <w:rPr>
                <w:rFonts w:hint="eastAsia"/>
                <w:color w:val="auto"/>
                <w:sz w:val="24"/>
              </w:rPr>
              <w:t>，根据生态环境部环境工程评估中心《建设项目环境影响报告表》内容、格式及编制技术指南常见问题解答：技术指南中提到“排放国家、地方环境空气质量标准中有标准限值要求的特征污染物”，其中环境空气质量标准指《环境空气质量标准》（GB3095）和地方的环境空气质量标准，不包括《环境影响评价技术导则 大气环境》（HJ2.2-2018）附录D、《前苏联居住区标准》（CH245-71）、《大气污染物综合排放标准详解》等导则或参考资料。排放的特征污染物需要在国家、地方环境空气质量标准中有限值要求才涉及现状监测，且优先引用现有监测数据。</w:t>
            </w:r>
          </w:p>
          <w:p w14:paraId="2316E016">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sz w:val="24"/>
              </w:rPr>
            </w:pPr>
            <w:r>
              <w:rPr>
                <w:rFonts w:hint="eastAsia"/>
                <w:color w:val="auto"/>
                <w:sz w:val="24"/>
              </w:rPr>
              <w:t>本项目未开展大气专项评价，按照技术指南要求开展工作要求开展相关监测工作，</w:t>
            </w:r>
            <w:r>
              <w:rPr>
                <w:rFonts w:hint="eastAsia"/>
                <w:color w:val="auto"/>
                <w:lang w:val="en-US" w:eastAsia="zh-CN"/>
              </w:rPr>
              <w:t>非甲烷总烃</w:t>
            </w:r>
            <w:r>
              <w:rPr>
                <w:rFonts w:hint="eastAsia"/>
                <w:color w:val="auto"/>
                <w:sz w:val="24"/>
              </w:rPr>
              <w:t>不在《环境空气质量标准》（GB3095-2012）标准中，可不开展环境现状监测。</w:t>
            </w:r>
          </w:p>
          <w:p w14:paraId="753502A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（二）地表水环境</w:t>
            </w:r>
          </w:p>
          <w:p w14:paraId="225D3AEB">
            <w:pPr>
              <w:pStyle w:val="71"/>
              <w:bidi w:val="0"/>
              <w:rPr>
                <w:rFonts w:hint="eastAsia" w:cs="Times New Roman"/>
                <w:color w:val="auto"/>
                <w:lang w:val="en-US" w:eastAsia="zh-CN"/>
              </w:rPr>
            </w:pPr>
            <w:r>
              <w:rPr>
                <w:rFonts w:hint="eastAsia"/>
                <w:color w:val="auto"/>
                <w:highlight w:val="none"/>
                <w:lang w:val="en-US" w:eastAsia="zh-CN"/>
              </w:rPr>
              <w:t>本项目周边水体为梅江，位于项目东侧2190m处。</w:t>
            </w:r>
            <w:r>
              <w:rPr>
                <w:rFonts w:hint="eastAsia"/>
                <w:color w:val="auto"/>
                <w:highlight w:val="none"/>
                <w:lang w:val="en-US" w:eastAsia="zh-CN"/>
              </w:rPr>
              <w:t>根据《2023年赣州市环境质量年报》中梅江下员布中水质达标状况可知，2023年下员布断面</w:t>
            </w:r>
            <w:r>
              <w:rPr>
                <w:rFonts w:hint="default" w:ascii="Times New Roman" w:hAnsi="Times New Roman" w:cs="Times New Roman"/>
                <w:color w:val="auto"/>
                <w:lang w:eastAsia="zh-CN"/>
              </w:rPr>
              <w:t>能满足《地表水环境质量标准》（GB3838-2002）</w:t>
            </w:r>
            <w:r>
              <w:rPr>
                <w:rFonts w:hint="default" w:ascii="Times New Roman" w:hAnsi="Times New Roman" w:cs="Times New Roman"/>
                <w:color w:val="auto"/>
                <w:highlight w:val="none"/>
                <w:lang w:val="en-US" w:eastAsia="zh-CN"/>
              </w:rPr>
              <w:t>Ⅱ</w:t>
            </w:r>
            <w:r>
              <w:rPr>
                <w:rFonts w:hint="default" w:ascii="Times New Roman" w:hAnsi="Times New Roman" w:cs="Times New Roman"/>
                <w:color w:val="auto"/>
                <w:lang w:eastAsia="zh-CN"/>
              </w:rPr>
              <w:t>类标准</w:t>
            </w:r>
            <w:r>
              <w:rPr>
                <w:rFonts w:hint="eastAsia" w:cs="Times New Roman"/>
                <w:color w:val="auto"/>
                <w:lang w:eastAsia="zh-CN"/>
              </w:rPr>
              <w:t>，</w:t>
            </w:r>
            <w:r>
              <w:rPr>
                <w:rFonts w:hint="eastAsia" w:cs="Times New Roman"/>
                <w:color w:val="auto"/>
                <w:lang w:val="en-US" w:eastAsia="zh-CN"/>
              </w:rPr>
              <w:t>全年均未出现超标情况。</w:t>
            </w:r>
          </w:p>
          <w:p w14:paraId="32D3B198">
            <w:pPr>
              <w:pStyle w:val="71"/>
              <w:bidi w:val="0"/>
              <w:rPr>
                <w:rFonts w:hint="default" w:cs="Times New Roman"/>
                <w:color w:val="auto"/>
                <w:lang w:val="en-US" w:eastAsia="zh-CN"/>
              </w:rPr>
            </w:pPr>
            <w:r>
              <w:rPr>
                <w:rFonts w:hint="eastAsia" w:cs="Times New Roman"/>
                <w:color w:val="auto"/>
                <w:lang w:val="en-US" w:eastAsia="zh-CN"/>
              </w:rPr>
              <w:t>综合上述分析，本项目周边地表水环境质量现状良好。</w:t>
            </w:r>
          </w:p>
          <w:p w14:paraId="69359BF3">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（三）声环境</w:t>
            </w:r>
          </w:p>
          <w:p w14:paraId="4FB0F6C0">
            <w:pPr>
              <w:pStyle w:val="71"/>
              <w:bidi w:val="0"/>
              <w:rPr>
                <w:rFonts w:hint="default"/>
                <w:color w:val="auto"/>
                <w:lang w:val="en-US" w:eastAsia="zh-CN"/>
              </w:rPr>
            </w:pPr>
            <w:r>
              <w:rPr>
                <w:rFonts w:hint="eastAsia"/>
                <w:color w:val="auto"/>
                <w:highlight w:val="none"/>
                <w:lang w:val="en-US" w:eastAsia="zh-CN"/>
              </w:rPr>
              <w:t>根据现场踏勘，本项目厂界外周边50m范围内无声环境保护目标，无须进行声环境监测。</w:t>
            </w:r>
          </w:p>
          <w:p w14:paraId="4172765A">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（四）生态环境</w:t>
            </w:r>
          </w:p>
          <w:p w14:paraId="2E2F1C25">
            <w:pPr>
              <w:pStyle w:val="71"/>
              <w:bidi w:val="0"/>
              <w:rPr>
                <w:color w:val="auto"/>
              </w:rPr>
            </w:pPr>
            <w:r>
              <w:rPr>
                <w:rFonts w:hint="eastAsia"/>
                <w:color w:val="auto"/>
                <w:lang w:val="en-US" w:eastAsia="zh-CN"/>
              </w:rPr>
              <w:t>本项目用地范围内无生态环境保护目标，无须进行生态现状调查。</w:t>
            </w:r>
          </w:p>
          <w:p w14:paraId="4B66B604">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（五）电磁辐射</w:t>
            </w:r>
          </w:p>
          <w:p w14:paraId="06A773C0">
            <w:pPr>
              <w:pStyle w:val="7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本项目不属于电磁辐射类项目，无需开展电磁辐射现状监测与评价。</w:t>
            </w:r>
          </w:p>
          <w:p w14:paraId="142F4A64">
            <w:pPr>
              <w:pStyle w:val="71"/>
              <w:numPr>
                <w:ilvl w:val="0"/>
                <w:numId w:val="0"/>
              </w:numPr>
              <w:bidi w:val="0"/>
              <w:ind w:firstLine="48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（六）地下水、土壤环境</w:t>
            </w:r>
          </w:p>
          <w:p w14:paraId="53BDF7D4">
            <w:pPr>
              <w:pStyle w:val="71"/>
              <w:bidi w:val="0"/>
              <w:rPr>
                <w:rFonts w:hint="default"/>
                <w:color w:val="auto"/>
                <w:lang w:val="en-US" w:eastAsia="zh-CN"/>
              </w:rPr>
            </w:pPr>
            <w:r>
              <w:rPr>
                <w:rFonts w:hint="eastAsia" w:ascii="Times New Roman" w:hAnsi="Times New Roman" w:eastAsia="宋体" w:cs="Times New Roman"/>
                <w:b w:val="0"/>
                <w:bCs w:val="0"/>
                <w:color w:val="auto"/>
                <w:highlight w:val="none"/>
                <w:lang w:val="en-US" w:eastAsia="zh-CN"/>
              </w:rPr>
              <w:t>根据《建设项目环境影响报告表编制技术指南（污染影响类）（试行）》，（环办环评（2020）33 号）规定，原则上不开展地下水、土壤环境质量现状调查。建设项目存在土壤、地下水环境污染途径的，应结合污染源、保护目标分布情况开展现状调查以留作背景值。本项目采取有效的防渗措施后，对地下水、土壤环境影响很小，基本不存在土壤、地下水环境污染途径，因此，本评价不对项目地下水、土壤环境质量进行补充监测</w:t>
            </w:r>
          </w:p>
        </w:tc>
      </w:tr>
      <w:tr w14:paraId="70954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9" w:hRule="atLeast"/>
          <w:jc w:val="center"/>
        </w:trPr>
        <w:tc>
          <w:tcPr>
            <w:tcW w:w="331" w:type="pct"/>
            <w:noWrap w:val="0"/>
            <w:vAlign w:val="center"/>
          </w:tcPr>
          <w:p w14:paraId="66B47E30">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环境保护目标</w:t>
            </w:r>
          </w:p>
        </w:tc>
        <w:tc>
          <w:tcPr>
            <w:tcW w:w="4668" w:type="pct"/>
            <w:noWrap w:val="0"/>
            <w:vAlign w:val="center"/>
          </w:tcPr>
          <w:p w14:paraId="72B29825">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（一）大气环境</w:t>
            </w:r>
          </w:p>
          <w:p w14:paraId="695620F5">
            <w:pPr>
              <w:pStyle w:val="71"/>
              <w:bidi w:val="0"/>
              <w:rPr>
                <w:rFonts w:hint="eastAsia" w:eastAsia="宋体"/>
                <w:color w:val="auto"/>
                <w:sz w:val="24"/>
                <w:lang w:val="en-US" w:eastAsia="zh-CN"/>
              </w:rPr>
            </w:pPr>
            <w:r>
              <w:rPr>
                <w:rFonts w:hint="eastAsia"/>
                <w:color w:val="auto"/>
                <w:lang w:val="en-US" w:eastAsia="zh-CN"/>
              </w:rPr>
              <w:t>本项目厂界外500m范围内无</w:t>
            </w:r>
            <w:r>
              <w:rPr>
                <w:rFonts w:hint="default" w:ascii="Times New Roman" w:hAnsi="Times New Roman" w:cs="Times New Roman"/>
                <w:color w:val="auto"/>
                <w:lang w:val="en-US" w:eastAsia="zh-CN"/>
              </w:rPr>
              <w:t>自然保护区、风景名胜区，主要保护目标为周边居民，</w:t>
            </w:r>
            <w:r>
              <w:rPr>
                <w:rFonts w:hint="default" w:ascii="Times New Roman" w:hAnsi="Times New Roman" w:cs="Times New Roman"/>
                <w:color w:val="auto"/>
                <w:sz w:val="24"/>
                <w:lang w:eastAsia="zh-CN"/>
              </w:rPr>
              <w:t>本项目</w:t>
            </w:r>
            <w:r>
              <w:rPr>
                <w:rFonts w:hint="default" w:ascii="Times New Roman" w:hAnsi="Times New Roman" w:eastAsia="宋体" w:cs="Times New Roman"/>
                <w:color w:val="auto"/>
                <w:sz w:val="24"/>
              </w:rPr>
              <w:t>以</w:t>
            </w:r>
            <w:r>
              <w:rPr>
                <w:rFonts w:hint="default" w:ascii="Times New Roman" w:hAnsi="Times New Roman" w:cs="Times New Roman"/>
                <w:color w:val="auto"/>
                <w:sz w:val="24"/>
                <w:lang w:val="en-US" w:eastAsia="zh-CN"/>
              </w:rPr>
              <w:t>液化气站</w:t>
            </w:r>
            <w:r>
              <w:rPr>
                <w:rFonts w:hint="default" w:ascii="Times New Roman" w:hAnsi="Times New Roman" w:eastAsia="宋体" w:cs="Times New Roman"/>
                <w:color w:val="auto"/>
                <w:sz w:val="24"/>
              </w:rPr>
              <w:t>中心</w:t>
            </w:r>
            <w:r>
              <w:rPr>
                <w:rFonts w:hint="default" w:ascii="Times New Roman" w:hAnsi="Times New Roman" w:eastAsia="宋体" w:cs="Times New Roman"/>
                <w:color w:val="auto"/>
                <w:sz w:val="24"/>
                <w:lang w:val="en-US" w:eastAsia="zh-CN"/>
              </w:rPr>
              <w:t>点（</w:t>
            </w:r>
            <w:r>
              <w:rPr>
                <w:rFonts w:hint="default" w:ascii="Times New Roman" w:hAnsi="Times New Roman" w:cs="Times New Roman"/>
                <w:color w:val="auto"/>
                <w:sz w:val="24"/>
                <w:szCs w:val="21"/>
                <w:lang w:eastAsia="zh-CN"/>
              </w:rPr>
              <w:t>E115°59′24.622″,</w:t>
            </w:r>
            <w:r>
              <w:rPr>
                <w:rFonts w:hint="eastAsia" w:cs="Times New Roman"/>
                <w:color w:val="auto"/>
                <w:sz w:val="24"/>
                <w:szCs w:val="21"/>
                <w:lang w:val="en-US" w:eastAsia="zh-CN"/>
              </w:rPr>
              <w:t>N</w:t>
            </w:r>
            <w:r>
              <w:rPr>
                <w:rFonts w:hint="default" w:ascii="Times New Roman" w:hAnsi="Times New Roman" w:cs="Times New Roman"/>
                <w:color w:val="auto"/>
                <w:sz w:val="24"/>
                <w:szCs w:val="21"/>
                <w:lang w:eastAsia="zh-CN"/>
              </w:rPr>
              <w:t>26°27′20.72</w:t>
            </w:r>
            <w:r>
              <w:rPr>
                <w:rFonts w:hint="eastAsia" w:cs="Times New Roman"/>
                <w:color w:val="auto"/>
                <w:sz w:val="24"/>
                <w:szCs w:val="21"/>
                <w:lang w:val="en-US" w:eastAsia="zh-CN"/>
              </w:rPr>
              <w:t>3</w:t>
            </w:r>
            <w:r>
              <w:rPr>
                <w:rFonts w:hint="default" w:ascii="Times New Roman" w:hAnsi="Times New Roman" w:cs="Times New Roman"/>
                <w:color w:val="auto"/>
                <w:sz w:val="24"/>
                <w:szCs w:val="21"/>
                <w:lang w:eastAsia="zh-CN"/>
              </w:rPr>
              <w:t>″</w:t>
            </w:r>
            <w:r>
              <w:rPr>
                <w:rFonts w:hint="default" w:ascii="Times New Roman" w:hAnsi="Times New Roman" w:eastAsia="宋体" w:cs="Times New Roman"/>
                <w:color w:val="auto"/>
                <w:sz w:val="24"/>
                <w:lang w:val="en-US" w:eastAsia="zh-CN"/>
              </w:rPr>
              <w:t>）</w:t>
            </w:r>
            <w:r>
              <w:rPr>
                <w:rFonts w:hint="eastAsia" w:eastAsia="宋体"/>
                <w:color w:val="auto"/>
                <w:sz w:val="24"/>
                <w:lang w:val="en-US" w:eastAsia="zh-CN"/>
              </w:rPr>
              <w:t>为</w:t>
            </w:r>
            <w:r>
              <w:rPr>
                <w:rFonts w:hint="eastAsia" w:eastAsia="宋体"/>
                <w:color w:val="auto"/>
                <w:sz w:val="24"/>
              </w:rPr>
              <w:t>原点坐标（0，0），正东X轴为正方向，正北Y轴为正方向建立直角坐标系给出大气环境</w:t>
            </w:r>
            <w:r>
              <w:rPr>
                <w:rFonts w:hint="eastAsia" w:eastAsia="宋体"/>
                <w:color w:val="auto"/>
                <w:sz w:val="24"/>
                <w:lang w:val="en-US" w:eastAsia="zh-CN"/>
              </w:rPr>
              <w:t>保护目标对应坐标，具体见表3-</w:t>
            </w:r>
            <w:r>
              <w:rPr>
                <w:rFonts w:hint="eastAsia"/>
                <w:color w:val="auto"/>
                <w:sz w:val="24"/>
                <w:lang w:val="en-US" w:eastAsia="zh-CN"/>
              </w:rPr>
              <w:t>2</w:t>
            </w:r>
            <w:r>
              <w:rPr>
                <w:rFonts w:hint="eastAsia" w:eastAsia="宋体"/>
                <w:color w:val="auto"/>
                <w:sz w:val="24"/>
                <w:lang w:val="en-US" w:eastAsia="zh-CN"/>
              </w:rPr>
              <w:t>、附图</w:t>
            </w:r>
            <w:r>
              <w:rPr>
                <w:rFonts w:hint="eastAsia"/>
                <w:color w:val="auto"/>
                <w:sz w:val="24"/>
                <w:lang w:val="en-US" w:eastAsia="zh-CN"/>
              </w:rPr>
              <w:t>4</w:t>
            </w:r>
            <w:r>
              <w:rPr>
                <w:rFonts w:hint="eastAsia" w:eastAsia="宋体"/>
                <w:color w:val="auto"/>
                <w:sz w:val="24"/>
                <w:lang w:val="en-US" w:eastAsia="zh-CN"/>
              </w:rPr>
              <w:t>。</w:t>
            </w:r>
          </w:p>
          <w:p w14:paraId="4CCB3DC2">
            <w:pPr>
              <w:pStyle w:val="85"/>
              <w:bidi w:val="0"/>
              <w:rPr>
                <w:rFonts w:hint="eastAsia"/>
                <w:color w:val="auto"/>
                <w:lang w:val="en-US" w:eastAsia="zh-CN"/>
              </w:rPr>
            </w:pPr>
            <w:r>
              <w:rPr>
                <w:rFonts w:hint="eastAsia"/>
                <w:color w:val="auto"/>
                <w:lang w:val="en-US" w:eastAsia="zh-CN"/>
              </w:rPr>
              <w:t>表3-2</w:t>
            </w:r>
            <w:r>
              <w:rPr>
                <w:rFonts w:hint="eastAsia"/>
                <w:color w:val="auto"/>
                <w:highlight w:val="none"/>
                <w:lang w:val="en-US" w:eastAsia="zh-CN"/>
              </w:rPr>
              <w:t>项目周围大气环</w:t>
            </w:r>
            <w:r>
              <w:rPr>
                <w:rFonts w:hint="eastAsia"/>
                <w:color w:val="auto"/>
                <w:lang w:val="en-US" w:eastAsia="zh-CN"/>
              </w:rPr>
              <w:t>境敏感目标一览表</w:t>
            </w:r>
          </w:p>
          <w:tbl>
            <w:tblPr>
              <w:tblStyle w:val="36"/>
              <w:tblW w:w="4994"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855"/>
              <w:gridCol w:w="675"/>
              <w:gridCol w:w="900"/>
              <w:gridCol w:w="900"/>
              <w:gridCol w:w="1845"/>
              <w:gridCol w:w="975"/>
              <w:gridCol w:w="1375"/>
            </w:tblGrid>
            <w:tr w14:paraId="655964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51" w:type="pct"/>
                  <w:vMerge w:val="restart"/>
                  <w:tcBorders>
                    <w:tl2br w:val="nil"/>
                    <w:tr2bl w:val="nil"/>
                  </w:tcBorders>
                  <w:noWrap w:val="0"/>
                  <w:vAlign w:val="center"/>
                </w:tcPr>
                <w:p w14:paraId="0853BB80">
                  <w:pPr>
                    <w:pStyle w:val="67"/>
                    <w:rPr>
                      <w:rFonts w:hint="eastAsia"/>
                      <w:color w:val="auto"/>
                    </w:rPr>
                  </w:pPr>
                  <w:r>
                    <w:rPr>
                      <w:rFonts w:hint="eastAsia"/>
                      <w:color w:val="auto"/>
                    </w:rPr>
                    <w:t>名称</w:t>
                  </w:r>
                </w:p>
              </w:tc>
              <w:tc>
                <w:tcPr>
                  <w:tcW w:w="884" w:type="pct"/>
                  <w:gridSpan w:val="2"/>
                  <w:tcBorders>
                    <w:tl2br w:val="nil"/>
                    <w:tr2bl w:val="nil"/>
                  </w:tcBorders>
                  <w:noWrap w:val="0"/>
                  <w:vAlign w:val="center"/>
                </w:tcPr>
                <w:p w14:paraId="578766EE">
                  <w:pPr>
                    <w:pStyle w:val="67"/>
                    <w:rPr>
                      <w:rFonts w:hint="eastAsia" w:eastAsia="宋体"/>
                      <w:color w:val="auto"/>
                      <w:lang w:val="en-US" w:eastAsia="zh-CN"/>
                    </w:rPr>
                  </w:pPr>
                  <w:r>
                    <w:rPr>
                      <w:rFonts w:hint="eastAsia"/>
                      <w:color w:val="auto"/>
                    </w:rPr>
                    <w:t>坐标/</w:t>
                  </w:r>
                  <w:r>
                    <w:rPr>
                      <w:rFonts w:hint="eastAsia"/>
                      <w:color w:val="auto"/>
                      <w:lang w:val="en-US" w:eastAsia="zh-CN"/>
                    </w:rPr>
                    <w:t>m</w:t>
                  </w:r>
                </w:p>
              </w:tc>
              <w:tc>
                <w:tcPr>
                  <w:tcW w:w="520" w:type="pct"/>
                  <w:vMerge w:val="restart"/>
                  <w:tcBorders>
                    <w:tl2br w:val="nil"/>
                    <w:tr2bl w:val="nil"/>
                  </w:tcBorders>
                  <w:noWrap w:val="0"/>
                  <w:vAlign w:val="center"/>
                </w:tcPr>
                <w:p w14:paraId="0B17AB07">
                  <w:pPr>
                    <w:pStyle w:val="67"/>
                    <w:rPr>
                      <w:color w:val="auto"/>
                    </w:rPr>
                  </w:pPr>
                  <w:r>
                    <w:rPr>
                      <w:rFonts w:hint="eastAsia"/>
                      <w:color w:val="auto"/>
                    </w:rPr>
                    <w:t>保护对象</w:t>
                  </w:r>
                </w:p>
              </w:tc>
              <w:tc>
                <w:tcPr>
                  <w:tcW w:w="520" w:type="pct"/>
                  <w:vMerge w:val="restart"/>
                  <w:tcBorders>
                    <w:tl2br w:val="nil"/>
                    <w:tr2bl w:val="nil"/>
                  </w:tcBorders>
                  <w:noWrap w:val="0"/>
                  <w:vAlign w:val="center"/>
                </w:tcPr>
                <w:p w14:paraId="68FB1296">
                  <w:pPr>
                    <w:pStyle w:val="67"/>
                    <w:rPr>
                      <w:color w:val="auto"/>
                    </w:rPr>
                  </w:pPr>
                  <w:r>
                    <w:rPr>
                      <w:rFonts w:hint="eastAsia"/>
                      <w:color w:val="auto"/>
                    </w:rPr>
                    <w:t>保护内容</w:t>
                  </w:r>
                </w:p>
              </w:tc>
              <w:tc>
                <w:tcPr>
                  <w:tcW w:w="1066" w:type="pct"/>
                  <w:vMerge w:val="restart"/>
                  <w:tcBorders>
                    <w:tl2br w:val="nil"/>
                    <w:tr2bl w:val="nil"/>
                  </w:tcBorders>
                  <w:noWrap w:val="0"/>
                  <w:vAlign w:val="center"/>
                </w:tcPr>
                <w:p w14:paraId="4B28838C">
                  <w:pPr>
                    <w:pStyle w:val="67"/>
                    <w:rPr>
                      <w:color w:val="auto"/>
                    </w:rPr>
                  </w:pPr>
                  <w:r>
                    <w:rPr>
                      <w:rFonts w:hint="eastAsia"/>
                      <w:color w:val="auto"/>
                    </w:rPr>
                    <w:t>环境功能区</w:t>
                  </w:r>
                </w:p>
              </w:tc>
              <w:tc>
                <w:tcPr>
                  <w:tcW w:w="563" w:type="pct"/>
                  <w:vMerge w:val="restart"/>
                  <w:tcBorders>
                    <w:tl2br w:val="nil"/>
                    <w:tr2bl w:val="nil"/>
                  </w:tcBorders>
                  <w:noWrap w:val="0"/>
                  <w:vAlign w:val="center"/>
                </w:tcPr>
                <w:p w14:paraId="7FB67871">
                  <w:pPr>
                    <w:pStyle w:val="67"/>
                    <w:rPr>
                      <w:color w:val="auto"/>
                    </w:rPr>
                  </w:pPr>
                  <w:r>
                    <w:rPr>
                      <w:rFonts w:hint="eastAsia"/>
                      <w:color w:val="auto"/>
                    </w:rPr>
                    <w:t>相对</w:t>
                  </w:r>
                  <w:r>
                    <w:rPr>
                      <w:rFonts w:hint="eastAsia"/>
                      <w:color w:val="auto"/>
                      <w:lang w:val="en-US" w:eastAsia="zh-CN"/>
                    </w:rPr>
                    <w:t>厂</w:t>
                  </w:r>
                  <w:r>
                    <w:rPr>
                      <w:rFonts w:hint="eastAsia"/>
                      <w:color w:val="auto"/>
                    </w:rPr>
                    <w:t>址方位</w:t>
                  </w:r>
                </w:p>
              </w:tc>
              <w:tc>
                <w:tcPr>
                  <w:tcW w:w="794" w:type="pct"/>
                  <w:vMerge w:val="restart"/>
                  <w:tcBorders>
                    <w:tl2br w:val="nil"/>
                    <w:tr2bl w:val="nil"/>
                  </w:tcBorders>
                  <w:noWrap w:val="0"/>
                  <w:vAlign w:val="center"/>
                </w:tcPr>
                <w:p w14:paraId="2557B53D">
                  <w:pPr>
                    <w:pStyle w:val="67"/>
                    <w:rPr>
                      <w:color w:val="auto"/>
                    </w:rPr>
                  </w:pPr>
                  <w:r>
                    <w:rPr>
                      <w:rFonts w:hint="eastAsia"/>
                      <w:color w:val="auto"/>
                    </w:rPr>
                    <w:t>相对</w:t>
                  </w:r>
                  <w:r>
                    <w:rPr>
                      <w:rFonts w:hint="eastAsia"/>
                      <w:color w:val="auto"/>
                      <w:lang w:val="en-US" w:eastAsia="zh-CN"/>
                    </w:rPr>
                    <w:t>厂界</w:t>
                  </w:r>
                  <w:r>
                    <w:rPr>
                      <w:rFonts w:hint="eastAsia"/>
                      <w:color w:val="auto"/>
                    </w:rPr>
                    <w:t>距离/m</w:t>
                  </w:r>
                </w:p>
              </w:tc>
            </w:tr>
            <w:tr w14:paraId="71469C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51" w:type="pct"/>
                  <w:vMerge w:val="continue"/>
                  <w:tcBorders>
                    <w:tl2br w:val="nil"/>
                    <w:tr2bl w:val="nil"/>
                  </w:tcBorders>
                  <w:noWrap w:val="0"/>
                  <w:vAlign w:val="center"/>
                </w:tcPr>
                <w:p w14:paraId="686583D0">
                  <w:pPr>
                    <w:pStyle w:val="66"/>
                    <w:rPr>
                      <w:color w:val="auto"/>
                    </w:rPr>
                  </w:pPr>
                </w:p>
              </w:tc>
              <w:tc>
                <w:tcPr>
                  <w:tcW w:w="494" w:type="pct"/>
                  <w:tcBorders>
                    <w:tl2br w:val="nil"/>
                    <w:tr2bl w:val="nil"/>
                  </w:tcBorders>
                  <w:noWrap w:val="0"/>
                  <w:vAlign w:val="center"/>
                </w:tcPr>
                <w:p w14:paraId="642A7790">
                  <w:pPr>
                    <w:pStyle w:val="67"/>
                    <w:rPr>
                      <w:rFonts w:hint="eastAsia"/>
                      <w:color w:val="auto"/>
                    </w:rPr>
                  </w:pPr>
                  <w:r>
                    <w:rPr>
                      <w:rFonts w:hint="eastAsia"/>
                      <w:color w:val="auto"/>
                    </w:rPr>
                    <w:t>X</w:t>
                  </w:r>
                </w:p>
              </w:tc>
              <w:tc>
                <w:tcPr>
                  <w:tcW w:w="390" w:type="pct"/>
                  <w:tcBorders>
                    <w:tl2br w:val="nil"/>
                    <w:tr2bl w:val="nil"/>
                  </w:tcBorders>
                  <w:noWrap w:val="0"/>
                  <w:vAlign w:val="center"/>
                </w:tcPr>
                <w:p w14:paraId="388E578F">
                  <w:pPr>
                    <w:pStyle w:val="67"/>
                    <w:rPr>
                      <w:rFonts w:hint="eastAsia"/>
                      <w:color w:val="auto"/>
                    </w:rPr>
                  </w:pPr>
                  <w:r>
                    <w:rPr>
                      <w:rFonts w:hint="eastAsia"/>
                      <w:color w:val="auto"/>
                    </w:rPr>
                    <w:t>Y</w:t>
                  </w:r>
                </w:p>
              </w:tc>
              <w:tc>
                <w:tcPr>
                  <w:tcW w:w="520" w:type="pct"/>
                  <w:vMerge w:val="continue"/>
                  <w:tcBorders>
                    <w:tl2br w:val="nil"/>
                    <w:tr2bl w:val="nil"/>
                  </w:tcBorders>
                  <w:noWrap w:val="0"/>
                  <w:vAlign w:val="center"/>
                </w:tcPr>
                <w:p w14:paraId="4761BBE9">
                  <w:pPr>
                    <w:pStyle w:val="66"/>
                    <w:rPr>
                      <w:rFonts w:hint="eastAsia"/>
                      <w:color w:val="auto"/>
                    </w:rPr>
                  </w:pPr>
                </w:p>
              </w:tc>
              <w:tc>
                <w:tcPr>
                  <w:tcW w:w="520" w:type="pct"/>
                  <w:vMerge w:val="continue"/>
                  <w:tcBorders>
                    <w:tl2br w:val="nil"/>
                    <w:tr2bl w:val="nil"/>
                  </w:tcBorders>
                  <w:noWrap w:val="0"/>
                  <w:vAlign w:val="center"/>
                </w:tcPr>
                <w:p w14:paraId="4FC50F4D">
                  <w:pPr>
                    <w:pStyle w:val="66"/>
                    <w:rPr>
                      <w:rFonts w:hint="eastAsia"/>
                      <w:color w:val="auto"/>
                    </w:rPr>
                  </w:pPr>
                </w:p>
              </w:tc>
              <w:tc>
                <w:tcPr>
                  <w:tcW w:w="1066" w:type="pct"/>
                  <w:vMerge w:val="continue"/>
                  <w:tcBorders>
                    <w:tl2br w:val="nil"/>
                    <w:tr2bl w:val="nil"/>
                  </w:tcBorders>
                  <w:noWrap w:val="0"/>
                  <w:vAlign w:val="center"/>
                </w:tcPr>
                <w:p w14:paraId="719E4A62">
                  <w:pPr>
                    <w:pStyle w:val="66"/>
                    <w:rPr>
                      <w:rFonts w:hint="eastAsia"/>
                      <w:color w:val="auto"/>
                    </w:rPr>
                  </w:pPr>
                </w:p>
              </w:tc>
              <w:tc>
                <w:tcPr>
                  <w:tcW w:w="563" w:type="pct"/>
                  <w:vMerge w:val="continue"/>
                  <w:tcBorders>
                    <w:tl2br w:val="nil"/>
                    <w:tr2bl w:val="nil"/>
                  </w:tcBorders>
                  <w:noWrap w:val="0"/>
                  <w:vAlign w:val="center"/>
                </w:tcPr>
                <w:p w14:paraId="69ADCA48">
                  <w:pPr>
                    <w:pStyle w:val="66"/>
                    <w:rPr>
                      <w:rFonts w:hint="eastAsia"/>
                      <w:color w:val="auto"/>
                    </w:rPr>
                  </w:pPr>
                </w:p>
              </w:tc>
              <w:tc>
                <w:tcPr>
                  <w:tcW w:w="794" w:type="pct"/>
                  <w:vMerge w:val="continue"/>
                  <w:tcBorders>
                    <w:tl2br w:val="nil"/>
                    <w:tr2bl w:val="nil"/>
                  </w:tcBorders>
                  <w:noWrap w:val="0"/>
                  <w:vAlign w:val="center"/>
                </w:tcPr>
                <w:p w14:paraId="3C577C2B">
                  <w:pPr>
                    <w:pStyle w:val="66"/>
                    <w:rPr>
                      <w:rFonts w:hint="eastAsia"/>
                      <w:color w:val="auto"/>
                    </w:rPr>
                  </w:pPr>
                </w:p>
              </w:tc>
            </w:tr>
            <w:tr w14:paraId="5D0321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1" w:type="pct"/>
                  <w:tcBorders>
                    <w:tl2br w:val="nil"/>
                    <w:tr2bl w:val="nil"/>
                  </w:tcBorders>
                  <w:noWrap w:val="0"/>
                  <w:vAlign w:val="center"/>
                </w:tcPr>
                <w:p w14:paraId="6700E8BD">
                  <w:pPr>
                    <w:pStyle w:val="66"/>
                    <w:bidi w:val="0"/>
                    <w:rPr>
                      <w:rFonts w:hint="eastAsia"/>
                      <w:color w:val="auto"/>
                      <w:lang w:val="en-US" w:eastAsia="zh-CN"/>
                    </w:rPr>
                  </w:pPr>
                  <w:r>
                    <w:rPr>
                      <w:rFonts w:hint="eastAsia"/>
                      <w:color w:val="auto"/>
                      <w:lang w:val="en-US" w:eastAsia="zh-CN"/>
                    </w:rPr>
                    <w:t>宁都传染病医院</w:t>
                  </w:r>
                </w:p>
              </w:tc>
              <w:tc>
                <w:tcPr>
                  <w:tcW w:w="494" w:type="pct"/>
                  <w:tcBorders>
                    <w:tl2br w:val="nil"/>
                    <w:tr2bl w:val="nil"/>
                  </w:tcBorders>
                  <w:noWrap w:val="0"/>
                  <w:vAlign w:val="center"/>
                </w:tcPr>
                <w:p w14:paraId="4C50381B">
                  <w:pPr>
                    <w:pStyle w:val="66"/>
                    <w:bidi w:val="0"/>
                    <w:rPr>
                      <w:rFonts w:hint="default"/>
                      <w:color w:val="auto"/>
                      <w:lang w:val="en-US" w:eastAsia="zh-CN"/>
                    </w:rPr>
                  </w:pPr>
                  <w:r>
                    <w:rPr>
                      <w:rFonts w:hint="eastAsia"/>
                      <w:color w:val="auto"/>
                      <w:lang w:val="en-US" w:eastAsia="zh-CN"/>
                    </w:rPr>
                    <w:t>0</w:t>
                  </w:r>
                </w:p>
              </w:tc>
              <w:tc>
                <w:tcPr>
                  <w:tcW w:w="390" w:type="pct"/>
                  <w:tcBorders>
                    <w:tl2br w:val="nil"/>
                    <w:tr2bl w:val="nil"/>
                  </w:tcBorders>
                  <w:noWrap w:val="0"/>
                  <w:vAlign w:val="center"/>
                </w:tcPr>
                <w:p w14:paraId="58CE6D77">
                  <w:pPr>
                    <w:pStyle w:val="66"/>
                    <w:bidi w:val="0"/>
                    <w:rPr>
                      <w:rFonts w:hint="default"/>
                      <w:color w:val="auto"/>
                      <w:lang w:val="en-US" w:eastAsia="zh-CN"/>
                    </w:rPr>
                  </w:pPr>
                  <w:r>
                    <w:rPr>
                      <w:rFonts w:hint="eastAsia"/>
                      <w:color w:val="auto"/>
                      <w:lang w:val="en-US" w:eastAsia="zh-CN"/>
                    </w:rPr>
                    <w:t>140</w:t>
                  </w:r>
                </w:p>
              </w:tc>
              <w:tc>
                <w:tcPr>
                  <w:tcW w:w="520" w:type="pct"/>
                  <w:tcBorders>
                    <w:tl2br w:val="nil"/>
                    <w:tr2bl w:val="nil"/>
                  </w:tcBorders>
                  <w:noWrap w:val="0"/>
                  <w:vAlign w:val="center"/>
                </w:tcPr>
                <w:p w14:paraId="46FEC8C5">
                  <w:pPr>
                    <w:pStyle w:val="66"/>
                    <w:rPr>
                      <w:rFonts w:hint="default"/>
                      <w:color w:val="auto"/>
                      <w:lang w:val="en-US" w:eastAsia="zh-CN"/>
                    </w:rPr>
                  </w:pPr>
                  <w:r>
                    <w:rPr>
                      <w:rFonts w:hint="eastAsia"/>
                      <w:color w:val="auto"/>
                      <w:lang w:val="en-US" w:eastAsia="zh-CN"/>
                    </w:rPr>
                    <w:t>医院</w:t>
                  </w:r>
                </w:p>
              </w:tc>
              <w:tc>
                <w:tcPr>
                  <w:tcW w:w="520" w:type="pct"/>
                  <w:vMerge w:val="restart"/>
                  <w:tcBorders>
                    <w:tl2br w:val="nil"/>
                    <w:tr2bl w:val="nil"/>
                  </w:tcBorders>
                  <w:noWrap w:val="0"/>
                  <w:vAlign w:val="center"/>
                </w:tcPr>
                <w:p w14:paraId="727246DF">
                  <w:pPr>
                    <w:pStyle w:val="66"/>
                    <w:rPr>
                      <w:color w:val="auto"/>
                    </w:rPr>
                  </w:pPr>
                  <w:r>
                    <w:rPr>
                      <w:rFonts w:hint="eastAsia"/>
                      <w:color w:val="auto"/>
                    </w:rPr>
                    <w:t>人群</w:t>
                  </w:r>
                </w:p>
              </w:tc>
              <w:tc>
                <w:tcPr>
                  <w:tcW w:w="1066" w:type="pct"/>
                  <w:vMerge w:val="restart"/>
                  <w:tcBorders>
                    <w:tl2br w:val="nil"/>
                    <w:tr2bl w:val="nil"/>
                  </w:tcBorders>
                  <w:noWrap w:val="0"/>
                  <w:vAlign w:val="center"/>
                </w:tcPr>
                <w:p w14:paraId="2EF35C33">
                  <w:pPr>
                    <w:pStyle w:val="66"/>
                    <w:keepNext w:val="0"/>
                    <w:keepLines w:val="0"/>
                    <w:pageBreakBefore w:val="0"/>
                    <w:widowControl w:val="0"/>
                    <w:kinsoku/>
                    <w:wordWrap w:val="0"/>
                    <w:overflowPunct/>
                    <w:topLinePunct w:val="0"/>
                    <w:autoSpaceDE/>
                    <w:autoSpaceDN/>
                    <w:bidi w:val="0"/>
                    <w:adjustRightInd/>
                    <w:snapToGrid/>
                    <w:textAlignment w:val="auto"/>
                    <w:rPr>
                      <w:color w:val="auto"/>
                    </w:rPr>
                  </w:pPr>
                  <w:r>
                    <w:rPr>
                      <w:color w:val="auto"/>
                    </w:rPr>
                    <w:t>《环境空气质量标准》（GB3095-2012）</w:t>
                  </w:r>
                  <w:r>
                    <w:rPr>
                      <w:rFonts w:hint="eastAsia"/>
                      <w:color w:val="auto"/>
                    </w:rPr>
                    <w:t>中二类区</w:t>
                  </w:r>
                </w:p>
              </w:tc>
              <w:tc>
                <w:tcPr>
                  <w:tcW w:w="563" w:type="pct"/>
                  <w:tcBorders>
                    <w:tl2br w:val="nil"/>
                    <w:tr2bl w:val="nil"/>
                  </w:tcBorders>
                  <w:noWrap w:val="0"/>
                  <w:vAlign w:val="center"/>
                </w:tcPr>
                <w:p w14:paraId="3757699B">
                  <w:pPr>
                    <w:pStyle w:val="66"/>
                    <w:rPr>
                      <w:rFonts w:hint="default"/>
                      <w:color w:val="auto"/>
                      <w:lang w:val="en-US" w:eastAsia="zh-CN"/>
                    </w:rPr>
                  </w:pPr>
                  <w:r>
                    <w:rPr>
                      <w:rFonts w:hint="eastAsia"/>
                      <w:color w:val="auto"/>
                      <w:lang w:val="en-US" w:eastAsia="zh-CN"/>
                    </w:rPr>
                    <w:t>N</w:t>
                  </w:r>
                </w:p>
              </w:tc>
              <w:tc>
                <w:tcPr>
                  <w:tcW w:w="794" w:type="pct"/>
                  <w:tcBorders>
                    <w:tl2br w:val="nil"/>
                    <w:tr2bl w:val="nil"/>
                  </w:tcBorders>
                  <w:noWrap w:val="0"/>
                  <w:vAlign w:val="center"/>
                </w:tcPr>
                <w:p w14:paraId="721ACD30">
                  <w:pPr>
                    <w:pStyle w:val="66"/>
                    <w:rPr>
                      <w:rFonts w:hint="default"/>
                      <w:color w:val="auto"/>
                      <w:lang w:val="en-US" w:eastAsia="zh-CN"/>
                    </w:rPr>
                  </w:pPr>
                  <w:r>
                    <w:rPr>
                      <w:rFonts w:hint="eastAsia"/>
                      <w:color w:val="auto"/>
                      <w:lang w:val="en-US" w:eastAsia="zh-CN"/>
                    </w:rPr>
                    <w:t>83</w:t>
                  </w:r>
                </w:p>
              </w:tc>
            </w:tr>
            <w:tr w14:paraId="2F222E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1" w:type="pct"/>
                  <w:tcBorders>
                    <w:tl2br w:val="nil"/>
                    <w:tr2bl w:val="nil"/>
                  </w:tcBorders>
                  <w:noWrap w:val="0"/>
                  <w:vAlign w:val="center"/>
                </w:tcPr>
                <w:p w14:paraId="2F8D9B3F">
                  <w:pPr>
                    <w:pStyle w:val="66"/>
                    <w:bidi w:val="0"/>
                    <w:rPr>
                      <w:rFonts w:hint="default"/>
                      <w:color w:val="auto"/>
                      <w:lang w:val="en-US" w:eastAsia="zh-CN"/>
                    </w:rPr>
                  </w:pPr>
                  <w:r>
                    <w:rPr>
                      <w:rFonts w:hint="eastAsia"/>
                      <w:color w:val="auto"/>
                      <w:lang w:val="en-US" w:eastAsia="zh-CN"/>
                    </w:rPr>
                    <w:t>下支坊</w:t>
                  </w:r>
                </w:p>
              </w:tc>
              <w:tc>
                <w:tcPr>
                  <w:tcW w:w="494" w:type="pct"/>
                  <w:tcBorders>
                    <w:tl2br w:val="nil"/>
                    <w:tr2bl w:val="nil"/>
                  </w:tcBorders>
                  <w:noWrap w:val="0"/>
                  <w:vAlign w:val="center"/>
                </w:tcPr>
                <w:p w14:paraId="34698B37">
                  <w:pPr>
                    <w:pStyle w:val="66"/>
                    <w:bidi w:val="0"/>
                    <w:rPr>
                      <w:rFonts w:hint="default"/>
                      <w:color w:val="auto"/>
                      <w:lang w:val="en-US" w:eastAsia="zh-CN"/>
                    </w:rPr>
                  </w:pPr>
                  <w:r>
                    <w:rPr>
                      <w:rFonts w:hint="eastAsia"/>
                      <w:color w:val="auto"/>
                      <w:lang w:val="en-US" w:eastAsia="zh-CN"/>
                    </w:rPr>
                    <w:t>457</w:t>
                  </w:r>
                </w:p>
              </w:tc>
              <w:tc>
                <w:tcPr>
                  <w:tcW w:w="390" w:type="pct"/>
                  <w:tcBorders>
                    <w:tl2br w:val="nil"/>
                    <w:tr2bl w:val="nil"/>
                  </w:tcBorders>
                  <w:noWrap w:val="0"/>
                  <w:vAlign w:val="center"/>
                </w:tcPr>
                <w:p w14:paraId="18C79696">
                  <w:pPr>
                    <w:pStyle w:val="66"/>
                    <w:bidi w:val="0"/>
                    <w:rPr>
                      <w:rFonts w:hint="default"/>
                      <w:color w:val="auto"/>
                      <w:lang w:val="en-US" w:eastAsia="zh-CN"/>
                    </w:rPr>
                  </w:pPr>
                  <w:r>
                    <w:rPr>
                      <w:rFonts w:hint="eastAsia"/>
                      <w:color w:val="auto"/>
                      <w:lang w:val="en-US" w:eastAsia="zh-CN"/>
                    </w:rPr>
                    <w:t>87</w:t>
                  </w:r>
                </w:p>
              </w:tc>
              <w:tc>
                <w:tcPr>
                  <w:tcW w:w="520" w:type="pct"/>
                  <w:tcBorders>
                    <w:tl2br w:val="nil"/>
                    <w:tr2bl w:val="nil"/>
                  </w:tcBorders>
                  <w:noWrap w:val="0"/>
                  <w:vAlign w:val="center"/>
                </w:tcPr>
                <w:p w14:paraId="1BD63BB4">
                  <w:pPr>
                    <w:pStyle w:val="66"/>
                    <w:rPr>
                      <w:rFonts w:hint="default" w:eastAsia="宋体"/>
                      <w:color w:val="auto"/>
                      <w:lang w:val="en-US" w:eastAsia="zh-CN"/>
                    </w:rPr>
                  </w:pPr>
                  <w:r>
                    <w:rPr>
                      <w:rFonts w:hint="eastAsia"/>
                      <w:color w:val="auto"/>
                      <w:lang w:val="en-US" w:eastAsia="zh-CN"/>
                    </w:rPr>
                    <w:t>居住区</w:t>
                  </w:r>
                </w:p>
              </w:tc>
              <w:tc>
                <w:tcPr>
                  <w:tcW w:w="520" w:type="pct"/>
                  <w:vMerge w:val="continue"/>
                  <w:tcBorders>
                    <w:tl2br w:val="nil"/>
                    <w:tr2bl w:val="nil"/>
                  </w:tcBorders>
                  <w:noWrap w:val="0"/>
                  <w:vAlign w:val="center"/>
                </w:tcPr>
                <w:p w14:paraId="7D7A753E">
                  <w:pPr>
                    <w:pStyle w:val="66"/>
                    <w:rPr>
                      <w:color w:val="auto"/>
                    </w:rPr>
                  </w:pPr>
                </w:p>
              </w:tc>
              <w:tc>
                <w:tcPr>
                  <w:tcW w:w="1066" w:type="pct"/>
                  <w:vMerge w:val="continue"/>
                  <w:tcBorders>
                    <w:tl2br w:val="nil"/>
                    <w:tr2bl w:val="nil"/>
                  </w:tcBorders>
                  <w:noWrap w:val="0"/>
                  <w:vAlign w:val="center"/>
                </w:tcPr>
                <w:p w14:paraId="76402890">
                  <w:pPr>
                    <w:pStyle w:val="66"/>
                    <w:keepNext w:val="0"/>
                    <w:keepLines w:val="0"/>
                    <w:pageBreakBefore w:val="0"/>
                    <w:widowControl w:val="0"/>
                    <w:kinsoku/>
                    <w:wordWrap w:val="0"/>
                    <w:overflowPunct/>
                    <w:topLinePunct w:val="0"/>
                    <w:autoSpaceDE/>
                    <w:autoSpaceDN/>
                    <w:bidi w:val="0"/>
                    <w:adjustRightInd/>
                    <w:snapToGrid/>
                    <w:textAlignment w:val="auto"/>
                    <w:rPr>
                      <w:color w:val="auto"/>
                    </w:rPr>
                  </w:pPr>
                </w:p>
              </w:tc>
              <w:tc>
                <w:tcPr>
                  <w:tcW w:w="563" w:type="pct"/>
                  <w:tcBorders>
                    <w:tl2br w:val="nil"/>
                    <w:tr2bl w:val="nil"/>
                  </w:tcBorders>
                  <w:noWrap w:val="0"/>
                  <w:vAlign w:val="center"/>
                </w:tcPr>
                <w:p w14:paraId="0755866B">
                  <w:pPr>
                    <w:pStyle w:val="66"/>
                    <w:rPr>
                      <w:rFonts w:hint="default" w:eastAsia="宋体"/>
                      <w:color w:val="auto"/>
                      <w:lang w:val="en-US" w:eastAsia="zh-CN"/>
                    </w:rPr>
                  </w:pPr>
                  <w:r>
                    <w:rPr>
                      <w:rFonts w:hint="eastAsia"/>
                      <w:color w:val="auto"/>
                      <w:lang w:val="en-US" w:eastAsia="zh-CN"/>
                    </w:rPr>
                    <w:t>EN</w:t>
                  </w:r>
                </w:p>
              </w:tc>
              <w:tc>
                <w:tcPr>
                  <w:tcW w:w="794" w:type="pct"/>
                  <w:tcBorders>
                    <w:tl2br w:val="nil"/>
                    <w:tr2bl w:val="nil"/>
                  </w:tcBorders>
                  <w:noWrap w:val="0"/>
                  <w:vAlign w:val="center"/>
                </w:tcPr>
                <w:p w14:paraId="0E45F869">
                  <w:pPr>
                    <w:pStyle w:val="66"/>
                    <w:rPr>
                      <w:rFonts w:hint="default" w:eastAsia="宋体"/>
                      <w:color w:val="auto"/>
                      <w:lang w:val="en-US" w:eastAsia="zh-CN"/>
                    </w:rPr>
                  </w:pPr>
                  <w:r>
                    <w:rPr>
                      <w:rFonts w:hint="eastAsia"/>
                      <w:color w:val="auto"/>
                      <w:lang w:val="en-US" w:eastAsia="zh-CN"/>
                    </w:rPr>
                    <w:t>452</w:t>
                  </w:r>
                </w:p>
              </w:tc>
            </w:tr>
            <w:tr w14:paraId="6E0FE4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1" w:type="pct"/>
                  <w:tcBorders>
                    <w:tl2br w:val="nil"/>
                    <w:tr2bl w:val="nil"/>
                  </w:tcBorders>
                  <w:noWrap w:val="0"/>
                  <w:vAlign w:val="center"/>
                </w:tcPr>
                <w:p w14:paraId="7390104E">
                  <w:pPr>
                    <w:pStyle w:val="66"/>
                    <w:bidi w:val="0"/>
                    <w:rPr>
                      <w:rFonts w:hint="eastAsia"/>
                      <w:color w:val="auto"/>
                      <w:lang w:val="en-US" w:eastAsia="zh-CN"/>
                    </w:rPr>
                  </w:pPr>
                  <w:r>
                    <w:rPr>
                      <w:rFonts w:hint="eastAsia"/>
                      <w:color w:val="auto"/>
                      <w:lang w:val="en-US" w:eastAsia="zh-CN"/>
                    </w:rPr>
                    <w:t>上支坊</w:t>
                  </w:r>
                </w:p>
              </w:tc>
              <w:tc>
                <w:tcPr>
                  <w:tcW w:w="494" w:type="pct"/>
                  <w:tcBorders>
                    <w:tl2br w:val="nil"/>
                    <w:tr2bl w:val="nil"/>
                  </w:tcBorders>
                  <w:noWrap w:val="0"/>
                  <w:vAlign w:val="center"/>
                </w:tcPr>
                <w:p w14:paraId="78B56CD0">
                  <w:pPr>
                    <w:pStyle w:val="66"/>
                    <w:bidi w:val="0"/>
                    <w:rPr>
                      <w:rFonts w:hint="default"/>
                      <w:color w:val="auto"/>
                      <w:lang w:val="en-US" w:eastAsia="zh-CN"/>
                    </w:rPr>
                  </w:pPr>
                  <w:r>
                    <w:rPr>
                      <w:rFonts w:hint="eastAsia"/>
                      <w:color w:val="auto"/>
                      <w:lang w:val="en-US" w:eastAsia="zh-CN"/>
                    </w:rPr>
                    <w:t>0</w:t>
                  </w:r>
                </w:p>
              </w:tc>
              <w:tc>
                <w:tcPr>
                  <w:tcW w:w="390" w:type="pct"/>
                  <w:tcBorders>
                    <w:tl2br w:val="nil"/>
                    <w:tr2bl w:val="nil"/>
                  </w:tcBorders>
                  <w:noWrap w:val="0"/>
                  <w:vAlign w:val="center"/>
                </w:tcPr>
                <w:p w14:paraId="02FD9395">
                  <w:pPr>
                    <w:pStyle w:val="66"/>
                    <w:bidi w:val="0"/>
                    <w:rPr>
                      <w:rFonts w:hint="eastAsia"/>
                      <w:color w:val="auto"/>
                      <w:lang w:val="en-US" w:eastAsia="zh-CN"/>
                    </w:rPr>
                  </w:pPr>
                  <w:r>
                    <w:rPr>
                      <w:rFonts w:hint="eastAsia"/>
                      <w:color w:val="auto"/>
                      <w:lang w:val="en-US" w:eastAsia="zh-CN"/>
                    </w:rPr>
                    <w:t>549</w:t>
                  </w:r>
                </w:p>
              </w:tc>
              <w:tc>
                <w:tcPr>
                  <w:tcW w:w="520" w:type="pct"/>
                  <w:tcBorders>
                    <w:tl2br w:val="nil"/>
                    <w:tr2bl w:val="nil"/>
                  </w:tcBorders>
                  <w:noWrap w:val="0"/>
                  <w:vAlign w:val="center"/>
                </w:tcPr>
                <w:p w14:paraId="2A477AB2">
                  <w:pPr>
                    <w:pStyle w:val="66"/>
                    <w:rPr>
                      <w:rFonts w:hint="eastAsia"/>
                      <w:color w:val="auto"/>
                      <w:lang w:val="en-US" w:eastAsia="zh-CN"/>
                    </w:rPr>
                  </w:pPr>
                  <w:r>
                    <w:rPr>
                      <w:rFonts w:hint="eastAsia"/>
                      <w:color w:val="auto"/>
                      <w:lang w:val="en-US" w:eastAsia="zh-CN"/>
                    </w:rPr>
                    <w:t>居住区</w:t>
                  </w:r>
                </w:p>
              </w:tc>
              <w:tc>
                <w:tcPr>
                  <w:tcW w:w="520" w:type="pct"/>
                  <w:vMerge w:val="continue"/>
                  <w:tcBorders>
                    <w:tl2br w:val="nil"/>
                    <w:tr2bl w:val="nil"/>
                  </w:tcBorders>
                  <w:noWrap w:val="0"/>
                  <w:vAlign w:val="center"/>
                </w:tcPr>
                <w:p w14:paraId="40679EA4">
                  <w:pPr>
                    <w:pStyle w:val="66"/>
                    <w:rPr>
                      <w:color w:val="auto"/>
                    </w:rPr>
                  </w:pPr>
                </w:p>
              </w:tc>
              <w:tc>
                <w:tcPr>
                  <w:tcW w:w="1066" w:type="pct"/>
                  <w:vMerge w:val="continue"/>
                  <w:tcBorders>
                    <w:tl2br w:val="nil"/>
                    <w:tr2bl w:val="nil"/>
                  </w:tcBorders>
                  <w:noWrap w:val="0"/>
                  <w:vAlign w:val="center"/>
                </w:tcPr>
                <w:p w14:paraId="2B33C938">
                  <w:pPr>
                    <w:pStyle w:val="66"/>
                    <w:keepNext w:val="0"/>
                    <w:keepLines w:val="0"/>
                    <w:pageBreakBefore w:val="0"/>
                    <w:widowControl w:val="0"/>
                    <w:kinsoku/>
                    <w:wordWrap w:val="0"/>
                    <w:overflowPunct/>
                    <w:topLinePunct w:val="0"/>
                    <w:autoSpaceDE/>
                    <w:autoSpaceDN/>
                    <w:bidi w:val="0"/>
                    <w:adjustRightInd/>
                    <w:snapToGrid/>
                    <w:textAlignment w:val="auto"/>
                    <w:rPr>
                      <w:color w:val="auto"/>
                    </w:rPr>
                  </w:pPr>
                </w:p>
              </w:tc>
              <w:tc>
                <w:tcPr>
                  <w:tcW w:w="563" w:type="pct"/>
                  <w:tcBorders>
                    <w:tl2br w:val="nil"/>
                    <w:tr2bl w:val="nil"/>
                  </w:tcBorders>
                  <w:noWrap w:val="0"/>
                  <w:vAlign w:val="center"/>
                </w:tcPr>
                <w:p w14:paraId="38790001">
                  <w:pPr>
                    <w:pStyle w:val="66"/>
                    <w:rPr>
                      <w:rFonts w:hint="eastAsia"/>
                      <w:color w:val="auto"/>
                      <w:lang w:val="en-US" w:eastAsia="zh-CN"/>
                    </w:rPr>
                  </w:pPr>
                  <w:r>
                    <w:rPr>
                      <w:rFonts w:hint="eastAsia"/>
                      <w:color w:val="auto"/>
                      <w:lang w:val="en-US" w:eastAsia="zh-CN"/>
                    </w:rPr>
                    <w:t>N</w:t>
                  </w:r>
                </w:p>
              </w:tc>
              <w:tc>
                <w:tcPr>
                  <w:tcW w:w="794" w:type="pct"/>
                  <w:tcBorders>
                    <w:tl2br w:val="nil"/>
                    <w:tr2bl w:val="nil"/>
                  </w:tcBorders>
                  <w:noWrap w:val="0"/>
                  <w:vAlign w:val="center"/>
                </w:tcPr>
                <w:p w14:paraId="5478B541">
                  <w:pPr>
                    <w:pStyle w:val="66"/>
                    <w:rPr>
                      <w:rFonts w:hint="default"/>
                      <w:color w:val="auto"/>
                      <w:lang w:val="en-US" w:eastAsia="zh-CN"/>
                    </w:rPr>
                  </w:pPr>
                  <w:r>
                    <w:rPr>
                      <w:rFonts w:hint="eastAsia"/>
                      <w:color w:val="auto"/>
                      <w:lang w:val="en-US" w:eastAsia="zh-CN"/>
                    </w:rPr>
                    <w:t>498</w:t>
                  </w:r>
                </w:p>
              </w:tc>
            </w:tr>
          </w:tbl>
          <w:p w14:paraId="1952C746">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（二）声环境</w:t>
            </w:r>
          </w:p>
          <w:p w14:paraId="041A73BC">
            <w:pPr>
              <w:pStyle w:val="71"/>
              <w:bidi w:val="0"/>
              <w:rPr>
                <w:rFonts w:hint="default"/>
                <w:color w:val="auto"/>
                <w:lang w:val="en-US" w:eastAsia="zh-CN"/>
              </w:rPr>
            </w:pPr>
            <w:r>
              <w:rPr>
                <w:rFonts w:hint="eastAsia"/>
                <w:color w:val="auto"/>
                <w:lang w:val="en-US" w:eastAsia="zh-CN"/>
              </w:rPr>
              <w:t>根据现场踏勘，本项目厂界外周边50m范围内无声环境保护目标</w:t>
            </w:r>
            <w:r>
              <w:rPr>
                <w:rFonts w:hint="eastAsia"/>
                <w:color w:val="auto"/>
                <w:highlight w:val="none"/>
                <w:lang w:val="en-US" w:eastAsia="zh-CN"/>
              </w:rPr>
              <w:t>，无须进行声环境监测。</w:t>
            </w:r>
          </w:p>
          <w:p w14:paraId="12B1971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（三）地下水环境</w:t>
            </w:r>
          </w:p>
          <w:p w14:paraId="655EAC2F">
            <w:pPr>
              <w:pStyle w:val="71"/>
              <w:bidi w:val="0"/>
              <w:rPr>
                <w:rFonts w:hint="default"/>
                <w:color w:val="auto"/>
                <w:lang w:val="en-US" w:eastAsia="zh-CN"/>
              </w:rPr>
            </w:pPr>
            <w:r>
              <w:rPr>
                <w:rFonts w:hint="eastAsia"/>
                <w:color w:val="auto"/>
                <w:lang w:val="en-US" w:eastAsia="zh-CN"/>
              </w:rPr>
              <w:t>根据现场踏勘，本项目厂界外500米范围内的地下水集中式饮用水水源和热水、矿泉水、温泉等特殊地下水资源。</w:t>
            </w:r>
          </w:p>
          <w:p w14:paraId="6BE0AC9C">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（四）生态环境</w:t>
            </w:r>
          </w:p>
          <w:p w14:paraId="35F0D201">
            <w:pPr>
              <w:pStyle w:val="71"/>
              <w:bidi w:val="0"/>
              <w:rPr>
                <w:color w:val="auto"/>
              </w:rPr>
            </w:pPr>
            <w:r>
              <w:rPr>
                <w:rFonts w:hint="eastAsia"/>
                <w:color w:val="auto"/>
                <w:lang w:val="en-US" w:eastAsia="zh-CN"/>
              </w:rPr>
              <w:t>根据现场踏勘，本项目用地范围内无生态环境保护目标。</w:t>
            </w:r>
          </w:p>
        </w:tc>
      </w:tr>
      <w:tr w14:paraId="07E0A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331" w:type="pct"/>
            <w:noWrap w:val="0"/>
            <w:tcMar>
              <w:left w:w="28" w:type="dxa"/>
              <w:right w:w="28" w:type="dxa"/>
            </w:tcMar>
            <w:vAlign w:val="center"/>
          </w:tcPr>
          <w:p w14:paraId="7D50E3CA">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污染物排放控制标准</w:t>
            </w:r>
          </w:p>
        </w:tc>
        <w:tc>
          <w:tcPr>
            <w:tcW w:w="4668" w:type="pct"/>
            <w:noWrap w:val="0"/>
            <w:vAlign w:val="center"/>
          </w:tcPr>
          <w:p w14:paraId="6C7DA9C4">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（一）废气</w:t>
            </w:r>
          </w:p>
          <w:p w14:paraId="6A5C59F1">
            <w:pPr>
              <w:pStyle w:val="71"/>
              <w:bidi w:val="0"/>
              <w:rPr>
                <w:rFonts w:hint="default" w:cs="Times New Roman"/>
                <w:color w:val="auto"/>
                <w:sz w:val="24"/>
                <w:szCs w:val="24"/>
                <w:lang w:val="en-US" w:eastAsia="zh-CN"/>
              </w:rPr>
            </w:pPr>
            <w:r>
              <w:rPr>
                <w:rFonts w:hint="default" w:ascii="Times New Roman" w:hAnsi="Times New Roman" w:cs="Times New Roman"/>
                <w:color w:val="auto"/>
                <w:sz w:val="24"/>
                <w:szCs w:val="24"/>
                <w:lang w:val="en-US" w:eastAsia="zh-CN"/>
              </w:rPr>
              <w:t>施工期、运营期废气</w:t>
            </w:r>
            <w:r>
              <w:rPr>
                <w:rFonts w:hint="default" w:ascii="Times New Roman" w:hAnsi="Times New Roman" w:eastAsia="宋体" w:cs="Times New Roman"/>
                <w:color w:val="auto"/>
                <w:sz w:val="24"/>
                <w:szCs w:val="24"/>
                <w:lang w:val="en-US" w:eastAsia="zh-CN"/>
              </w:rPr>
              <w:t>排放执行《大气污染物综合排放标准》（GB16297-1996）表2中大气污染物排放限值要求；</w:t>
            </w:r>
            <w:r>
              <w:rPr>
                <w:rFonts w:hint="default" w:ascii="Times New Roman" w:hAnsi="Times New Roman" w:eastAsia="宋体" w:cs="Times New Roman"/>
                <w:color w:val="auto"/>
                <w:sz w:val="24"/>
                <w:szCs w:val="24"/>
              </w:rPr>
              <w:t>站区内非甲烷总烃排放执行《挥发性有机物无组织排放控制标准》（GB37822-2019）中附录A表A.1特别排放限值要求</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32"/>
                <w:lang w:val="en-US" w:eastAsia="zh-CN"/>
              </w:rPr>
              <w:t>食堂油烟排放执行《饮食业油烟排放标准（试行）》（GB18483-2001）表2中小型标准要求；</w:t>
            </w:r>
            <w:r>
              <w:rPr>
                <w:rFonts w:hint="default" w:ascii="Times New Roman" w:hAnsi="Times New Roman" w:eastAsia="Times New Roman" w:cs="Times New Roman"/>
                <w:color w:val="auto"/>
                <w:sz w:val="24"/>
                <w:szCs w:val="24"/>
                <w:highlight w:val="none"/>
                <w:lang w:val="en-US" w:eastAsia="zh-CN"/>
              </w:rPr>
              <w:t>运营期备用柴油发电机废气排放执行《非道路移动机械用柴油机排气污染物排放限值及测量方法（中国第三、四阶段）》（GB20891-2014）表2中第三阶段标准</w:t>
            </w:r>
            <w:r>
              <w:rPr>
                <w:rFonts w:hint="eastAsia" w:ascii="Times New Roman" w:hAnsi="Times New Roman" w:eastAsia="Times New Roman" w:cs="Times New Roman"/>
                <w:color w:val="auto"/>
                <w:sz w:val="24"/>
                <w:szCs w:val="24"/>
                <w:highlight w:val="none"/>
                <w:lang w:val="en-US" w:eastAsia="zh-CN"/>
              </w:rPr>
              <w:t>值</w:t>
            </w:r>
            <w:r>
              <w:rPr>
                <w:rFonts w:hint="eastAsia" w:cs="Times New Roman"/>
                <w:color w:val="auto"/>
                <w:sz w:val="24"/>
                <w:szCs w:val="24"/>
                <w:highlight w:val="none"/>
                <w:lang w:val="en-US" w:eastAsia="zh-CN"/>
              </w:rPr>
              <w:t>。</w:t>
            </w:r>
          </w:p>
          <w:p w14:paraId="7BC1691A">
            <w:pPr>
              <w:pStyle w:val="10"/>
              <w:rPr>
                <w:rFonts w:hint="eastAsia"/>
                <w:color w:val="auto"/>
              </w:rPr>
            </w:pPr>
            <w:r>
              <w:rPr>
                <w:color w:val="auto"/>
              </w:rPr>
              <w:t>表</w:t>
            </w:r>
            <w:r>
              <w:rPr>
                <w:rStyle w:val="70"/>
                <w:rFonts w:hint="eastAsia"/>
                <w:b/>
                <w:color w:val="auto"/>
                <w:lang w:val="en-US" w:eastAsia="zh-CN"/>
              </w:rPr>
              <w:t>3-3</w:t>
            </w:r>
            <w:r>
              <w:rPr>
                <w:rFonts w:hint="eastAsia"/>
                <w:color w:val="auto"/>
                <w:lang w:val="en-US" w:eastAsia="zh-CN"/>
              </w:rPr>
              <w:t>本项目</w:t>
            </w:r>
            <w:r>
              <w:rPr>
                <w:rFonts w:hint="eastAsia"/>
                <w:color w:val="auto"/>
              </w:rPr>
              <w:t>大气污染物排放标准</w:t>
            </w:r>
          </w:p>
          <w:tbl>
            <w:tblPr>
              <w:tblStyle w:val="3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180"/>
              <w:gridCol w:w="1949"/>
              <w:gridCol w:w="1501"/>
              <w:gridCol w:w="3493"/>
            </w:tblGrid>
            <w:tr w14:paraId="1607D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05" w:type="pct"/>
                  <w:vMerge w:val="restart"/>
                  <w:tcBorders>
                    <w:tl2br w:val="nil"/>
                    <w:tr2bl w:val="nil"/>
                  </w:tcBorders>
                  <w:noWrap w:val="0"/>
                  <w:vAlign w:val="center"/>
                </w:tcPr>
                <w:p w14:paraId="3A7D7EA2">
                  <w:pPr>
                    <w:pStyle w:val="67"/>
                    <w:rPr>
                      <w:color w:val="auto"/>
                      <w:highlight w:val="none"/>
                    </w:rPr>
                  </w:pPr>
                  <w:r>
                    <w:rPr>
                      <w:rFonts w:hint="eastAsia"/>
                      <w:color w:val="auto"/>
                      <w:highlight w:val="none"/>
                    </w:rPr>
                    <w:t>序号</w:t>
                  </w:r>
                </w:p>
              </w:tc>
              <w:tc>
                <w:tcPr>
                  <w:tcW w:w="682" w:type="pct"/>
                  <w:vMerge w:val="restart"/>
                  <w:tcBorders>
                    <w:tl2br w:val="nil"/>
                    <w:tr2bl w:val="nil"/>
                  </w:tcBorders>
                  <w:noWrap w:val="0"/>
                  <w:vAlign w:val="center"/>
                </w:tcPr>
                <w:p w14:paraId="0CB194D5">
                  <w:pPr>
                    <w:pStyle w:val="67"/>
                    <w:rPr>
                      <w:rFonts w:hint="eastAsia"/>
                      <w:color w:val="auto"/>
                      <w:highlight w:val="none"/>
                    </w:rPr>
                  </w:pPr>
                  <w:r>
                    <w:rPr>
                      <w:rFonts w:hint="eastAsia"/>
                      <w:color w:val="auto"/>
                      <w:highlight w:val="none"/>
                    </w:rPr>
                    <w:t>污染物名称</w:t>
                  </w:r>
                </w:p>
              </w:tc>
              <w:tc>
                <w:tcPr>
                  <w:tcW w:w="1993" w:type="pct"/>
                  <w:gridSpan w:val="2"/>
                  <w:tcBorders>
                    <w:tl2br w:val="nil"/>
                    <w:tr2bl w:val="nil"/>
                  </w:tcBorders>
                  <w:noWrap w:val="0"/>
                  <w:vAlign w:val="center"/>
                </w:tcPr>
                <w:p w14:paraId="708E4E17">
                  <w:pPr>
                    <w:pStyle w:val="67"/>
                    <w:rPr>
                      <w:rFonts w:hint="eastAsia"/>
                      <w:color w:val="auto"/>
                      <w:highlight w:val="none"/>
                    </w:rPr>
                  </w:pPr>
                  <w:r>
                    <w:rPr>
                      <w:rFonts w:hint="eastAsia"/>
                      <w:color w:val="auto"/>
                      <w:highlight w:val="none"/>
                    </w:rPr>
                    <w:t>无组织</w:t>
                  </w:r>
                </w:p>
              </w:tc>
              <w:tc>
                <w:tcPr>
                  <w:tcW w:w="2018" w:type="pct"/>
                  <w:vMerge w:val="restart"/>
                  <w:tcBorders>
                    <w:tl2br w:val="nil"/>
                    <w:tr2bl w:val="nil"/>
                  </w:tcBorders>
                  <w:noWrap w:val="0"/>
                  <w:vAlign w:val="center"/>
                </w:tcPr>
                <w:p w14:paraId="52CAB9C4">
                  <w:pPr>
                    <w:pStyle w:val="67"/>
                    <w:rPr>
                      <w:rFonts w:hint="eastAsia"/>
                      <w:color w:val="auto"/>
                      <w:highlight w:val="none"/>
                    </w:rPr>
                  </w:pPr>
                  <w:r>
                    <w:rPr>
                      <w:rFonts w:hint="eastAsia"/>
                      <w:color w:val="auto"/>
                      <w:highlight w:val="none"/>
                    </w:rPr>
                    <w:t>标准来源</w:t>
                  </w:r>
                </w:p>
              </w:tc>
            </w:tr>
            <w:tr w14:paraId="145CB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vMerge w:val="continue"/>
                  <w:tcBorders>
                    <w:tl2br w:val="nil"/>
                    <w:tr2bl w:val="nil"/>
                  </w:tcBorders>
                  <w:noWrap w:val="0"/>
                  <w:vAlign w:val="center"/>
                </w:tcPr>
                <w:p w14:paraId="6A063E64">
                  <w:pPr>
                    <w:pStyle w:val="67"/>
                    <w:rPr>
                      <w:rFonts w:hint="eastAsia"/>
                      <w:color w:val="auto"/>
                      <w:highlight w:val="none"/>
                    </w:rPr>
                  </w:pPr>
                </w:p>
              </w:tc>
              <w:tc>
                <w:tcPr>
                  <w:tcW w:w="682" w:type="pct"/>
                  <w:vMerge w:val="continue"/>
                  <w:tcBorders>
                    <w:tl2br w:val="nil"/>
                    <w:tr2bl w:val="nil"/>
                  </w:tcBorders>
                  <w:noWrap w:val="0"/>
                  <w:vAlign w:val="center"/>
                </w:tcPr>
                <w:p w14:paraId="20731CFF">
                  <w:pPr>
                    <w:pStyle w:val="67"/>
                    <w:rPr>
                      <w:rFonts w:hint="eastAsia"/>
                      <w:color w:val="auto"/>
                      <w:highlight w:val="none"/>
                    </w:rPr>
                  </w:pPr>
                </w:p>
              </w:tc>
              <w:tc>
                <w:tcPr>
                  <w:tcW w:w="1126" w:type="pct"/>
                  <w:tcBorders>
                    <w:tl2br w:val="nil"/>
                    <w:tr2bl w:val="nil"/>
                  </w:tcBorders>
                  <w:noWrap w:val="0"/>
                  <w:vAlign w:val="center"/>
                </w:tcPr>
                <w:p w14:paraId="7179FC1D">
                  <w:pPr>
                    <w:pStyle w:val="67"/>
                    <w:rPr>
                      <w:rFonts w:hint="eastAsia"/>
                      <w:color w:val="auto"/>
                      <w:highlight w:val="none"/>
                    </w:rPr>
                  </w:pPr>
                  <w:r>
                    <w:rPr>
                      <w:rFonts w:hint="eastAsia"/>
                      <w:color w:val="auto"/>
                      <w:highlight w:val="none"/>
                    </w:rPr>
                    <w:t>监控点</w:t>
                  </w:r>
                </w:p>
              </w:tc>
              <w:tc>
                <w:tcPr>
                  <w:tcW w:w="866" w:type="pct"/>
                  <w:tcBorders>
                    <w:tl2br w:val="nil"/>
                    <w:tr2bl w:val="nil"/>
                  </w:tcBorders>
                  <w:noWrap w:val="0"/>
                  <w:vAlign w:val="center"/>
                </w:tcPr>
                <w:p w14:paraId="24C20124">
                  <w:pPr>
                    <w:pStyle w:val="67"/>
                    <w:rPr>
                      <w:rFonts w:hint="eastAsia"/>
                      <w:color w:val="auto"/>
                      <w:highlight w:val="none"/>
                    </w:rPr>
                  </w:pPr>
                  <w:r>
                    <w:rPr>
                      <w:rFonts w:hint="eastAsia"/>
                      <w:color w:val="auto"/>
                      <w:highlight w:val="none"/>
                    </w:rPr>
                    <w:t>浓度（mg/L）</w:t>
                  </w:r>
                </w:p>
              </w:tc>
              <w:tc>
                <w:tcPr>
                  <w:tcW w:w="2018" w:type="pct"/>
                  <w:vMerge w:val="continue"/>
                  <w:tcBorders>
                    <w:tl2br w:val="nil"/>
                    <w:tr2bl w:val="nil"/>
                  </w:tcBorders>
                  <w:noWrap w:val="0"/>
                  <w:vAlign w:val="center"/>
                </w:tcPr>
                <w:p w14:paraId="41574737">
                  <w:pPr>
                    <w:pStyle w:val="66"/>
                    <w:rPr>
                      <w:rFonts w:hint="eastAsia"/>
                      <w:color w:val="auto"/>
                      <w:highlight w:val="none"/>
                    </w:rPr>
                  </w:pPr>
                </w:p>
              </w:tc>
            </w:tr>
            <w:tr w14:paraId="3DBC4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tl2br w:val="nil"/>
                    <w:tr2bl w:val="nil"/>
                  </w:tcBorders>
                  <w:noWrap w:val="0"/>
                  <w:vAlign w:val="center"/>
                </w:tcPr>
                <w:p w14:paraId="22B8718C">
                  <w:pPr>
                    <w:pStyle w:val="66"/>
                    <w:rPr>
                      <w:color w:val="auto"/>
                      <w:highlight w:val="none"/>
                    </w:rPr>
                  </w:pPr>
                  <w:r>
                    <w:rPr>
                      <w:rFonts w:hint="eastAsia"/>
                      <w:color w:val="auto"/>
                      <w:highlight w:val="none"/>
                    </w:rPr>
                    <w:t>1</w:t>
                  </w:r>
                </w:p>
              </w:tc>
              <w:tc>
                <w:tcPr>
                  <w:tcW w:w="682" w:type="pct"/>
                  <w:tcBorders>
                    <w:tl2br w:val="nil"/>
                    <w:tr2bl w:val="nil"/>
                  </w:tcBorders>
                  <w:noWrap w:val="0"/>
                  <w:vAlign w:val="center"/>
                </w:tcPr>
                <w:p w14:paraId="64CA405D">
                  <w:pPr>
                    <w:pStyle w:val="66"/>
                    <w:rPr>
                      <w:color w:val="auto"/>
                      <w:highlight w:val="none"/>
                    </w:rPr>
                  </w:pPr>
                  <w:r>
                    <w:rPr>
                      <w:rFonts w:hint="default" w:ascii="Times New Roman" w:hAnsi="Times New Roman" w:eastAsia="宋体" w:cs="Times New Roman"/>
                      <w:color w:val="auto"/>
                      <w:sz w:val="21"/>
                      <w:szCs w:val="21"/>
                      <w:highlight w:val="none"/>
                    </w:rPr>
                    <w:t>非甲烷总烃</w:t>
                  </w:r>
                </w:p>
              </w:tc>
              <w:tc>
                <w:tcPr>
                  <w:tcW w:w="1126" w:type="pct"/>
                  <w:tcBorders>
                    <w:tl2br w:val="nil"/>
                    <w:tr2bl w:val="nil"/>
                  </w:tcBorders>
                  <w:noWrap w:val="0"/>
                  <w:vAlign w:val="center"/>
                </w:tcPr>
                <w:p w14:paraId="5AF2757C">
                  <w:pPr>
                    <w:pStyle w:val="66"/>
                    <w:rPr>
                      <w:rFonts w:hint="default" w:eastAsia="宋体"/>
                      <w:color w:val="auto"/>
                      <w:highlight w:val="none"/>
                      <w:lang w:val="en-US" w:eastAsia="zh-CN"/>
                    </w:rPr>
                  </w:pPr>
                  <w:r>
                    <w:rPr>
                      <w:rFonts w:hint="eastAsia"/>
                      <w:color w:val="auto"/>
                      <w:highlight w:val="none"/>
                      <w:lang w:val="en-US" w:eastAsia="zh-CN"/>
                    </w:rPr>
                    <w:t>周界外浓度最高点</w:t>
                  </w:r>
                </w:p>
              </w:tc>
              <w:tc>
                <w:tcPr>
                  <w:tcW w:w="866" w:type="pct"/>
                  <w:tcBorders>
                    <w:tl2br w:val="nil"/>
                    <w:tr2bl w:val="nil"/>
                  </w:tcBorders>
                  <w:noWrap w:val="0"/>
                  <w:vAlign w:val="center"/>
                </w:tcPr>
                <w:p w14:paraId="0A2C27DE">
                  <w:pPr>
                    <w:pStyle w:val="66"/>
                    <w:rPr>
                      <w:rFonts w:hint="default" w:eastAsia="宋体"/>
                      <w:color w:val="auto"/>
                      <w:highlight w:val="none"/>
                      <w:lang w:val="en-US" w:eastAsia="zh-CN"/>
                    </w:rPr>
                  </w:pPr>
                  <w:r>
                    <w:rPr>
                      <w:rFonts w:hint="eastAsia"/>
                      <w:color w:val="auto"/>
                      <w:highlight w:val="none"/>
                      <w:lang w:val="en-US" w:eastAsia="zh-CN"/>
                    </w:rPr>
                    <w:t>4.0</w:t>
                  </w:r>
                </w:p>
              </w:tc>
              <w:tc>
                <w:tcPr>
                  <w:tcW w:w="2018" w:type="pct"/>
                  <w:tcBorders>
                    <w:tl2br w:val="nil"/>
                    <w:tr2bl w:val="nil"/>
                  </w:tcBorders>
                  <w:noWrap w:val="0"/>
                  <w:vAlign w:val="center"/>
                </w:tcPr>
                <w:p w14:paraId="2118FD05">
                  <w:pPr>
                    <w:pStyle w:val="66"/>
                    <w:rPr>
                      <w:rFonts w:hint="default" w:eastAsia="宋体"/>
                      <w:color w:val="auto"/>
                      <w:highlight w:val="none"/>
                      <w:lang w:val="en-US" w:eastAsia="zh-CN"/>
                    </w:rPr>
                  </w:pPr>
                  <w:r>
                    <w:rPr>
                      <w:rFonts w:hint="default" w:eastAsia="宋体"/>
                      <w:color w:val="auto"/>
                      <w:highlight w:val="none"/>
                      <w:lang w:val="en-US" w:eastAsia="zh-CN"/>
                    </w:rPr>
                    <w:t>《大气污染物综合排放标准》（GB16297-1996）表2</w:t>
                  </w:r>
                  <w:r>
                    <w:rPr>
                      <w:rFonts w:hint="eastAsia"/>
                      <w:color w:val="auto"/>
                      <w:highlight w:val="none"/>
                      <w:lang w:val="en-US" w:eastAsia="zh-CN"/>
                    </w:rPr>
                    <w:t>中二级标准</w:t>
                  </w:r>
                </w:p>
              </w:tc>
            </w:tr>
          </w:tbl>
          <w:p w14:paraId="17595876">
            <w:pPr>
              <w:pStyle w:val="10"/>
              <w:rPr>
                <w:rFonts w:hint="default"/>
                <w:color w:val="auto"/>
                <w:lang w:val="en-US"/>
              </w:rPr>
            </w:pPr>
            <w:r>
              <w:rPr>
                <w:color w:val="auto"/>
              </w:rPr>
              <w:t>表</w:t>
            </w:r>
            <w:r>
              <w:rPr>
                <w:rStyle w:val="70"/>
                <w:rFonts w:hint="eastAsia"/>
                <w:b/>
                <w:color w:val="auto"/>
                <w:lang w:val="en-US" w:eastAsia="zh-CN"/>
              </w:rPr>
              <w:t>3-4</w:t>
            </w:r>
            <w:r>
              <w:rPr>
                <w:rFonts w:hint="eastAsia"/>
                <w:color w:val="auto"/>
                <w:lang w:val="en-US" w:eastAsia="zh-CN"/>
              </w:rPr>
              <w:t>站内挥发性有机物无组织排放限值</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213"/>
              <w:gridCol w:w="2190"/>
              <w:gridCol w:w="1618"/>
              <w:gridCol w:w="2533"/>
            </w:tblGrid>
            <w:tr w14:paraId="09A86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38" w:type="pct"/>
                  <w:tcBorders>
                    <w:tl2br w:val="nil"/>
                    <w:tr2bl w:val="nil"/>
                  </w:tcBorders>
                  <w:noWrap w:val="0"/>
                  <w:vAlign w:val="center"/>
                </w:tcPr>
                <w:p w14:paraId="51C8245F">
                  <w:pPr>
                    <w:pStyle w:val="67"/>
                    <w:ind w:left="51" w:leftChars="0" w:right="51"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700" w:type="pct"/>
                  <w:tcBorders>
                    <w:tl2br w:val="nil"/>
                    <w:tr2bl w:val="nil"/>
                  </w:tcBorders>
                  <w:noWrap w:val="0"/>
                  <w:vAlign w:val="center"/>
                </w:tcPr>
                <w:p w14:paraId="5B86F428">
                  <w:pPr>
                    <w:pStyle w:val="67"/>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排放限值</w:t>
                  </w:r>
                </w:p>
              </w:tc>
              <w:tc>
                <w:tcPr>
                  <w:tcW w:w="1264" w:type="pct"/>
                  <w:tcBorders>
                    <w:tl2br w:val="nil"/>
                    <w:tr2bl w:val="nil"/>
                  </w:tcBorders>
                  <w:noWrap w:val="0"/>
                  <w:vAlign w:val="center"/>
                </w:tcPr>
                <w:p w14:paraId="649601BA">
                  <w:pPr>
                    <w:pStyle w:val="67"/>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限值含义</w:t>
                  </w:r>
                </w:p>
              </w:tc>
              <w:tc>
                <w:tcPr>
                  <w:tcW w:w="934" w:type="pct"/>
                  <w:tcBorders>
                    <w:tl2br w:val="nil"/>
                    <w:tr2bl w:val="nil"/>
                  </w:tcBorders>
                  <w:noWrap w:val="0"/>
                  <w:vAlign w:val="center"/>
                </w:tcPr>
                <w:p w14:paraId="4956192A">
                  <w:pPr>
                    <w:pStyle w:val="67"/>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无组织排放监控位置</w:t>
                  </w:r>
                </w:p>
              </w:tc>
              <w:tc>
                <w:tcPr>
                  <w:tcW w:w="1462" w:type="pct"/>
                  <w:tcBorders>
                    <w:tl2br w:val="nil"/>
                    <w:tr2bl w:val="nil"/>
                  </w:tcBorders>
                  <w:noWrap w:val="0"/>
                  <w:vAlign w:val="center"/>
                </w:tcPr>
                <w:p w14:paraId="5F20F134">
                  <w:pPr>
                    <w:pStyle w:val="67"/>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14:paraId="5C08D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38" w:type="pct"/>
                  <w:vMerge w:val="restart"/>
                  <w:tcBorders>
                    <w:tl2br w:val="nil"/>
                    <w:tr2bl w:val="nil"/>
                  </w:tcBorders>
                  <w:noWrap w:val="0"/>
                  <w:vAlign w:val="center"/>
                </w:tcPr>
                <w:p w14:paraId="16CF37F8">
                  <w:pPr>
                    <w:pStyle w:val="66"/>
                    <w:ind w:left="18" w:leftChars="9" w:right="18" w:rightChars="9"/>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highlight w:val="none"/>
                    </w:rPr>
                    <w:t>非甲烷总烃</w:t>
                  </w:r>
                </w:p>
              </w:tc>
              <w:tc>
                <w:tcPr>
                  <w:tcW w:w="700" w:type="pct"/>
                  <w:tcBorders>
                    <w:tl2br w:val="nil"/>
                    <w:tr2bl w:val="nil"/>
                  </w:tcBorders>
                  <w:noWrap w:val="0"/>
                  <w:vAlign w:val="center"/>
                </w:tcPr>
                <w:p w14:paraId="095A819F">
                  <w:pPr>
                    <w:pStyle w:val="6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w:t>
                  </w:r>
                </w:p>
              </w:tc>
              <w:tc>
                <w:tcPr>
                  <w:tcW w:w="1264" w:type="pct"/>
                  <w:tcBorders>
                    <w:tl2br w:val="nil"/>
                    <w:tr2bl w:val="nil"/>
                  </w:tcBorders>
                  <w:noWrap w:val="0"/>
                  <w:vAlign w:val="center"/>
                </w:tcPr>
                <w:p w14:paraId="16F7A634">
                  <w:pPr>
                    <w:pStyle w:val="6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监控点处 1h 平均浓度值</w:t>
                  </w:r>
                </w:p>
              </w:tc>
              <w:tc>
                <w:tcPr>
                  <w:tcW w:w="934" w:type="pct"/>
                  <w:vMerge w:val="restart"/>
                  <w:tcBorders>
                    <w:tl2br w:val="nil"/>
                    <w:tr2bl w:val="nil"/>
                  </w:tcBorders>
                  <w:noWrap w:val="0"/>
                  <w:vAlign w:val="center"/>
                </w:tcPr>
                <w:p w14:paraId="377C9375">
                  <w:pPr>
                    <w:pStyle w:val="66"/>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rPr>
                    <w:t>在站房外设 置监控点</w:t>
                  </w:r>
                </w:p>
              </w:tc>
              <w:tc>
                <w:tcPr>
                  <w:tcW w:w="1462" w:type="pct"/>
                  <w:vMerge w:val="restart"/>
                  <w:tcBorders>
                    <w:tl2br w:val="nil"/>
                    <w:tr2bl w:val="nil"/>
                  </w:tcBorders>
                  <w:noWrap w:val="0"/>
                  <w:vAlign w:val="center"/>
                </w:tcPr>
                <w:p w14:paraId="15987601">
                  <w:pPr>
                    <w:pStyle w:val="6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rPr>
                    <w:t>挥发性有机物无组织排放控制标准》（GB37822-2019）</w:t>
                  </w:r>
                </w:p>
              </w:tc>
            </w:tr>
            <w:tr w14:paraId="146FF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38" w:type="pct"/>
                  <w:vMerge w:val="continue"/>
                  <w:tcBorders>
                    <w:tl2br w:val="nil"/>
                    <w:tr2bl w:val="nil"/>
                  </w:tcBorders>
                  <w:noWrap w:val="0"/>
                  <w:vAlign w:val="center"/>
                </w:tcPr>
                <w:p w14:paraId="0F3965B4">
                  <w:pPr>
                    <w:pStyle w:val="66"/>
                    <w:rPr>
                      <w:rFonts w:hint="default" w:ascii="Times New Roman" w:hAnsi="Times New Roman" w:cs="Times New Roman"/>
                      <w:color w:val="auto"/>
                      <w:highlight w:val="none"/>
                    </w:rPr>
                  </w:pPr>
                </w:p>
              </w:tc>
              <w:tc>
                <w:tcPr>
                  <w:tcW w:w="700" w:type="pct"/>
                  <w:tcBorders>
                    <w:tl2br w:val="nil"/>
                    <w:tr2bl w:val="nil"/>
                  </w:tcBorders>
                  <w:noWrap w:val="0"/>
                  <w:vAlign w:val="center"/>
                </w:tcPr>
                <w:p w14:paraId="52274206">
                  <w:pPr>
                    <w:pStyle w:val="66"/>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264" w:type="pct"/>
                  <w:tcBorders>
                    <w:tl2br w:val="nil"/>
                    <w:tr2bl w:val="nil"/>
                  </w:tcBorders>
                  <w:noWrap w:val="0"/>
                  <w:vAlign w:val="center"/>
                </w:tcPr>
                <w:p w14:paraId="4DD6D179">
                  <w:pPr>
                    <w:pStyle w:val="66"/>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rPr>
                    <w:t>监控点处任意一次浓度值</w:t>
                  </w:r>
                </w:p>
              </w:tc>
              <w:tc>
                <w:tcPr>
                  <w:tcW w:w="934" w:type="pct"/>
                  <w:vMerge w:val="continue"/>
                  <w:tcBorders>
                    <w:tl2br w:val="nil"/>
                    <w:tr2bl w:val="nil"/>
                  </w:tcBorders>
                  <w:noWrap w:val="0"/>
                  <w:vAlign w:val="center"/>
                </w:tcPr>
                <w:p w14:paraId="47E9BC2C">
                  <w:pPr>
                    <w:pStyle w:val="66"/>
                    <w:rPr>
                      <w:rFonts w:hint="default" w:ascii="Times New Roman" w:hAnsi="Times New Roman" w:cs="Times New Roman"/>
                      <w:color w:val="auto"/>
                      <w:highlight w:val="none"/>
                      <w:lang w:val="en-US" w:eastAsia="zh-CN"/>
                    </w:rPr>
                  </w:pPr>
                </w:p>
              </w:tc>
              <w:tc>
                <w:tcPr>
                  <w:tcW w:w="1462" w:type="pct"/>
                  <w:vMerge w:val="continue"/>
                  <w:tcBorders>
                    <w:tl2br w:val="nil"/>
                    <w:tr2bl w:val="nil"/>
                  </w:tcBorders>
                  <w:noWrap w:val="0"/>
                  <w:vAlign w:val="center"/>
                </w:tcPr>
                <w:p w14:paraId="453E67C0">
                  <w:pPr>
                    <w:pStyle w:val="66"/>
                    <w:rPr>
                      <w:rFonts w:hint="default" w:ascii="Times New Roman" w:hAnsi="Times New Roman" w:eastAsia="宋体" w:cs="Times New Roman"/>
                      <w:color w:val="auto"/>
                      <w:highlight w:val="none"/>
                      <w:lang w:val="en-US" w:eastAsia="zh-CN"/>
                    </w:rPr>
                  </w:pPr>
                </w:p>
              </w:tc>
            </w:tr>
          </w:tbl>
          <w:p w14:paraId="2173B8FC">
            <w:pPr>
              <w:pStyle w:val="85"/>
              <w:bidi w:val="0"/>
              <w:jc w:val="center"/>
              <w:rPr>
                <w:rFonts w:hint="eastAsia"/>
                <w:color w:val="auto"/>
                <w:lang w:val="en-US" w:eastAsia="zh-CN"/>
              </w:rPr>
            </w:pPr>
            <w:r>
              <w:rPr>
                <w:rFonts w:hint="eastAsia"/>
                <w:color w:val="auto"/>
                <w:lang w:val="en-US" w:eastAsia="zh-CN"/>
              </w:rPr>
              <w:t>表3-5食堂油烟排放标准</w:t>
            </w:r>
          </w:p>
          <w:tbl>
            <w:tblPr>
              <w:tblStyle w:val="3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886"/>
              <w:gridCol w:w="2887"/>
              <w:gridCol w:w="2889"/>
            </w:tblGrid>
            <w:tr w14:paraId="5DBE0C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719" w:type="dxa"/>
                  <w:tcBorders>
                    <w:tl2br w:val="nil"/>
                    <w:tr2bl w:val="nil"/>
                  </w:tcBorders>
                  <w:noWrap w:val="0"/>
                  <w:vAlign w:val="center"/>
                </w:tcPr>
                <w:p w14:paraId="3234590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项目</w:t>
                  </w:r>
                </w:p>
              </w:tc>
              <w:tc>
                <w:tcPr>
                  <w:tcW w:w="2719" w:type="dxa"/>
                  <w:tcBorders>
                    <w:tl2br w:val="nil"/>
                    <w:tr2bl w:val="nil"/>
                  </w:tcBorders>
                  <w:noWrap w:val="0"/>
                  <w:vAlign w:val="center"/>
                </w:tcPr>
                <w:p w14:paraId="69D3B268">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b/>
                      <w:bCs/>
                      <w:i w:val="0"/>
                      <w:iCs w:val="0"/>
                      <w:color w:val="auto"/>
                      <w:kern w:val="0"/>
                      <w:sz w:val="21"/>
                      <w:szCs w:val="21"/>
                      <w:u w:val="none"/>
                      <w:lang w:val="en-US" w:eastAsia="zh-CN" w:bidi="ar"/>
                    </w:rPr>
                    <w:t>小</w:t>
                  </w:r>
                  <w:r>
                    <w:rPr>
                      <w:rFonts w:hint="eastAsia" w:ascii="宋体" w:hAnsi="宋体" w:eastAsia="宋体" w:cs="宋体"/>
                      <w:b/>
                      <w:bCs/>
                      <w:i w:val="0"/>
                      <w:iCs w:val="0"/>
                      <w:color w:val="auto"/>
                      <w:kern w:val="0"/>
                      <w:sz w:val="21"/>
                      <w:szCs w:val="21"/>
                      <w:u w:val="none"/>
                      <w:lang w:val="en-US" w:eastAsia="zh-CN" w:bidi="ar"/>
                    </w:rPr>
                    <w:t>型</w:t>
                  </w:r>
                </w:p>
              </w:tc>
              <w:tc>
                <w:tcPr>
                  <w:tcW w:w="2721" w:type="dxa"/>
                  <w:tcBorders>
                    <w:tl2br w:val="nil"/>
                    <w:tr2bl w:val="nil"/>
                  </w:tcBorders>
                  <w:noWrap w:val="0"/>
                  <w:vAlign w:val="center"/>
                </w:tcPr>
                <w:p w14:paraId="5438F035">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标准来源</w:t>
                  </w:r>
                </w:p>
              </w:tc>
            </w:tr>
            <w:tr w14:paraId="43E318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2719" w:type="dxa"/>
                  <w:tcBorders>
                    <w:tl2br w:val="nil"/>
                    <w:tr2bl w:val="nil"/>
                  </w:tcBorders>
                  <w:noWrap w:val="0"/>
                  <w:vAlign w:val="center"/>
                </w:tcPr>
                <w:p w14:paraId="3488E88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基准灶头数</w:t>
                  </w:r>
                </w:p>
              </w:tc>
              <w:tc>
                <w:tcPr>
                  <w:tcW w:w="2719" w:type="dxa"/>
                  <w:tcBorders>
                    <w:tl2br w:val="nil"/>
                    <w:tr2bl w:val="nil"/>
                  </w:tcBorders>
                  <w:noWrap w:val="0"/>
                  <w:vAlign w:val="center"/>
                </w:tcPr>
                <w:p w14:paraId="691F98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w:t>
                  </w:r>
                  <w:r>
                    <w:rPr>
                      <w:rFonts w:hint="default" w:ascii="Times New Roman" w:hAnsi="Times New Roman" w:cs="Times New Roman"/>
                      <w:i w:val="0"/>
                      <w:iCs w:val="0"/>
                      <w:color w:val="auto"/>
                      <w:kern w:val="0"/>
                      <w:sz w:val="21"/>
                      <w:szCs w:val="21"/>
                      <w:u w:val="none"/>
                      <w:lang w:val="en-US" w:eastAsia="zh-CN" w:bidi="ar"/>
                    </w:rPr>
                    <w:t>&lt;</w:t>
                  </w:r>
                  <w:r>
                    <w:rPr>
                      <w:rFonts w:hint="eastAsia" w:cs="Times New Roman"/>
                      <w:i w:val="0"/>
                      <w:iCs w:val="0"/>
                      <w:color w:val="auto"/>
                      <w:kern w:val="0"/>
                      <w:sz w:val="21"/>
                      <w:szCs w:val="21"/>
                      <w:u w:val="none"/>
                      <w:lang w:val="en-US" w:eastAsia="zh-CN" w:bidi="ar"/>
                    </w:rPr>
                    <w:t>3</w:t>
                  </w:r>
                </w:p>
              </w:tc>
              <w:tc>
                <w:tcPr>
                  <w:tcW w:w="2721" w:type="dxa"/>
                  <w:vMerge w:val="restart"/>
                  <w:tcBorders>
                    <w:tl2br w:val="nil"/>
                    <w:tr2bl w:val="nil"/>
                  </w:tcBorders>
                  <w:noWrap w:val="0"/>
                  <w:vAlign w:val="center"/>
                </w:tcPr>
                <w:p w14:paraId="155C3CC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《饮食业油烟排放标准》（</w:t>
                  </w:r>
                  <w:r>
                    <w:rPr>
                      <w:rFonts w:hint="default" w:ascii="Times New Roman" w:hAnsi="Times New Roman" w:eastAsia="宋体" w:cs="Times New Roman"/>
                      <w:i w:val="0"/>
                      <w:iCs w:val="0"/>
                      <w:color w:val="auto"/>
                      <w:kern w:val="0"/>
                      <w:sz w:val="21"/>
                      <w:szCs w:val="21"/>
                      <w:u w:val="none"/>
                      <w:lang w:val="en-US" w:eastAsia="zh-CN" w:bidi="ar"/>
                    </w:rPr>
                    <w:t>GB18483-2001</w:t>
                  </w:r>
                  <w:r>
                    <w:rPr>
                      <w:rFonts w:hint="eastAsia" w:ascii="宋体" w:hAnsi="宋体" w:eastAsia="宋体" w:cs="宋体"/>
                      <w:i w:val="0"/>
                      <w:iCs w:val="0"/>
                      <w:color w:val="auto"/>
                      <w:kern w:val="0"/>
                      <w:sz w:val="21"/>
                      <w:szCs w:val="21"/>
                      <w:u w:val="none"/>
                      <w:lang w:val="en-US" w:eastAsia="zh-CN" w:bidi="ar"/>
                    </w:rPr>
                    <w:t>）表</w:t>
                  </w:r>
                  <w:r>
                    <w:rPr>
                      <w:rFonts w:hint="default" w:ascii="Times New Roman" w:hAnsi="Times New Roman" w:eastAsia="宋体" w:cs="Times New Roman"/>
                      <w:i w:val="0"/>
                      <w:iCs w:val="0"/>
                      <w:color w:val="auto"/>
                      <w:kern w:val="0"/>
                      <w:sz w:val="21"/>
                      <w:szCs w:val="21"/>
                      <w:u w:val="none"/>
                      <w:lang w:val="en-US" w:eastAsia="zh-CN" w:bidi="ar"/>
                    </w:rPr>
                    <w:t>2</w:t>
                  </w:r>
                </w:p>
              </w:tc>
            </w:tr>
            <w:tr w14:paraId="79F1B31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2" w:hRule="atLeast"/>
                <w:jc w:val="center"/>
              </w:trPr>
              <w:tc>
                <w:tcPr>
                  <w:tcW w:w="2719" w:type="dxa"/>
                  <w:tcBorders>
                    <w:tl2br w:val="nil"/>
                    <w:tr2bl w:val="nil"/>
                  </w:tcBorders>
                  <w:noWrap w:val="0"/>
                  <w:vAlign w:val="center"/>
                </w:tcPr>
                <w:p w14:paraId="4ED47AF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最高允许排放浓度（</w:t>
                  </w: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w:t>
                  </w:r>
                </w:p>
              </w:tc>
              <w:tc>
                <w:tcPr>
                  <w:tcW w:w="2719" w:type="dxa"/>
                  <w:tcBorders>
                    <w:tl2br w:val="nil"/>
                    <w:tr2bl w:val="nil"/>
                  </w:tcBorders>
                  <w:noWrap w:val="0"/>
                  <w:vAlign w:val="center"/>
                </w:tcPr>
                <w:p w14:paraId="794638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721" w:type="dxa"/>
                  <w:vMerge w:val="continue"/>
                  <w:tcBorders>
                    <w:tl2br w:val="nil"/>
                    <w:tr2bl w:val="nil"/>
                  </w:tcBorders>
                  <w:noWrap w:val="0"/>
                  <w:vAlign w:val="center"/>
                </w:tcPr>
                <w:p w14:paraId="15B2A6BF">
                  <w:pPr>
                    <w:jc w:val="center"/>
                    <w:rPr>
                      <w:rFonts w:hint="default" w:ascii="Times New Roman" w:hAnsi="Times New Roman" w:eastAsia="宋体" w:cs="Times New Roman"/>
                      <w:i w:val="0"/>
                      <w:iCs w:val="0"/>
                      <w:color w:val="auto"/>
                      <w:sz w:val="21"/>
                      <w:szCs w:val="21"/>
                      <w:u w:val="none"/>
                    </w:rPr>
                  </w:pPr>
                </w:p>
              </w:tc>
            </w:tr>
            <w:tr w14:paraId="4AFA4A2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4" w:hRule="atLeast"/>
                <w:jc w:val="center"/>
              </w:trPr>
              <w:tc>
                <w:tcPr>
                  <w:tcW w:w="2719" w:type="dxa"/>
                  <w:tcBorders>
                    <w:tl2br w:val="nil"/>
                    <w:tr2bl w:val="nil"/>
                  </w:tcBorders>
                  <w:noWrap w:val="0"/>
                  <w:vAlign w:val="center"/>
                </w:tcPr>
                <w:p w14:paraId="214F9BA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净化设备最低去除效率（</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w:t>
                  </w:r>
                </w:p>
              </w:tc>
              <w:tc>
                <w:tcPr>
                  <w:tcW w:w="2719" w:type="dxa"/>
                  <w:tcBorders>
                    <w:tl2br w:val="nil"/>
                    <w:tr2bl w:val="nil"/>
                  </w:tcBorders>
                  <w:noWrap w:val="0"/>
                  <w:vAlign w:val="center"/>
                </w:tcPr>
                <w:p w14:paraId="2B0169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60</w:t>
                  </w:r>
                </w:p>
              </w:tc>
              <w:tc>
                <w:tcPr>
                  <w:tcW w:w="2721" w:type="dxa"/>
                  <w:vMerge w:val="continue"/>
                  <w:tcBorders>
                    <w:tl2br w:val="nil"/>
                    <w:tr2bl w:val="nil"/>
                  </w:tcBorders>
                  <w:noWrap/>
                  <w:vAlign w:val="center"/>
                </w:tcPr>
                <w:p w14:paraId="62940081">
                  <w:pPr>
                    <w:rPr>
                      <w:rFonts w:hint="eastAsia" w:ascii="宋体" w:hAnsi="宋体" w:eastAsia="宋体" w:cs="宋体"/>
                      <w:i w:val="0"/>
                      <w:iCs w:val="0"/>
                      <w:color w:val="auto"/>
                      <w:sz w:val="22"/>
                      <w:szCs w:val="22"/>
                      <w:u w:val="none"/>
                    </w:rPr>
                  </w:pPr>
                </w:p>
              </w:tc>
            </w:tr>
          </w:tbl>
          <w:p w14:paraId="2AC79689">
            <w:pPr>
              <w:adjustRightInd w:val="0"/>
              <w:snapToGrid w:val="0"/>
              <w:spacing w:line="240" w:lineRule="auto"/>
              <w:jc w:val="center"/>
              <w:rPr>
                <w:rFonts w:hint="eastAsia"/>
                <w:b/>
                <w:bCs/>
                <w:color w:val="auto"/>
                <w:sz w:val="21"/>
                <w:szCs w:val="21"/>
                <w:lang w:val="en-US" w:eastAsia="zh-CN"/>
              </w:rPr>
            </w:pPr>
            <w:r>
              <w:rPr>
                <w:b/>
                <w:bCs/>
                <w:color w:val="auto"/>
              </w:rPr>
              <w:t>表</w:t>
            </w:r>
            <w:r>
              <w:rPr>
                <w:rStyle w:val="70"/>
                <w:rFonts w:hint="eastAsia"/>
                <w:b/>
                <w:bCs/>
                <w:color w:val="auto"/>
                <w:lang w:val="en-US" w:eastAsia="zh-CN"/>
              </w:rPr>
              <w:t>3-6</w:t>
            </w:r>
            <w:r>
              <w:rPr>
                <w:rFonts w:hint="eastAsia"/>
                <w:b/>
                <w:bCs/>
                <w:color w:val="auto"/>
                <w:lang w:val="en-US" w:eastAsia="zh-CN"/>
              </w:rPr>
              <w:t>非道路移动机械用柴油机排气污染物排放限值</w:t>
            </w:r>
          </w:p>
          <w:tbl>
            <w:tblPr>
              <w:tblStyle w:val="3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73"/>
              <w:gridCol w:w="1174"/>
              <w:gridCol w:w="1263"/>
              <w:gridCol w:w="1263"/>
              <w:gridCol w:w="1263"/>
              <w:gridCol w:w="1263"/>
              <w:gridCol w:w="1263"/>
            </w:tblGrid>
            <w:tr w14:paraId="4DEB22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35" w:hRule="atLeast"/>
                <w:jc w:val="center"/>
              </w:trPr>
              <w:tc>
                <w:tcPr>
                  <w:tcW w:w="1157" w:type="dxa"/>
                  <w:tcBorders>
                    <w:tl2br w:val="nil"/>
                    <w:tr2bl w:val="nil"/>
                  </w:tcBorders>
                  <w:shd w:val="clear" w:color="auto" w:fill="auto"/>
                  <w:vAlign w:val="center"/>
                </w:tcPr>
                <w:p w14:paraId="20152D4E">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阶段</w:t>
                  </w:r>
                </w:p>
              </w:tc>
              <w:tc>
                <w:tcPr>
                  <w:tcW w:w="1157" w:type="dxa"/>
                  <w:tcBorders>
                    <w:tl2br w:val="nil"/>
                    <w:tr2bl w:val="nil"/>
                  </w:tcBorders>
                  <w:shd w:val="clear" w:color="auto" w:fill="auto"/>
                  <w:vAlign w:val="center"/>
                </w:tcPr>
                <w:p w14:paraId="4059206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额定净功率（</w:t>
                  </w:r>
                  <w:r>
                    <w:rPr>
                      <w:rFonts w:hint="default" w:ascii="Times New Roman" w:hAnsi="Times New Roman" w:eastAsia="宋体" w:cs="Times New Roman"/>
                      <w:b/>
                      <w:bCs/>
                      <w:i w:val="0"/>
                      <w:iCs w:val="0"/>
                      <w:color w:val="auto"/>
                      <w:kern w:val="0"/>
                      <w:sz w:val="21"/>
                      <w:szCs w:val="21"/>
                      <w:u w:val="none"/>
                      <w:lang w:val="en-US" w:eastAsia="zh-CN" w:bidi="ar"/>
                    </w:rPr>
                    <w:t>Pmax</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kW</w:t>
                  </w:r>
                  <w:r>
                    <w:rPr>
                      <w:rFonts w:hint="eastAsia" w:ascii="宋体" w:hAnsi="宋体" w:eastAsia="宋体" w:cs="宋体"/>
                      <w:b/>
                      <w:bCs/>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2B16408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CO</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g/kWh</w:t>
                  </w:r>
                  <w:r>
                    <w:rPr>
                      <w:rFonts w:hint="eastAsia" w:ascii="宋体" w:hAnsi="宋体" w:eastAsia="宋体" w:cs="宋体"/>
                      <w:b/>
                      <w:bCs/>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6FFF769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HC</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g/kWh</w:t>
                  </w:r>
                  <w:r>
                    <w:rPr>
                      <w:rFonts w:hint="eastAsia" w:ascii="宋体" w:hAnsi="宋体" w:eastAsia="宋体" w:cs="宋体"/>
                      <w:b/>
                      <w:bCs/>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3175F20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NOx</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g/kWh</w:t>
                  </w:r>
                  <w:r>
                    <w:rPr>
                      <w:rFonts w:hint="eastAsia" w:ascii="宋体" w:hAnsi="宋体" w:eastAsia="宋体" w:cs="宋体"/>
                      <w:b/>
                      <w:bCs/>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69E07D5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HC+NOx</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g/kWh</w:t>
                  </w:r>
                  <w:r>
                    <w:rPr>
                      <w:rFonts w:hint="eastAsia" w:ascii="宋体" w:hAnsi="宋体" w:eastAsia="宋体" w:cs="宋体"/>
                      <w:b/>
                      <w:bCs/>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4098FF3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PM</w:t>
                  </w:r>
                  <w:r>
                    <w:rPr>
                      <w:rFonts w:hint="eastAsia" w:ascii="宋体" w:hAnsi="宋体" w:eastAsia="宋体" w:cs="宋体"/>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g/kWh</w:t>
                  </w:r>
                  <w:r>
                    <w:rPr>
                      <w:rFonts w:hint="eastAsia" w:ascii="宋体" w:hAnsi="宋体" w:eastAsia="宋体" w:cs="宋体"/>
                      <w:b/>
                      <w:bCs/>
                      <w:i w:val="0"/>
                      <w:iCs w:val="0"/>
                      <w:color w:val="auto"/>
                      <w:kern w:val="0"/>
                      <w:sz w:val="21"/>
                      <w:szCs w:val="21"/>
                      <w:u w:val="none"/>
                      <w:lang w:val="en-US" w:eastAsia="zh-CN" w:bidi="ar"/>
                    </w:rPr>
                    <w:t>）</w:t>
                  </w:r>
                </w:p>
              </w:tc>
            </w:tr>
            <w:tr w14:paraId="3E96C75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1" w:hRule="atLeast"/>
                <w:jc w:val="center"/>
              </w:trPr>
              <w:tc>
                <w:tcPr>
                  <w:tcW w:w="1157" w:type="dxa"/>
                  <w:tcBorders>
                    <w:tl2br w:val="nil"/>
                    <w:tr2bl w:val="nil"/>
                  </w:tcBorders>
                  <w:shd w:val="clear" w:color="auto" w:fill="auto"/>
                  <w:vAlign w:val="center"/>
                </w:tcPr>
                <w:p w14:paraId="6B5661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第三阶段</w:t>
                  </w:r>
                </w:p>
              </w:tc>
              <w:tc>
                <w:tcPr>
                  <w:tcW w:w="1157" w:type="dxa"/>
                  <w:tcBorders>
                    <w:tl2br w:val="nil"/>
                    <w:tr2bl w:val="nil"/>
                  </w:tcBorders>
                  <w:shd w:val="clear" w:color="auto" w:fill="auto"/>
                  <w:vAlign w:val="center"/>
                </w:tcPr>
                <w:p w14:paraId="5D5666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Pmax&gt;560</w:t>
                  </w:r>
                </w:p>
              </w:tc>
              <w:tc>
                <w:tcPr>
                  <w:tcW w:w="1157" w:type="dxa"/>
                  <w:tcBorders>
                    <w:tl2br w:val="nil"/>
                    <w:tr2bl w:val="nil"/>
                  </w:tcBorders>
                  <w:shd w:val="clear" w:color="auto" w:fill="auto"/>
                  <w:vAlign w:val="center"/>
                </w:tcPr>
                <w:p w14:paraId="092AEC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157" w:type="dxa"/>
                  <w:tcBorders>
                    <w:tl2br w:val="nil"/>
                    <w:tr2bl w:val="nil"/>
                  </w:tcBorders>
                  <w:shd w:val="clear" w:color="auto" w:fill="auto"/>
                  <w:vAlign w:val="center"/>
                </w:tcPr>
                <w:p w14:paraId="1EE2263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3AA5077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157" w:type="dxa"/>
                  <w:tcBorders>
                    <w:tl2br w:val="nil"/>
                    <w:tr2bl w:val="nil"/>
                  </w:tcBorders>
                  <w:shd w:val="clear" w:color="auto" w:fill="auto"/>
                  <w:vAlign w:val="center"/>
                </w:tcPr>
                <w:p w14:paraId="2DB853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157" w:type="dxa"/>
                  <w:tcBorders>
                    <w:tl2br w:val="nil"/>
                    <w:tr2bl w:val="nil"/>
                  </w:tcBorders>
                  <w:shd w:val="clear" w:color="auto" w:fill="auto"/>
                  <w:vAlign w:val="center"/>
                </w:tcPr>
                <w:p w14:paraId="1E8977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w:t>
                  </w:r>
                </w:p>
              </w:tc>
            </w:tr>
          </w:tbl>
          <w:p w14:paraId="3E7F6DA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（二）废水</w:t>
            </w:r>
          </w:p>
          <w:p w14:paraId="28703C87">
            <w:pPr>
              <w:pStyle w:val="71"/>
              <w:bidi w:val="0"/>
              <w:rPr>
                <w:rFonts w:hint="eastAsia" w:cs="Times New Roman"/>
                <w:color w:val="auto"/>
                <w:sz w:val="24"/>
                <w:szCs w:val="24"/>
                <w:lang w:val="en-US" w:eastAsia="zh-CN"/>
              </w:rPr>
            </w:pPr>
            <w:r>
              <w:rPr>
                <w:rFonts w:hint="eastAsia"/>
                <w:color w:val="auto"/>
                <w:lang w:val="en-US" w:eastAsia="zh-CN"/>
              </w:rPr>
              <w:t>施工期废水不外排；</w:t>
            </w:r>
            <w:r>
              <w:rPr>
                <w:rFonts w:hint="eastAsia"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生活废水排入化粪池处理达</w:t>
            </w:r>
            <w:r>
              <w:rPr>
                <w:rFonts w:hint="eastAsia" w:ascii="Times New Roman" w:hAnsi="Times New Roman" w:eastAsia="宋体" w:cs="Times New Roman"/>
                <w:color w:val="auto"/>
                <w:sz w:val="24"/>
                <w:szCs w:val="24"/>
                <w:lang w:val="en-US" w:eastAsia="zh-CN"/>
              </w:rPr>
              <w:t>《农田灌溉水质标准》（GB5084-2021）中</w:t>
            </w:r>
            <w:r>
              <w:rPr>
                <w:rFonts w:hint="eastAsia" w:cs="Times New Roman"/>
                <w:color w:val="auto"/>
                <w:sz w:val="24"/>
                <w:szCs w:val="24"/>
                <w:lang w:val="en-US" w:eastAsia="zh-CN"/>
              </w:rPr>
              <w:t>旱作</w:t>
            </w:r>
            <w:r>
              <w:rPr>
                <w:rFonts w:hint="eastAsia" w:ascii="Times New Roman" w:hAnsi="Times New Roman" w:eastAsia="宋体" w:cs="Times New Roman"/>
                <w:color w:val="auto"/>
                <w:sz w:val="24"/>
                <w:szCs w:val="24"/>
                <w:lang w:val="en-US" w:eastAsia="zh-CN"/>
              </w:rPr>
              <w:t>标准后用于周边农田灌溉</w:t>
            </w:r>
            <w:r>
              <w:rPr>
                <w:rFonts w:hint="eastAsia" w:cs="Times New Roman"/>
                <w:color w:val="auto"/>
                <w:sz w:val="24"/>
                <w:szCs w:val="24"/>
                <w:lang w:val="en-US" w:eastAsia="zh-CN"/>
              </w:rPr>
              <w:t>，不外排。</w:t>
            </w:r>
          </w:p>
          <w:p w14:paraId="14E270A1">
            <w:pPr>
              <w:pStyle w:val="85"/>
              <w:bidi w:val="0"/>
              <w:rPr>
                <w:rFonts w:hint="eastAsia"/>
                <w:color w:val="auto"/>
                <w:lang w:val="en-US" w:eastAsia="zh-CN"/>
              </w:rPr>
            </w:pPr>
            <w:r>
              <w:rPr>
                <w:rFonts w:hint="eastAsia"/>
                <w:color w:val="auto"/>
                <w:lang w:val="en-US" w:eastAsia="zh-CN"/>
              </w:rPr>
              <w:t>表3-7本项目生活废水农田灌溉标准</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4"/>
              <w:gridCol w:w="2209"/>
              <w:gridCol w:w="1861"/>
              <w:gridCol w:w="2595"/>
            </w:tblGrid>
            <w:tr w14:paraId="3C651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51" w:type="pct"/>
                  <w:noWrap w:val="0"/>
                  <w:vAlign w:val="center"/>
                </w:tcPr>
                <w:p w14:paraId="75841D88">
                  <w:pPr>
                    <w:pStyle w:val="67"/>
                    <w:bidi w:val="0"/>
                    <w:rPr>
                      <w:color w:val="auto"/>
                    </w:rPr>
                  </w:pPr>
                  <w:r>
                    <w:rPr>
                      <w:color w:val="auto"/>
                    </w:rPr>
                    <w:t>序号</w:t>
                  </w:r>
                </w:p>
              </w:tc>
              <w:tc>
                <w:tcPr>
                  <w:tcW w:w="1275" w:type="pct"/>
                  <w:noWrap w:val="0"/>
                  <w:vAlign w:val="center"/>
                </w:tcPr>
                <w:p w14:paraId="5900AE1A">
                  <w:pPr>
                    <w:pStyle w:val="67"/>
                    <w:bidi w:val="0"/>
                    <w:rPr>
                      <w:color w:val="auto"/>
                    </w:rPr>
                  </w:pPr>
                  <w:r>
                    <w:rPr>
                      <w:color w:val="auto"/>
                    </w:rPr>
                    <w:t>基本控制项目</w:t>
                  </w:r>
                </w:p>
              </w:tc>
              <w:tc>
                <w:tcPr>
                  <w:tcW w:w="1074" w:type="pct"/>
                  <w:noWrap w:val="0"/>
                  <w:vAlign w:val="center"/>
                </w:tcPr>
                <w:p w14:paraId="65F07CED">
                  <w:pPr>
                    <w:pStyle w:val="67"/>
                    <w:bidi w:val="0"/>
                    <w:rPr>
                      <w:color w:val="auto"/>
                    </w:rPr>
                  </w:pPr>
                  <w:r>
                    <w:rPr>
                      <w:color w:val="auto"/>
                    </w:rPr>
                    <w:t>标准值</w:t>
                  </w:r>
                </w:p>
              </w:tc>
              <w:tc>
                <w:tcPr>
                  <w:tcW w:w="1498" w:type="pct"/>
                  <w:noWrap w:val="0"/>
                  <w:vAlign w:val="center"/>
                </w:tcPr>
                <w:p w14:paraId="54E37B73">
                  <w:pPr>
                    <w:pStyle w:val="67"/>
                    <w:bidi w:val="0"/>
                    <w:rPr>
                      <w:color w:val="auto"/>
                    </w:rPr>
                  </w:pPr>
                  <w:r>
                    <w:rPr>
                      <w:color w:val="auto"/>
                    </w:rPr>
                    <w:t>标准来源</w:t>
                  </w:r>
                </w:p>
              </w:tc>
            </w:tr>
            <w:tr w14:paraId="67315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51" w:type="pct"/>
                  <w:noWrap w:val="0"/>
                  <w:vAlign w:val="center"/>
                </w:tcPr>
                <w:p w14:paraId="7A425946">
                  <w:pPr>
                    <w:pStyle w:val="66"/>
                    <w:bidi w:val="0"/>
                    <w:rPr>
                      <w:color w:val="auto"/>
                    </w:rPr>
                  </w:pPr>
                  <w:r>
                    <w:rPr>
                      <w:color w:val="auto"/>
                    </w:rPr>
                    <w:t>1</w:t>
                  </w:r>
                </w:p>
              </w:tc>
              <w:tc>
                <w:tcPr>
                  <w:tcW w:w="1275" w:type="pct"/>
                  <w:noWrap w:val="0"/>
                  <w:vAlign w:val="center"/>
                </w:tcPr>
                <w:p w14:paraId="24C8DC3F">
                  <w:pPr>
                    <w:pStyle w:val="66"/>
                    <w:bidi w:val="0"/>
                    <w:rPr>
                      <w:color w:val="auto"/>
                    </w:rPr>
                  </w:pPr>
                  <w:r>
                    <w:rPr>
                      <w:color w:val="auto"/>
                    </w:rPr>
                    <w:t>pH</w:t>
                  </w:r>
                </w:p>
              </w:tc>
              <w:tc>
                <w:tcPr>
                  <w:tcW w:w="1074" w:type="pct"/>
                  <w:noWrap w:val="0"/>
                  <w:vAlign w:val="center"/>
                </w:tcPr>
                <w:p w14:paraId="236A79D8">
                  <w:pPr>
                    <w:pStyle w:val="66"/>
                    <w:bidi w:val="0"/>
                    <w:rPr>
                      <w:rFonts w:hint="default" w:eastAsia="宋体"/>
                      <w:color w:val="auto"/>
                      <w:lang w:val="en-US" w:eastAsia="zh-CN"/>
                    </w:rPr>
                  </w:pPr>
                  <w:r>
                    <w:rPr>
                      <w:rFonts w:hint="eastAsia"/>
                      <w:color w:val="auto"/>
                      <w:lang w:val="en-US" w:eastAsia="zh-CN"/>
                    </w:rPr>
                    <w:t>5.5~8.5</w:t>
                  </w:r>
                </w:p>
              </w:tc>
              <w:tc>
                <w:tcPr>
                  <w:tcW w:w="1498" w:type="pct"/>
                  <w:vMerge w:val="restart"/>
                  <w:noWrap w:val="0"/>
                  <w:vAlign w:val="center"/>
                </w:tcPr>
                <w:p w14:paraId="70BA28CA">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eastAsia="宋体"/>
                      <w:snapToGrid w:val="0"/>
                      <w:color w:val="auto"/>
                      <w:sz w:val="21"/>
                      <w:szCs w:val="21"/>
                    </w:rPr>
                  </w:pPr>
                  <w:r>
                    <w:rPr>
                      <w:rFonts w:hint="eastAsia" w:ascii="Times New Roman" w:eastAsia="宋体"/>
                      <w:snapToGrid w:val="0"/>
                      <w:color w:val="auto"/>
                      <w:sz w:val="21"/>
                      <w:szCs w:val="21"/>
                    </w:rPr>
                    <w:t>《农田灌溉水质标准》（GB5084-2</w:t>
                  </w:r>
                  <w:r>
                    <w:rPr>
                      <w:rFonts w:hint="eastAsia" w:ascii="Times New Roman" w:eastAsia="宋体"/>
                      <w:snapToGrid w:val="0"/>
                      <w:color w:val="auto"/>
                      <w:sz w:val="21"/>
                      <w:szCs w:val="21"/>
                      <w:lang w:val="en-US" w:eastAsia="zh-CN"/>
                    </w:rPr>
                    <w:t>021</w:t>
                  </w:r>
                  <w:r>
                    <w:rPr>
                      <w:rFonts w:hint="eastAsia" w:ascii="Times New Roman" w:eastAsia="宋体"/>
                      <w:snapToGrid w:val="0"/>
                      <w:color w:val="auto"/>
                      <w:sz w:val="21"/>
                      <w:szCs w:val="21"/>
                    </w:rPr>
                    <w:t>）</w:t>
                  </w:r>
                  <w:r>
                    <w:rPr>
                      <w:rFonts w:hint="eastAsia" w:ascii="Times New Roman" w:eastAsia="宋体"/>
                      <w:snapToGrid w:val="0"/>
                      <w:color w:val="auto"/>
                      <w:sz w:val="21"/>
                      <w:szCs w:val="21"/>
                      <w:lang w:val="en-US" w:eastAsia="zh-CN"/>
                    </w:rPr>
                    <w:t>旱作</w:t>
                  </w:r>
                  <w:r>
                    <w:rPr>
                      <w:rFonts w:hint="eastAsia" w:ascii="Times New Roman" w:eastAsia="宋体"/>
                      <w:snapToGrid w:val="0"/>
                      <w:color w:val="auto"/>
                      <w:sz w:val="21"/>
                      <w:szCs w:val="21"/>
                    </w:rPr>
                    <w:t>标准</w:t>
                  </w:r>
                </w:p>
              </w:tc>
            </w:tr>
            <w:tr w14:paraId="45420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151" w:type="pct"/>
                  <w:noWrap w:val="0"/>
                  <w:vAlign w:val="center"/>
                </w:tcPr>
                <w:p w14:paraId="49D4A174">
                  <w:pPr>
                    <w:pStyle w:val="66"/>
                    <w:bidi w:val="0"/>
                    <w:rPr>
                      <w:color w:val="auto"/>
                    </w:rPr>
                  </w:pPr>
                  <w:r>
                    <w:rPr>
                      <w:color w:val="auto"/>
                    </w:rPr>
                    <w:t>2</w:t>
                  </w:r>
                </w:p>
              </w:tc>
              <w:tc>
                <w:tcPr>
                  <w:tcW w:w="1275" w:type="pct"/>
                  <w:noWrap w:val="0"/>
                  <w:vAlign w:val="center"/>
                </w:tcPr>
                <w:p w14:paraId="768C26C6">
                  <w:pPr>
                    <w:pStyle w:val="66"/>
                    <w:bidi w:val="0"/>
                    <w:rPr>
                      <w:color w:val="auto"/>
                    </w:rPr>
                  </w:pPr>
                  <w:r>
                    <w:rPr>
                      <w:color w:val="auto"/>
                    </w:rPr>
                    <w:t>CODcr</w:t>
                  </w:r>
                </w:p>
              </w:tc>
              <w:tc>
                <w:tcPr>
                  <w:tcW w:w="1074" w:type="pct"/>
                  <w:noWrap w:val="0"/>
                  <w:vAlign w:val="center"/>
                </w:tcPr>
                <w:p w14:paraId="6985058B">
                  <w:pPr>
                    <w:pStyle w:val="66"/>
                    <w:bidi w:val="0"/>
                    <w:rPr>
                      <w:rFonts w:hint="default"/>
                      <w:color w:val="auto"/>
                      <w:lang w:val="en-US"/>
                    </w:rPr>
                  </w:pPr>
                  <w:r>
                    <w:rPr>
                      <w:rFonts w:hint="eastAsia"/>
                      <w:color w:val="auto"/>
                      <w:lang w:val="en-US" w:eastAsia="zh-CN"/>
                    </w:rPr>
                    <w:t>200</w:t>
                  </w:r>
                </w:p>
              </w:tc>
              <w:tc>
                <w:tcPr>
                  <w:tcW w:w="1498" w:type="pct"/>
                  <w:vMerge w:val="continue"/>
                  <w:noWrap w:val="0"/>
                  <w:vAlign w:val="center"/>
                </w:tcPr>
                <w:p w14:paraId="2F2E11FF">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eastAsia="宋体"/>
                      <w:snapToGrid w:val="0"/>
                      <w:color w:val="auto"/>
                      <w:sz w:val="21"/>
                      <w:szCs w:val="21"/>
                    </w:rPr>
                  </w:pPr>
                </w:p>
              </w:tc>
            </w:tr>
            <w:tr w14:paraId="17A3A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151" w:type="pct"/>
                  <w:noWrap w:val="0"/>
                  <w:vAlign w:val="center"/>
                </w:tcPr>
                <w:p w14:paraId="339FA826">
                  <w:pPr>
                    <w:pStyle w:val="66"/>
                    <w:bidi w:val="0"/>
                    <w:rPr>
                      <w:color w:val="auto"/>
                    </w:rPr>
                  </w:pPr>
                  <w:r>
                    <w:rPr>
                      <w:color w:val="auto"/>
                    </w:rPr>
                    <w:t>3</w:t>
                  </w:r>
                </w:p>
              </w:tc>
              <w:tc>
                <w:tcPr>
                  <w:tcW w:w="1275" w:type="pct"/>
                  <w:noWrap w:val="0"/>
                  <w:vAlign w:val="center"/>
                </w:tcPr>
                <w:p w14:paraId="3698283C">
                  <w:pPr>
                    <w:pStyle w:val="66"/>
                    <w:bidi w:val="0"/>
                    <w:rPr>
                      <w:color w:val="auto"/>
                    </w:rPr>
                  </w:pPr>
                  <w:r>
                    <w:rPr>
                      <w:color w:val="auto"/>
                    </w:rPr>
                    <w:t>BOD</w:t>
                  </w:r>
                  <w:r>
                    <w:rPr>
                      <w:color w:val="auto"/>
                      <w:vertAlign w:val="subscript"/>
                    </w:rPr>
                    <w:t>5</w:t>
                  </w:r>
                </w:p>
              </w:tc>
              <w:tc>
                <w:tcPr>
                  <w:tcW w:w="1074" w:type="pct"/>
                  <w:noWrap w:val="0"/>
                  <w:vAlign w:val="center"/>
                </w:tcPr>
                <w:p w14:paraId="52F23582">
                  <w:pPr>
                    <w:pStyle w:val="66"/>
                    <w:bidi w:val="0"/>
                    <w:rPr>
                      <w:rFonts w:hint="default"/>
                      <w:color w:val="auto"/>
                      <w:lang w:val="en-US"/>
                    </w:rPr>
                  </w:pPr>
                  <w:r>
                    <w:rPr>
                      <w:rFonts w:hint="eastAsia"/>
                      <w:color w:val="auto"/>
                      <w:lang w:val="en-US" w:eastAsia="zh-CN"/>
                    </w:rPr>
                    <w:t>100</w:t>
                  </w:r>
                </w:p>
              </w:tc>
              <w:tc>
                <w:tcPr>
                  <w:tcW w:w="1498" w:type="pct"/>
                  <w:vMerge w:val="continue"/>
                  <w:noWrap w:val="0"/>
                  <w:vAlign w:val="center"/>
                </w:tcPr>
                <w:p w14:paraId="72D3BE13">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eastAsia="宋体"/>
                      <w:snapToGrid w:val="0"/>
                      <w:color w:val="auto"/>
                      <w:sz w:val="21"/>
                      <w:szCs w:val="21"/>
                    </w:rPr>
                  </w:pPr>
                </w:p>
              </w:tc>
            </w:tr>
            <w:tr w14:paraId="4E583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51" w:type="pct"/>
                  <w:noWrap w:val="0"/>
                  <w:vAlign w:val="center"/>
                </w:tcPr>
                <w:p w14:paraId="7FB1BE27">
                  <w:pPr>
                    <w:pStyle w:val="66"/>
                    <w:bidi w:val="0"/>
                    <w:rPr>
                      <w:color w:val="auto"/>
                    </w:rPr>
                  </w:pPr>
                  <w:r>
                    <w:rPr>
                      <w:color w:val="auto"/>
                    </w:rPr>
                    <w:t>4</w:t>
                  </w:r>
                </w:p>
              </w:tc>
              <w:tc>
                <w:tcPr>
                  <w:tcW w:w="1275" w:type="pct"/>
                  <w:noWrap w:val="0"/>
                  <w:vAlign w:val="center"/>
                </w:tcPr>
                <w:p w14:paraId="329E9262">
                  <w:pPr>
                    <w:pStyle w:val="66"/>
                    <w:bidi w:val="0"/>
                    <w:rPr>
                      <w:color w:val="auto"/>
                    </w:rPr>
                  </w:pPr>
                  <w:r>
                    <w:rPr>
                      <w:color w:val="auto"/>
                    </w:rPr>
                    <w:t>SS</w:t>
                  </w:r>
                </w:p>
              </w:tc>
              <w:tc>
                <w:tcPr>
                  <w:tcW w:w="1074" w:type="pct"/>
                  <w:noWrap w:val="0"/>
                  <w:vAlign w:val="center"/>
                </w:tcPr>
                <w:p w14:paraId="01207E18">
                  <w:pPr>
                    <w:pStyle w:val="66"/>
                    <w:bidi w:val="0"/>
                    <w:rPr>
                      <w:rFonts w:hint="default"/>
                      <w:color w:val="auto"/>
                      <w:lang w:val="en-US"/>
                    </w:rPr>
                  </w:pPr>
                  <w:r>
                    <w:rPr>
                      <w:rFonts w:hint="eastAsia"/>
                      <w:color w:val="auto"/>
                      <w:lang w:val="en-US" w:eastAsia="zh-CN"/>
                    </w:rPr>
                    <w:t>100</w:t>
                  </w:r>
                </w:p>
              </w:tc>
              <w:tc>
                <w:tcPr>
                  <w:tcW w:w="1498" w:type="pct"/>
                  <w:vMerge w:val="continue"/>
                  <w:noWrap w:val="0"/>
                  <w:vAlign w:val="center"/>
                </w:tcPr>
                <w:p w14:paraId="5A32FD58">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eastAsia="宋体"/>
                      <w:snapToGrid w:val="0"/>
                      <w:color w:val="auto"/>
                      <w:sz w:val="21"/>
                      <w:szCs w:val="21"/>
                    </w:rPr>
                  </w:pPr>
                </w:p>
              </w:tc>
            </w:tr>
          </w:tbl>
          <w:p w14:paraId="48DE4CC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（三）噪声</w:t>
            </w:r>
          </w:p>
          <w:p w14:paraId="0F6B7BE4">
            <w:pPr>
              <w:pStyle w:val="71"/>
              <w:bidi w:val="0"/>
              <w:rPr>
                <w:rFonts w:hint="eastAsia" w:cs="Times New Roman"/>
                <w:color w:val="auto"/>
                <w:sz w:val="24"/>
                <w:szCs w:val="24"/>
                <w:lang w:eastAsia="zh-CN"/>
              </w:rPr>
            </w:pPr>
            <w:r>
              <w:rPr>
                <w:rFonts w:hint="eastAsia" w:cs="Times New Roman"/>
                <w:color w:val="auto"/>
                <w:sz w:val="24"/>
                <w:szCs w:val="24"/>
                <w:lang w:val="en-US" w:eastAsia="zh-CN"/>
              </w:rPr>
              <w:t>施工期噪声执行《建筑施工场界环境噪声排放标准》（GB12523-2011）标准；</w:t>
            </w:r>
            <w:r>
              <w:rPr>
                <w:rFonts w:hint="default" w:ascii="Times New Roman" w:hAnsi="Times New Roman" w:eastAsia="宋体" w:cs="Times New Roman"/>
                <w:color w:val="auto"/>
                <w:sz w:val="24"/>
                <w:szCs w:val="24"/>
              </w:rPr>
              <w:t>运营期</w:t>
            </w:r>
            <w:r>
              <w:rPr>
                <w:rFonts w:hint="eastAsia" w:cs="Times New Roman"/>
                <w:color w:val="auto"/>
                <w:sz w:val="24"/>
                <w:szCs w:val="24"/>
                <w:lang w:val="en-US" w:eastAsia="zh-CN"/>
              </w:rPr>
              <w:t>东面厂界</w:t>
            </w:r>
            <w:r>
              <w:rPr>
                <w:rFonts w:hint="default" w:ascii="Times New Roman" w:hAnsi="Times New Roman" w:eastAsia="宋体" w:cs="Times New Roman"/>
                <w:color w:val="auto"/>
                <w:sz w:val="24"/>
                <w:szCs w:val="24"/>
              </w:rPr>
              <w:t>噪声执行《工业企业厂界环境噪声排放标准》（GB12348-2008）中的</w:t>
            </w:r>
            <w:r>
              <w:rPr>
                <w:rFonts w:hint="eastAsia" w:cs="Times New Roman"/>
                <w:color w:val="auto"/>
                <w:sz w:val="24"/>
                <w:szCs w:val="24"/>
                <w:lang w:val="en-US" w:eastAsia="zh-CN"/>
              </w:rPr>
              <w:t>4类</w:t>
            </w:r>
            <w:r>
              <w:rPr>
                <w:rFonts w:hint="default" w:ascii="Times New Roman" w:hAnsi="Times New Roman" w:eastAsia="宋体" w:cs="Times New Roman"/>
                <w:color w:val="auto"/>
                <w:sz w:val="24"/>
                <w:szCs w:val="24"/>
              </w:rPr>
              <w:t>标准</w:t>
            </w:r>
            <w:r>
              <w:rPr>
                <w:rFonts w:hint="eastAsia" w:cs="Times New Roman"/>
                <w:color w:val="auto"/>
                <w:sz w:val="24"/>
                <w:szCs w:val="24"/>
                <w:lang w:eastAsia="zh-CN"/>
              </w:rPr>
              <w:t>，</w:t>
            </w:r>
            <w:r>
              <w:rPr>
                <w:rFonts w:hint="eastAsia" w:cs="Times New Roman"/>
                <w:color w:val="auto"/>
                <w:sz w:val="24"/>
                <w:szCs w:val="24"/>
                <w:lang w:val="en-US" w:eastAsia="zh-CN"/>
              </w:rPr>
              <w:t>其余各面执行2</w:t>
            </w:r>
            <w:r>
              <w:rPr>
                <w:rFonts w:hint="default" w:ascii="Times New Roman" w:hAnsi="Times New Roman" w:eastAsia="宋体" w:cs="Times New Roman"/>
                <w:color w:val="auto"/>
                <w:sz w:val="24"/>
                <w:szCs w:val="24"/>
              </w:rPr>
              <w:t>类标准</w:t>
            </w:r>
            <w:r>
              <w:rPr>
                <w:rFonts w:hint="eastAsia" w:cs="Times New Roman"/>
                <w:color w:val="auto"/>
                <w:sz w:val="24"/>
                <w:szCs w:val="24"/>
                <w:lang w:eastAsia="zh-CN"/>
              </w:rPr>
              <w:t>。</w:t>
            </w:r>
          </w:p>
          <w:p w14:paraId="635EB6FE">
            <w:pPr>
              <w:pStyle w:val="85"/>
              <w:bidi w:val="0"/>
              <w:rPr>
                <w:rFonts w:hint="eastAsia"/>
                <w:color w:val="auto"/>
                <w:lang w:val="en-US" w:eastAsia="zh-CN"/>
              </w:rPr>
            </w:pPr>
            <w:r>
              <w:rPr>
                <w:rFonts w:hint="eastAsia"/>
                <w:color w:val="auto"/>
                <w:lang w:val="en-US" w:eastAsia="zh-CN"/>
              </w:rPr>
              <w:t>表3-8本项目噪声排放标准</w:t>
            </w:r>
          </w:p>
          <w:tbl>
            <w:tblPr>
              <w:tblStyle w:val="3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2065"/>
              <w:gridCol w:w="1705"/>
              <w:gridCol w:w="2898"/>
            </w:tblGrid>
            <w:tr w14:paraId="64DDD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8" w:type="pct"/>
                  <w:tcBorders>
                    <w:tl2br w:val="single" w:color="auto" w:sz="4" w:space="0"/>
                  </w:tcBorders>
                  <w:noWrap w:val="0"/>
                  <w:vAlign w:val="center"/>
                </w:tcPr>
                <w:p w14:paraId="593C3F15">
                  <w:pPr>
                    <w:pStyle w:val="67"/>
                    <w:bidi w:val="0"/>
                    <w:jc w:val="right"/>
                    <w:rPr>
                      <w:rFonts w:hint="default"/>
                      <w:color w:val="auto"/>
                      <w:lang w:val="en-US" w:eastAsia="zh-CN"/>
                    </w:rPr>
                  </w:pPr>
                  <w:r>
                    <w:rPr>
                      <w:rFonts w:hint="eastAsia"/>
                      <w:color w:val="auto"/>
                      <w:lang w:val="en-US" w:eastAsia="zh-CN"/>
                    </w:rPr>
                    <w:t>时段</w:t>
                  </w:r>
                </w:p>
                <w:p w14:paraId="717C92E7">
                  <w:pPr>
                    <w:pStyle w:val="67"/>
                    <w:bidi w:val="0"/>
                    <w:jc w:val="left"/>
                    <w:rPr>
                      <w:rFonts w:hint="default"/>
                      <w:color w:val="auto"/>
                      <w:lang w:val="en-US" w:eastAsia="zh-CN"/>
                    </w:rPr>
                  </w:pPr>
                  <w:r>
                    <w:rPr>
                      <w:rFonts w:hint="eastAsia"/>
                      <w:color w:val="auto"/>
                      <w:lang w:val="en-US" w:eastAsia="zh-CN"/>
                    </w:rPr>
                    <w:t>功能区类别</w:t>
                  </w:r>
                </w:p>
              </w:tc>
              <w:tc>
                <w:tcPr>
                  <w:tcW w:w="1192" w:type="pct"/>
                  <w:tcBorders>
                    <w:tl2br w:val="nil"/>
                    <w:tr2bl w:val="nil"/>
                  </w:tcBorders>
                  <w:noWrap w:val="0"/>
                  <w:vAlign w:val="center"/>
                </w:tcPr>
                <w:p w14:paraId="32C85375">
                  <w:pPr>
                    <w:pStyle w:val="67"/>
                    <w:bidi w:val="0"/>
                    <w:jc w:val="center"/>
                    <w:rPr>
                      <w:rFonts w:hint="default"/>
                      <w:color w:val="auto"/>
                      <w:lang w:val="en-US" w:eastAsia="zh-CN"/>
                    </w:rPr>
                  </w:pPr>
                  <w:r>
                    <w:rPr>
                      <w:rFonts w:hint="eastAsia"/>
                      <w:color w:val="auto"/>
                      <w:lang w:val="en-US" w:eastAsia="zh-CN"/>
                    </w:rPr>
                    <w:t>昼间dB（A）</w:t>
                  </w:r>
                </w:p>
              </w:tc>
              <w:tc>
                <w:tcPr>
                  <w:tcW w:w="984" w:type="pct"/>
                  <w:tcBorders>
                    <w:tl2br w:val="nil"/>
                    <w:tr2bl w:val="nil"/>
                  </w:tcBorders>
                  <w:noWrap w:val="0"/>
                  <w:vAlign w:val="center"/>
                </w:tcPr>
                <w:p w14:paraId="361E448B">
                  <w:pPr>
                    <w:pStyle w:val="67"/>
                    <w:bidi w:val="0"/>
                    <w:jc w:val="center"/>
                    <w:rPr>
                      <w:rFonts w:hint="default"/>
                      <w:color w:val="auto"/>
                      <w:lang w:val="en-US" w:eastAsia="zh-CN"/>
                    </w:rPr>
                  </w:pPr>
                  <w:r>
                    <w:rPr>
                      <w:rFonts w:hint="eastAsia"/>
                      <w:color w:val="auto"/>
                      <w:lang w:val="en-US" w:eastAsia="zh-CN"/>
                    </w:rPr>
                    <w:t>夜间dB（A）</w:t>
                  </w:r>
                </w:p>
              </w:tc>
              <w:tc>
                <w:tcPr>
                  <w:tcW w:w="1673" w:type="pct"/>
                  <w:tcBorders>
                    <w:tl2br w:val="nil"/>
                    <w:tr2bl w:val="nil"/>
                  </w:tcBorders>
                  <w:noWrap w:val="0"/>
                  <w:vAlign w:val="center"/>
                </w:tcPr>
                <w:p w14:paraId="74596C2A">
                  <w:pPr>
                    <w:pStyle w:val="67"/>
                    <w:bidi w:val="0"/>
                    <w:jc w:val="center"/>
                    <w:rPr>
                      <w:rFonts w:hint="default"/>
                      <w:color w:val="auto"/>
                      <w:lang w:val="en-US" w:eastAsia="zh-CN"/>
                    </w:rPr>
                  </w:pPr>
                  <w:r>
                    <w:rPr>
                      <w:rFonts w:hint="eastAsia"/>
                      <w:color w:val="auto"/>
                      <w:lang w:val="en-US" w:eastAsia="zh-CN"/>
                    </w:rPr>
                    <w:t>标准来源</w:t>
                  </w:r>
                </w:p>
              </w:tc>
            </w:tr>
            <w:tr w14:paraId="40182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8" w:type="pct"/>
                  <w:tcBorders>
                    <w:tl2br w:val="nil"/>
                    <w:tr2bl w:val="nil"/>
                  </w:tcBorders>
                  <w:noWrap w:val="0"/>
                  <w:vAlign w:val="center"/>
                </w:tcPr>
                <w:p w14:paraId="0E46F4D3">
                  <w:pPr>
                    <w:pStyle w:val="66"/>
                    <w:bidi w:val="0"/>
                    <w:jc w:val="center"/>
                    <w:rPr>
                      <w:rFonts w:hint="default"/>
                      <w:color w:val="auto"/>
                      <w:lang w:val="en-US" w:eastAsia="zh-CN"/>
                    </w:rPr>
                  </w:pPr>
                  <w:r>
                    <w:rPr>
                      <w:rFonts w:hint="eastAsia"/>
                      <w:color w:val="auto"/>
                      <w:lang w:val="en-US" w:eastAsia="zh-CN"/>
                    </w:rPr>
                    <w:t>2类</w:t>
                  </w:r>
                </w:p>
              </w:tc>
              <w:tc>
                <w:tcPr>
                  <w:tcW w:w="1192" w:type="pct"/>
                  <w:tcBorders>
                    <w:tl2br w:val="nil"/>
                    <w:tr2bl w:val="nil"/>
                  </w:tcBorders>
                  <w:noWrap w:val="0"/>
                  <w:vAlign w:val="center"/>
                </w:tcPr>
                <w:p w14:paraId="1D89B89D">
                  <w:pPr>
                    <w:pStyle w:val="66"/>
                    <w:bidi w:val="0"/>
                    <w:ind w:left="18" w:leftChars="9" w:right="18" w:rightChars="9"/>
                    <w:jc w:val="center"/>
                    <w:rPr>
                      <w:rFonts w:hint="default"/>
                      <w:color w:val="auto"/>
                      <w:lang w:val="en-US" w:eastAsia="zh-CN"/>
                    </w:rPr>
                  </w:pPr>
                  <w:r>
                    <w:rPr>
                      <w:rFonts w:hint="eastAsia"/>
                      <w:color w:val="auto"/>
                      <w:lang w:val="en-US" w:eastAsia="zh-CN"/>
                    </w:rPr>
                    <w:t>60</w:t>
                  </w:r>
                </w:p>
              </w:tc>
              <w:tc>
                <w:tcPr>
                  <w:tcW w:w="984" w:type="pct"/>
                  <w:tcBorders>
                    <w:tl2br w:val="nil"/>
                    <w:tr2bl w:val="nil"/>
                  </w:tcBorders>
                  <w:noWrap w:val="0"/>
                  <w:vAlign w:val="center"/>
                </w:tcPr>
                <w:p w14:paraId="36E03AE8">
                  <w:pPr>
                    <w:pStyle w:val="66"/>
                    <w:bidi w:val="0"/>
                    <w:ind w:left="18" w:leftChars="9" w:right="18" w:rightChars="9"/>
                    <w:jc w:val="center"/>
                    <w:rPr>
                      <w:rFonts w:hint="default"/>
                      <w:color w:val="auto"/>
                      <w:lang w:val="en-US" w:eastAsia="zh-CN"/>
                    </w:rPr>
                  </w:pPr>
                  <w:r>
                    <w:rPr>
                      <w:rFonts w:hint="eastAsia"/>
                      <w:color w:val="auto"/>
                      <w:lang w:val="en-US" w:eastAsia="zh-CN"/>
                    </w:rPr>
                    <w:t>50</w:t>
                  </w:r>
                </w:p>
              </w:tc>
              <w:tc>
                <w:tcPr>
                  <w:tcW w:w="1673" w:type="pct"/>
                  <w:vMerge w:val="restart"/>
                  <w:tcBorders>
                    <w:tl2br w:val="nil"/>
                    <w:tr2bl w:val="nil"/>
                  </w:tcBorders>
                  <w:noWrap w:val="0"/>
                  <w:vAlign w:val="center"/>
                </w:tcPr>
                <w:p w14:paraId="158A02CF">
                  <w:pPr>
                    <w:pStyle w:val="66"/>
                    <w:bidi w:val="0"/>
                    <w:jc w:val="center"/>
                    <w:rPr>
                      <w:rFonts w:hint="eastAsia"/>
                      <w:color w:val="auto"/>
                      <w:lang w:eastAsia="zh-CN"/>
                    </w:rPr>
                  </w:pPr>
                  <w:r>
                    <w:rPr>
                      <w:rFonts w:hint="eastAsia"/>
                      <w:color w:val="auto"/>
                      <w:lang w:eastAsia="zh-CN"/>
                    </w:rPr>
                    <w:t>《工业企业厂界环境噪声排放标准》（GB12348-2008）</w:t>
                  </w:r>
                </w:p>
              </w:tc>
            </w:tr>
            <w:tr w14:paraId="53539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8" w:type="pct"/>
                  <w:tcBorders>
                    <w:tl2br w:val="nil"/>
                    <w:tr2bl w:val="nil"/>
                  </w:tcBorders>
                  <w:noWrap w:val="0"/>
                  <w:vAlign w:val="center"/>
                </w:tcPr>
                <w:p w14:paraId="202543D7">
                  <w:pPr>
                    <w:pStyle w:val="66"/>
                    <w:bidi w:val="0"/>
                    <w:jc w:val="center"/>
                    <w:rPr>
                      <w:rFonts w:hint="default"/>
                      <w:color w:val="auto"/>
                      <w:lang w:val="en-US" w:eastAsia="zh-CN"/>
                    </w:rPr>
                  </w:pPr>
                  <w:r>
                    <w:rPr>
                      <w:rFonts w:hint="eastAsia"/>
                      <w:color w:val="auto"/>
                      <w:lang w:val="en-US" w:eastAsia="zh-CN"/>
                    </w:rPr>
                    <w:t>4类</w:t>
                  </w:r>
                </w:p>
              </w:tc>
              <w:tc>
                <w:tcPr>
                  <w:tcW w:w="1192" w:type="pct"/>
                  <w:tcBorders>
                    <w:tl2br w:val="nil"/>
                    <w:tr2bl w:val="nil"/>
                  </w:tcBorders>
                  <w:noWrap w:val="0"/>
                  <w:vAlign w:val="center"/>
                </w:tcPr>
                <w:p w14:paraId="5F7ADAF3">
                  <w:pPr>
                    <w:pStyle w:val="66"/>
                    <w:bidi w:val="0"/>
                    <w:ind w:left="18" w:leftChars="9" w:right="18" w:rightChars="9"/>
                    <w:jc w:val="center"/>
                    <w:rPr>
                      <w:rFonts w:hint="default"/>
                      <w:color w:val="auto"/>
                      <w:lang w:val="en-US" w:eastAsia="zh-CN"/>
                    </w:rPr>
                  </w:pPr>
                  <w:r>
                    <w:rPr>
                      <w:rFonts w:hint="eastAsia"/>
                      <w:color w:val="auto"/>
                      <w:lang w:val="en-US" w:eastAsia="zh-CN"/>
                    </w:rPr>
                    <w:t>70</w:t>
                  </w:r>
                </w:p>
              </w:tc>
              <w:tc>
                <w:tcPr>
                  <w:tcW w:w="984" w:type="pct"/>
                  <w:tcBorders>
                    <w:tl2br w:val="nil"/>
                    <w:tr2bl w:val="nil"/>
                  </w:tcBorders>
                  <w:noWrap w:val="0"/>
                  <w:vAlign w:val="center"/>
                </w:tcPr>
                <w:p w14:paraId="47D41884">
                  <w:pPr>
                    <w:pStyle w:val="66"/>
                    <w:bidi w:val="0"/>
                    <w:ind w:left="18" w:leftChars="9" w:right="18" w:rightChars="9"/>
                    <w:jc w:val="center"/>
                    <w:rPr>
                      <w:rFonts w:hint="default"/>
                      <w:color w:val="auto"/>
                      <w:lang w:val="en-US" w:eastAsia="zh-CN"/>
                    </w:rPr>
                  </w:pPr>
                  <w:r>
                    <w:rPr>
                      <w:rFonts w:hint="eastAsia"/>
                      <w:color w:val="auto"/>
                      <w:lang w:val="en-US" w:eastAsia="zh-CN"/>
                    </w:rPr>
                    <w:t>55</w:t>
                  </w:r>
                </w:p>
              </w:tc>
              <w:tc>
                <w:tcPr>
                  <w:tcW w:w="1673" w:type="pct"/>
                  <w:vMerge w:val="continue"/>
                  <w:tcBorders>
                    <w:tl2br w:val="nil"/>
                    <w:tr2bl w:val="nil"/>
                  </w:tcBorders>
                  <w:noWrap w:val="0"/>
                  <w:vAlign w:val="center"/>
                </w:tcPr>
                <w:p w14:paraId="449BB959">
                  <w:pPr>
                    <w:pStyle w:val="66"/>
                    <w:bidi w:val="0"/>
                    <w:jc w:val="center"/>
                    <w:rPr>
                      <w:rFonts w:hint="eastAsia"/>
                      <w:color w:val="auto"/>
                      <w:lang w:eastAsia="zh-CN"/>
                    </w:rPr>
                  </w:pPr>
                </w:p>
              </w:tc>
            </w:tr>
            <w:tr w14:paraId="1F282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48" w:type="pct"/>
                  <w:tcBorders>
                    <w:tl2br w:val="nil"/>
                    <w:tr2bl w:val="nil"/>
                  </w:tcBorders>
                  <w:noWrap w:val="0"/>
                  <w:vAlign w:val="center"/>
                </w:tcPr>
                <w:p w14:paraId="4251D8E4">
                  <w:pPr>
                    <w:pStyle w:val="66"/>
                    <w:bidi w:val="0"/>
                    <w:jc w:val="center"/>
                    <w:rPr>
                      <w:rFonts w:hint="default"/>
                      <w:color w:val="auto"/>
                      <w:lang w:val="en-US" w:eastAsia="zh-CN"/>
                    </w:rPr>
                  </w:pPr>
                  <w:r>
                    <w:rPr>
                      <w:rFonts w:hint="eastAsia"/>
                      <w:color w:val="auto"/>
                      <w:lang w:val="en-US" w:eastAsia="zh-CN"/>
                    </w:rPr>
                    <w:t>/</w:t>
                  </w:r>
                </w:p>
              </w:tc>
              <w:tc>
                <w:tcPr>
                  <w:tcW w:w="1192" w:type="pct"/>
                  <w:tcBorders>
                    <w:tl2br w:val="nil"/>
                    <w:tr2bl w:val="nil"/>
                  </w:tcBorders>
                  <w:noWrap w:val="0"/>
                  <w:vAlign w:val="center"/>
                </w:tcPr>
                <w:p w14:paraId="572A5EF7">
                  <w:pPr>
                    <w:pStyle w:val="66"/>
                    <w:bidi w:val="0"/>
                    <w:jc w:val="center"/>
                    <w:rPr>
                      <w:rFonts w:hint="default"/>
                      <w:color w:val="auto"/>
                      <w:lang w:val="en-US" w:eastAsia="zh-CN"/>
                    </w:rPr>
                  </w:pPr>
                  <w:r>
                    <w:rPr>
                      <w:rFonts w:hint="eastAsia"/>
                      <w:color w:val="auto"/>
                      <w:lang w:val="en-US" w:eastAsia="zh-CN"/>
                    </w:rPr>
                    <w:t>70</w:t>
                  </w:r>
                </w:p>
              </w:tc>
              <w:tc>
                <w:tcPr>
                  <w:tcW w:w="984" w:type="pct"/>
                  <w:tcBorders>
                    <w:tl2br w:val="nil"/>
                    <w:tr2bl w:val="nil"/>
                  </w:tcBorders>
                  <w:noWrap w:val="0"/>
                  <w:vAlign w:val="center"/>
                </w:tcPr>
                <w:p w14:paraId="514204A4">
                  <w:pPr>
                    <w:pStyle w:val="66"/>
                    <w:bidi w:val="0"/>
                    <w:jc w:val="center"/>
                    <w:rPr>
                      <w:rFonts w:hint="default"/>
                      <w:color w:val="auto"/>
                      <w:lang w:val="en-US" w:eastAsia="zh-CN"/>
                    </w:rPr>
                  </w:pPr>
                  <w:r>
                    <w:rPr>
                      <w:rFonts w:hint="eastAsia"/>
                      <w:color w:val="auto"/>
                      <w:lang w:val="en-US" w:eastAsia="zh-CN"/>
                    </w:rPr>
                    <w:t>55</w:t>
                  </w:r>
                </w:p>
              </w:tc>
              <w:tc>
                <w:tcPr>
                  <w:tcW w:w="1673" w:type="pct"/>
                  <w:tcBorders>
                    <w:tl2br w:val="nil"/>
                    <w:tr2bl w:val="nil"/>
                  </w:tcBorders>
                  <w:noWrap w:val="0"/>
                  <w:vAlign w:val="center"/>
                </w:tcPr>
                <w:p w14:paraId="645FAF1E">
                  <w:pPr>
                    <w:pStyle w:val="66"/>
                    <w:bidi w:val="0"/>
                    <w:jc w:val="center"/>
                    <w:rPr>
                      <w:rFonts w:hint="eastAsia"/>
                      <w:color w:val="auto"/>
                      <w:lang w:eastAsia="zh-CN"/>
                    </w:rPr>
                  </w:pPr>
                  <w:r>
                    <w:rPr>
                      <w:rFonts w:hint="eastAsia"/>
                      <w:color w:val="auto"/>
                      <w:lang w:val="en-US" w:eastAsia="zh-CN"/>
                    </w:rPr>
                    <w:t>《建筑施工场界环境噪声排放标准》（GB12523-2011）</w:t>
                  </w:r>
                </w:p>
              </w:tc>
            </w:tr>
          </w:tbl>
          <w:p w14:paraId="7572DBC3">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（四）固体废物</w:t>
            </w:r>
          </w:p>
          <w:p w14:paraId="59DCD3C1">
            <w:pPr>
              <w:pStyle w:val="71"/>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一般工业固体废物执行《一般工业固体废物贮存和填埋污染控制标准》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GB18599-20</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中规定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危险废物执行《危险废物贮存污染控制标准》(GB18597-20</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)中规定</w:t>
            </w:r>
            <w:r>
              <w:rPr>
                <w:rFonts w:hint="eastAsia" w:cs="Times New Roman"/>
                <w:color w:val="auto"/>
                <w:sz w:val="24"/>
                <w:szCs w:val="24"/>
                <w:lang w:val="en-US" w:eastAsia="zh-CN"/>
              </w:rPr>
              <w:t>。</w:t>
            </w:r>
          </w:p>
          <w:p w14:paraId="05B3FB8C">
            <w:pPr>
              <w:pStyle w:val="71"/>
              <w:bidi w:val="0"/>
              <w:ind w:left="0" w:leftChars="0" w:firstLine="0" w:firstLineChars="0"/>
              <w:rPr>
                <w:rFonts w:hint="default"/>
                <w:color w:val="auto"/>
                <w:lang w:val="en-US" w:eastAsia="zh-CN"/>
              </w:rPr>
            </w:pPr>
          </w:p>
        </w:tc>
      </w:tr>
      <w:tr w14:paraId="6606A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31" w:type="pct"/>
            <w:noWrap w:val="0"/>
            <w:vAlign w:val="center"/>
          </w:tcPr>
          <w:p w14:paraId="0C24FE8D">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总量控制指标</w:t>
            </w:r>
          </w:p>
        </w:tc>
        <w:tc>
          <w:tcPr>
            <w:tcW w:w="4668" w:type="pct"/>
            <w:noWrap w:val="0"/>
            <w:vAlign w:val="center"/>
          </w:tcPr>
          <w:p w14:paraId="21A28C45">
            <w:pPr>
              <w:pStyle w:val="71"/>
              <w:bidi w:val="0"/>
              <w:ind w:left="0" w:leftChars="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根据《“十四五”节能减排综合工作方案》、《江西省“十四五”生态环境保护规划》，</w:t>
            </w:r>
            <w:r>
              <w:rPr>
                <w:rFonts w:hint="eastAsia" w:ascii="Times New Roman" w:hAnsi="Times New Roman" w:eastAsia="宋体" w:cs="Times New Roman"/>
                <w:color w:val="auto"/>
                <w:sz w:val="24"/>
                <w:highlight w:val="none"/>
                <w:lang w:val="en-US" w:eastAsia="zh-CN"/>
              </w:rPr>
              <w:t>目前江西省</w:t>
            </w:r>
            <w:r>
              <w:rPr>
                <w:rFonts w:hint="default" w:ascii="Times New Roman" w:hAnsi="Times New Roman" w:eastAsia="宋体" w:cs="Times New Roman"/>
                <w:color w:val="auto"/>
                <w:sz w:val="24"/>
                <w:highlight w:val="none"/>
                <w:lang w:val="en-US" w:eastAsia="zh-CN"/>
              </w:rPr>
              <w:t>对COD、NH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-N、VOC</w:t>
            </w:r>
            <w:r>
              <w:rPr>
                <w:rFonts w:hint="eastAsia" w:ascii="Times New Roman" w:hAnsi="Times New Roman" w:eastAsia="宋体" w:cs="Times New Roman"/>
                <w:color w:val="auto"/>
                <w:sz w:val="24"/>
                <w:highlight w:val="none"/>
                <w:lang w:val="en-US" w:eastAsia="zh-CN"/>
              </w:rPr>
              <w:t>s</w:t>
            </w:r>
            <w:r>
              <w:rPr>
                <w:rFonts w:hint="default" w:ascii="Times New Roman" w:hAnsi="Times New Roman" w:eastAsia="宋体" w:cs="Times New Roman"/>
                <w:color w:val="auto"/>
                <w:sz w:val="24"/>
                <w:highlight w:val="none"/>
                <w:lang w:val="en-US" w:eastAsia="zh-CN"/>
              </w:rPr>
              <w:t>及NOx四种污染物排放实行总量控制和计划管理。</w:t>
            </w:r>
          </w:p>
          <w:p w14:paraId="4BBCBD2E">
            <w:pPr>
              <w:pStyle w:val="11"/>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本项目</w:t>
            </w:r>
            <w:r>
              <w:rPr>
                <w:rFonts w:hint="eastAsia" w:ascii="Times New Roman" w:hAnsi="Times New Roman" w:cs="Times New Roman"/>
                <w:color w:val="auto"/>
                <w:sz w:val="24"/>
                <w:lang w:val="en-US" w:eastAsia="zh-CN"/>
              </w:rPr>
              <w:t>废气中含有非甲烷总烃，排放量较小，且为无组织排放，无需申请总量</w:t>
            </w:r>
            <w:r>
              <w:rPr>
                <w:rFonts w:hint="default" w:ascii="Times New Roman" w:hAnsi="Times New Roman" w:cs="Times New Roman"/>
                <w:color w:val="auto"/>
                <w:sz w:val="24"/>
              </w:rPr>
              <w:t>。</w:t>
            </w:r>
          </w:p>
          <w:p w14:paraId="1EF2CE4A">
            <w:pPr>
              <w:pStyle w:val="11"/>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lang w:eastAsia="zh-CN"/>
              </w:rPr>
              <w:t>本项目</w:t>
            </w:r>
            <w:r>
              <w:rPr>
                <w:rFonts w:hint="eastAsia"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生活废水排入隔油池+三级</w:t>
            </w:r>
            <w:r>
              <w:rPr>
                <w:rFonts w:hint="eastAsia" w:cs="Times New Roman"/>
                <w:color w:val="auto"/>
                <w:sz w:val="24"/>
                <w:szCs w:val="24"/>
                <w:lang w:val="en-US" w:eastAsia="zh-CN"/>
              </w:rPr>
              <w:t>化粪池处理达</w:t>
            </w:r>
            <w:r>
              <w:rPr>
                <w:rFonts w:hint="eastAsia" w:ascii="Times New Roman" w:hAnsi="Times New Roman" w:eastAsia="宋体" w:cs="Times New Roman"/>
                <w:color w:val="auto"/>
                <w:sz w:val="24"/>
                <w:szCs w:val="24"/>
                <w:lang w:val="en-US" w:eastAsia="zh-CN"/>
              </w:rPr>
              <w:t>《农田灌溉水质标准》（GB5084-2021）中</w:t>
            </w:r>
            <w:r>
              <w:rPr>
                <w:rFonts w:hint="eastAsia" w:cs="Times New Roman"/>
                <w:color w:val="auto"/>
                <w:sz w:val="24"/>
                <w:szCs w:val="24"/>
                <w:lang w:val="en-US" w:eastAsia="zh-CN"/>
              </w:rPr>
              <w:t>旱作</w:t>
            </w:r>
            <w:r>
              <w:rPr>
                <w:rFonts w:hint="eastAsia" w:ascii="Times New Roman" w:hAnsi="Times New Roman" w:eastAsia="宋体" w:cs="Times New Roman"/>
                <w:color w:val="auto"/>
                <w:sz w:val="24"/>
                <w:szCs w:val="24"/>
                <w:lang w:val="en-US" w:eastAsia="zh-CN"/>
              </w:rPr>
              <w:t>标准后用于周边农田灌溉</w:t>
            </w:r>
            <w:r>
              <w:rPr>
                <w:rFonts w:hint="eastAsia" w:cs="Times New Roman"/>
                <w:color w:val="auto"/>
                <w:sz w:val="24"/>
                <w:szCs w:val="24"/>
                <w:lang w:val="en-US" w:eastAsia="zh-CN"/>
              </w:rPr>
              <w:t>，不外排。</w:t>
            </w:r>
          </w:p>
          <w:p w14:paraId="1E49171A">
            <w:pPr>
              <w:pStyle w:val="11"/>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因此，</w:t>
            </w: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无需</w:t>
            </w:r>
            <w:r>
              <w:rPr>
                <w:rFonts w:hint="default" w:ascii="Times New Roman" w:hAnsi="Times New Roman" w:eastAsia="宋体" w:cs="Times New Roman"/>
                <w:color w:val="auto"/>
                <w:sz w:val="24"/>
                <w:szCs w:val="24"/>
                <w:lang w:val="en-US" w:eastAsia="zh-CN"/>
              </w:rPr>
              <w:t>申请总量控制指标</w:t>
            </w:r>
            <w:r>
              <w:rPr>
                <w:rFonts w:hint="default" w:ascii="Times New Roman" w:hAnsi="Times New Roman" w:cs="Times New Roman"/>
                <w:color w:val="auto"/>
                <w:sz w:val="24"/>
                <w:szCs w:val="24"/>
                <w:lang w:val="en-US" w:eastAsia="zh-CN"/>
              </w:rPr>
              <w:t>。</w:t>
            </w:r>
          </w:p>
          <w:p w14:paraId="1ADC9C65">
            <w:pPr>
              <w:pStyle w:val="11"/>
              <w:spacing w:line="360" w:lineRule="auto"/>
              <w:ind w:firstLine="480" w:firstLineChars="200"/>
              <w:rPr>
                <w:rFonts w:hint="default" w:ascii="Times New Roman" w:hAnsi="Times New Roman" w:cs="Times New Roman"/>
                <w:color w:val="auto"/>
                <w:sz w:val="24"/>
                <w:szCs w:val="24"/>
                <w:lang w:val="en-US" w:eastAsia="zh-CN"/>
              </w:rPr>
            </w:pPr>
          </w:p>
          <w:p w14:paraId="49C795DC">
            <w:pPr>
              <w:pStyle w:val="11"/>
              <w:spacing w:line="360" w:lineRule="auto"/>
              <w:ind w:firstLine="480" w:firstLineChars="200"/>
              <w:rPr>
                <w:rFonts w:hint="default" w:ascii="Times New Roman" w:hAnsi="Times New Roman" w:cs="Times New Roman"/>
                <w:color w:val="auto"/>
                <w:sz w:val="24"/>
                <w:szCs w:val="24"/>
                <w:lang w:val="en-US" w:eastAsia="zh-CN"/>
              </w:rPr>
            </w:pPr>
          </w:p>
          <w:p w14:paraId="52E1CC2C">
            <w:pPr>
              <w:pStyle w:val="11"/>
              <w:spacing w:line="360" w:lineRule="auto"/>
              <w:ind w:firstLine="480" w:firstLineChars="200"/>
              <w:rPr>
                <w:rFonts w:hint="default" w:ascii="Times New Roman" w:hAnsi="Times New Roman" w:cs="Times New Roman"/>
                <w:color w:val="auto"/>
                <w:sz w:val="24"/>
                <w:szCs w:val="24"/>
                <w:lang w:val="en-US" w:eastAsia="zh-CN"/>
              </w:rPr>
            </w:pPr>
          </w:p>
          <w:p w14:paraId="6890A993">
            <w:pPr>
              <w:pStyle w:val="11"/>
              <w:spacing w:line="360" w:lineRule="auto"/>
              <w:ind w:firstLine="480" w:firstLineChars="200"/>
              <w:rPr>
                <w:rFonts w:hint="default" w:ascii="Times New Roman" w:hAnsi="Times New Roman" w:cs="Times New Roman"/>
                <w:color w:val="auto"/>
                <w:sz w:val="24"/>
                <w:szCs w:val="24"/>
                <w:lang w:val="en-US" w:eastAsia="zh-CN"/>
              </w:rPr>
            </w:pPr>
          </w:p>
          <w:p w14:paraId="49116677">
            <w:pPr>
              <w:pStyle w:val="11"/>
              <w:spacing w:line="360" w:lineRule="auto"/>
              <w:ind w:firstLine="480" w:firstLineChars="200"/>
              <w:rPr>
                <w:rFonts w:hint="default" w:ascii="Times New Roman" w:hAnsi="Times New Roman" w:cs="Times New Roman"/>
                <w:color w:val="auto"/>
                <w:sz w:val="24"/>
                <w:szCs w:val="24"/>
                <w:lang w:val="en-US" w:eastAsia="zh-CN"/>
              </w:rPr>
            </w:pPr>
          </w:p>
          <w:p w14:paraId="19CA187A">
            <w:pPr>
              <w:pStyle w:val="11"/>
              <w:spacing w:line="360" w:lineRule="auto"/>
              <w:ind w:firstLine="480" w:firstLineChars="200"/>
              <w:rPr>
                <w:rFonts w:hint="default" w:ascii="Times New Roman" w:hAnsi="Times New Roman" w:cs="Times New Roman"/>
                <w:color w:val="auto"/>
                <w:sz w:val="24"/>
                <w:szCs w:val="24"/>
                <w:lang w:val="en-US" w:eastAsia="zh-CN"/>
              </w:rPr>
            </w:pPr>
          </w:p>
          <w:p w14:paraId="239B93B5">
            <w:pPr>
              <w:pStyle w:val="11"/>
              <w:spacing w:line="360" w:lineRule="auto"/>
              <w:ind w:firstLine="480" w:firstLineChars="200"/>
              <w:rPr>
                <w:rFonts w:hint="default" w:ascii="Times New Roman" w:hAnsi="Times New Roman" w:cs="Times New Roman"/>
                <w:color w:val="auto"/>
                <w:sz w:val="24"/>
                <w:szCs w:val="24"/>
                <w:lang w:val="en-US" w:eastAsia="zh-CN"/>
              </w:rPr>
            </w:pPr>
          </w:p>
          <w:p w14:paraId="31211D69">
            <w:pPr>
              <w:pStyle w:val="11"/>
              <w:spacing w:line="360" w:lineRule="auto"/>
              <w:ind w:firstLine="480" w:firstLineChars="200"/>
              <w:rPr>
                <w:rFonts w:hint="default" w:ascii="Times New Roman" w:hAnsi="Times New Roman" w:cs="Times New Roman"/>
                <w:color w:val="auto"/>
                <w:sz w:val="24"/>
                <w:szCs w:val="24"/>
                <w:lang w:val="en-US" w:eastAsia="zh-CN"/>
              </w:rPr>
            </w:pPr>
          </w:p>
          <w:p w14:paraId="1FDC2D3C">
            <w:pPr>
              <w:pStyle w:val="11"/>
              <w:spacing w:line="360" w:lineRule="auto"/>
              <w:ind w:firstLine="480" w:firstLineChars="200"/>
              <w:rPr>
                <w:rFonts w:hint="default" w:ascii="Times New Roman" w:hAnsi="Times New Roman" w:cs="Times New Roman"/>
                <w:color w:val="auto"/>
                <w:sz w:val="24"/>
                <w:szCs w:val="24"/>
                <w:lang w:val="en-US" w:eastAsia="zh-CN"/>
              </w:rPr>
            </w:pPr>
          </w:p>
          <w:p w14:paraId="4E8E1650">
            <w:pPr>
              <w:pStyle w:val="11"/>
              <w:spacing w:line="360" w:lineRule="auto"/>
              <w:ind w:firstLine="480" w:firstLineChars="200"/>
              <w:rPr>
                <w:rFonts w:hint="default" w:ascii="Times New Roman" w:hAnsi="Times New Roman" w:cs="Times New Roman"/>
                <w:color w:val="auto"/>
                <w:sz w:val="24"/>
                <w:szCs w:val="24"/>
                <w:lang w:val="en-US" w:eastAsia="zh-CN"/>
              </w:rPr>
            </w:pPr>
          </w:p>
          <w:p w14:paraId="26271B6D">
            <w:pPr>
              <w:pStyle w:val="11"/>
              <w:spacing w:line="360" w:lineRule="auto"/>
              <w:ind w:firstLine="480" w:firstLineChars="200"/>
              <w:rPr>
                <w:rFonts w:hint="default" w:ascii="Times New Roman" w:hAnsi="Times New Roman" w:cs="Times New Roman"/>
                <w:color w:val="auto"/>
                <w:sz w:val="24"/>
                <w:szCs w:val="24"/>
                <w:lang w:val="en-US" w:eastAsia="zh-CN"/>
              </w:rPr>
            </w:pPr>
          </w:p>
          <w:p w14:paraId="581B1CE1">
            <w:pPr>
              <w:pStyle w:val="11"/>
              <w:spacing w:line="360" w:lineRule="auto"/>
              <w:ind w:firstLine="480" w:firstLineChars="200"/>
              <w:rPr>
                <w:rFonts w:hint="default" w:ascii="Times New Roman" w:hAnsi="Times New Roman" w:cs="Times New Roman"/>
                <w:color w:val="auto"/>
                <w:sz w:val="24"/>
                <w:szCs w:val="24"/>
                <w:lang w:val="en-US" w:eastAsia="zh-CN"/>
              </w:rPr>
            </w:pPr>
          </w:p>
          <w:p w14:paraId="55723B4E">
            <w:pPr>
              <w:pStyle w:val="11"/>
              <w:spacing w:line="360" w:lineRule="auto"/>
              <w:ind w:firstLine="480" w:firstLineChars="200"/>
              <w:rPr>
                <w:rFonts w:hint="default" w:ascii="Times New Roman" w:hAnsi="Times New Roman" w:cs="Times New Roman"/>
                <w:color w:val="auto"/>
                <w:sz w:val="24"/>
                <w:szCs w:val="24"/>
                <w:lang w:val="en-US" w:eastAsia="zh-CN"/>
              </w:rPr>
            </w:pPr>
          </w:p>
          <w:p w14:paraId="491A5B6E">
            <w:pPr>
              <w:pStyle w:val="11"/>
              <w:spacing w:line="360" w:lineRule="auto"/>
              <w:ind w:firstLine="480" w:firstLineChars="200"/>
              <w:rPr>
                <w:rFonts w:hint="default" w:ascii="Times New Roman" w:hAnsi="Times New Roman" w:cs="Times New Roman"/>
                <w:color w:val="auto"/>
                <w:sz w:val="24"/>
                <w:szCs w:val="24"/>
                <w:lang w:val="en-US" w:eastAsia="zh-CN"/>
              </w:rPr>
            </w:pPr>
          </w:p>
          <w:p w14:paraId="222D8DDC">
            <w:pPr>
              <w:pStyle w:val="11"/>
              <w:spacing w:line="360" w:lineRule="auto"/>
              <w:ind w:firstLine="480" w:firstLineChars="200"/>
              <w:rPr>
                <w:rFonts w:hint="default" w:ascii="Times New Roman" w:hAnsi="Times New Roman" w:cs="Times New Roman"/>
                <w:color w:val="auto"/>
                <w:sz w:val="24"/>
                <w:szCs w:val="24"/>
                <w:lang w:val="en-US" w:eastAsia="zh-CN"/>
              </w:rPr>
            </w:pPr>
          </w:p>
          <w:p w14:paraId="438874AB">
            <w:pPr>
              <w:pStyle w:val="11"/>
              <w:spacing w:line="360" w:lineRule="auto"/>
              <w:ind w:firstLine="480" w:firstLineChars="200"/>
              <w:rPr>
                <w:rFonts w:hint="default" w:ascii="Times New Roman" w:hAnsi="Times New Roman" w:cs="Times New Roman"/>
                <w:color w:val="auto"/>
                <w:sz w:val="24"/>
                <w:szCs w:val="24"/>
                <w:lang w:val="en-US" w:eastAsia="zh-CN"/>
              </w:rPr>
            </w:pPr>
          </w:p>
          <w:p w14:paraId="25117EC5">
            <w:pPr>
              <w:pStyle w:val="11"/>
              <w:spacing w:line="360" w:lineRule="auto"/>
              <w:ind w:firstLine="480" w:firstLineChars="200"/>
              <w:rPr>
                <w:rFonts w:hint="default" w:ascii="Times New Roman" w:hAnsi="Times New Roman" w:cs="Times New Roman"/>
                <w:color w:val="auto"/>
                <w:sz w:val="24"/>
                <w:szCs w:val="24"/>
                <w:lang w:val="en-US" w:eastAsia="zh-CN"/>
              </w:rPr>
            </w:pPr>
          </w:p>
          <w:p w14:paraId="26E26054">
            <w:pPr>
              <w:pStyle w:val="11"/>
              <w:spacing w:line="360" w:lineRule="auto"/>
              <w:ind w:firstLine="480" w:firstLineChars="200"/>
              <w:rPr>
                <w:rFonts w:hint="default" w:ascii="Times New Roman" w:hAnsi="Times New Roman" w:cs="Times New Roman"/>
                <w:color w:val="auto"/>
                <w:sz w:val="24"/>
                <w:szCs w:val="24"/>
                <w:lang w:val="en-US" w:eastAsia="zh-CN"/>
              </w:rPr>
            </w:pPr>
          </w:p>
          <w:p w14:paraId="1A3EBDC9">
            <w:pPr>
              <w:pStyle w:val="11"/>
              <w:spacing w:line="360" w:lineRule="auto"/>
              <w:ind w:firstLine="480" w:firstLineChars="200"/>
              <w:rPr>
                <w:rFonts w:hint="default" w:ascii="Times New Roman" w:hAnsi="Times New Roman" w:cs="Times New Roman"/>
                <w:color w:val="auto"/>
                <w:sz w:val="24"/>
                <w:szCs w:val="24"/>
                <w:lang w:val="en-US" w:eastAsia="zh-CN"/>
              </w:rPr>
            </w:pPr>
          </w:p>
          <w:p w14:paraId="55A90D73">
            <w:pPr>
              <w:pStyle w:val="11"/>
              <w:spacing w:line="360" w:lineRule="auto"/>
              <w:ind w:firstLine="480" w:firstLineChars="200"/>
              <w:rPr>
                <w:rFonts w:hint="default" w:ascii="Times New Roman" w:hAnsi="Times New Roman" w:cs="Times New Roman"/>
                <w:color w:val="auto"/>
                <w:sz w:val="24"/>
                <w:szCs w:val="24"/>
                <w:lang w:val="en-US" w:eastAsia="zh-CN"/>
              </w:rPr>
            </w:pPr>
          </w:p>
          <w:p w14:paraId="639261EF">
            <w:pPr>
              <w:pStyle w:val="11"/>
              <w:spacing w:line="360" w:lineRule="auto"/>
              <w:ind w:firstLine="480" w:firstLineChars="200"/>
              <w:rPr>
                <w:rFonts w:hint="default" w:ascii="Times New Roman" w:hAnsi="Times New Roman" w:cs="Times New Roman"/>
                <w:color w:val="auto"/>
                <w:sz w:val="24"/>
                <w:szCs w:val="24"/>
                <w:lang w:val="en-US" w:eastAsia="zh-CN"/>
              </w:rPr>
            </w:pPr>
          </w:p>
          <w:p w14:paraId="2197D687">
            <w:pPr>
              <w:pStyle w:val="11"/>
              <w:spacing w:line="360" w:lineRule="auto"/>
              <w:ind w:firstLine="480" w:firstLineChars="200"/>
              <w:rPr>
                <w:rFonts w:hint="eastAsia" w:ascii="Times New Roman" w:hAnsi="Times New Roman" w:cs="Times New Roman"/>
                <w:color w:val="auto"/>
                <w:sz w:val="24"/>
                <w:szCs w:val="24"/>
                <w:lang w:val="en-US" w:eastAsia="zh-CN"/>
              </w:rPr>
            </w:pPr>
          </w:p>
        </w:tc>
      </w:tr>
    </w:tbl>
    <w:p w14:paraId="0F89E953">
      <w:pPr>
        <w:pStyle w:val="32"/>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6"/>
        <w:tblW w:w="50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486"/>
      </w:tblGrid>
      <w:tr w14:paraId="4F0A8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noWrap w:val="0"/>
            <w:tcMar>
              <w:left w:w="28" w:type="dxa"/>
              <w:right w:w="28" w:type="dxa"/>
            </w:tcMar>
            <w:vAlign w:val="center"/>
          </w:tcPr>
          <w:p w14:paraId="79AF13E6">
            <w:pPr>
              <w:pStyle w:val="32"/>
              <w:adjustRightInd w:val="0"/>
              <w:snapToGrid w:val="0"/>
              <w:spacing w:before="0" w:beforeAutospacing="0" w:after="0" w:afterAutospacing="0"/>
              <w:jc w:val="center"/>
              <w:rPr>
                <w:rFonts w:hint="eastAsia" w:cs="宋体"/>
                <w:bCs/>
                <w:color w:val="auto"/>
                <w:kern w:val="2"/>
                <w:sz w:val="24"/>
                <w:szCs w:val="24"/>
              </w:rPr>
            </w:pPr>
            <w:r>
              <w:rPr>
                <w:rFonts w:hint="eastAsia" w:cs="宋体"/>
                <w:color w:val="auto"/>
                <w:kern w:val="2"/>
                <w:sz w:val="24"/>
                <w:szCs w:val="24"/>
              </w:rPr>
              <w:t>施工期环境保护措施</w:t>
            </w:r>
          </w:p>
        </w:tc>
        <w:tc>
          <w:tcPr>
            <w:tcW w:w="4729" w:type="pct"/>
            <w:noWrap w:val="0"/>
            <w:vAlign w:val="center"/>
          </w:tcPr>
          <w:p w14:paraId="68CB17E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（一）废气</w:t>
            </w:r>
          </w:p>
          <w:p w14:paraId="59DF1F69">
            <w:pPr>
              <w:pStyle w:val="71"/>
              <w:bidi w:val="0"/>
              <w:rPr>
                <w:rFonts w:hint="eastAsia"/>
                <w:color w:val="auto"/>
                <w:lang w:val="en-US" w:eastAsia="zh-CN"/>
              </w:rPr>
            </w:pPr>
            <w:r>
              <w:rPr>
                <w:rFonts w:hint="eastAsia"/>
                <w:color w:val="auto"/>
                <w:lang w:val="en-US" w:eastAsia="zh-CN"/>
              </w:rPr>
              <w:t>施工期间产生的粉尘和机械尾气，对施工人员的作业环境和下风向的环境空气会产生一定的不良影响，因此在施工期间应采取以下措施减轻其影响：</w:t>
            </w:r>
          </w:p>
          <w:p w14:paraId="3AEF09E8">
            <w:pPr>
              <w:pStyle w:val="71"/>
              <w:numPr>
                <w:ilvl w:val="0"/>
                <w:numId w:val="3"/>
              </w:numPr>
              <w:bidi w:val="0"/>
              <w:rPr>
                <w:rFonts w:hint="eastAsia"/>
                <w:color w:val="auto"/>
                <w:lang w:val="en-US" w:eastAsia="zh-CN"/>
              </w:rPr>
            </w:pPr>
            <w:r>
              <w:rPr>
                <w:rFonts w:hint="eastAsia"/>
                <w:color w:val="auto"/>
                <w:lang w:val="en-US" w:eastAsia="zh-CN"/>
              </w:rPr>
              <w:t>对施工现场进行科学管理，砂石料应统一堆放，水泥应设专门库房堆放，尽量减少搬运环节，搬运时轻举轻放，防止包装袋破裂。</w:t>
            </w:r>
          </w:p>
          <w:p w14:paraId="5A34A933">
            <w:pPr>
              <w:pStyle w:val="71"/>
              <w:numPr>
                <w:ilvl w:val="0"/>
                <w:numId w:val="3"/>
              </w:numPr>
              <w:bidi w:val="0"/>
              <w:rPr>
                <w:rFonts w:hint="eastAsia"/>
                <w:color w:val="auto"/>
                <w:lang w:val="en-US" w:eastAsia="zh-CN"/>
              </w:rPr>
            </w:pPr>
            <w:r>
              <w:rPr>
                <w:rFonts w:hint="eastAsia"/>
                <w:color w:val="auto"/>
                <w:lang w:val="en-US" w:eastAsia="zh-CN"/>
              </w:rPr>
              <w:t>谨防运输车辆装载过满，并尽量采取遮盖、密闭措施，减少其沿途抛洒，并及时清扫散落在路面的泥土和灰尘，冲洗轮胎，定时洒水压尘，减少运输过程中的扬尘。</w:t>
            </w:r>
          </w:p>
          <w:p w14:paraId="0068D96B">
            <w:pPr>
              <w:pStyle w:val="71"/>
              <w:numPr>
                <w:ilvl w:val="0"/>
                <w:numId w:val="3"/>
              </w:numPr>
              <w:bidi w:val="0"/>
              <w:rPr>
                <w:rFonts w:hint="eastAsia"/>
                <w:color w:val="auto"/>
                <w:lang w:val="en-US" w:eastAsia="zh-CN"/>
              </w:rPr>
            </w:pPr>
            <w:r>
              <w:rPr>
                <w:rFonts w:hint="eastAsia"/>
                <w:color w:val="auto"/>
                <w:lang w:val="en-US" w:eastAsia="zh-CN"/>
              </w:rPr>
              <w:t>现场施工搅拌砂浆、混凝土时应尽量做到不洒、不漏、不剩不倒；项目现场不设混凝土搅拌站，施工购买成品混凝土。</w:t>
            </w:r>
          </w:p>
          <w:p w14:paraId="73BA805B">
            <w:pPr>
              <w:pStyle w:val="71"/>
              <w:numPr>
                <w:ilvl w:val="0"/>
                <w:numId w:val="3"/>
              </w:numPr>
              <w:bidi w:val="0"/>
              <w:rPr>
                <w:rFonts w:hint="eastAsia"/>
                <w:color w:val="auto"/>
                <w:lang w:val="en-US" w:eastAsia="zh-CN"/>
              </w:rPr>
            </w:pPr>
            <w:r>
              <w:rPr>
                <w:rFonts w:hint="eastAsia"/>
                <w:color w:val="auto"/>
                <w:lang w:val="en-US" w:eastAsia="zh-CN"/>
              </w:rPr>
              <w:t>施工现场要围栏或部分围栏，减少施工扬尘扩散范围。尽可能减少扬尘附近居民的环境影响。</w:t>
            </w:r>
          </w:p>
          <w:p w14:paraId="046D900F">
            <w:pPr>
              <w:pStyle w:val="71"/>
              <w:numPr>
                <w:ilvl w:val="0"/>
                <w:numId w:val="3"/>
              </w:numPr>
              <w:bidi w:val="0"/>
              <w:rPr>
                <w:rFonts w:hint="eastAsia"/>
                <w:color w:val="auto"/>
                <w:lang w:val="en-US" w:eastAsia="zh-CN"/>
              </w:rPr>
            </w:pPr>
            <w:r>
              <w:rPr>
                <w:rFonts w:hint="eastAsia"/>
                <w:color w:val="auto"/>
                <w:lang w:val="en-US" w:eastAsia="zh-CN"/>
              </w:rPr>
              <w:t>风速过大时应停止施工作业，并对堆放的砂石等建筑材料进行遮盖处理。</w:t>
            </w:r>
          </w:p>
          <w:p w14:paraId="102869F7">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（二）废水</w:t>
            </w:r>
          </w:p>
          <w:p w14:paraId="3BFB566F">
            <w:pPr>
              <w:pStyle w:val="71"/>
              <w:bidi w:val="0"/>
              <w:rPr>
                <w:rFonts w:hint="default"/>
                <w:color w:val="auto"/>
                <w:lang w:val="en-US" w:eastAsia="zh-CN"/>
              </w:rPr>
            </w:pPr>
            <w:r>
              <w:rPr>
                <w:rFonts w:hint="default"/>
                <w:color w:val="auto"/>
                <w:lang w:val="en-US" w:eastAsia="zh-CN"/>
              </w:rPr>
              <w:t>施工期对水环境的影响主要为建筑工地排水、设备清洗排水等施工废水以及施工人员生活污水，采取以下措施减轻其影响：</w:t>
            </w:r>
          </w:p>
          <w:p w14:paraId="5BB0404D">
            <w:pPr>
              <w:pStyle w:val="71"/>
              <w:numPr>
                <w:ilvl w:val="0"/>
                <w:numId w:val="4"/>
              </w:numPr>
              <w:bidi w:val="0"/>
              <w:rPr>
                <w:rFonts w:hint="default"/>
                <w:color w:val="auto"/>
                <w:lang w:val="en-US" w:eastAsia="zh-CN"/>
              </w:rPr>
            </w:pPr>
            <w:r>
              <w:rPr>
                <w:rFonts w:hint="default"/>
                <w:color w:val="auto"/>
                <w:lang w:val="en-US" w:eastAsia="zh-CN"/>
              </w:rPr>
              <w:t>对生产、清洗废水进行预处理后，用于施工场地洒水抑尘；施工人员生活污水</w:t>
            </w:r>
            <w:r>
              <w:rPr>
                <w:rFonts w:hint="eastAsia"/>
                <w:color w:val="auto"/>
                <w:lang w:val="en-US" w:eastAsia="zh-CN"/>
              </w:rPr>
              <w:t>经旱厕处理后委托周边农户定期清捞做农家肥</w:t>
            </w:r>
            <w:r>
              <w:rPr>
                <w:rFonts w:hint="default"/>
                <w:color w:val="auto"/>
                <w:lang w:val="en-US" w:eastAsia="zh-CN"/>
              </w:rPr>
              <w:t>。</w:t>
            </w:r>
          </w:p>
          <w:p w14:paraId="73209188">
            <w:pPr>
              <w:pStyle w:val="71"/>
              <w:numPr>
                <w:ilvl w:val="0"/>
                <w:numId w:val="4"/>
              </w:numPr>
              <w:bidi w:val="0"/>
              <w:rPr>
                <w:rFonts w:hint="default"/>
                <w:color w:val="auto"/>
                <w:lang w:val="en-US" w:eastAsia="zh-CN"/>
              </w:rPr>
            </w:pPr>
            <w:r>
              <w:rPr>
                <w:rFonts w:hint="default"/>
                <w:color w:val="auto"/>
                <w:lang w:val="en-US" w:eastAsia="zh-CN"/>
              </w:rPr>
              <w:t>施工运输过程中抛洒的水泥、石灰等建筑材料，应及时清理，以免随雨水污染水体。</w:t>
            </w:r>
          </w:p>
          <w:p w14:paraId="0A1A9B77">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（三）噪声</w:t>
            </w:r>
          </w:p>
          <w:p w14:paraId="607BDE49">
            <w:pPr>
              <w:pStyle w:val="71"/>
              <w:bidi w:val="0"/>
              <w:rPr>
                <w:rFonts w:hint="default"/>
                <w:color w:val="auto"/>
                <w:lang w:val="en-US" w:eastAsia="zh-CN"/>
              </w:rPr>
            </w:pPr>
            <w:r>
              <w:rPr>
                <w:rFonts w:hint="default"/>
                <w:color w:val="auto"/>
                <w:lang w:val="en-US" w:eastAsia="zh-CN"/>
              </w:rPr>
              <w:t>控制噪声污染的有效途径有：降低声源噪声、限制声传播和阻断声接收。</w:t>
            </w:r>
          </w:p>
          <w:p w14:paraId="14ACC4A0">
            <w:pPr>
              <w:pStyle w:val="71"/>
              <w:numPr>
                <w:ilvl w:val="0"/>
                <w:numId w:val="5"/>
              </w:numPr>
              <w:bidi w:val="0"/>
              <w:rPr>
                <w:rFonts w:hint="default"/>
                <w:color w:val="auto"/>
                <w:lang w:val="en-US" w:eastAsia="zh-CN"/>
              </w:rPr>
            </w:pPr>
            <w:r>
              <w:rPr>
                <w:rFonts w:hint="default"/>
                <w:color w:val="auto"/>
                <w:lang w:val="en-US" w:eastAsia="zh-CN"/>
              </w:rPr>
              <w:t>对现场施工人员的噪声防治噪声源的控制：施工机械应尽量选用低噪声设备；固定设备与挖掘机、运输卡车等机械的进气、排气口设置消声器；振动大的设备应配备减振装置，也可以使用阻尼材料；加强设备的维护和保养。传播途径控制：在混凝土搅拌机等声级大的噪声源周围尽可能用多孔吸声材料建立隔声屏障、隔声罩和隔声间；在施工场地边界或产生噪声设备相对集中的地方建立临时性声障。受体保护：施工场地内施工机械对施工人员的影响是不可避免的，对施工人员应发放防声头盔、耳罩、耳塞等。</w:t>
            </w:r>
          </w:p>
          <w:p w14:paraId="0B40EC8B">
            <w:pPr>
              <w:pStyle w:val="71"/>
              <w:numPr>
                <w:ilvl w:val="0"/>
                <w:numId w:val="5"/>
              </w:numPr>
              <w:bidi w:val="0"/>
              <w:rPr>
                <w:rFonts w:hint="default"/>
                <w:color w:val="auto"/>
                <w:lang w:val="en-US" w:eastAsia="zh-CN"/>
              </w:rPr>
            </w:pPr>
            <w:r>
              <w:rPr>
                <w:rFonts w:hint="default"/>
                <w:color w:val="auto"/>
                <w:lang w:val="en-US" w:eastAsia="zh-CN"/>
              </w:rPr>
              <w:t>居民区防护措施施工噪声会对项目周边敏感目标造成影响，所以应严格控制施工时间，除施工工艺特殊需要外，不要安排昼间连续施工，施工时间应控制在8:00～12:00，14:00～22:00。因施工工艺特殊需要必须夜间施工，必须到生态环境行政管理部门办理相关手续，并以公告的形式告知周边村民夜间施工的理由、施工日期、施工时间的长短。</w:t>
            </w:r>
          </w:p>
          <w:p w14:paraId="78E98F87">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（四）固体废物</w:t>
            </w:r>
          </w:p>
          <w:p w14:paraId="4C4D7FAD">
            <w:pPr>
              <w:pStyle w:val="71"/>
              <w:bidi w:val="0"/>
              <w:rPr>
                <w:rFonts w:hint="default"/>
                <w:color w:val="auto"/>
                <w:lang w:val="en-US" w:eastAsia="zh-CN"/>
              </w:rPr>
            </w:pPr>
            <w:r>
              <w:rPr>
                <w:rFonts w:hint="default"/>
                <w:color w:val="auto"/>
                <w:lang w:val="en-US" w:eastAsia="zh-CN"/>
              </w:rPr>
              <w:t>施工期固体废物主要来自施工所产生的施工弃渣、建筑垃圾（主要指地面挖掘、道路修筑、管道铺设、材料运输、基础工程和房屋建筑等工程施工期间产生的大量废弃建筑材料，如砂石、石灰、混凝土、土石方等）和施工队伍生活产生的生活垃圾。采取以下治理措施：</w:t>
            </w:r>
          </w:p>
          <w:p w14:paraId="4D68642F">
            <w:pPr>
              <w:pStyle w:val="71"/>
              <w:numPr>
                <w:ilvl w:val="0"/>
                <w:numId w:val="6"/>
              </w:numPr>
              <w:bidi w:val="0"/>
              <w:rPr>
                <w:rFonts w:hint="eastAsia"/>
                <w:color w:val="auto"/>
                <w:lang w:val="en-US" w:eastAsia="zh-CN"/>
              </w:rPr>
            </w:pPr>
            <w:r>
              <w:rPr>
                <w:rFonts w:hint="default"/>
                <w:color w:val="auto"/>
                <w:lang w:val="en-US" w:eastAsia="zh-CN"/>
              </w:rPr>
              <w:t>施工前应按规定到有关部门办理处置批文，按处置批文规定的地方处置建筑垃圾，不得随意堆置在耕地、林地、河道等地。对规定的处置场的四周必须进行防护，不得任意堆弃，同时做好排水防护，避免产生水土流失</w:t>
            </w:r>
            <w:r>
              <w:rPr>
                <w:rFonts w:hint="eastAsia"/>
                <w:color w:val="auto"/>
                <w:lang w:val="en-US" w:eastAsia="zh-CN"/>
              </w:rPr>
              <w:t>。</w:t>
            </w:r>
          </w:p>
          <w:p w14:paraId="138025D0">
            <w:pPr>
              <w:pStyle w:val="71"/>
              <w:numPr>
                <w:ilvl w:val="0"/>
                <w:numId w:val="6"/>
              </w:numPr>
              <w:bidi w:val="0"/>
              <w:rPr>
                <w:rFonts w:hint="default"/>
                <w:color w:val="auto"/>
                <w:lang w:val="en-US" w:eastAsia="zh-CN"/>
              </w:rPr>
            </w:pPr>
            <w:r>
              <w:rPr>
                <w:rFonts w:hint="default"/>
                <w:color w:val="auto"/>
                <w:lang w:val="en-US" w:eastAsia="zh-CN"/>
              </w:rPr>
              <w:t>对施工场地人员产生的生活垃圾，应当天收集，委托环卫部门进行合理处置，避免对施工场地周围环境产生影响</w:t>
            </w:r>
            <w:r>
              <w:rPr>
                <w:rFonts w:hint="eastAsia"/>
                <w:color w:val="auto"/>
                <w:lang w:val="en-US" w:eastAsia="zh-CN"/>
              </w:rPr>
              <w:t>。</w:t>
            </w:r>
          </w:p>
          <w:p w14:paraId="4ACC0333">
            <w:pPr>
              <w:pStyle w:val="90"/>
              <w:bidi w:val="0"/>
              <w:rPr>
                <w:rFonts w:hint="default" w:ascii="Times New Roman" w:hAnsi="Times New Roman" w:cs="Times New Roman"/>
                <w:color w:val="auto"/>
                <w:lang w:val="en-US" w:eastAsia="zh-CN"/>
              </w:rPr>
            </w:pPr>
            <w:r>
              <w:rPr>
                <w:rFonts w:hint="eastAsia" w:ascii="Times New Roman" w:hAnsi="Times New Roman" w:cs="Times New Roman"/>
                <w:b/>
                <w:bCs/>
                <w:color w:val="auto"/>
                <w:lang w:val="en-US" w:eastAsia="zh-CN"/>
              </w:rPr>
              <w:t>（五）</w:t>
            </w:r>
            <w:r>
              <w:rPr>
                <w:rFonts w:hint="default" w:ascii="Times New Roman" w:hAnsi="Times New Roman" w:cs="Times New Roman"/>
                <w:b/>
                <w:bCs/>
                <w:color w:val="auto"/>
                <w:lang w:val="en-US" w:eastAsia="zh-CN"/>
              </w:rPr>
              <w:t>生态环境</w:t>
            </w:r>
          </w:p>
          <w:p w14:paraId="413C0660">
            <w:pPr>
              <w:pStyle w:val="9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本项目生态影响主要表现在施工期对植被的轻微影响及可能导致的水土流失。</w:t>
            </w:r>
          </w:p>
          <w:p w14:paraId="58977058">
            <w:pPr>
              <w:pStyle w:val="90"/>
              <w:bidi w:val="0"/>
              <w:rPr>
                <w:rFonts w:hint="default"/>
                <w:color w:val="auto"/>
                <w:lang w:val="en-US" w:eastAsia="zh-CN"/>
              </w:rPr>
            </w:pPr>
            <w:r>
              <w:rPr>
                <w:rFonts w:hint="default" w:ascii="Times New Roman" w:hAnsi="Times New Roman" w:cs="Times New Roman"/>
                <w:color w:val="auto"/>
                <w:lang w:val="en-US" w:eastAsia="zh-CN"/>
              </w:rPr>
              <w:t>工程施工需进行挖方、填方等活动，可能会对植被造成一定程度破坏，降低植被覆盖度，可能形成短期裸露疏松表土。如果不进行必要的防护，可能会影响植物生长，加剧土壤侵蚀与水土流失，导致生产力下降和生物量损失。另外，施工期间，早季容易产生少量扬尘，覆盖于附近植被上，会产生轻微影响。以上这些影响均较轻微且仅限于施工期，工程完成后会对生态环境带来有益影响。</w:t>
            </w:r>
          </w:p>
        </w:tc>
      </w:tr>
      <w:tr w14:paraId="76545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0" w:type="pct"/>
            <w:noWrap w:val="0"/>
            <w:tcMar>
              <w:left w:w="28" w:type="dxa"/>
              <w:right w:w="28" w:type="dxa"/>
            </w:tcMar>
            <w:vAlign w:val="center"/>
          </w:tcPr>
          <w:p w14:paraId="1B42DEE4">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运营期环境影响和保护措施</w:t>
            </w:r>
          </w:p>
        </w:tc>
        <w:tc>
          <w:tcPr>
            <w:tcW w:w="4729" w:type="pct"/>
            <w:noWrap w:val="0"/>
            <w:vAlign w:val="center"/>
          </w:tcPr>
          <w:p w14:paraId="607579A9">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bCs/>
                <w:color w:val="auto"/>
                <w:lang w:val="en-US" w:eastAsia="zh-CN"/>
              </w:rPr>
            </w:pPr>
            <w:r>
              <w:rPr>
                <w:rFonts w:hint="eastAsia"/>
                <w:b/>
                <w:bCs/>
                <w:color w:val="auto"/>
                <w:lang w:val="en-US" w:eastAsia="zh-CN"/>
              </w:rPr>
              <w:t>（一）废气</w:t>
            </w:r>
          </w:p>
          <w:p w14:paraId="448782EC">
            <w:pPr>
              <w:pStyle w:val="71"/>
              <w:bidi w:val="0"/>
              <w:rPr>
                <w:rFonts w:hint="default"/>
                <w:b/>
                <w:bCs/>
                <w:color w:val="auto"/>
                <w:lang w:val="en-US" w:eastAsia="zh-CN"/>
              </w:rPr>
            </w:pPr>
            <w:r>
              <w:rPr>
                <w:rFonts w:hint="eastAsia"/>
                <w:b/>
                <w:bCs/>
                <w:color w:val="auto"/>
                <w:lang w:val="en-US" w:eastAsia="zh-CN"/>
              </w:rPr>
              <w:t>（1）污染工序及源强分析</w:t>
            </w:r>
          </w:p>
          <w:p w14:paraId="604303AE">
            <w:pPr>
              <w:pStyle w:val="71"/>
              <w:bidi w:val="0"/>
              <w:rPr>
                <w:rFonts w:hint="eastAsia"/>
                <w:color w:val="auto"/>
                <w:lang w:val="en-US" w:eastAsia="zh-CN"/>
              </w:rPr>
            </w:pPr>
            <w:r>
              <w:rPr>
                <w:color w:val="auto"/>
                <w:sz w:val="24"/>
              </w:rPr>
              <w:t>项目</w:t>
            </w:r>
            <w:r>
              <w:rPr>
                <w:rFonts w:hint="eastAsia"/>
                <w:color w:val="auto"/>
                <w:sz w:val="24"/>
              </w:rPr>
              <w:t>使用压力储罐，在安全压力范围内无液化石油气工作损失和静置损失，</w:t>
            </w:r>
            <w:r>
              <w:rPr>
                <w:color w:val="auto"/>
                <w:sz w:val="24"/>
              </w:rPr>
              <w:t>大气污染主要来源于</w:t>
            </w:r>
            <w:r>
              <w:rPr>
                <w:rFonts w:hint="eastAsia"/>
                <w:color w:val="auto"/>
                <w:sz w:val="24"/>
              </w:rPr>
              <w:t>压缩机、烃泵、阀门等泄漏点逸散废气</w:t>
            </w:r>
            <w:r>
              <w:rPr>
                <w:rFonts w:hint="default"/>
                <w:color w:val="auto"/>
                <w:highlight w:val="none"/>
                <w:lang w:val="en-US" w:eastAsia="zh-CN"/>
              </w:rPr>
              <w:t>、发电机废气</w:t>
            </w:r>
            <w:r>
              <w:rPr>
                <w:rFonts w:hint="eastAsia"/>
                <w:color w:val="auto"/>
                <w:highlight w:val="none"/>
                <w:lang w:val="en-US" w:eastAsia="zh-CN"/>
              </w:rPr>
              <w:t>和食堂油烟</w:t>
            </w:r>
            <w:r>
              <w:rPr>
                <w:rFonts w:hint="eastAsia"/>
                <w:color w:val="auto"/>
                <w:lang w:val="en-US" w:eastAsia="zh-CN"/>
              </w:rPr>
              <w:t>。</w:t>
            </w:r>
          </w:p>
          <w:p w14:paraId="3F9F0D13">
            <w:pPr>
              <w:pStyle w:val="111"/>
              <w:ind w:firstLine="480"/>
              <w:rPr>
                <w:color w:val="auto"/>
              </w:rPr>
            </w:pPr>
            <w:r>
              <w:rPr>
                <w:rFonts w:hint="eastAsia" w:ascii="宋体" w:hAnsi="宋体"/>
                <w:color w:val="auto"/>
                <w:lang w:val="en-US" w:eastAsia="zh-CN"/>
              </w:rPr>
              <w:t>①</w:t>
            </w:r>
            <w:r>
              <w:rPr>
                <w:rFonts w:hint="eastAsia"/>
                <w:color w:val="auto"/>
              </w:rPr>
              <w:t>逸散废气</w:t>
            </w:r>
          </w:p>
          <w:p w14:paraId="49F9DBBE">
            <w:pPr>
              <w:pStyle w:val="111"/>
              <w:ind w:firstLine="480"/>
              <w:rPr>
                <w:color w:val="auto"/>
                <w:lang w:bidi="ar"/>
              </w:rPr>
            </w:pPr>
            <w:r>
              <w:rPr>
                <w:rFonts w:hint="eastAsia"/>
                <w:color w:val="auto"/>
              </w:rPr>
              <w:t>项目设计严格按照《液化石油气供应工程设计规范》（GB51142-2015）要求，各连接处做好泄露防护措施，</w:t>
            </w:r>
            <w:r>
              <w:rPr>
                <w:rFonts w:hint="eastAsia"/>
                <w:color w:val="auto"/>
                <w:lang w:bidi="ar"/>
              </w:rPr>
              <w:t>充装置换时管道、阀门间的密闭性良好，液化石油气储存采用压力储罐。参照《排放源统计调查产排污核算方法和系数手册》附表3</w:t>
            </w:r>
            <w:r>
              <w:rPr>
                <w:color w:val="auto"/>
                <w:lang w:bidi="ar"/>
              </w:rPr>
              <w:t xml:space="preserve"> </w:t>
            </w:r>
            <w:r>
              <w:rPr>
                <w:rFonts w:hint="eastAsia"/>
                <w:color w:val="auto"/>
                <w:lang w:bidi="ar"/>
              </w:rPr>
              <w:t>工业源挥发性有机物通用源项核算系数手册“3.2挥发性有机物液体储存和装载”，可暂不考虑压力容器液体储存静置损耗（小呼吸）和工作损耗（大呼吸）产生的V</w:t>
            </w:r>
            <w:r>
              <w:rPr>
                <w:color w:val="auto"/>
                <w:lang w:bidi="ar"/>
              </w:rPr>
              <w:t>OC</w:t>
            </w:r>
            <w:r>
              <w:rPr>
                <w:rFonts w:hint="eastAsia"/>
                <w:color w:val="auto"/>
                <w:lang w:bidi="ar"/>
              </w:rPr>
              <w:t>s排放。本次主要核算设备动静密封点泄露产生的V</w:t>
            </w:r>
            <w:r>
              <w:rPr>
                <w:color w:val="auto"/>
                <w:lang w:bidi="ar"/>
              </w:rPr>
              <w:t>OC</w:t>
            </w:r>
            <w:r>
              <w:rPr>
                <w:rFonts w:hint="eastAsia"/>
                <w:color w:val="auto"/>
                <w:lang w:bidi="ar"/>
              </w:rPr>
              <w:t>s。</w:t>
            </w:r>
          </w:p>
          <w:p w14:paraId="4E9B05AE">
            <w:pPr>
              <w:pStyle w:val="111"/>
              <w:spacing w:line="240" w:lineRule="auto"/>
              <w:ind w:firstLine="480"/>
              <w:rPr>
                <w:color w:val="auto"/>
                <w:lang w:bidi="ar"/>
              </w:rPr>
            </w:pPr>
            <m:oMathPara>
              <m:oMath>
                <m:sSub>
                  <m:sSubPr>
                    <m:ctrlPr>
                      <w:rPr>
                        <w:rFonts w:ascii="Cambria Math" w:hAnsi="Cambria Math"/>
                        <w:i/>
                        <w:color w:val="auto"/>
                        <w:lang w:bidi="ar"/>
                      </w:rPr>
                    </m:ctrlPr>
                  </m:sSubPr>
                  <m:e>
                    <m:r>
                      <m:rPr/>
                      <w:rPr>
                        <w:rFonts w:ascii="Cambria Math" w:hAnsi="Cambria Math"/>
                        <w:color w:val="auto"/>
                        <w:lang w:bidi="ar"/>
                      </w:rPr>
                      <m:t>E</m:t>
                    </m:r>
                    <m:ctrlPr>
                      <w:rPr>
                        <w:rFonts w:ascii="Cambria Math" w:hAnsi="Cambria Math"/>
                        <w:i/>
                        <w:color w:val="auto"/>
                        <w:lang w:bidi="ar"/>
                      </w:rPr>
                    </m:ctrlPr>
                  </m:e>
                  <m:sub>
                    <m:r>
                      <m:rPr/>
                      <w:rPr>
                        <w:rFonts w:hint="eastAsia" w:ascii="Cambria Math" w:hAnsi="Cambria Math"/>
                        <w:color w:val="auto"/>
                        <w:lang w:bidi="ar"/>
                      </w:rPr>
                      <m:t>设备</m:t>
                    </m:r>
                    <m:ctrlPr>
                      <w:rPr>
                        <w:rFonts w:ascii="Cambria Math" w:hAnsi="Cambria Math"/>
                        <w:i/>
                        <w:color w:val="auto"/>
                        <w:lang w:bidi="ar"/>
                      </w:rPr>
                    </m:ctrlPr>
                  </m:sub>
                </m:sSub>
                <m:r>
                  <m:rPr/>
                  <w:rPr>
                    <w:rFonts w:ascii="Cambria Math" w:hAnsi="Cambria Math"/>
                    <w:color w:val="auto"/>
                    <w:lang w:bidi="ar"/>
                  </w:rPr>
                  <m:t>=0.003×</m:t>
                </m:r>
                <m:nary>
                  <m:naryPr>
                    <m:chr m:val="∑"/>
                    <m:limLoc m:val="undOvr"/>
                    <m:ctrlPr>
                      <w:rPr>
                        <w:rFonts w:ascii="Cambria Math" w:hAnsi="Cambria Math"/>
                        <w:i/>
                        <w:color w:val="auto"/>
                        <w:lang w:bidi="ar"/>
                      </w:rPr>
                    </m:ctrlPr>
                  </m:naryPr>
                  <m:sub>
                    <m:r>
                      <m:rPr/>
                      <w:rPr>
                        <w:rFonts w:ascii="Cambria Math" w:hAnsi="Cambria Math"/>
                        <w:color w:val="auto"/>
                        <w:lang w:bidi="ar"/>
                      </w:rPr>
                      <m:t>i=1</m:t>
                    </m:r>
                    <m:ctrlPr>
                      <w:rPr>
                        <w:rFonts w:ascii="Cambria Math" w:hAnsi="Cambria Math"/>
                        <w:i/>
                        <w:color w:val="auto"/>
                        <w:lang w:bidi="ar"/>
                      </w:rPr>
                    </m:ctrlPr>
                  </m:sub>
                  <m:sup>
                    <m:r>
                      <m:rPr/>
                      <w:rPr>
                        <w:rFonts w:ascii="Cambria Math" w:hAnsi="Cambria Math"/>
                        <w:color w:val="auto"/>
                        <w:lang w:bidi="ar"/>
                      </w:rPr>
                      <m:t>n</m:t>
                    </m:r>
                    <m:ctrlPr>
                      <w:rPr>
                        <w:rFonts w:ascii="Cambria Math" w:hAnsi="Cambria Math"/>
                        <w:i/>
                        <w:color w:val="auto"/>
                        <w:lang w:bidi="ar"/>
                      </w:rPr>
                    </m:ctrlPr>
                  </m:sup>
                  <m:e>
                    <m:d>
                      <m:dPr>
                        <m:ctrlPr>
                          <w:rPr>
                            <w:rFonts w:ascii="Cambria Math" w:hAnsi="Cambria Math"/>
                            <w:i/>
                            <w:color w:val="auto"/>
                            <w:lang w:bidi="ar"/>
                          </w:rPr>
                        </m:ctrlPr>
                      </m:dPr>
                      <m:e>
                        <m:r>
                          <m:rPr/>
                          <w:rPr>
                            <w:rFonts w:ascii="Cambria Math" w:hAnsi="Cambria Math"/>
                            <w:color w:val="auto"/>
                            <w:lang w:bidi="ar"/>
                          </w:rPr>
                          <m:t>A×EF×</m:t>
                        </m:r>
                        <m:sSub>
                          <m:sSubPr>
                            <m:ctrlPr>
                              <w:rPr>
                                <w:rFonts w:ascii="Cambria Math" w:hAnsi="Cambria Math"/>
                                <w:i/>
                                <w:color w:val="auto"/>
                                <w:lang w:bidi="ar"/>
                              </w:rPr>
                            </m:ctrlPr>
                          </m:sSubPr>
                          <m:e>
                            <m:r>
                              <m:rPr/>
                              <w:rPr>
                                <w:rFonts w:ascii="Cambria Math" w:hAnsi="Cambria Math"/>
                                <w:color w:val="auto"/>
                                <w:lang w:bidi="ar"/>
                              </w:rPr>
                              <m:t>t</m:t>
                            </m:r>
                            <m:ctrlPr>
                              <w:rPr>
                                <w:rFonts w:ascii="Cambria Math" w:hAnsi="Cambria Math"/>
                                <w:i/>
                                <w:color w:val="auto"/>
                                <w:lang w:bidi="ar"/>
                              </w:rPr>
                            </m:ctrlPr>
                          </m:e>
                          <m:sub>
                            <m:r>
                              <m:rPr/>
                              <w:rPr>
                                <w:rFonts w:ascii="Cambria Math" w:hAnsi="Cambria Math"/>
                                <w:color w:val="auto"/>
                                <w:lang w:bidi="ar"/>
                              </w:rPr>
                              <m:t>i</m:t>
                            </m:r>
                            <m:ctrlPr>
                              <w:rPr>
                                <w:rFonts w:ascii="Cambria Math" w:hAnsi="Cambria Math"/>
                                <w:i/>
                                <w:color w:val="auto"/>
                                <w:lang w:bidi="ar"/>
                              </w:rPr>
                            </m:ctrlPr>
                          </m:sub>
                        </m:sSub>
                        <m:ctrlPr>
                          <w:rPr>
                            <w:rFonts w:ascii="Cambria Math" w:hAnsi="Cambria Math"/>
                            <w:i/>
                            <w:color w:val="auto"/>
                            <w:lang w:bidi="ar"/>
                          </w:rPr>
                        </m:ctrlPr>
                      </m:e>
                    </m:d>
                    <m:ctrlPr>
                      <w:rPr>
                        <w:rFonts w:ascii="Cambria Math" w:hAnsi="Cambria Math"/>
                        <w:i/>
                        <w:color w:val="auto"/>
                        <w:lang w:bidi="ar"/>
                      </w:rPr>
                    </m:ctrlPr>
                  </m:e>
                </m:nary>
              </m:oMath>
            </m:oMathPara>
          </w:p>
          <w:p w14:paraId="3DE6069B">
            <w:pPr>
              <w:pStyle w:val="111"/>
              <w:ind w:firstLine="480"/>
              <w:rPr>
                <w:iCs/>
                <w:color w:val="auto"/>
                <w:lang w:bidi="ar"/>
              </w:rPr>
            </w:pPr>
            <m:oMath>
              <m:sSub>
                <m:sSubPr>
                  <m:ctrlPr>
                    <w:rPr>
                      <w:rFonts w:ascii="Cambria Math" w:hAnsi="Cambria Math"/>
                      <w:i/>
                      <w:color w:val="auto"/>
                      <w:lang w:bidi="ar"/>
                    </w:rPr>
                  </m:ctrlPr>
                </m:sSubPr>
                <m:e>
                  <m:r>
                    <m:rPr/>
                    <w:rPr>
                      <w:rFonts w:ascii="Cambria Math" w:hAnsi="Cambria Math"/>
                      <w:color w:val="auto"/>
                      <w:lang w:bidi="ar"/>
                    </w:rPr>
                    <m:t>E</m:t>
                  </m:r>
                  <m:ctrlPr>
                    <w:rPr>
                      <w:rFonts w:ascii="Cambria Math" w:hAnsi="Cambria Math"/>
                      <w:i/>
                      <w:color w:val="auto"/>
                      <w:lang w:bidi="ar"/>
                    </w:rPr>
                  </m:ctrlPr>
                </m:e>
                <m:sub>
                  <m:r>
                    <m:rPr/>
                    <w:rPr>
                      <w:rFonts w:hint="eastAsia" w:ascii="Cambria Math" w:hAnsi="Cambria Math"/>
                      <w:color w:val="auto"/>
                      <w:lang w:bidi="ar"/>
                    </w:rPr>
                    <m:t>设备</m:t>
                  </m:r>
                  <m:ctrlPr>
                    <w:rPr>
                      <w:rFonts w:ascii="Cambria Math" w:hAnsi="Cambria Math"/>
                      <w:i/>
                      <w:color w:val="auto"/>
                      <w:lang w:bidi="ar"/>
                    </w:rPr>
                  </m:ctrlPr>
                </m:sub>
              </m:sSub>
            </m:oMath>
            <w:r>
              <w:rPr>
                <w:rFonts w:hint="eastAsia"/>
                <w:iCs/>
                <w:color w:val="auto"/>
                <w:lang w:bidi="ar"/>
              </w:rPr>
              <w:t>—</w:t>
            </w:r>
            <w:r>
              <w:rPr>
                <w:rFonts w:hint="eastAsia"/>
                <w:color w:val="auto"/>
              </w:rPr>
              <w:t>设备与管线组件密封点的挥发性有机物年排放量，kg</w:t>
            </w:r>
            <w:r>
              <w:rPr>
                <w:color w:val="auto"/>
              </w:rPr>
              <w:t>/a；</w:t>
            </w:r>
          </w:p>
          <w:p w14:paraId="3983A02F">
            <w:pPr>
              <w:pStyle w:val="111"/>
              <w:ind w:firstLine="480"/>
              <w:rPr>
                <w:rFonts w:hint="eastAsia" w:eastAsia="宋体"/>
                <w:color w:val="auto"/>
                <w:lang w:val="en-US" w:eastAsia="zh-CN"/>
              </w:rPr>
            </w:pPr>
            <m:oMath>
              <m:r>
                <m:rPr/>
                <w:rPr>
                  <w:rFonts w:ascii="Cambria Math" w:hAnsi="Cambria Math"/>
                  <w:color w:val="auto"/>
                  <w:lang w:bidi="ar"/>
                </w:rPr>
                <m:t>A</m:t>
              </m:r>
            </m:oMath>
            <w:r>
              <w:rPr>
                <w:rFonts w:hint="eastAsia"/>
                <w:color w:val="auto"/>
                <w:lang w:bidi="ar"/>
              </w:rPr>
              <w:t>—</w:t>
            </w:r>
            <w:r>
              <w:rPr>
                <w:rFonts w:hint="eastAsia"/>
                <w:color w:val="auto"/>
              </w:rPr>
              <w:t>挥发性有机物流经的设备与管线组件密封点类型个数；</w:t>
            </w:r>
          </w:p>
          <w:p w14:paraId="409386F1">
            <w:pPr>
              <w:pStyle w:val="111"/>
              <w:ind w:firstLine="480"/>
              <w:rPr>
                <w:color w:val="auto"/>
              </w:rPr>
            </w:pPr>
            <m:oMath>
              <m:r>
                <m:rPr/>
                <w:rPr>
                  <w:rFonts w:ascii="Cambria Math" w:hAnsi="Cambria Math"/>
                  <w:color w:val="auto"/>
                  <w:lang w:bidi="ar"/>
                </w:rPr>
                <m:t>n</m:t>
              </m:r>
            </m:oMath>
            <w:r>
              <w:rPr>
                <w:rFonts w:hint="eastAsia"/>
                <w:color w:val="auto"/>
              </w:rPr>
              <w:t>—挥发性有机物流经的设备与管线组件密封点类型；</w:t>
            </w:r>
          </w:p>
          <w:p w14:paraId="1CE79159">
            <w:pPr>
              <w:pStyle w:val="111"/>
              <w:ind w:firstLine="480"/>
              <w:rPr>
                <w:color w:val="auto"/>
              </w:rPr>
            </w:pPr>
            <m:oMath>
              <m:r>
                <m:rPr/>
                <w:rPr>
                  <w:rFonts w:ascii="Cambria Math" w:hAnsi="Cambria Math"/>
                  <w:color w:val="auto"/>
                  <w:lang w:bidi="ar"/>
                </w:rPr>
                <m:t>EF</m:t>
              </m:r>
            </m:oMath>
            <w:r>
              <w:rPr>
                <w:rFonts w:hint="eastAsia"/>
                <w:color w:val="auto"/>
                <w:lang w:bidi="ar"/>
              </w:rPr>
              <w:t>—</w:t>
            </w:r>
            <w:r>
              <w:rPr>
                <w:rFonts w:hint="eastAsia"/>
                <w:color w:val="auto"/>
              </w:rPr>
              <w:t>排放系数，</w:t>
            </w:r>
            <w:r>
              <w:rPr>
                <w:color w:val="auto"/>
              </w:rPr>
              <w:t>kg/h/</w:t>
            </w:r>
            <w:r>
              <w:rPr>
                <w:rFonts w:hint="eastAsia"/>
                <w:color w:val="auto"/>
              </w:rPr>
              <w:t>排放源；</w:t>
            </w:r>
          </w:p>
          <w:p w14:paraId="66318610">
            <w:pPr>
              <w:pStyle w:val="111"/>
              <w:ind w:firstLine="480"/>
              <w:rPr>
                <w:color w:val="auto"/>
              </w:rPr>
            </w:pPr>
            <m:oMath>
              <m:sSub>
                <m:sSubPr>
                  <m:ctrlPr>
                    <w:rPr>
                      <w:rFonts w:ascii="Cambria Math" w:hAnsi="Cambria Math"/>
                      <w:i/>
                      <w:color w:val="auto"/>
                      <w:lang w:bidi="ar"/>
                    </w:rPr>
                  </m:ctrlPr>
                </m:sSubPr>
                <m:e>
                  <m:r>
                    <m:rPr/>
                    <w:rPr>
                      <w:rFonts w:ascii="Cambria Math" w:hAnsi="Cambria Math"/>
                      <w:color w:val="auto"/>
                      <w:lang w:bidi="ar"/>
                    </w:rPr>
                    <m:t>t</m:t>
                  </m:r>
                  <m:ctrlPr>
                    <w:rPr>
                      <w:rFonts w:ascii="Cambria Math" w:hAnsi="Cambria Math"/>
                      <w:i/>
                      <w:color w:val="auto"/>
                      <w:lang w:bidi="ar"/>
                    </w:rPr>
                  </m:ctrlPr>
                </m:e>
                <m:sub>
                  <m:r>
                    <m:rPr/>
                    <w:rPr>
                      <w:rFonts w:ascii="Cambria Math" w:hAnsi="Cambria Math"/>
                      <w:color w:val="auto"/>
                      <w:lang w:bidi="ar"/>
                    </w:rPr>
                    <m:t>i</m:t>
                  </m:r>
                  <m:ctrlPr>
                    <w:rPr>
                      <w:rFonts w:ascii="Cambria Math" w:hAnsi="Cambria Math"/>
                      <w:i/>
                      <w:color w:val="auto"/>
                      <w:lang w:bidi="ar"/>
                    </w:rPr>
                  </m:ctrlPr>
                </m:sub>
              </m:sSub>
            </m:oMath>
            <w:r>
              <w:rPr>
                <w:rFonts w:hint="eastAsia"/>
                <w:color w:val="auto"/>
                <w:lang w:bidi="ar"/>
              </w:rPr>
              <w:t>—</w:t>
            </w:r>
            <w:r>
              <w:rPr>
                <w:rFonts w:hint="eastAsia"/>
                <w:color w:val="auto"/>
              </w:rPr>
              <w:t>密封点</w:t>
            </w:r>
            <w:r>
              <w:rPr>
                <w:color w:val="auto"/>
              </w:rPr>
              <w:t xml:space="preserve">i </w:t>
            </w:r>
            <w:r>
              <w:rPr>
                <w:rFonts w:hint="eastAsia"/>
                <w:color w:val="auto"/>
              </w:rPr>
              <w:t>年运行时间，</w:t>
            </w:r>
            <w:r>
              <w:rPr>
                <w:color w:val="auto"/>
              </w:rPr>
              <w:t>h/a</w:t>
            </w:r>
            <w:r>
              <w:rPr>
                <w:rFonts w:hint="eastAsia"/>
                <w:color w:val="auto"/>
              </w:rPr>
              <w:t>。</w:t>
            </w:r>
          </w:p>
          <w:p w14:paraId="25FE6D5A">
            <w:pPr>
              <w:pStyle w:val="111"/>
              <w:ind w:firstLine="482"/>
              <w:jc w:val="center"/>
              <w:rPr>
                <w:b/>
                <w:bCs/>
                <w:color w:val="auto"/>
                <w:lang w:bidi="ar"/>
              </w:rPr>
            </w:pPr>
            <w:r>
              <w:rPr>
                <w:rFonts w:hint="eastAsia"/>
                <w:b/>
                <w:bCs/>
                <w:color w:val="auto"/>
                <w:lang w:bidi="ar"/>
              </w:rPr>
              <w:t>表4</w:t>
            </w:r>
            <w:r>
              <w:rPr>
                <w:b/>
                <w:bCs/>
                <w:color w:val="auto"/>
                <w:lang w:bidi="ar"/>
              </w:rPr>
              <w:t xml:space="preserve">-2 </w:t>
            </w:r>
            <w:r>
              <w:rPr>
                <w:rFonts w:hint="eastAsia"/>
                <w:b/>
                <w:bCs/>
                <w:color w:val="auto"/>
                <w:lang w:bidi="ar"/>
              </w:rPr>
              <w:t>项目设备动静密封点情况汇总表</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2364"/>
              <w:gridCol w:w="1498"/>
              <w:gridCol w:w="1891"/>
              <w:gridCol w:w="1906"/>
            </w:tblGrid>
            <w:tr w14:paraId="68550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Align w:val="center"/>
                </w:tcPr>
                <w:p w14:paraId="52DD3BE5">
                  <w:pPr>
                    <w:pStyle w:val="113"/>
                    <w:jc w:val="center"/>
                    <w:rPr>
                      <w:color w:val="auto"/>
                      <w:lang w:bidi="ar"/>
                    </w:rPr>
                  </w:pPr>
                  <w:r>
                    <w:rPr>
                      <w:rFonts w:hint="eastAsia"/>
                      <w:color w:val="auto"/>
                      <w:lang w:bidi="ar"/>
                    </w:rPr>
                    <w:t>设备类型</w:t>
                  </w:r>
                </w:p>
              </w:tc>
              <w:tc>
                <w:tcPr>
                  <w:tcW w:w="1275" w:type="pct"/>
                  <w:vAlign w:val="center"/>
                </w:tcPr>
                <w:p w14:paraId="6FDFB694">
                  <w:pPr>
                    <w:pStyle w:val="113"/>
                    <w:jc w:val="center"/>
                    <w:rPr>
                      <w:color w:val="auto"/>
                      <w:lang w:bidi="ar"/>
                    </w:rPr>
                  </w:pPr>
                  <w:r>
                    <w:rPr>
                      <w:rFonts w:hint="eastAsia"/>
                      <w:color w:val="auto"/>
                      <w:lang w:bidi="ar"/>
                    </w:rPr>
                    <w:t>密封点名称</w:t>
                  </w:r>
                </w:p>
              </w:tc>
              <w:tc>
                <w:tcPr>
                  <w:tcW w:w="808" w:type="pct"/>
                  <w:vAlign w:val="center"/>
                </w:tcPr>
                <w:p w14:paraId="1C0FFDCA">
                  <w:pPr>
                    <w:pStyle w:val="113"/>
                    <w:jc w:val="center"/>
                    <w:rPr>
                      <w:color w:val="auto"/>
                      <w:lang w:bidi="ar"/>
                    </w:rPr>
                  </w:pPr>
                  <w:r>
                    <w:rPr>
                      <w:rFonts w:hint="eastAsia"/>
                      <w:color w:val="auto"/>
                      <w:lang w:bidi="ar"/>
                    </w:rPr>
                    <w:t>数量</w:t>
                  </w:r>
                </w:p>
              </w:tc>
              <w:tc>
                <w:tcPr>
                  <w:tcW w:w="1020" w:type="pct"/>
                  <w:vAlign w:val="center"/>
                </w:tcPr>
                <w:p w14:paraId="7CDDB76A">
                  <w:pPr>
                    <w:pStyle w:val="113"/>
                    <w:jc w:val="center"/>
                    <w:rPr>
                      <w:color w:val="auto"/>
                      <w:lang w:bidi="ar"/>
                    </w:rPr>
                  </w:pPr>
                  <w:r>
                    <w:rPr>
                      <w:rFonts w:hint="eastAsia"/>
                      <w:color w:val="auto"/>
                      <w:lang w:bidi="ar"/>
                    </w:rPr>
                    <w:t>运行时间</w:t>
                  </w:r>
                </w:p>
              </w:tc>
              <w:tc>
                <w:tcPr>
                  <w:tcW w:w="1028" w:type="pct"/>
                  <w:vAlign w:val="center"/>
                </w:tcPr>
                <w:p w14:paraId="49A6419A">
                  <w:pPr>
                    <w:pStyle w:val="113"/>
                    <w:jc w:val="center"/>
                    <w:rPr>
                      <w:color w:val="auto"/>
                      <w:lang w:bidi="ar"/>
                    </w:rPr>
                  </w:pPr>
                  <w:r>
                    <w:rPr>
                      <w:rFonts w:hint="eastAsia"/>
                      <w:color w:val="auto"/>
                      <w:lang w:bidi="ar"/>
                    </w:rPr>
                    <w:t>排放速率</w:t>
                  </w:r>
                </w:p>
              </w:tc>
            </w:tr>
            <w:tr w14:paraId="0B955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Merge w:val="restart"/>
                  <w:vAlign w:val="center"/>
                </w:tcPr>
                <w:p w14:paraId="669C3798">
                  <w:pPr>
                    <w:pStyle w:val="113"/>
                    <w:jc w:val="center"/>
                    <w:rPr>
                      <w:color w:val="auto"/>
                      <w:lang w:bidi="ar"/>
                    </w:rPr>
                  </w:pPr>
                  <w:r>
                    <w:rPr>
                      <w:rFonts w:hint="eastAsia"/>
                      <w:color w:val="auto"/>
                      <w:lang w:bidi="ar"/>
                    </w:rPr>
                    <w:t>连接件</w:t>
                  </w:r>
                </w:p>
              </w:tc>
              <w:tc>
                <w:tcPr>
                  <w:tcW w:w="1275" w:type="pct"/>
                  <w:vAlign w:val="center"/>
                </w:tcPr>
                <w:p w14:paraId="27785FFA">
                  <w:pPr>
                    <w:pStyle w:val="113"/>
                    <w:jc w:val="center"/>
                    <w:rPr>
                      <w:color w:val="auto"/>
                      <w:lang w:bidi="ar"/>
                    </w:rPr>
                  </w:pPr>
                  <w:r>
                    <w:rPr>
                      <w:rFonts w:hint="eastAsia"/>
                      <w:color w:val="auto"/>
                      <w:lang w:bidi="ar"/>
                    </w:rPr>
                    <w:t>进液管路连接件</w:t>
                  </w:r>
                </w:p>
              </w:tc>
              <w:tc>
                <w:tcPr>
                  <w:tcW w:w="808" w:type="pct"/>
                  <w:vAlign w:val="center"/>
                </w:tcPr>
                <w:p w14:paraId="68282C0F">
                  <w:pPr>
                    <w:pStyle w:val="113"/>
                    <w:jc w:val="center"/>
                    <w:rPr>
                      <w:rFonts w:hint="default" w:eastAsia="宋体"/>
                      <w:color w:val="auto"/>
                      <w:lang w:val="en-US" w:eastAsia="zh-CN" w:bidi="ar"/>
                    </w:rPr>
                  </w:pPr>
                  <w:r>
                    <w:rPr>
                      <w:rFonts w:hint="eastAsia"/>
                      <w:color w:val="auto"/>
                      <w:lang w:val="en-US" w:eastAsia="zh-CN" w:bidi="ar"/>
                    </w:rPr>
                    <w:t>20</w:t>
                  </w:r>
                </w:p>
              </w:tc>
              <w:tc>
                <w:tcPr>
                  <w:tcW w:w="1020" w:type="pct"/>
                  <w:vAlign w:val="center"/>
                </w:tcPr>
                <w:p w14:paraId="4E1CE104">
                  <w:pPr>
                    <w:pStyle w:val="113"/>
                    <w:jc w:val="center"/>
                    <w:rPr>
                      <w:rFonts w:hint="default" w:eastAsia="宋体"/>
                      <w:color w:val="auto"/>
                      <w:lang w:val="en-US" w:eastAsia="zh-CN" w:bidi="ar"/>
                    </w:rPr>
                  </w:pPr>
                  <w:r>
                    <w:rPr>
                      <w:rFonts w:hint="eastAsia"/>
                      <w:color w:val="auto"/>
                      <w:lang w:bidi="ar"/>
                    </w:rPr>
                    <w:t>2</w:t>
                  </w:r>
                  <w:r>
                    <w:rPr>
                      <w:rFonts w:hint="eastAsia"/>
                      <w:color w:val="auto"/>
                      <w:lang w:val="en-US" w:eastAsia="zh-CN" w:bidi="ar"/>
                    </w:rPr>
                    <w:t>920</w:t>
                  </w:r>
                </w:p>
              </w:tc>
              <w:tc>
                <w:tcPr>
                  <w:tcW w:w="1028" w:type="pct"/>
                  <w:vMerge w:val="restart"/>
                  <w:vAlign w:val="center"/>
                </w:tcPr>
                <w:p w14:paraId="4A411A13">
                  <w:pPr>
                    <w:pStyle w:val="113"/>
                    <w:jc w:val="center"/>
                    <w:rPr>
                      <w:color w:val="auto"/>
                      <w:lang w:bidi="ar"/>
                    </w:rPr>
                  </w:pPr>
                  <w:r>
                    <w:rPr>
                      <w:rFonts w:hint="eastAsia"/>
                      <w:color w:val="auto"/>
                      <w:lang w:bidi="ar"/>
                    </w:rPr>
                    <w:t>0</w:t>
                  </w:r>
                  <w:r>
                    <w:rPr>
                      <w:color w:val="auto"/>
                      <w:lang w:bidi="ar"/>
                    </w:rPr>
                    <w:t>.028</w:t>
                  </w:r>
                </w:p>
              </w:tc>
            </w:tr>
            <w:tr w14:paraId="58B94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Merge w:val="continue"/>
                  <w:vAlign w:val="center"/>
                </w:tcPr>
                <w:p w14:paraId="05B6F263">
                  <w:pPr>
                    <w:pStyle w:val="113"/>
                    <w:jc w:val="center"/>
                    <w:rPr>
                      <w:color w:val="auto"/>
                      <w:lang w:bidi="ar"/>
                    </w:rPr>
                  </w:pPr>
                </w:p>
              </w:tc>
              <w:tc>
                <w:tcPr>
                  <w:tcW w:w="1275" w:type="pct"/>
                  <w:vAlign w:val="center"/>
                </w:tcPr>
                <w:p w14:paraId="0521288A">
                  <w:pPr>
                    <w:pStyle w:val="113"/>
                    <w:jc w:val="center"/>
                    <w:rPr>
                      <w:color w:val="auto"/>
                      <w:lang w:bidi="ar"/>
                    </w:rPr>
                  </w:pPr>
                  <w:r>
                    <w:rPr>
                      <w:rFonts w:hint="eastAsia"/>
                      <w:color w:val="auto"/>
                      <w:lang w:bidi="ar"/>
                    </w:rPr>
                    <w:t>出液管路连接件</w:t>
                  </w:r>
                </w:p>
              </w:tc>
              <w:tc>
                <w:tcPr>
                  <w:tcW w:w="808" w:type="pct"/>
                  <w:vAlign w:val="center"/>
                </w:tcPr>
                <w:p w14:paraId="0DFFF539">
                  <w:pPr>
                    <w:pStyle w:val="113"/>
                    <w:jc w:val="center"/>
                    <w:rPr>
                      <w:rFonts w:hint="default" w:eastAsia="宋体"/>
                      <w:color w:val="auto"/>
                      <w:lang w:val="en-US" w:eastAsia="zh-CN" w:bidi="ar"/>
                    </w:rPr>
                  </w:pPr>
                  <w:r>
                    <w:rPr>
                      <w:rFonts w:hint="eastAsia"/>
                      <w:color w:val="auto"/>
                      <w:lang w:val="en-US" w:eastAsia="zh-CN" w:bidi="ar"/>
                    </w:rPr>
                    <w:t>20</w:t>
                  </w:r>
                </w:p>
              </w:tc>
              <w:tc>
                <w:tcPr>
                  <w:tcW w:w="1020" w:type="pct"/>
                  <w:vAlign w:val="center"/>
                </w:tcPr>
                <w:p w14:paraId="0B0580AD">
                  <w:pPr>
                    <w:pStyle w:val="113"/>
                    <w:jc w:val="center"/>
                    <w:rPr>
                      <w:color w:val="auto"/>
                      <w:lang w:bidi="ar"/>
                    </w:rPr>
                  </w:pPr>
                  <w:r>
                    <w:rPr>
                      <w:rFonts w:hint="eastAsia"/>
                      <w:color w:val="auto"/>
                      <w:lang w:bidi="ar"/>
                    </w:rPr>
                    <w:t>2</w:t>
                  </w:r>
                  <w:r>
                    <w:rPr>
                      <w:rFonts w:hint="eastAsia"/>
                      <w:color w:val="auto"/>
                      <w:lang w:val="en-US" w:eastAsia="zh-CN" w:bidi="ar"/>
                    </w:rPr>
                    <w:t>920</w:t>
                  </w:r>
                </w:p>
              </w:tc>
              <w:tc>
                <w:tcPr>
                  <w:tcW w:w="1028" w:type="pct"/>
                  <w:vMerge w:val="continue"/>
                  <w:vAlign w:val="center"/>
                </w:tcPr>
                <w:p w14:paraId="4D0A6A2F">
                  <w:pPr>
                    <w:pStyle w:val="113"/>
                    <w:jc w:val="center"/>
                    <w:rPr>
                      <w:color w:val="auto"/>
                      <w:lang w:bidi="ar"/>
                    </w:rPr>
                  </w:pPr>
                </w:p>
              </w:tc>
            </w:tr>
            <w:tr w14:paraId="2B802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Merge w:val="restart"/>
                  <w:vAlign w:val="center"/>
                </w:tcPr>
                <w:p w14:paraId="15FC7074">
                  <w:pPr>
                    <w:pStyle w:val="113"/>
                    <w:jc w:val="center"/>
                    <w:rPr>
                      <w:color w:val="auto"/>
                      <w:lang w:bidi="ar"/>
                    </w:rPr>
                  </w:pPr>
                  <w:r>
                    <w:rPr>
                      <w:rFonts w:hint="eastAsia"/>
                      <w:color w:val="auto"/>
                      <w:lang w:bidi="ar"/>
                    </w:rPr>
                    <w:t>阀门</w:t>
                  </w:r>
                </w:p>
              </w:tc>
              <w:tc>
                <w:tcPr>
                  <w:tcW w:w="1275" w:type="pct"/>
                  <w:vAlign w:val="center"/>
                </w:tcPr>
                <w:p w14:paraId="2932127C">
                  <w:pPr>
                    <w:pStyle w:val="113"/>
                    <w:jc w:val="center"/>
                    <w:rPr>
                      <w:color w:val="auto"/>
                      <w:lang w:bidi="ar"/>
                    </w:rPr>
                  </w:pPr>
                  <w:r>
                    <w:rPr>
                      <w:rFonts w:hint="eastAsia"/>
                      <w:color w:val="auto"/>
                      <w:lang w:bidi="ar"/>
                    </w:rPr>
                    <w:t>液管阀门</w:t>
                  </w:r>
                </w:p>
              </w:tc>
              <w:tc>
                <w:tcPr>
                  <w:tcW w:w="808" w:type="pct"/>
                  <w:vAlign w:val="center"/>
                </w:tcPr>
                <w:p w14:paraId="0ED7A833">
                  <w:pPr>
                    <w:pStyle w:val="113"/>
                    <w:jc w:val="center"/>
                    <w:rPr>
                      <w:rFonts w:hint="eastAsia" w:eastAsia="宋体"/>
                      <w:color w:val="auto"/>
                      <w:lang w:val="en-US" w:eastAsia="zh-CN" w:bidi="ar"/>
                    </w:rPr>
                  </w:pPr>
                  <w:r>
                    <w:rPr>
                      <w:rFonts w:hint="eastAsia"/>
                      <w:color w:val="auto"/>
                      <w:lang w:val="en-US" w:eastAsia="zh-CN" w:bidi="ar"/>
                    </w:rPr>
                    <w:t>5</w:t>
                  </w:r>
                </w:p>
              </w:tc>
              <w:tc>
                <w:tcPr>
                  <w:tcW w:w="1020" w:type="pct"/>
                  <w:vAlign w:val="center"/>
                </w:tcPr>
                <w:p w14:paraId="2A949559">
                  <w:pPr>
                    <w:pStyle w:val="113"/>
                    <w:jc w:val="center"/>
                    <w:rPr>
                      <w:color w:val="auto"/>
                      <w:lang w:bidi="ar"/>
                    </w:rPr>
                  </w:pPr>
                  <w:r>
                    <w:rPr>
                      <w:color w:val="auto"/>
                      <w:lang w:bidi="ar"/>
                    </w:rPr>
                    <w:t>8760</w:t>
                  </w:r>
                </w:p>
              </w:tc>
              <w:tc>
                <w:tcPr>
                  <w:tcW w:w="1028" w:type="pct"/>
                  <w:vMerge w:val="restart"/>
                  <w:vAlign w:val="center"/>
                </w:tcPr>
                <w:p w14:paraId="02FD3ED8">
                  <w:pPr>
                    <w:pStyle w:val="113"/>
                    <w:jc w:val="center"/>
                    <w:rPr>
                      <w:color w:val="auto"/>
                      <w:lang w:bidi="ar"/>
                    </w:rPr>
                  </w:pPr>
                  <w:r>
                    <w:rPr>
                      <w:rFonts w:hint="eastAsia"/>
                      <w:color w:val="auto"/>
                      <w:lang w:bidi="ar"/>
                    </w:rPr>
                    <w:t>0</w:t>
                  </w:r>
                  <w:r>
                    <w:rPr>
                      <w:color w:val="auto"/>
                      <w:lang w:bidi="ar"/>
                    </w:rPr>
                    <w:t>.064</w:t>
                  </w:r>
                </w:p>
              </w:tc>
            </w:tr>
            <w:tr w14:paraId="6BEA0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Merge w:val="continue"/>
                  <w:vAlign w:val="center"/>
                </w:tcPr>
                <w:p w14:paraId="7B730234">
                  <w:pPr>
                    <w:pStyle w:val="113"/>
                    <w:jc w:val="center"/>
                    <w:rPr>
                      <w:color w:val="auto"/>
                      <w:lang w:bidi="ar"/>
                    </w:rPr>
                  </w:pPr>
                </w:p>
              </w:tc>
              <w:tc>
                <w:tcPr>
                  <w:tcW w:w="1275" w:type="pct"/>
                  <w:vAlign w:val="center"/>
                </w:tcPr>
                <w:p w14:paraId="1C3BA676">
                  <w:pPr>
                    <w:pStyle w:val="113"/>
                    <w:jc w:val="center"/>
                    <w:rPr>
                      <w:color w:val="auto"/>
                      <w:lang w:bidi="ar"/>
                    </w:rPr>
                  </w:pPr>
                  <w:r>
                    <w:rPr>
                      <w:rFonts w:hint="eastAsia"/>
                      <w:color w:val="auto"/>
                      <w:lang w:bidi="ar"/>
                    </w:rPr>
                    <w:t>气相管阀门</w:t>
                  </w:r>
                </w:p>
              </w:tc>
              <w:tc>
                <w:tcPr>
                  <w:tcW w:w="808" w:type="pct"/>
                  <w:vAlign w:val="center"/>
                </w:tcPr>
                <w:p w14:paraId="54BBBB09">
                  <w:pPr>
                    <w:pStyle w:val="113"/>
                    <w:jc w:val="center"/>
                    <w:rPr>
                      <w:rFonts w:hint="eastAsia" w:eastAsia="宋体"/>
                      <w:color w:val="auto"/>
                      <w:lang w:val="en-US" w:eastAsia="zh-CN" w:bidi="ar"/>
                    </w:rPr>
                  </w:pPr>
                  <w:r>
                    <w:rPr>
                      <w:rFonts w:hint="eastAsia"/>
                      <w:color w:val="auto"/>
                      <w:lang w:val="en-US" w:eastAsia="zh-CN" w:bidi="ar"/>
                    </w:rPr>
                    <w:t>5</w:t>
                  </w:r>
                </w:p>
              </w:tc>
              <w:tc>
                <w:tcPr>
                  <w:tcW w:w="1020" w:type="pct"/>
                  <w:vAlign w:val="center"/>
                </w:tcPr>
                <w:p w14:paraId="1C247871">
                  <w:pPr>
                    <w:pStyle w:val="113"/>
                    <w:jc w:val="center"/>
                    <w:rPr>
                      <w:color w:val="auto"/>
                      <w:lang w:bidi="ar"/>
                    </w:rPr>
                  </w:pPr>
                  <w:r>
                    <w:rPr>
                      <w:color w:val="auto"/>
                      <w:lang w:bidi="ar"/>
                    </w:rPr>
                    <w:t>8760</w:t>
                  </w:r>
                </w:p>
              </w:tc>
              <w:tc>
                <w:tcPr>
                  <w:tcW w:w="1028" w:type="pct"/>
                  <w:vMerge w:val="continue"/>
                  <w:vAlign w:val="center"/>
                </w:tcPr>
                <w:p w14:paraId="32D19961">
                  <w:pPr>
                    <w:pStyle w:val="113"/>
                    <w:jc w:val="center"/>
                    <w:rPr>
                      <w:color w:val="auto"/>
                      <w:lang w:bidi="ar"/>
                    </w:rPr>
                  </w:pPr>
                </w:p>
              </w:tc>
            </w:tr>
            <w:tr w14:paraId="6D254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Merge w:val="continue"/>
                  <w:vAlign w:val="center"/>
                </w:tcPr>
                <w:p w14:paraId="3FB9FB00">
                  <w:pPr>
                    <w:pStyle w:val="113"/>
                    <w:jc w:val="center"/>
                    <w:rPr>
                      <w:color w:val="auto"/>
                      <w:lang w:bidi="ar"/>
                    </w:rPr>
                  </w:pPr>
                </w:p>
              </w:tc>
              <w:tc>
                <w:tcPr>
                  <w:tcW w:w="1275" w:type="pct"/>
                  <w:vAlign w:val="center"/>
                </w:tcPr>
                <w:p w14:paraId="4F0C499E">
                  <w:pPr>
                    <w:pStyle w:val="113"/>
                    <w:jc w:val="center"/>
                    <w:rPr>
                      <w:color w:val="auto"/>
                      <w:lang w:bidi="ar"/>
                    </w:rPr>
                  </w:pPr>
                  <w:r>
                    <w:rPr>
                      <w:rFonts w:hint="eastAsia"/>
                      <w:color w:val="auto"/>
                      <w:szCs w:val="21"/>
                    </w:rPr>
                    <w:t>全自动灌装秤阀门</w:t>
                  </w:r>
                </w:p>
              </w:tc>
              <w:tc>
                <w:tcPr>
                  <w:tcW w:w="808" w:type="pct"/>
                  <w:vAlign w:val="center"/>
                </w:tcPr>
                <w:p w14:paraId="7922C02B">
                  <w:pPr>
                    <w:pStyle w:val="113"/>
                    <w:jc w:val="center"/>
                    <w:rPr>
                      <w:rFonts w:hint="default" w:eastAsia="宋体"/>
                      <w:color w:val="auto"/>
                      <w:lang w:val="en-US" w:eastAsia="zh-CN" w:bidi="ar"/>
                    </w:rPr>
                  </w:pPr>
                  <w:r>
                    <w:rPr>
                      <w:rFonts w:hint="eastAsia"/>
                      <w:color w:val="auto"/>
                      <w:lang w:val="en-US" w:eastAsia="zh-CN" w:bidi="ar"/>
                    </w:rPr>
                    <w:t>5</w:t>
                  </w:r>
                </w:p>
              </w:tc>
              <w:tc>
                <w:tcPr>
                  <w:tcW w:w="1020" w:type="pct"/>
                  <w:vAlign w:val="center"/>
                </w:tcPr>
                <w:p w14:paraId="035877E4">
                  <w:pPr>
                    <w:jc w:val="center"/>
                    <w:rPr>
                      <w:color w:val="auto"/>
                      <w:lang w:bidi="ar"/>
                    </w:rPr>
                  </w:pPr>
                  <w:r>
                    <w:rPr>
                      <w:rFonts w:hint="eastAsia"/>
                      <w:color w:val="auto"/>
                      <w:lang w:bidi="ar"/>
                    </w:rPr>
                    <w:t>2</w:t>
                  </w:r>
                  <w:r>
                    <w:rPr>
                      <w:rFonts w:hint="eastAsia"/>
                      <w:color w:val="auto"/>
                      <w:lang w:val="en-US" w:eastAsia="zh-CN" w:bidi="ar"/>
                    </w:rPr>
                    <w:t>920</w:t>
                  </w:r>
                </w:p>
              </w:tc>
              <w:tc>
                <w:tcPr>
                  <w:tcW w:w="1028" w:type="pct"/>
                  <w:vMerge w:val="continue"/>
                  <w:vAlign w:val="center"/>
                </w:tcPr>
                <w:p w14:paraId="6CB8CAB0">
                  <w:pPr>
                    <w:pStyle w:val="113"/>
                    <w:jc w:val="center"/>
                    <w:rPr>
                      <w:color w:val="auto"/>
                      <w:lang w:bidi="ar"/>
                    </w:rPr>
                  </w:pPr>
                </w:p>
              </w:tc>
            </w:tr>
            <w:tr w14:paraId="12F70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Align w:val="center"/>
                </w:tcPr>
                <w:p w14:paraId="67E58FA7">
                  <w:pPr>
                    <w:pStyle w:val="113"/>
                    <w:jc w:val="center"/>
                    <w:rPr>
                      <w:color w:val="auto"/>
                      <w:lang w:bidi="ar"/>
                    </w:rPr>
                  </w:pPr>
                  <w:r>
                    <w:rPr>
                      <w:rFonts w:hint="eastAsia"/>
                      <w:color w:val="auto"/>
                      <w:lang w:bidi="ar"/>
                    </w:rPr>
                    <w:t>压缩机</w:t>
                  </w:r>
                </w:p>
              </w:tc>
              <w:tc>
                <w:tcPr>
                  <w:tcW w:w="1275" w:type="pct"/>
                  <w:vAlign w:val="center"/>
                </w:tcPr>
                <w:p w14:paraId="70E8E847">
                  <w:pPr>
                    <w:pStyle w:val="113"/>
                    <w:jc w:val="center"/>
                    <w:rPr>
                      <w:color w:val="auto"/>
                      <w:lang w:bidi="ar"/>
                    </w:rPr>
                  </w:pPr>
                  <w:r>
                    <w:rPr>
                      <w:rFonts w:hint="eastAsia"/>
                      <w:color w:val="auto"/>
                      <w:lang w:bidi="ar"/>
                    </w:rPr>
                    <w:t>轴封</w:t>
                  </w:r>
                </w:p>
              </w:tc>
              <w:tc>
                <w:tcPr>
                  <w:tcW w:w="808" w:type="pct"/>
                  <w:vAlign w:val="center"/>
                </w:tcPr>
                <w:p w14:paraId="25CF18F5">
                  <w:pPr>
                    <w:pStyle w:val="113"/>
                    <w:jc w:val="center"/>
                    <w:rPr>
                      <w:rFonts w:hint="eastAsia" w:eastAsia="宋体"/>
                      <w:color w:val="auto"/>
                      <w:lang w:val="en-US" w:eastAsia="zh-CN" w:bidi="ar"/>
                    </w:rPr>
                  </w:pPr>
                  <w:r>
                    <w:rPr>
                      <w:rFonts w:hint="eastAsia"/>
                      <w:color w:val="auto"/>
                      <w:lang w:val="en-US" w:eastAsia="zh-CN" w:bidi="ar"/>
                    </w:rPr>
                    <w:t>2</w:t>
                  </w:r>
                </w:p>
              </w:tc>
              <w:tc>
                <w:tcPr>
                  <w:tcW w:w="1020" w:type="pct"/>
                  <w:vAlign w:val="center"/>
                </w:tcPr>
                <w:p w14:paraId="071367D4">
                  <w:pPr>
                    <w:jc w:val="center"/>
                    <w:rPr>
                      <w:color w:val="auto"/>
                      <w:lang w:bidi="ar"/>
                    </w:rPr>
                  </w:pPr>
                  <w:r>
                    <w:rPr>
                      <w:rFonts w:hint="eastAsia"/>
                      <w:color w:val="auto"/>
                      <w:lang w:bidi="ar"/>
                    </w:rPr>
                    <w:t>2</w:t>
                  </w:r>
                  <w:r>
                    <w:rPr>
                      <w:rFonts w:hint="eastAsia"/>
                      <w:color w:val="auto"/>
                      <w:lang w:val="en-US" w:eastAsia="zh-CN" w:bidi="ar"/>
                    </w:rPr>
                    <w:t>920</w:t>
                  </w:r>
                </w:p>
              </w:tc>
              <w:tc>
                <w:tcPr>
                  <w:tcW w:w="1028" w:type="pct"/>
                  <w:vAlign w:val="center"/>
                </w:tcPr>
                <w:p w14:paraId="79577AD5">
                  <w:pPr>
                    <w:pStyle w:val="113"/>
                    <w:jc w:val="center"/>
                    <w:rPr>
                      <w:color w:val="auto"/>
                      <w:lang w:bidi="ar"/>
                    </w:rPr>
                  </w:pPr>
                  <w:r>
                    <w:rPr>
                      <w:rFonts w:hint="eastAsia"/>
                      <w:color w:val="auto"/>
                      <w:lang w:bidi="ar"/>
                    </w:rPr>
                    <w:t>0</w:t>
                  </w:r>
                  <w:r>
                    <w:rPr>
                      <w:color w:val="auto"/>
                      <w:lang w:bidi="ar"/>
                    </w:rPr>
                    <w:t>.073</w:t>
                  </w:r>
                </w:p>
              </w:tc>
            </w:tr>
            <w:tr w14:paraId="65009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Align w:val="center"/>
                </w:tcPr>
                <w:p w14:paraId="062E683B">
                  <w:pPr>
                    <w:pStyle w:val="113"/>
                    <w:jc w:val="center"/>
                    <w:rPr>
                      <w:color w:val="auto"/>
                      <w:lang w:bidi="ar"/>
                    </w:rPr>
                  </w:pPr>
                  <w:r>
                    <w:rPr>
                      <w:rFonts w:hint="eastAsia"/>
                      <w:color w:val="auto"/>
                      <w:lang w:bidi="ar"/>
                    </w:rPr>
                    <w:t>泵</w:t>
                  </w:r>
                </w:p>
              </w:tc>
              <w:tc>
                <w:tcPr>
                  <w:tcW w:w="1275" w:type="pct"/>
                  <w:vAlign w:val="center"/>
                </w:tcPr>
                <w:p w14:paraId="2E2E248B">
                  <w:pPr>
                    <w:pStyle w:val="113"/>
                    <w:jc w:val="center"/>
                    <w:rPr>
                      <w:color w:val="auto"/>
                      <w:lang w:bidi="ar"/>
                    </w:rPr>
                  </w:pPr>
                  <w:r>
                    <w:rPr>
                      <w:rFonts w:hint="eastAsia"/>
                      <w:color w:val="auto"/>
                      <w:lang w:bidi="ar"/>
                    </w:rPr>
                    <w:t>烃泵</w:t>
                  </w:r>
                </w:p>
              </w:tc>
              <w:tc>
                <w:tcPr>
                  <w:tcW w:w="808" w:type="pct"/>
                  <w:vAlign w:val="center"/>
                </w:tcPr>
                <w:p w14:paraId="6B11F1CB">
                  <w:pPr>
                    <w:pStyle w:val="113"/>
                    <w:jc w:val="center"/>
                    <w:rPr>
                      <w:rFonts w:hint="eastAsia" w:eastAsia="宋体"/>
                      <w:color w:val="auto"/>
                      <w:lang w:val="en-US" w:eastAsia="zh-CN" w:bidi="ar"/>
                    </w:rPr>
                  </w:pPr>
                  <w:r>
                    <w:rPr>
                      <w:rFonts w:hint="eastAsia"/>
                      <w:color w:val="auto"/>
                      <w:lang w:val="en-US" w:eastAsia="zh-CN" w:bidi="ar"/>
                    </w:rPr>
                    <w:t>2</w:t>
                  </w:r>
                </w:p>
              </w:tc>
              <w:tc>
                <w:tcPr>
                  <w:tcW w:w="1020" w:type="pct"/>
                  <w:vAlign w:val="center"/>
                </w:tcPr>
                <w:p w14:paraId="632ACAB0">
                  <w:pPr>
                    <w:jc w:val="center"/>
                    <w:rPr>
                      <w:color w:val="auto"/>
                      <w:lang w:bidi="ar"/>
                    </w:rPr>
                  </w:pPr>
                  <w:r>
                    <w:rPr>
                      <w:rFonts w:hint="eastAsia"/>
                      <w:color w:val="auto"/>
                      <w:lang w:bidi="ar"/>
                    </w:rPr>
                    <w:t>2</w:t>
                  </w:r>
                  <w:r>
                    <w:rPr>
                      <w:rFonts w:hint="eastAsia"/>
                      <w:color w:val="auto"/>
                      <w:lang w:val="en-US" w:eastAsia="zh-CN" w:bidi="ar"/>
                    </w:rPr>
                    <w:t>920</w:t>
                  </w:r>
                </w:p>
              </w:tc>
              <w:tc>
                <w:tcPr>
                  <w:tcW w:w="1028" w:type="pct"/>
                  <w:vAlign w:val="center"/>
                </w:tcPr>
                <w:p w14:paraId="36DC61BB">
                  <w:pPr>
                    <w:pStyle w:val="113"/>
                    <w:jc w:val="center"/>
                    <w:rPr>
                      <w:color w:val="auto"/>
                      <w:lang w:bidi="ar"/>
                    </w:rPr>
                  </w:pPr>
                  <w:r>
                    <w:rPr>
                      <w:rFonts w:hint="eastAsia"/>
                      <w:color w:val="auto"/>
                      <w:lang w:bidi="ar"/>
                    </w:rPr>
                    <w:t>0</w:t>
                  </w:r>
                  <w:r>
                    <w:rPr>
                      <w:color w:val="auto"/>
                      <w:lang w:bidi="ar"/>
                    </w:rPr>
                    <w:t>.074</w:t>
                  </w:r>
                </w:p>
              </w:tc>
            </w:tr>
            <w:tr w14:paraId="439F5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9" w:type="pct"/>
                  <w:vAlign w:val="center"/>
                </w:tcPr>
                <w:p w14:paraId="53CE0CE8">
                  <w:pPr>
                    <w:pStyle w:val="113"/>
                    <w:jc w:val="center"/>
                    <w:rPr>
                      <w:color w:val="auto"/>
                      <w:lang w:bidi="ar"/>
                    </w:rPr>
                  </w:pPr>
                  <w:r>
                    <w:rPr>
                      <w:rFonts w:hint="eastAsia"/>
                      <w:color w:val="auto"/>
                      <w:lang w:bidi="ar"/>
                    </w:rPr>
                    <w:t>法兰</w:t>
                  </w:r>
                </w:p>
              </w:tc>
              <w:tc>
                <w:tcPr>
                  <w:tcW w:w="1275" w:type="pct"/>
                  <w:vAlign w:val="center"/>
                </w:tcPr>
                <w:p w14:paraId="5BC38EB8">
                  <w:pPr>
                    <w:pStyle w:val="113"/>
                    <w:jc w:val="center"/>
                    <w:rPr>
                      <w:color w:val="auto"/>
                      <w:lang w:bidi="ar"/>
                    </w:rPr>
                  </w:pPr>
                  <w:r>
                    <w:rPr>
                      <w:rFonts w:hint="eastAsia"/>
                      <w:color w:val="auto"/>
                      <w:lang w:bidi="ar"/>
                    </w:rPr>
                    <w:t>储罐法兰</w:t>
                  </w:r>
                </w:p>
              </w:tc>
              <w:tc>
                <w:tcPr>
                  <w:tcW w:w="808" w:type="pct"/>
                  <w:vAlign w:val="center"/>
                </w:tcPr>
                <w:p w14:paraId="08422C4B">
                  <w:pPr>
                    <w:pStyle w:val="113"/>
                    <w:jc w:val="center"/>
                    <w:rPr>
                      <w:rFonts w:hint="eastAsia" w:eastAsia="宋体"/>
                      <w:color w:val="auto"/>
                      <w:lang w:val="en-US" w:eastAsia="zh-CN" w:bidi="ar"/>
                    </w:rPr>
                  </w:pPr>
                  <w:r>
                    <w:rPr>
                      <w:rFonts w:hint="eastAsia"/>
                      <w:color w:val="auto"/>
                      <w:lang w:val="en-US" w:eastAsia="zh-CN" w:bidi="ar"/>
                    </w:rPr>
                    <w:t>5</w:t>
                  </w:r>
                </w:p>
              </w:tc>
              <w:tc>
                <w:tcPr>
                  <w:tcW w:w="1020" w:type="pct"/>
                  <w:vAlign w:val="center"/>
                </w:tcPr>
                <w:p w14:paraId="517A3B20">
                  <w:pPr>
                    <w:pStyle w:val="113"/>
                    <w:jc w:val="center"/>
                    <w:rPr>
                      <w:color w:val="auto"/>
                      <w:lang w:bidi="ar"/>
                    </w:rPr>
                  </w:pPr>
                  <w:r>
                    <w:rPr>
                      <w:rFonts w:hint="eastAsia"/>
                      <w:color w:val="auto"/>
                      <w:lang w:bidi="ar"/>
                    </w:rPr>
                    <w:t>8</w:t>
                  </w:r>
                  <w:r>
                    <w:rPr>
                      <w:color w:val="auto"/>
                      <w:lang w:bidi="ar"/>
                    </w:rPr>
                    <w:t>760</w:t>
                  </w:r>
                </w:p>
              </w:tc>
              <w:tc>
                <w:tcPr>
                  <w:tcW w:w="1028" w:type="pct"/>
                  <w:vAlign w:val="center"/>
                </w:tcPr>
                <w:p w14:paraId="4AE2140C">
                  <w:pPr>
                    <w:pStyle w:val="113"/>
                    <w:jc w:val="center"/>
                    <w:rPr>
                      <w:color w:val="auto"/>
                      <w:lang w:bidi="ar"/>
                    </w:rPr>
                  </w:pPr>
                  <w:r>
                    <w:rPr>
                      <w:rFonts w:hint="eastAsia"/>
                      <w:color w:val="auto"/>
                      <w:lang w:bidi="ar"/>
                    </w:rPr>
                    <w:t>0</w:t>
                  </w:r>
                  <w:r>
                    <w:rPr>
                      <w:color w:val="auto"/>
                      <w:lang w:bidi="ar"/>
                    </w:rPr>
                    <w:t>.085</w:t>
                  </w:r>
                </w:p>
              </w:tc>
            </w:tr>
          </w:tbl>
          <w:p w14:paraId="0121068E">
            <w:pPr>
              <w:pStyle w:val="111"/>
              <w:ind w:firstLine="480"/>
              <w:rPr>
                <w:color w:val="auto"/>
                <w:lang w:bidi="ar"/>
              </w:rPr>
            </w:pPr>
            <w:r>
              <w:rPr>
                <w:rFonts w:hint="eastAsia"/>
                <w:color w:val="auto"/>
                <w:lang w:bidi="ar"/>
              </w:rPr>
              <w:t>经计算，项目储罐法兰、烃泵、阀门等设备动静密封点泄露的挥发性有机物（以非甲烷总烃综合表征）量约为</w:t>
            </w:r>
            <w:r>
              <w:rPr>
                <w:rFonts w:hint="eastAsia"/>
                <w:color w:val="auto"/>
                <w:lang w:val="en-US" w:eastAsia="zh-CN" w:bidi="ar"/>
              </w:rPr>
              <w:t>43.2</w:t>
            </w:r>
            <w:r>
              <w:rPr>
                <w:rFonts w:hint="eastAsia"/>
                <w:color w:val="auto"/>
                <w:lang w:bidi="ar"/>
              </w:rPr>
              <w:t>kg</w:t>
            </w:r>
            <w:r>
              <w:rPr>
                <w:color w:val="auto"/>
                <w:lang w:bidi="ar"/>
              </w:rPr>
              <w:t>/</w:t>
            </w:r>
            <w:r>
              <w:rPr>
                <w:rFonts w:hint="eastAsia"/>
                <w:color w:val="auto"/>
                <w:lang w:bidi="ar"/>
              </w:rPr>
              <w:t>a。各设备动静密封点泄露的非甲烷总烃以无组织方式排入环境。</w:t>
            </w:r>
          </w:p>
          <w:p w14:paraId="6AA88651">
            <w:pPr>
              <w:widowControl/>
              <w:adjustRightInd w:val="0"/>
              <w:snapToGrid w:val="0"/>
              <w:spacing w:line="500" w:lineRule="exact"/>
              <w:jc w:val="center"/>
              <w:rPr>
                <w:color w:val="auto"/>
                <w:szCs w:val="21"/>
              </w:rPr>
            </w:pPr>
            <w:r>
              <w:rPr>
                <w:b/>
                <w:bCs/>
                <w:color w:val="auto"/>
                <w:sz w:val="24"/>
                <w:lang w:bidi="ar"/>
              </w:rPr>
              <w:t>表4-</w:t>
            </w:r>
            <w:r>
              <w:rPr>
                <w:rFonts w:hint="eastAsia"/>
                <w:b/>
                <w:bCs/>
                <w:color w:val="auto"/>
                <w:sz w:val="24"/>
                <w:lang w:bidi="ar"/>
              </w:rPr>
              <w:t>3</w:t>
            </w:r>
            <w:r>
              <w:rPr>
                <w:b/>
                <w:bCs/>
                <w:color w:val="auto"/>
                <w:sz w:val="24"/>
                <w:lang w:bidi="ar"/>
              </w:rPr>
              <w:t xml:space="preserve">  </w:t>
            </w:r>
            <w:r>
              <w:rPr>
                <w:b/>
                <w:bCs/>
                <w:color w:val="auto"/>
                <w:kern w:val="0"/>
                <w:sz w:val="24"/>
                <w:lang w:bidi="ar"/>
              </w:rPr>
              <w:t>逸散</w:t>
            </w:r>
            <w:r>
              <w:rPr>
                <w:rFonts w:hint="eastAsia"/>
                <w:b/>
                <w:bCs/>
                <w:color w:val="auto"/>
                <w:sz w:val="24"/>
              </w:rPr>
              <w:t>废气</w:t>
            </w:r>
            <w:r>
              <w:rPr>
                <w:b/>
                <w:bCs/>
                <w:color w:val="auto"/>
                <w:sz w:val="24"/>
                <w:lang w:bidi="ar"/>
              </w:rPr>
              <w:t>无组织</w:t>
            </w:r>
            <w:r>
              <w:rPr>
                <w:b/>
                <w:color w:val="auto"/>
                <w:kern w:val="0"/>
                <w:sz w:val="24"/>
                <w:lang w:bidi="ar"/>
              </w:rPr>
              <w:t>排放情况表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4"/>
              <w:gridCol w:w="1463"/>
              <w:gridCol w:w="1184"/>
              <w:gridCol w:w="1324"/>
              <w:gridCol w:w="1325"/>
              <w:gridCol w:w="1325"/>
              <w:gridCol w:w="1325"/>
            </w:tblGrid>
            <w:tr w14:paraId="2C8D48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87" w:type="dxa"/>
                  <w:tcBorders>
                    <w:tl2br w:val="nil"/>
                    <w:tr2bl w:val="nil"/>
                  </w:tcBorders>
                  <w:noWrap/>
                  <w:vAlign w:val="center"/>
                </w:tcPr>
                <w:p w14:paraId="36D1C1F9">
                  <w:pPr>
                    <w:widowControl/>
                    <w:adjustRightInd w:val="0"/>
                    <w:snapToGrid w:val="0"/>
                    <w:jc w:val="center"/>
                    <w:rPr>
                      <w:b/>
                      <w:color w:val="auto"/>
                      <w:szCs w:val="21"/>
                    </w:rPr>
                  </w:pPr>
                  <w:r>
                    <w:rPr>
                      <w:b/>
                      <w:color w:val="auto"/>
                      <w:szCs w:val="21"/>
                      <w:lang w:bidi="ar"/>
                    </w:rPr>
                    <w:t>污染源</w:t>
                  </w:r>
                </w:p>
              </w:tc>
              <w:tc>
                <w:tcPr>
                  <w:tcW w:w="1312" w:type="dxa"/>
                  <w:tcBorders>
                    <w:tl2br w:val="nil"/>
                    <w:tr2bl w:val="nil"/>
                  </w:tcBorders>
                  <w:noWrap/>
                  <w:vAlign w:val="center"/>
                </w:tcPr>
                <w:p w14:paraId="6B2DE1B1">
                  <w:pPr>
                    <w:widowControl/>
                    <w:adjustRightInd w:val="0"/>
                    <w:snapToGrid w:val="0"/>
                    <w:jc w:val="center"/>
                    <w:rPr>
                      <w:b/>
                      <w:color w:val="auto"/>
                      <w:szCs w:val="21"/>
                    </w:rPr>
                  </w:pPr>
                  <w:r>
                    <w:rPr>
                      <w:b/>
                      <w:color w:val="auto"/>
                      <w:szCs w:val="21"/>
                      <w:lang w:bidi="ar"/>
                    </w:rPr>
                    <w:t>种类</w:t>
                  </w:r>
                </w:p>
              </w:tc>
              <w:tc>
                <w:tcPr>
                  <w:tcW w:w="1062" w:type="dxa"/>
                  <w:tcBorders>
                    <w:tl2br w:val="nil"/>
                    <w:tr2bl w:val="nil"/>
                  </w:tcBorders>
                  <w:noWrap/>
                  <w:vAlign w:val="center"/>
                </w:tcPr>
                <w:p w14:paraId="6159F029">
                  <w:pPr>
                    <w:widowControl/>
                    <w:adjustRightInd w:val="0"/>
                    <w:snapToGrid w:val="0"/>
                    <w:jc w:val="center"/>
                    <w:rPr>
                      <w:b/>
                      <w:color w:val="auto"/>
                      <w:szCs w:val="21"/>
                    </w:rPr>
                  </w:pPr>
                  <w:r>
                    <w:rPr>
                      <w:b/>
                      <w:color w:val="auto"/>
                      <w:szCs w:val="21"/>
                      <w:lang w:bidi="ar"/>
                    </w:rPr>
                    <w:t>产生量(t/a)</w:t>
                  </w:r>
                </w:p>
              </w:tc>
              <w:tc>
                <w:tcPr>
                  <w:tcW w:w="1187" w:type="dxa"/>
                  <w:tcBorders>
                    <w:tl2br w:val="nil"/>
                    <w:tr2bl w:val="nil"/>
                  </w:tcBorders>
                  <w:noWrap/>
                  <w:vAlign w:val="center"/>
                </w:tcPr>
                <w:p w14:paraId="2E482725">
                  <w:pPr>
                    <w:widowControl/>
                    <w:adjustRightInd w:val="0"/>
                    <w:snapToGrid w:val="0"/>
                    <w:jc w:val="center"/>
                    <w:rPr>
                      <w:b/>
                      <w:color w:val="auto"/>
                      <w:szCs w:val="21"/>
                    </w:rPr>
                  </w:pPr>
                  <w:r>
                    <w:rPr>
                      <w:b/>
                      <w:color w:val="auto"/>
                      <w:szCs w:val="21"/>
                      <w:lang w:bidi="ar"/>
                    </w:rPr>
                    <w:t>产生速率（kg/h）</w:t>
                  </w:r>
                </w:p>
              </w:tc>
              <w:tc>
                <w:tcPr>
                  <w:tcW w:w="1188" w:type="dxa"/>
                  <w:tcBorders>
                    <w:tl2br w:val="nil"/>
                    <w:tr2bl w:val="nil"/>
                  </w:tcBorders>
                  <w:noWrap/>
                  <w:vAlign w:val="center"/>
                </w:tcPr>
                <w:p w14:paraId="589735F3">
                  <w:pPr>
                    <w:widowControl/>
                    <w:adjustRightInd w:val="0"/>
                    <w:snapToGrid w:val="0"/>
                    <w:jc w:val="center"/>
                    <w:rPr>
                      <w:b/>
                      <w:color w:val="auto"/>
                      <w:szCs w:val="21"/>
                    </w:rPr>
                  </w:pPr>
                  <w:r>
                    <w:rPr>
                      <w:b/>
                      <w:color w:val="auto"/>
                      <w:szCs w:val="21"/>
                      <w:lang w:bidi="ar"/>
                    </w:rPr>
                    <w:t>处理措施</w:t>
                  </w:r>
                </w:p>
              </w:tc>
              <w:tc>
                <w:tcPr>
                  <w:tcW w:w="1188" w:type="dxa"/>
                  <w:tcBorders>
                    <w:tl2br w:val="nil"/>
                    <w:tr2bl w:val="nil"/>
                  </w:tcBorders>
                  <w:noWrap/>
                  <w:vAlign w:val="center"/>
                </w:tcPr>
                <w:p w14:paraId="1DA5E2F0">
                  <w:pPr>
                    <w:widowControl/>
                    <w:adjustRightInd w:val="0"/>
                    <w:snapToGrid w:val="0"/>
                    <w:jc w:val="center"/>
                    <w:rPr>
                      <w:b/>
                      <w:color w:val="auto"/>
                      <w:szCs w:val="21"/>
                    </w:rPr>
                  </w:pPr>
                  <w:r>
                    <w:rPr>
                      <w:b/>
                      <w:color w:val="auto"/>
                      <w:szCs w:val="21"/>
                      <w:lang w:bidi="ar"/>
                    </w:rPr>
                    <w:t>排放速率(kg/h)</w:t>
                  </w:r>
                </w:p>
              </w:tc>
              <w:tc>
                <w:tcPr>
                  <w:tcW w:w="1188" w:type="dxa"/>
                  <w:tcBorders>
                    <w:tl2br w:val="nil"/>
                    <w:tr2bl w:val="nil"/>
                  </w:tcBorders>
                  <w:noWrap/>
                  <w:vAlign w:val="center"/>
                </w:tcPr>
                <w:p w14:paraId="0A70CA5E">
                  <w:pPr>
                    <w:widowControl/>
                    <w:adjustRightInd w:val="0"/>
                    <w:snapToGrid w:val="0"/>
                    <w:jc w:val="center"/>
                    <w:rPr>
                      <w:b/>
                      <w:color w:val="auto"/>
                      <w:szCs w:val="21"/>
                    </w:rPr>
                  </w:pPr>
                  <w:r>
                    <w:rPr>
                      <w:b/>
                      <w:color w:val="auto"/>
                      <w:szCs w:val="21"/>
                      <w:lang w:bidi="ar"/>
                    </w:rPr>
                    <w:t>排放量(t/a)</w:t>
                  </w:r>
                </w:p>
              </w:tc>
            </w:tr>
            <w:tr w14:paraId="722B7B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1187" w:type="dxa"/>
                  <w:tcBorders>
                    <w:tl2br w:val="nil"/>
                    <w:tr2bl w:val="nil"/>
                  </w:tcBorders>
                  <w:noWrap/>
                  <w:vAlign w:val="center"/>
                </w:tcPr>
                <w:p w14:paraId="063E2F56">
                  <w:pPr>
                    <w:widowControl/>
                    <w:adjustRightInd w:val="0"/>
                    <w:snapToGrid w:val="0"/>
                    <w:jc w:val="center"/>
                    <w:rPr>
                      <w:bCs/>
                      <w:color w:val="auto"/>
                      <w:szCs w:val="21"/>
                    </w:rPr>
                  </w:pPr>
                  <w:r>
                    <w:rPr>
                      <w:rFonts w:hint="eastAsia"/>
                      <w:bCs/>
                      <w:color w:val="auto"/>
                      <w:szCs w:val="21"/>
                    </w:rPr>
                    <w:t>泄漏点逸散</w:t>
                  </w:r>
                </w:p>
              </w:tc>
              <w:tc>
                <w:tcPr>
                  <w:tcW w:w="1312" w:type="dxa"/>
                  <w:tcBorders>
                    <w:tl2br w:val="nil"/>
                    <w:tr2bl w:val="nil"/>
                  </w:tcBorders>
                  <w:noWrap/>
                  <w:vAlign w:val="center"/>
                </w:tcPr>
                <w:p w14:paraId="6970B39C">
                  <w:pPr>
                    <w:widowControl/>
                    <w:adjustRightInd w:val="0"/>
                    <w:snapToGrid w:val="0"/>
                    <w:jc w:val="center"/>
                    <w:rPr>
                      <w:bCs/>
                      <w:color w:val="auto"/>
                      <w:szCs w:val="21"/>
                      <w:vertAlign w:val="subscript"/>
                    </w:rPr>
                  </w:pPr>
                  <w:r>
                    <w:rPr>
                      <w:rFonts w:hint="eastAsia"/>
                      <w:bCs/>
                      <w:color w:val="auto"/>
                      <w:szCs w:val="21"/>
                    </w:rPr>
                    <w:t>非甲烷总烃</w:t>
                  </w:r>
                </w:p>
              </w:tc>
              <w:tc>
                <w:tcPr>
                  <w:tcW w:w="1062" w:type="dxa"/>
                  <w:tcBorders>
                    <w:tl2br w:val="nil"/>
                    <w:tr2bl w:val="nil"/>
                  </w:tcBorders>
                  <w:noWrap/>
                  <w:vAlign w:val="center"/>
                </w:tcPr>
                <w:p w14:paraId="6EEB0B68">
                  <w:pPr>
                    <w:widowControl/>
                    <w:adjustRightInd w:val="0"/>
                    <w:snapToGrid w:val="0"/>
                    <w:jc w:val="center"/>
                    <w:rPr>
                      <w:rFonts w:hint="eastAsia" w:eastAsia="宋体"/>
                      <w:bCs/>
                      <w:color w:val="auto"/>
                      <w:szCs w:val="21"/>
                      <w:lang w:val="en-US" w:eastAsia="zh-CN"/>
                    </w:rPr>
                  </w:pPr>
                  <w:r>
                    <w:rPr>
                      <w:bCs/>
                      <w:color w:val="auto"/>
                      <w:szCs w:val="21"/>
                    </w:rPr>
                    <w:t>0.04</w:t>
                  </w:r>
                  <w:r>
                    <w:rPr>
                      <w:rFonts w:hint="eastAsia"/>
                      <w:bCs/>
                      <w:color w:val="auto"/>
                      <w:szCs w:val="21"/>
                      <w:lang w:val="en-US" w:eastAsia="zh-CN"/>
                    </w:rPr>
                    <w:t>3</w:t>
                  </w:r>
                </w:p>
              </w:tc>
              <w:tc>
                <w:tcPr>
                  <w:tcW w:w="1187" w:type="dxa"/>
                  <w:tcBorders>
                    <w:tl2br w:val="nil"/>
                    <w:tr2bl w:val="nil"/>
                  </w:tcBorders>
                  <w:noWrap/>
                  <w:vAlign w:val="center"/>
                </w:tcPr>
                <w:p w14:paraId="570B05E8">
                  <w:pPr>
                    <w:widowControl/>
                    <w:adjustRightInd w:val="0"/>
                    <w:snapToGrid w:val="0"/>
                    <w:jc w:val="center"/>
                    <w:rPr>
                      <w:rFonts w:hint="eastAsia" w:eastAsia="宋体"/>
                      <w:bCs/>
                      <w:color w:val="auto"/>
                      <w:szCs w:val="21"/>
                      <w:lang w:val="en-US" w:eastAsia="zh-CN"/>
                    </w:rPr>
                  </w:pPr>
                  <w:r>
                    <w:rPr>
                      <w:bCs/>
                      <w:color w:val="auto"/>
                      <w:szCs w:val="21"/>
                    </w:rPr>
                    <w:t>0.014</w:t>
                  </w:r>
                  <w:r>
                    <w:rPr>
                      <w:rFonts w:hint="eastAsia"/>
                      <w:bCs/>
                      <w:color w:val="auto"/>
                      <w:szCs w:val="21"/>
                      <w:lang w:val="en-US" w:eastAsia="zh-CN"/>
                    </w:rPr>
                    <w:t>8</w:t>
                  </w:r>
                </w:p>
              </w:tc>
              <w:tc>
                <w:tcPr>
                  <w:tcW w:w="1188" w:type="dxa"/>
                  <w:tcBorders>
                    <w:tl2br w:val="nil"/>
                    <w:tr2bl w:val="nil"/>
                  </w:tcBorders>
                  <w:noWrap/>
                  <w:vAlign w:val="center"/>
                </w:tcPr>
                <w:p w14:paraId="6A48D546">
                  <w:pPr>
                    <w:widowControl/>
                    <w:adjustRightInd w:val="0"/>
                    <w:snapToGrid w:val="0"/>
                    <w:jc w:val="center"/>
                    <w:rPr>
                      <w:bCs/>
                      <w:color w:val="auto"/>
                      <w:szCs w:val="21"/>
                    </w:rPr>
                  </w:pPr>
                  <w:r>
                    <w:rPr>
                      <w:rFonts w:hint="eastAsia"/>
                      <w:bCs/>
                      <w:color w:val="auto"/>
                      <w:szCs w:val="21"/>
                    </w:rPr>
                    <w:t>加强绿化、</w:t>
                  </w:r>
                  <w:r>
                    <w:rPr>
                      <w:bCs/>
                      <w:color w:val="auto"/>
                      <w:szCs w:val="21"/>
                    </w:rPr>
                    <w:t>通风</w:t>
                  </w:r>
                </w:p>
              </w:tc>
              <w:tc>
                <w:tcPr>
                  <w:tcW w:w="1188" w:type="dxa"/>
                  <w:tcBorders>
                    <w:tl2br w:val="nil"/>
                    <w:tr2bl w:val="nil"/>
                  </w:tcBorders>
                  <w:noWrap/>
                  <w:vAlign w:val="center"/>
                </w:tcPr>
                <w:p w14:paraId="2B7ED441">
                  <w:pPr>
                    <w:widowControl/>
                    <w:adjustRightInd w:val="0"/>
                    <w:snapToGrid w:val="0"/>
                    <w:jc w:val="center"/>
                    <w:rPr>
                      <w:bCs/>
                      <w:color w:val="auto"/>
                      <w:szCs w:val="21"/>
                    </w:rPr>
                  </w:pPr>
                  <w:r>
                    <w:rPr>
                      <w:bCs/>
                      <w:color w:val="auto"/>
                      <w:szCs w:val="21"/>
                    </w:rPr>
                    <w:t>0.014</w:t>
                  </w:r>
                  <w:r>
                    <w:rPr>
                      <w:rFonts w:hint="eastAsia"/>
                      <w:bCs/>
                      <w:color w:val="auto"/>
                      <w:szCs w:val="21"/>
                      <w:lang w:val="en-US" w:eastAsia="zh-CN"/>
                    </w:rPr>
                    <w:t>8</w:t>
                  </w:r>
                </w:p>
              </w:tc>
              <w:tc>
                <w:tcPr>
                  <w:tcW w:w="1188" w:type="dxa"/>
                  <w:tcBorders>
                    <w:tl2br w:val="nil"/>
                    <w:tr2bl w:val="nil"/>
                  </w:tcBorders>
                  <w:noWrap/>
                  <w:vAlign w:val="center"/>
                </w:tcPr>
                <w:p w14:paraId="44288D86">
                  <w:pPr>
                    <w:widowControl/>
                    <w:adjustRightInd w:val="0"/>
                    <w:snapToGrid w:val="0"/>
                    <w:jc w:val="center"/>
                    <w:rPr>
                      <w:bCs/>
                      <w:color w:val="auto"/>
                      <w:szCs w:val="21"/>
                    </w:rPr>
                  </w:pPr>
                  <w:r>
                    <w:rPr>
                      <w:bCs/>
                      <w:color w:val="auto"/>
                      <w:szCs w:val="21"/>
                    </w:rPr>
                    <w:t>0.04</w:t>
                  </w:r>
                  <w:r>
                    <w:rPr>
                      <w:rFonts w:hint="eastAsia"/>
                      <w:bCs/>
                      <w:color w:val="auto"/>
                      <w:szCs w:val="21"/>
                      <w:lang w:val="en-US" w:eastAsia="zh-CN"/>
                    </w:rPr>
                    <w:t>3</w:t>
                  </w:r>
                </w:p>
              </w:tc>
            </w:tr>
          </w:tbl>
          <w:p w14:paraId="5ADB2F4E">
            <w:pPr>
              <w:pStyle w:val="111"/>
              <w:ind w:firstLine="480"/>
              <w:rPr>
                <w:color w:val="auto"/>
              </w:rPr>
            </w:pPr>
            <w:r>
              <w:rPr>
                <w:rFonts w:hint="eastAsia"/>
                <w:color w:val="auto"/>
                <w:lang w:val="en-US" w:eastAsia="zh-CN"/>
              </w:rPr>
              <w:t>②</w:t>
            </w:r>
            <w:r>
              <w:rPr>
                <w:rFonts w:hint="eastAsia"/>
                <w:color w:val="auto"/>
              </w:rPr>
              <w:t>充装泄露废气</w:t>
            </w:r>
          </w:p>
          <w:p w14:paraId="6D392249">
            <w:pPr>
              <w:pStyle w:val="111"/>
              <w:ind w:firstLine="480"/>
              <w:rPr>
                <w:color w:val="auto"/>
                <w:lang w:bidi="ar"/>
              </w:rPr>
            </w:pPr>
            <w:r>
              <w:rPr>
                <w:rFonts w:hint="eastAsia"/>
                <w:color w:val="auto"/>
                <w:lang w:bidi="ar"/>
              </w:rPr>
              <w:t>液化石油气充装入钢瓶后，充装阀与钢瓶分离后少量残留在阀口处的石油气会泄露进入环境，</w:t>
            </w:r>
            <w:r>
              <w:rPr>
                <w:rFonts w:hint="eastAsia"/>
                <w:color w:val="auto"/>
              </w:rPr>
              <w:t>充装泄露废气中含少量</w:t>
            </w:r>
            <w:r>
              <w:rPr>
                <w:color w:val="auto"/>
              </w:rPr>
              <w:t>四氢噻吩</w:t>
            </w:r>
            <w:r>
              <w:rPr>
                <w:rFonts w:hint="eastAsia"/>
                <w:color w:val="auto"/>
              </w:rPr>
              <w:t>，其主要污染因子为非甲烷总烃、臭气浓度。</w:t>
            </w:r>
            <w:r>
              <w:rPr>
                <w:rFonts w:hint="eastAsia"/>
                <w:color w:val="auto"/>
                <w:lang w:bidi="ar"/>
              </w:rPr>
              <w:t>项目充装置换时管道、阀门间的密闭性良好，根据设计单位经验，可以将</w:t>
            </w:r>
            <w:r>
              <w:rPr>
                <w:color w:val="auto"/>
                <w:lang w:bidi="ar"/>
              </w:rPr>
              <w:t>充装和置换</w:t>
            </w:r>
            <w:r>
              <w:rPr>
                <w:rFonts w:hint="eastAsia"/>
                <w:color w:val="auto"/>
                <w:lang w:bidi="ar"/>
              </w:rPr>
              <w:t>损失控制在</w:t>
            </w:r>
            <w:r>
              <w:rPr>
                <w:color w:val="auto"/>
                <w:lang w:bidi="ar"/>
              </w:rPr>
              <w:t>0.</w:t>
            </w:r>
            <w:r>
              <w:rPr>
                <w:rFonts w:hint="eastAsia"/>
                <w:color w:val="auto"/>
                <w:lang w:bidi="ar"/>
              </w:rPr>
              <w:t>02</w:t>
            </w:r>
            <w:r>
              <w:rPr>
                <w:color w:val="auto"/>
                <w:lang w:bidi="ar"/>
              </w:rPr>
              <w:t>kg/m</w:t>
            </w:r>
            <w:r>
              <w:rPr>
                <w:color w:val="auto"/>
                <w:vertAlign w:val="superscript"/>
                <w:lang w:bidi="ar"/>
              </w:rPr>
              <w:t>3</w:t>
            </w:r>
            <w:r>
              <w:rPr>
                <w:rFonts w:hint="eastAsia"/>
                <w:color w:val="auto"/>
                <w:lang w:bidi="ar"/>
              </w:rPr>
              <w:t>的水平。</w:t>
            </w:r>
            <w:r>
              <w:rPr>
                <w:rFonts w:hint="eastAsia"/>
                <w:color w:val="auto"/>
                <w:highlight w:val="none"/>
                <w:lang w:bidi="ar"/>
              </w:rPr>
              <w:t>项目年充装</w:t>
            </w:r>
            <w:r>
              <w:rPr>
                <w:rFonts w:hint="eastAsia"/>
                <w:color w:val="auto"/>
                <w:highlight w:val="none"/>
                <w:lang w:val="en-US" w:eastAsia="zh-CN" w:bidi="ar"/>
              </w:rPr>
              <w:t>4320</w:t>
            </w:r>
            <w:r>
              <w:rPr>
                <w:rFonts w:hint="eastAsia"/>
                <w:color w:val="auto"/>
                <w:highlight w:val="none"/>
                <w:lang w:bidi="ar"/>
              </w:rPr>
              <w:t>吨液化石油气，按照液化石油气密度</w:t>
            </w:r>
            <w:r>
              <w:rPr>
                <w:rFonts w:hint="eastAsia"/>
                <w:color w:val="auto"/>
                <w:highlight w:val="none"/>
              </w:rPr>
              <w:t>580kg/m</w:t>
            </w:r>
            <w:r>
              <w:rPr>
                <w:rFonts w:hint="eastAsia"/>
                <w:color w:val="auto"/>
                <w:highlight w:val="none"/>
                <w:vertAlign w:val="superscript"/>
              </w:rPr>
              <w:t>3</w:t>
            </w:r>
            <w:r>
              <w:rPr>
                <w:rFonts w:hint="eastAsia"/>
                <w:color w:val="auto"/>
                <w:highlight w:val="none"/>
              </w:rPr>
              <w:t>计算，则液化石油气的年通过量为</w:t>
            </w:r>
            <w:r>
              <w:rPr>
                <w:rFonts w:hint="eastAsia"/>
                <w:color w:val="auto"/>
                <w:highlight w:val="none"/>
                <w:lang w:val="en-US" w:eastAsia="zh-CN"/>
              </w:rPr>
              <w:t>7448.3</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lang w:bidi="ar"/>
              </w:rPr>
              <w:t>经计算本项目逸散废气、充装泄露废气产生量为</w:t>
            </w:r>
            <w:r>
              <w:rPr>
                <w:color w:val="auto"/>
                <w:lang w:bidi="ar"/>
              </w:rPr>
              <w:t>0.</w:t>
            </w:r>
            <w:r>
              <w:rPr>
                <w:rFonts w:hint="eastAsia"/>
                <w:color w:val="auto"/>
                <w:lang w:val="en-US" w:eastAsia="zh-CN" w:bidi="ar"/>
              </w:rPr>
              <w:t>149</w:t>
            </w:r>
            <w:r>
              <w:rPr>
                <w:rFonts w:hint="eastAsia"/>
                <w:color w:val="auto"/>
                <w:lang w:bidi="ar"/>
              </w:rPr>
              <w:t>t/a。</w:t>
            </w:r>
          </w:p>
          <w:p w14:paraId="0C340834">
            <w:pPr>
              <w:widowControl/>
              <w:adjustRightInd w:val="0"/>
              <w:snapToGrid w:val="0"/>
              <w:spacing w:line="500" w:lineRule="exact"/>
              <w:jc w:val="center"/>
              <w:rPr>
                <w:color w:val="auto"/>
                <w:szCs w:val="21"/>
              </w:rPr>
            </w:pPr>
            <w:r>
              <w:rPr>
                <w:b/>
                <w:bCs/>
                <w:color w:val="auto"/>
                <w:sz w:val="24"/>
                <w:lang w:bidi="ar"/>
              </w:rPr>
              <w:t xml:space="preserve">表4-4  </w:t>
            </w:r>
            <w:r>
              <w:rPr>
                <w:rFonts w:hint="eastAsia"/>
                <w:b/>
                <w:bCs/>
                <w:color w:val="auto"/>
                <w:kern w:val="0"/>
                <w:sz w:val="24"/>
                <w:lang w:bidi="ar"/>
              </w:rPr>
              <w:t>充装泄露</w:t>
            </w:r>
            <w:r>
              <w:rPr>
                <w:rFonts w:hint="eastAsia"/>
                <w:b/>
                <w:bCs/>
                <w:color w:val="auto"/>
                <w:sz w:val="24"/>
              </w:rPr>
              <w:t>废气</w:t>
            </w:r>
            <w:r>
              <w:rPr>
                <w:b/>
                <w:bCs/>
                <w:color w:val="auto"/>
                <w:sz w:val="24"/>
                <w:lang w:bidi="ar"/>
              </w:rPr>
              <w:t>无组织</w:t>
            </w:r>
            <w:r>
              <w:rPr>
                <w:b/>
                <w:color w:val="auto"/>
                <w:kern w:val="0"/>
                <w:sz w:val="24"/>
                <w:lang w:bidi="ar"/>
              </w:rPr>
              <w:t>排放情况表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4"/>
              <w:gridCol w:w="1463"/>
              <w:gridCol w:w="1184"/>
              <w:gridCol w:w="1324"/>
              <w:gridCol w:w="1325"/>
              <w:gridCol w:w="1325"/>
              <w:gridCol w:w="1325"/>
            </w:tblGrid>
            <w:tr w14:paraId="3C3595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87" w:type="dxa"/>
                  <w:tcBorders>
                    <w:tl2br w:val="nil"/>
                    <w:tr2bl w:val="nil"/>
                  </w:tcBorders>
                  <w:noWrap/>
                  <w:vAlign w:val="center"/>
                </w:tcPr>
                <w:p w14:paraId="22527330">
                  <w:pPr>
                    <w:widowControl/>
                    <w:adjustRightInd w:val="0"/>
                    <w:snapToGrid w:val="0"/>
                    <w:jc w:val="center"/>
                    <w:rPr>
                      <w:b/>
                      <w:color w:val="auto"/>
                      <w:szCs w:val="21"/>
                    </w:rPr>
                  </w:pPr>
                  <w:r>
                    <w:rPr>
                      <w:b/>
                      <w:color w:val="auto"/>
                      <w:szCs w:val="21"/>
                      <w:lang w:bidi="ar"/>
                    </w:rPr>
                    <w:t>污染源</w:t>
                  </w:r>
                </w:p>
              </w:tc>
              <w:tc>
                <w:tcPr>
                  <w:tcW w:w="1312" w:type="dxa"/>
                  <w:tcBorders>
                    <w:tl2br w:val="nil"/>
                    <w:tr2bl w:val="nil"/>
                  </w:tcBorders>
                  <w:noWrap/>
                  <w:vAlign w:val="center"/>
                </w:tcPr>
                <w:p w14:paraId="25B057D6">
                  <w:pPr>
                    <w:widowControl/>
                    <w:adjustRightInd w:val="0"/>
                    <w:snapToGrid w:val="0"/>
                    <w:jc w:val="center"/>
                    <w:rPr>
                      <w:b/>
                      <w:color w:val="auto"/>
                      <w:szCs w:val="21"/>
                    </w:rPr>
                  </w:pPr>
                  <w:r>
                    <w:rPr>
                      <w:b/>
                      <w:color w:val="auto"/>
                      <w:szCs w:val="21"/>
                      <w:lang w:bidi="ar"/>
                    </w:rPr>
                    <w:t>种类</w:t>
                  </w:r>
                </w:p>
              </w:tc>
              <w:tc>
                <w:tcPr>
                  <w:tcW w:w="1062" w:type="dxa"/>
                  <w:tcBorders>
                    <w:tl2br w:val="nil"/>
                    <w:tr2bl w:val="nil"/>
                  </w:tcBorders>
                  <w:noWrap/>
                  <w:vAlign w:val="center"/>
                </w:tcPr>
                <w:p w14:paraId="1B402BCE">
                  <w:pPr>
                    <w:widowControl/>
                    <w:adjustRightInd w:val="0"/>
                    <w:snapToGrid w:val="0"/>
                    <w:jc w:val="center"/>
                    <w:rPr>
                      <w:b/>
                      <w:color w:val="auto"/>
                      <w:szCs w:val="21"/>
                    </w:rPr>
                  </w:pPr>
                  <w:r>
                    <w:rPr>
                      <w:b/>
                      <w:color w:val="auto"/>
                      <w:szCs w:val="21"/>
                      <w:lang w:bidi="ar"/>
                    </w:rPr>
                    <w:t>产生量(t/a)</w:t>
                  </w:r>
                </w:p>
              </w:tc>
              <w:tc>
                <w:tcPr>
                  <w:tcW w:w="1187" w:type="dxa"/>
                  <w:tcBorders>
                    <w:tl2br w:val="nil"/>
                    <w:tr2bl w:val="nil"/>
                  </w:tcBorders>
                  <w:noWrap/>
                  <w:vAlign w:val="center"/>
                </w:tcPr>
                <w:p w14:paraId="59AA7B70">
                  <w:pPr>
                    <w:widowControl/>
                    <w:adjustRightInd w:val="0"/>
                    <w:snapToGrid w:val="0"/>
                    <w:jc w:val="center"/>
                    <w:rPr>
                      <w:b/>
                      <w:color w:val="auto"/>
                      <w:szCs w:val="21"/>
                    </w:rPr>
                  </w:pPr>
                  <w:r>
                    <w:rPr>
                      <w:b/>
                      <w:color w:val="auto"/>
                      <w:szCs w:val="21"/>
                      <w:lang w:bidi="ar"/>
                    </w:rPr>
                    <w:t>产生速率（kg/h）</w:t>
                  </w:r>
                </w:p>
              </w:tc>
              <w:tc>
                <w:tcPr>
                  <w:tcW w:w="1188" w:type="dxa"/>
                  <w:tcBorders>
                    <w:tl2br w:val="nil"/>
                    <w:tr2bl w:val="nil"/>
                  </w:tcBorders>
                  <w:noWrap/>
                  <w:vAlign w:val="center"/>
                </w:tcPr>
                <w:p w14:paraId="0E18F1E7">
                  <w:pPr>
                    <w:widowControl/>
                    <w:adjustRightInd w:val="0"/>
                    <w:snapToGrid w:val="0"/>
                    <w:jc w:val="center"/>
                    <w:rPr>
                      <w:b/>
                      <w:color w:val="auto"/>
                      <w:szCs w:val="21"/>
                    </w:rPr>
                  </w:pPr>
                  <w:r>
                    <w:rPr>
                      <w:b/>
                      <w:color w:val="auto"/>
                      <w:szCs w:val="21"/>
                      <w:lang w:bidi="ar"/>
                    </w:rPr>
                    <w:t>处理措施</w:t>
                  </w:r>
                </w:p>
              </w:tc>
              <w:tc>
                <w:tcPr>
                  <w:tcW w:w="1188" w:type="dxa"/>
                  <w:tcBorders>
                    <w:tl2br w:val="nil"/>
                    <w:tr2bl w:val="nil"/>
                  </w:tcBorders>
                  <w:noWrap/>
                  <w:vAlign w:val="center"/>
                </w:tcPr>
                <w:p w14:paraId="37D1F33E">
                  <w:pPr>
                    <w:widowControl/>
                    <w:adjustRightInd w:val="0"/>
                    <w:snapToGrid w:val="0"/>
                    <w:jc w:val="center"/>
                    <w:rPr>
                      <w:b/>
                      <w:color w:val="auto"/>
                      <w:szCs w:val="21"/>
                    </w:rPr>
                  </w:pPr>
                  <w:r>
                    <w:rPr>
                      <w:b/>
                      <w:color w:val="auto"/>
                      <w:szCs w:val="21"/>
                      <w:lang w:bidi="ar"/>
                    </w:rPr>
                    <w:t>排放速率(kg/h)</w:t>
                  </w:r>
                </w:p>
              </w:tc>
              <w:tc>
                <w:tcPr>
                  <w:tcW w:w="1188" w:type="dxa"/>
                  <w:tcBorders>
                    <w:tl2br w:val="nil"/>
                    <w:tr2bl w:val="nil"/>
                  </w:tcBorders>
                  <w:noWrap/>
                  <w:vAlign w:val="center"/>
                </w:tcPr>
                <w:p w14:paraId="26CA1943">
                  <w:pPr>
                    <w:widowControl/>
                    <w:adjustRightInd w:val="0"/>
                    <w:snapToGrid w:val="0"/>
                    <w:jc w:val="center"/>
                    <w:rPr>
                      <w:b/>
                      <w:color w:val="auto"/>
                      <w:szCs w:val="21"/>
                    </w:rPr>
                  </w:pPr>
                  <w:r>
                    <w:rPr>
                      <w:b/>
                      <w:color w:val="auto"/>
                      <w:szCs w:val="21"/>
                      <w:lang w:bidi="ar"/>
                    </w:rPr>
                    <w:t>排放量(t/a)</w:t>
                  </w:r>
                </w:p>
              </w:tc>
            </w:tr>
            <w:tr w14:paraId="1C4935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1187" w:type="dxa"/>
                  <w:tcBorders>
                    <w:tl2br w:val="nil"/>
                    <w:tr2bl w:val="nil"/>
                  </w:tcBorders>
                  <w:noWrap/>
                  <w:vAlign w:val="center"/>
                </w:tcPr>
                <w:p w14:paraId="6347F8ED">
                  <w:pPr>
                    <w:widowControl/>
                    <w:adjustRightInd w:val="0"/>
                    <w:snapToGrid w:val="0"/>
                    <w:jc w:val="center"/>
                    <w:rPr>
                      <w:bCs/>
                      <w:color w:val="auto"/>
                      <w:szCs w:val="21"/>
                    </w:rPr>
                  </w:pPr>
                  <w:r>
                    <w:rPr>
                      <w:rFonts w:hint="eastAsia"/>
                      <w:bCs/>
                      <w:color w:val="auto"/>
                      <w:szCs w:val="21"/>
                    </w:rPr>
                    <w:t>充装阀</w:t>
                  </w:r>
                </w:p>
              </w:tc>
              <w:tc>
                <w:tcPr>
                  <w:tcW w:w="1312" w:type="dxa"/>
                  <w:tcBorders>
                    <w:tl2br w:val="nil"/>
                    <w:tr2bl w:val="nil"/>
                  </w:tcBorders>
                  <w:noWrap/>
                  <w:vAlign w:val="center"/>
                </w:tcPr>
                <w:p w14:paraId="212882C0">
                  <w:pPr>
                    <w:widowControl/>
                    <w:adjustRightInd w:val="0"/>
                    <w:snapToGrid w:val="0"/>
                    <w:jc w:val="center"/>
                    <w:rPr>
                      <w:bCs/>
                      <w:color w:val="auto"/>
                      <w:szCs w:val="21"/>
                      <w:vertAlign w:val="subscript"/>
                    </w:rPr>
                  </w:pPr>
                  <w:r>
                    <w:rPr>
                      <w:rFonts w:hint="eastAsia"/>
                      <w:bCs/>
                      <w:color w:val="auto"/>
                      <w:szCs w:val="21"/>
                    </w:rPr>
                    <w:t>非甲烷总烃</w:t>
                  </w:r>
                </w:p>
              </w:tc>
              <w:tc>
                <w:tcPr>
                  <w:tcW w:w="1062" w:type="dxa"/>
                  <w:tcBorders>
                    <w:tl2br w:val="nil"/>
                    <w:tr2bl w:val="nil"/>
                  </w:tcBorders>
                  <w:noWrap/>
                  <w:vAlign w:val="center"/>
                </w:tcPr>
                <w:p w14:paraId="0823AD7E">
                  <w:pPr>
                    <w:widowControl/>
                    <w:adjustRightInd w:val="0"/>
                    <w:snapToGrid w:val="0"/>
                    <w:jc w:val="center"/>
                    <w:rPr>
                      <w:rFonts w:hint="default"/>
                      <w:bCs/>
                      <w:color w:val="auto"/>
                      <w:szCs w:val="21"/>
                      <w:highlight w:val="none"/>
                      <w:lang w:val="en-US"/>
                    </w:rPr>
                  </w:pPr>
                  <w:r>
                    <w:rPr>
                      <w:color w:val="auto"/>
                      <w:highlight w:val="none"/>
                      <w:lang w:bidi="ar"/>
                    </w:rPr>
                    <w:t>0.</w:t>
                  </w:r>
                  <w:r>
                    <w:rPr>
                      <w:rFonts w:hint="eastAsia"/>
                      <w:color w:val="auto"/>
                      <w:highlight w:val="none"/>
                      <w:lang w:val="en-US" w:eastAsia="zh-CN" w:bidi="ar"/>
                    </w:rPr>
                    <w:t>149</w:t>
                  </w:r>
                </w:p>
              </w:tc>
              <w:tc>
                <w:tcPr>
                  <w:tcW w:w="1187" w:type="dxa"/>
                  <w:tcBorders>
                    <w:tl2br w:val="nil"/>
                    <w:tr2bl w:val="nil"/>
                  </w:tcBorders>
                  <w:noWrap/>
                  <w:vAlign w:val="center"/>
                </w:tcPr>
                <w:p w14:paraId="46F6D2B0">
                  <w:pPr>
                    <w:widowControl/>
                    <w:adjustRightInd w:val="0"/>
                    <w:snapToGrid w:val="0"/>
                    <w:jc w:val="center"/>
                    <w:rPr>
                      <w:rFonts w:hint="default" w:eastAsia="宋体"/>
                      <w:bCs/>
                      <w:color w:val="auto"/>
                      <w:szCs w:val="21"/>
                      <w:highlight w:val="none"/>
                      <w:lang w:val="en-US" w:eastAsia="zh-CN"/>
                    </w:rPr>
                  </w:pPr>
                  <w:r>
                    <w:rPr>
                      <w:bCs/>
                      <w:color w:val="auto"/>
                      <w:szCs w:val="21"/>
                      <w:highlight w:val="none"/>
                    </w:rPr>
                    <w:t>0.0</w:t>
                  </w:r>
                  <w:r>
                    <w:rPr>
                      <w:rFonts w:hint="eastAsia"/>
                      <w:bCs/>
                      <w:color w:val="auto"/>
                      <w:szCs w:val="21"/>
                      <w:highlight w:val="none"/>
                      <w:lang w:val="en-US" w:eastAsia="zh-CN"/>
                    </w:rPr>
                    <w:t>51</w:t>
                  </w:r>
                </w:p>
              </w:tc>
              <w:tc>
                <w:tcPr>
                  <w:tcW w:w="1188" w:type="dxa"/>
                  <w:tcBorders>
                    <w:tl2br w:val="nil"/>
                    <w:tr2bl w:val="nil"/>
                  </w:tcBorders>
                  <w:noWrap/>
                  <w:vAlign w:val="center"/>
                </w:tcPr>
                <w:p w14:paraId="0FB7EBB9">
                  <w:pPr>
                    <w:widowControl/>
                    <w:adjustRightInd w:val="0"/>
                    <w:snapToGrid w:val="0"/>
                    <w:jc w:val="center"/>
                    <w:rPr>
                      <w:bCs/>
                      <w:color w:val="auto"/>
                      <w:szCs w:val="21"/>
                      <w:highlight w:val="none"/>
                    </w:rPr>
                  </w:pPr>
                  <w:r>
                    <w:rPr>
                      <w:rFonts w:hint="eastAsia"/>
                      <w:bCs/>
                      <w:color w:val="auto"/>
                      <w:szCs w:val="21"/>
                      <w:highlight w:val="none"/>
                    </w:rPr>
                    <w:t>定期检查阀门密闭</w:t>
                  </w:r>
                </w:p>
              </w:tc>
              <w:tc>
                <w:tcPr>
                  <w:tcW w:w="1188" w:type="dxa"/>
                  <w:tcBorders>
                    <w:tl2br w:val="nil"/>
                    <w:tr2bl w:val="nil"/>
                  </w:tcBorders>
                  <w:noWrap/>
                  <w:vAlign w:val="center"/>
                </w:tcPr>
                <w:p w14:paraId="4843E771">
                  <w:pPr>
                    <w:widowControl/>
                    <w:adjustRightInd w:val="0"/>
                    <w:snapToGrid w:val="0"/>
                    <w:jc w:val="center"/>
                    <w:rPr>
                      <w:rFonts w:hint="default" w:eastAsia="宋体"/>
                      <w:bCs/>
                      <w:color w:val="auto"/>
                      <w:szCs w:val="21"/>
                      <w:highlight w:val="none"/>
                      <w:lang w:val="en-US" w:eastAsia="zh-CN"/>
                    </w:rPr>
                  </w:pPr>
                  <w:r>
                    <w:rPr>
                      <w:color w:val="auto"/>
                      <w:highlight w:val="none"/>
                      <w:lang w:bidi="ar"/>
                    </w:rPr>
                    <w:t>0.</w:t>
                  </w:r>
                  <w:r>
                    <w:rPr>
                      <w:rFonts w:hint="eastAsia"/>
                      <w:color w:val="auto"/>
                      <w:highlight w:val="none"/>
                      <w:lang w:val="en-US" w:eastAsia="zh-CN" w:bidi="ar"/>
                    </w:rPr>
                    <w:t>149</w:t>
                  </w:r>
                </w:p>
              </w:tc>
              <w:tc>
                <w:tcPr>
                  <w:tcW w:w="1188" w:type="dxa"/>
                  <w:tcBorders>
                    <w:tl2br w:val="nil"/>
                    <w:tr2bl w:val="nil"/>
                  </w:tcBorders>
                  <w:noWrap/>
                  <w:vAlign w:val="center"/>
                </w:tcPr>
                <w:p w14:paraId="0C42CDC8">
                  <w:pPr>
                    <w:widowControl/>
                    <w:adjustRightInd w:val="0"/>
                    <w:snapToGrid w:val="0"/>
                    <w:jc w:val="center"/>
                    <w:rPr>
                      <w:bCs/>
                      <w:color w:val="auto"/>
                      <w:szCs w:val="21"/>
                      <w:highlight w:val="none"/>
                    </w:rPr>
                  </w:pPr>
                  <w:r>
                    <w:rPr>
                      <w:bCs/>
                      <w:color w:val="auto"/>
                      <w:szCs w:val="21"/>
                      <w:highlight w:val="none"/>
                    </w:rPr>
                    <w:t>0.0</w:t>
                  </w:r>
                  <w:r>
                    <w:rPr>
                      <w:rFonts w:hint="eastAsia"/>
                      <w:bCs/>
                      <w:color w:val="auto"/>
                      <w:szCs w:val="21"/>
                      <w:highlight w:val="none"/>
                      <w:lang w:val="en-US" w:eastAsia="zh-CN"/>
                    </w:rPr>
                    <w:t>51</w:t>
                  </w:r>
                </w:p>
              </w:tc>
            </w:tr>
          </w:tbl>
          <w:p w14:paraId="7819BF4F">
            <w:pPr>
              <w:pStyle w:val="111"/>
              <w:ind w:firstLine="480"/>
              <w:rPr>
                <w:color w:val="auto"/>
              </w:rPr>
            </w:pPr>
            <w:r>
              <w:rPr>
                <w:rFonts w:hint="eastAsia"/>
                <w:color w:val="auto"/>
                <w:lang w:bidi="ar"/>
              </w:rPr>
              <w:t>本项目逸散废气、充装泄露废气排放量较小，</w:t>
            </w:r>
            <w:r>
              <w:rPr>
                <w:rFonts w:hint="eastAsia"/>
                <w:color w:val="auto"/>
              </w:rPr>
              <w:t>类比</w:t>
            </w:r>
            <w:r>
              <w:rPr>
                <w:rFonts w:hint="eastAsia" w:ascii="宋体" w:hAnsi="宋体"/>
                <w:color w:val="auto"/>
              </w:rPr>
              <w:t>柳州东城燃气有限公司柳东燃气站竣工环保验收监测，</w:t>
            </w:r>
            <w:r>
              <w:rPr>
                <w:rFonts w:hint="eastAsia"/>
                <w:color w:val="auto"/>
              </w:rPr>
              <w:t>项目充装泄露废气经扩散后在厂界处臭气浓度</w:t>
            </w:r>
            <w:r>
              <w:rPr>
                <w:rFonts w:hint="eastAsia" w:ascii="宋体" w:hAnsi="宋体"/>
                <w:color w:val="auto"/>
              </w:rPr>
              <w:t>＜1</w:t>
            </w:r>
            <w:r>
              <w:rPr>
                <w:rFonts w:ascii="宋体" w:hAnsi="宋体"/>
                <w:color w:val="auto"/>
              </w:rPr>
              <w:t>0</w:t>
            </w:r>
            <w:r>
              <w:rPr>
                <w:rFonts w:hint="eastAsia" w:ascii="宋体" w:hAnsi="宋体"/>
                <w:color w:val="auto"/>
              </w:rPr>
              <w:t>（无量纲）</w:t>
            </w:r>
            <w:r>
              <w:rPr>
                <w:rFonts w:hint="eastAsia"/>
                <w:color w:val="auto"/>
              </w:rPr>
              <w:t>，符合《恶臭污染物排放标准》（G</w:t>
            </w:r>
            <w:r>
              <w:rPr>
                <w:color w:val="auto"/>
              </w:rPr>
              <w:t>B</w:t>
            </w:r>
            <w:r>
              <w:rPr>
                <w:rFonts w:hint="eastAsia"/>
                <w:color w:val="auto"/>
              </w:rPr>
              <w:t>14554-93）“表1恶臭污染物厂界标准值”二级标准限值要求。</w:t>
            </w:r>
          </w:p>
          <w:p w14:paraId="164CFD9A">
            <w:pPr>
              <w:pStyle w:val="71"/>
              <w:bidi w:val="0"/>
              <w:rPr>
                <w:rFonts w:hint="default"/>
                <w:color w:val="auto"/>
                <w:lang w:val="en-US" w:eastAsia="zh-CN"/>
              </w:rPr>
            </w:pPr>
            <w:r>
              <w:rPr>
                <w:rFonts w:hint="eastAsia"/>
                <w:color w:val="auto"/>
                <w:lang w:val="en-US" w:eastAsia="zh-CN"/>
              </w:rPr>
              <w:t>③</w:t>
            </w:r>
            <w:r>
              <w:rPr>
                <w:rFonts w:hint="default"/>
                <w:color w:val="auto"/>
                <w:lang w:val="en-US" w:eastAsia="zh-CN"/>
              </w:rPr>
              <w:t>备用发电机尾气</w:t>
            </w:r>
          </w:p>
          <w:p w14:paraId="79C93843">
            <w:pPr>
              <w:pStyle w:val="71"/>
              <w:bidi w:val="0"/>
              <w:rPr>
                <w:rFonts w:hint="default"/>
                <w:color w:val="auto"/>
                <w:lang w:val="en-US" w:eastAsia="zh-CN"/>
              </w:rPr>
            </w:pPr>
            <w:r>
              <w:rPr>
                <w:rFonts w:hint="default"/>
                <w:color w:val="auto"/>
                <w:lang w:val="en-US" w:eastAsia="zh-CN"/>
              </w:rPr>
              <w:t>本项目在发电机房内设1台</w:t>
            </w:r>
            <w:r>
              <w:rPr>
                <w:rFonts w:hint="eastAsia"/>
                <w:color w:val="auto"/>
                <w:lang w:val="en-US" w:eastAsia="zh-CN"/>
              </w:rPr>
              <w:t>150kw</w:t>
            </w:r>
            <w:r>
              <w:rPr>
                <w:rFonts w:hint="default"/>
                <w:color w:val="auto"/>
                <w:lang w:val="en-US" w:eastAsia="zh-CN"/>
              </w:rPr>
              <w:t>的备用柴油发电机</w:t>
            </w:r>
            <w:r>
              <w:rPr>
                <w:rFonts w:hint="eastAsia"/>
                <w:color w:val="auto"/>
                <w:lang w:val="en-US" w:eastAsia="zh-CN"/>
              </w:rPr>
              <w:t>和1桶25kg柴油</w:t>
            </w:r>
            <w:r>
              <w:rPr>
                <w:rFonts w:hint="default"/>
                <w:color w:val="auto"/>
                <w:lang w:val="en-US" w:eastAsia="zh-CN"/>
              </w:rPr>
              <w:t>，供市政停电时备用。项目周边为梅江镇下枝坊，区域电力充足，备用柴油发电机的使用时间太小，难以预计。本评价仅作定性分析。</w:t>
            </w:r>
          </w:p>
          <w:p w14:paraId="07785384">
            <w:pPr>
              <w:pStyle w:val="71"/>
              <w:bidi w:val="0"/>
              <w:rPr>
                <w:rFonts w:hint="default"/>
                <w:color w:val="auto"/>
                <w:lang w:val="en-US" w:eastAsia="zh-CN"/>
              </w:rPr>
            </w:pPr>
            <w:r>
              <w:rPr>
                <w:rFonts w:hint="default"/>
                <w:color w:val="auto"/>
                <w:lang w:val="en-US" w:eastAsia="zh-CN"/>
              </w:rPr>
              <w:t>本项目发电机废气由发电机房引至站房楼顶的排放。根据2017年1月11日环保部部长信箱回信《关于GB16297-1996的适用范围的回复》“考虑到加高固定式柴油发电机排气筒高度会导致燃料燃烧不充分、增大污染物排放等现象，以及大功率柴油机存在无法满足排放速率限值的情况，建议目前固定式柴油发电机污染物排放浓度按照《大气污染物综合排放标准》（GB16297-1996）中的最高允许排放浓度指标进行控制，对排气筒高度和排放速率暂不作要求。”因此，本项目不对备用柴油发电机排气筒高度和排放速率作相应标准要求。</w:t>
            </w:r>
          </w:p>
          <w:p w14:paraId="0FFFED1B">
            <w:pPr>
              <w:pStyle w:val="71"/>
              <w:bidi w:val="0"/>
              <w:rPr>
                <w:rFonts w:hint="default"/>
                <w:color w:val="auto"/>
                <w:lang w:val="en-US" w:eastAsia="zh-CN"/>
              </w:rPr>
            </w:pPr>
            <w:r>
              <w:rPr>
                <w:rFonts w:hint="default"/>
                <w:color w:val="auto"/>
                <w:lang w:val="en-US" w:eastAsia="zh-CN"/>
              </w:rPr>
              <w:t>发电机在使用过程中燃烧柴油产生含</w:t>
            </w:r>
            <w:bookmarkStart w:id="17" w:name="_GoBack"/>
            <w:bookmarkEnd w:id="17"/>
            <w:r>
              <w:rPr>
                <w:rFonts w:hint="default"/>
                <w:color w:val="auto"/>
                <w:lang w:val="en-US" w:eastAsia="zh-CN"/>
              </w:rPr>
              <w:t>有一定量的烟尘、SO</w:t>
            </w:r>
            <w:r>
              <w:rPr>
                <w:rFonts w:hint="default"/>
                <w:color w:val="auto"/>
                <w:vertAlign w:val="subscript"/>
                <w:lang w:val="en-US" w:eastAsia="zh-CN"/>
              </w:rPr>
              <w:t>2</w:t>
            </w:r>
            <w:r>
              <w:rPr>
                <w:rFonts w:hint="default"/>
                <w:color w:val="auto"/>
                <w:lang w:val="en-US" w:eastAsia="zh-CN"/>
              </w:rPr>
              <w:t>和NOx等污染物的烟气。类比《兴赣北延高速公路兴国北服务区加油站建设项目环境影响报告表》备用柴油发电机产污情况，备用柴油发电机使用机率低且使用时间短，其排放量能够达到《非道路移动机械用柴油机排气污染物排放限值及测量方法（中国第三、四阶段）》（GB20891-2014）表2中第三阶段标准，对外环境的影响较小。</w:t>
            </w:r>
          </w:p>
          <w:p w14:paraId="202AF11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4"/>
                <w:highlight w:val="none"/>
                <w:lang w:eastAsia="zh-CN"/>
              </w:rPr>
            </w:pPr>
            <w:r>
              <w:rPr>
                <w:rFonts w:hint="eastAsia"/>
                <w:color w:val="auto"/>
                <w:lang w:val="en-US" w:eastAsia="zh-CN"/>
              </w:rPr>
              <w:t>④</w:t>
            </w:r>
            <w:r>
              <w:rPr>
                <w:rFonts w:hint="default" w:ascii="Times New Roman" w:hAnsi="Times New Roman" w:eastAsia="宋体" w:cs="Times New Roman"/>
                <w:b w:val="0"/>
                <w:bCs w:val="0"/>
                <w:color w:val="auto"/>
                <w:sz w:val="24"/>
                <w:highlight w:val="none"/>
                <w:lang w:eastAsia="zh-CN"/>
              </w:rPr>
              <w:t>食堂油烟</w:t>
            </w:r>
          </w:p>
          <w:p w14:paraId="59F3A6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项目食堂采取的燃料为液化石油气，液化气属清洁能源，完全燃烧生成</w:t>
            </w:r>
            <w:r>
              <w:rPr>
                <w:rFonts w:hint="default" w:ascii="Times New Roman" w:hAnsi="Times New Roman" w:eastAsia="宋体" w:cs="Times New Roman"/>
                <w:color w:val="auto"/>
                <w:sz w:val="24"/>
                <w:highlight w:val="none"/>
              </w:rPr>
              <w:t>CO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和H</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rPr>
              <w:t>不会对外环境产生影响。</w:t>
            </w:r>
          </w:p>
          <w:p w14:paraId="23CA8F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本项目定员</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rPr>
              <w:t>人，其中在厂内用餐的有</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rPr>
              <w:t>人。项目设有1个灶头，规模属于小型食堂。食堂选用液化</w:t>
            </w:r>
            <w:r>
              <w:rPr>
                <w:rFonts w:hint="eastAsia" w:ascii="Times New Roman" w:hAnsi="Times New Roman" w:eastAsia="宋体" w:cs="Times New Roman"/>
                <w:color w:val="auto"/>
                <w:sz w:val="24"/>
                <w:highlight w:val="none"/>
                <w:lang w:val="en-US" w:eastAsia="zh-CN"/>
              </w:rPr>
              <w:t>气</w:t>
            </w:r>
            <w:r>
              <w:rPr>
                <w:rFonts w:hint="default" w:ascii="Times New Roman" w:hAnsi="Times New Roman" w:eastAsia="宋体" w:cs="Times New Roman"/>
                <w:color w:val="auto"/>
                <w:sz w:val="24"/>
                <w:highlight w:val="none"/>
              </w:rPr>
              <w:t>为燃料，属于清洁能源，燃烧产生的燃料废气及油烟量不大，污染物浓度较低。</w:t>
            </w:r>
          </w:p>
          <w:p w14:paraId="736DA8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32"/>
                <w:lang w:val="en-US" w:eastAsia="zh-CN"/>
              </w:rPr>
            </w:pPr>
            <w:r>
              <w:rPr>
                <w:rFonts w:hint="default"/>
                <w:color w:val="auto"/>
                <w:sz w:val="24"/>
                <w:szCs w:val="32"/>
                <w:lang w:val="en-US" w:eastAsia="zh-CN"/>
              </w:rPr>
              <w:t>根据对餐饮企业的类比调查，目前人均日食用油用量约30g/人·d，但职工食堂均低于纯餐饮经营单位，食用油耗量和炒、炸、煎等烹调工序均较少，一般油烟挥发量占总耗油量的2～4%，本次评价油烟挥发量以3%计。则油烟产生量为</w:t>
            </w:r>
            <w:r>
              <w:rPr>
                <w:rFonts w:hint="eastAsia"/>
                <w:color w:val="auto"/>
                <w:sz w:val="24"/>
                <w:szCs w:val="32"/>
                <w:lang w:val="en-US" w:eastAsia="zh-CN"/>
              </w:rPr>
              <w:t>8.213</w:t>
            </w:r>
            <w:r>
              <w:rPr>
                <w:rFonts w:hint="default"/>
                <w:color w:val="auto"/>
                <w:sz w:val="24"/>
                <w:szCs w:val="32"/>
                <w:lang w:val="en-US" w:eastAsia="zh-CN"/>
              </w:rPr>
              <w:t>kg/a。食堂油烟采用静电式油烟净化器处理后由高于屋顶的排气筒排放，油烟净化率为</w:t>
            </w:r>
            <w:r>
              <w:rPr>
                <w:rFonts w:hint="eastAsia"/>
                <w:color w:val="auto"/>
                <w:sz w:val="24"/>
                <w:szCs w:val="32"/>
                <w:lang w:val="en-US" w:eastAsia="zh-CN"/>
              </w:rPr>
              <w:t>70</w:t>
            </w:r>
            <w:r>
              <w:rPr>
                <w:rFonts w:hint="default"/>
                <w:color w:val="auto"/>
                <w:sz w:val="24"/>
                <w:szCs w:val="32"/>
                <w:lang w:val="en-US" w:eastAsia="zh-CN"/>
              </w:rPr>
              <w:t>%，油烟机排风量以2000m</w:t>
            </w:r>
            <w:r>
              <w:rPr>
                <w:rFonts w:hint="default"/>
                <w:color w:val="auto"/>
                <w:sz w:val="24"/>
                <w:szCs w:val="32"/>
                <w:vertAlign w:val="superscript"/>
                <w:lang w:val="en-US" w:eastAsia="zh-CN"/>
              </w:rPr>
              <w:t>3</w:t>
            </w:r>
            <w:r>
              <w:rPr>
                <w:rFonts w:hint="default"/>
                <w:color w:val="auto"/>
                <w:sz w:val="24"/>
                <w:szCs w:val="32"/>
                <w:lang w:val="en-US" w:eastAsia="zh-CN"/>
              </w:rPr>
              <w:t>/h计，年工作日</w:t>
            </w:r>
            <w:r>
              <w:rPr>
                <w:rFonts w:hint="eastAsia"/>
                <w:color w:val="auto"/>
                <w:sz w:val="24"/>
                <w:szCs w:val="32"/>
                <w:lang w:val="en-US" w:eastAsia="zh-CN"/>
              </w:rPr>
              <w:t>365</w:t>
            </w:r>
            <w:r>
              <w:rPr>
                <w:rFonts w:hint="default"/>
                <w:color w:val="auto"/>
                <w:sz w:val="24"/>
                <w:szCs w:val="32"/>
                <w:lang w:val="en-US" w:eastAsia="zh-CN"/>
              </w:rPr>
              <w:t>天，风机日工作时间约4h，则排风量为</w:t>
            </w:r>
            <w:r>
              <w:rPr>
                <w:rFonts w:hint="eastAsia"/>
                <w:color w:val="auto"/>
                <w:sz w:val="24"/>
                <w:szCs w:val="32"/>
                <w:lang w:val="en-US" w:eastAsia="zh-CN"/>
              </w:rPr>
              <w:t>292</w:t>
            </w:r>
            <w:r>
              <w:rPr>
                <w:rFonts w:hint="default"/>
                <w:color w:val="auto"/>
                <w:sz w:val="24"/>
                <w:szCs w:val="32"/>
                <w:lang w:val="en-US" w:eastAsia="zh-CN"/>
              </w:rPr>
              <w:t>万m</w:t>
            </w:r>
            <w:r>
              <w:rPr>
                <w:rFonts w:hint="default"/>
                <w:color w:val="auto"/>
                <w:sz w:val="24"/>
                <w:szCs w:val="32"/>
                <w:vertAlign w:val="superscript"/>
                <w:lang w:val="en-US" w:eastAsia="zh-CN"/>
              </w:rPr>
              <w:t>3</w:t>
            </w:r>
            <w:r>
              <w:rPr>
                <w:rFonts w:hint="default"/>
                <w:color w:val="auto"/>
                <w:sz w:val="24"/>
                <w:szCs w:val="32"/>
                <w:lang w:val="en-US" w:eastAsia="zh-CN"/>
              </w:rPr>
              <w:t>/a，产生浓度为</w:t>
            </w:r>
            <w:r>
              <w:rPr>
                <w:rFonts w:hint="eastAsia"/>
                <w:color w:val="auto"/>
                <w:sz w:val="24"/>
                <w:szCs w:val="32"/>
                <w:lang w:val="en-US" w:eastAsia="zh-CN"/>
              </w:rPr>
              <w:t>2.81</w:t>
            </w:r>
            <w:r>
              <w:rPr>
                <w:rFonts w:hint="default"/>
                <w:color w:val="auto"/>
                <w:sz w:val="24"/>
                <w:szCs w:val="32"/>
                <w:lang w:val="en-US" w:eastAsia="zh-CN"/>
              </w:rPr>
              <w:t>mg/m</w:t>
            </w:r>
            <w:r>
              <w:rPr>
                <w:rFonts w:hint="default"/>
                <w:color w:val="auto"/>
                <w:sz w:val="24"/>
                <w:szCs w:val="32"/>
                <w:vertAlign w:val="superscript"/>
                <w:lang w:val="en-US" w:eastAsia="zh-CN"/>
              </w:rPr>
              <w:t>3</w:t>
            </w:r>
            <w:r>
              <w:rPr>
                <w:rFonts w:hint="default"/>
                <w:color w:val="auto"/>
                <w:sz w:val="24"/>
                <w:szCs w:val="32"/>
                <w:lang w:val="en-US" w:eastAsia="zh-CN"/>
              </w:rPr>
              <w:t>，经静电式油烟净化器处理处理后的食堂油烟排放浓度为</w:t>
            </w:r>
            <w:r>
              <w:rPr>
                <w:rFonts w:hint="eastAsia"/>
                <w:color w:val="auto"/>
                <w:sz w:val="24"/>
                <w:szCs w:val="32"/>
                <w:lang w:val="en-US" w:eastAsia="zh-CN"/>
              </w:rPr>
              <w:t>0.844</w:t>
            </w:r>
            <w:r>
              <w:rPr>
                <w:rFonts w:hint="default"/>
                <w:color w:val="auto"/>
                <w:sz w:val="24"/>
                <w:szCs w:val="32"/>
                <w:lang w:val="en-US" w:eastAsia="zh-CN"/>
              </w:rPr>
              <w:t>mg/m</w:t>
            </w:r>
            <w:r>
              <w:rPr>
                <w:rFonts w:hint="default"/>
                <w:color w:val="auto"/>
                <w:sz w:val="24"/>
                <w:szCs w:val="32"/>
                <w:vertAlign w:val="superscript"/>
                <w:lang w:val="en-US" w:eastAsia="zh-CN"/>
              </w:rPr>
              <w:t>3</w:t>
            </w:r>
            <w:r>
              <w:rPr>
                <w:rFonts w:hint="default"/>
                <w:color w:val="auto"/>
                <w:sz w:val="24"/>
                <w:szCs w:val="32"/>
                <w:lang w:val="en-US" w:eastAsia="zh-CN"/>
              </w:rPr>
              <w:t>，排放量为</w:t>
            </w:r>
            <w:r>
              <w:rPr>
                <w:rFonts w:hint="eastAsia"/>
                <w:color w:val="auto"/>
                <w:sz w:val="24"/>
                <w:szCs w:val="32"/>
                <w:lang w:val="en-US" w:eastAsia="zh-CN"/>
              </w:rPr>
              <w:t>2.46</w:t>
            </w:r>
            <w:r>
              <w:rPr>
                <w:rFonts w:hint="default"/>
                <w:color w:val="auto"/>
                <w:sz w:val="24"/>
                <w:szCs w:val="32"/>
                <w:lang w:val="en-US" w:eastAsia="zh-CN"/>
              </w:rPr>
              <w:t>kg/a。食堂油烟排放满足《饮食业油烟排放标准（试行）》（GB18483-2001）表2中小型标准要求（排放浓度≤2.0mg/m</w:t>
            </w:r>
            <w:r>
              <w:rPr>
                <w:rFonts w:hint="default"/>
                <w:color w:val="auto"/>
                <w:sz w:val="24"/>
                <w:szCs w:val="32"/>
                <w:vertAlign w:val="superscript"/>
                <w:lang w:val="en-US" w:eastAsia="zh-CN"/>
              </w:rPr>
              <w:t>3</w:t>
            </w:r>
            <w:r>
              <w:rPr>
                <w:rFonts w:hint="default"/>
                <w:color w:val="auto"/>
                <w:sz w:val="24"/>
                <w:szCs w:val="32"/>
                <w:lang w:val="en-US" w:eastAsia="zh-CN"/>
              </w:rPr>
              <w:t>）。</w:t>
            </w:r>
          </w:p>
          <w:p w14:paraId="3444AFD9">
            <w:pPr>
              <w:pStyle w:val="68"/>
              <w:tabs>
                <w:tab w:val="left" w:pos="0"/>
              </w:tabs>
              <w:bidi w:val="0"/>
              <w:rPr>
                <w:rFonts w:hint="default" w:ascii="Times New Roman" w:hAnsi="Times New Roman" w:cs="Times New Roman"/>
                <w:color w:val="auto"/>
              </w:rPr>
            </w:pPr>
            <w:r>
              <w:rPr>
                <w:rFonts w:hint="eastAsia" w:ascii="Times New Roman" w:hAnsi="Times New Roman" w:cs="Times New Roman"/>
                <w:color w:val="auto"/>
                <w:lang w:val="en-US" w:eastAsia="zh-CN"/>
              </w:rPr>
              <w:t>表4-2</w:t>
            </w:r>
            <w:r>
              <w:rPr>
                <w:rFonts w:hint="default" w:ascii="Times New Roman" w:hAnsi="Times New Roman" w:cs="Times New Roman"/>
                <w:color w:val="auto"/>
                <w:lang w:val="en-US" w:eastAsia="zh-CN"/>
              </w:rPr>
              <w:t>项</w:t>
            </w:r>
            <w:r>
              <w:rPr>
                <w:rFonts w:hint="default" w:ascii="Times New Roman" w:hAnsi="Times New Roman" w:cs="Times New Roman"/>
                <w:color w:val="auto"/>
              </w:rPr>
              <w:t>目无组织</w:t>
            </w:r>
            <w:r>
              <w:rPr>
                <w:rFonts w:hint="eastAsia" w:cs="Times New Roman"/>
                <w:color w:val="auto"/>
                <w:lang w:val="en-US" w:eastAsia="zh-CN"/>
              </w:rPr>
              <w:t>面源</w:t>
            </w:r>
            <w:r>
              <w:rPr>
                <w:rFonts w:hint="default" w:ascii="Times New Roman" w:hAnsi="Times New Roman" w:cs="Times New Roman"/>
                <w:color w:val="auto"/>
              </w:rPr>
              <w:t>及其污染物排放状况</w:t>
            </w:r>
          </w:p>
          <w:tbl>
            <w:tblPr>
              <w:tblStyle w:val="3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49"/>
              <w:gridCol w:w="1648"/>
              <w:gridCol w:w="1587"/>
              <w:gridCol w:w="1768"/>
              <w:gridCol w:w="1703"/>
              <w:gridCol w:w="1209"/>
            </w:tblGrid>
            <w:tr w14:paraId="082F07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62" w:hRule="atLeast"/>
                <w:jc w:val="center"/>
              </w:trPr>
              <w:tc>
                <w:tcPr>
                  <w:tcW w:w="728" w:type="pct"/>
                  <w:tcBorders>
                    <w:tl2br w:val="nil"/>
                    <w:tr2bl w:val="nil"/>
                  </w:tcBorders>
                  <w:noWrap w:val="0"/>
                  <w:tcMar>
                    <w:top w:w="15" w:type="dxa"/>
                    <w:left w:w="15" w:type="dxa"/>
                    <w:right w:w="15" w:type="dxa"/>
                  </w:tcMar>
                  <w:vAlign w:val="center"/>
                </w:tcPr>
                <w:p w14:paraId="05D2B3DD">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污染源位置</w:t>
                  </w:r>
                </w:p>
              </w:tc>
              <w:tc>
                <w:tcPr>
                  <w:tcW w:w="889" w:type="pct"/>
                  <w:tcBorders>
                    <w:tl2br w:val="nil"/>
                    <w:tr2bl w:val="nil"/>
                  </w:tcBorders>
                  <w:noWrap w:val="0"/>
                  <w:tcMar>
                    <w:top w:w="15" w:type="dxa"/>
                    <w:left w:w="15" w:type="dxa"/>
                    <w:right w:w="15" w:type="dxa"/>
                  </w:tcMar>
                  <w:vAlign w:val="center"/>
                </w:tcPr>
                <w:p w14:paraId="74706D9C">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污染源</w:t>
                  </w:r>
                </w:p>
              </w:tc>
              <w:tc>
                <w:tcPr>
                  <w:tcW w:w="856" w:type="pct"/>
                  <w:tcBorders>
                    <w:tl2br w:val="nil"/>
                    <w:tr2bl w:val="nil"/>
                  </w:tcBorders>
                  <w:noWrap w:val="0"/>
                  <w:tcMar>
                    <w:top w:w="15" w:type="dxa"/>
                    <w:left w:w="15" w:type="dxa"/>
                    <w:right w:w="15" w:type="dxa"/>
                  </w:tcMar>
                  <w:vAlign w:val="center"/>
                </w:tcPr>
                <w:p w14:paraId="51EA3B40">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污染物名称</w:t>
                  </w:r>
                </w:p>
              </w:tc>
              <w:tc>
                <w:tcPr>
                  <w:tcW w:w="954" w:type="pct"/>
                  <w:tcBorders>
                    <w:tl2br w:val="nil"/>
                    <w:tr2bl w:val="nil"/>
                  </w:tcBorders>
                  <w:noWrap w:val="0"/>
                  <w:tcMar>
                    <w:top w:w="15" w:type="dxa"/>
                    <w:left w:w="15" w:type="dxa"/>
                    <w:right w:w="15" w:type="dxa"/>
                  </w:tcMar>
                  <w:vAlign w:val="center"/>
                </w:tcPr>
                <w:p w14:paraId="205BF50C">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污染物排放量t/a</w:t>
                  </w:r>
                </w:p>
              </w:tc>
              <w:tc>
                <w:tcPr>
                  <w:tcW w:w="919" w:type="pct"/>
                  <w:tcBorders>
                    <w:tl2br w:val="nil"/>
                    <w:tr2bl w:val="nil"/>
                  </w:tcBorders>
                  <w:noWrap w:val="0"/>
                  <w:tcMar>
                    <w:top w:w="15" w:type="dxa"/>
                    <w:left w:w="15" w:type="dxa"/>
                    <w:right w:w="15" w:type="dxa"/>
                  </w:tcMar>
                  <w:vAlign w:val="center"/>
                </w:tcPr>
                <w:p w14:paraId="26C54A72">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面源面积m×m</w:t>
                  </w:r>
                </w:p>
              </w:tc>
              <w:tc>
                <w:tcPr>
                  <w:tcW w:w="652" w:type="pct"/>
                  <w:tcBorders>
                    <w:tl2br w:val="nil"/>
                    <w:tr2bl w:val="nil"/>
                  </w:tcBorders>
                  <w:noWrap w:val="0"/>
                  <w:tcMar>
                    <w:top w:w="15" w:type="dxa"/>
                    <w:left w:w="15" w:type="dxa"/>
                    <w:right w:w="15" w:type="dxa"/>
                  </w:tcMar>
                  <w:vAlign w:val="center"/>
                </w:tcPr>
                <w:p w14:paraId="6EAEAAFB">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cs="Times New Roman"/>
                      <w:b/>
                      <w:bCs/>
                      <w:i w:val="0"/>
                      <w:color w:val="auto"/>
                      <w:kern w:val="0"/>
                      <w:sz w:val="21"/>
                      <w:szCs w:val="21"/>
                      <w:u w:val="none"/>
                      <w:lang w:val="en-US" w:eastAsia="zh-CN" w:bidi="ar"/>
                    </w:rPr>
                    <w:t>面源高度</w:t>
                  </w:r>
                </w:p>
              </w:tc>
            </w:tr>
            <w:tr w14:paraId="30EA5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728" w:type="pct"/>
                  <w:vMerge w:val="restart"/>
                  <w:tcBorders>
                    <w:tl2br w:val="nil"/>
                    <w:tr2bl w:val="nil"/>
                  </w:tcBorders>
                  <w:noWrap w:val="0"/>
                  <w:tcMar>
                    <w:top w:w="15" w:type="dxa"/>
                    <w:left w:w="15" w:type="dxa"/>
                    <w:right w:w="15" w:type="dxa"/>
                  </w:tcMar>
                  <w:vAlign w:val="center"/>
                </w:tcPr>
                <w:p w14:paraId="01080C8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生产区</w:t>
                  </w:r>
                </w:p>
              </w:tc>
              <w:tc>
                <w:tcPr>
                  <w:tcW w:w="889" w:type="pct"/>
                  <w:tcBorders>
                    <w:tl2br w:val="nil"/>
                    <w:tr2bl w:val="nil"/>
                  </w:tcBorders>
                  <w:noWrap w:val="0"/>
                  <w:tcMar>
                    <w:top w:w="15" w:type="dxa"/>
                    <w:left w:w="15" w:type="dxa"/>
                    <w:right w:w="15" w:type="dxa"/>
                  </w:tcMar>
                  <w:vAlign w:val="center"/>
                </w:tcPr>
                <w:p w14:paraId="36DA998A">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设备动静密封点</w:t>
                  </w:r>
                </w:p>
              </w:tc>
              <w:tc>
                <w:tcPr>
                  <w:tcW w:w="856" w:type="pct"/>
                  <w:tcBorders>
                    <w:tl2br w:val="nil"/>
                    <w:tr2bl w:val="nil"/>
                  </w:tcBorders>
                  <w:noWrap w:val="0"/>
                  <w:tcMar>
                    <w:top w:w="15" w:type="dxa"/>
                    <w:left w:w="15" w:type="dxa"/>
                    <w:right w:w="15" w:type="dxa"/>
                  </w:tcMar>
                  <w:vAlign w:val="center"/>
                </w:tcPr>
                <w:p w14:paraId="16AFD38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非甲烷总烃</w:t>
                  </w:r>
                </w:p>
              </w:tc>
              <w:tc>
                <w:tcPr>
                  <w:tcW w:w="954" w:type="pct"/>
                  <w:tcBorders>
                    <w:tl2br w:val="nil"/>
                    <w:tr2bl w:val="nil"/>
                  </w:tcBorders>
                  <w:noWrap w:val="0"/>
                  <w:tcMar>
                    <w:top w:w="15" w:type="dxa"/>
                    <w:left w:w="15" w:type="dxa"/>
                    <w:right w:w="15" w:type="dxa"/>
                  </w:tcMar>
                  <w:vAlign w:val="center"/>
                </w:tcPr>
                <w:p w14:paraId="28718AE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0.043</w:t>
                  </w:r>
                </w:p>
              </w:tc>
              <w:tc>
                <w:tcPr>
                  <w:tcW w:w="919" w:type="pct"/>
                  <w:vMerge w:val="restart"/>
                  <w:tcBorders>
                    <w:tl2br w:val="nil"/>
                    <w:tr2bl w:val="nil"/>
                  </w:tcBorders>
                  <w:noWrap w:val="0"/>
                  <w:tcMar>
                    <w:top w:w="15" w:type="dxa"/>
                    <w:left w:w="15" w:type="dxa"/>
                    <w:right w:w="15" w:type="dxa"/>
                  </w:tcMar>
                  <w:vAlign w:val="center"/>
                </w:tcPr>
                <w:p w14:paraId="1EE1F5F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171</w:t>
                  </w:r>
                  <w:r>
                    <w:rPr>
                      <w:rFonts w:hint="default" w:cs="Times New Roman"/>
                      <w:i w:val="0"/>
                      <w:color w:val="auto"/>
                      <w:kern w:val="0"/>
                      <w:sz w:val="21"/>
                      <w:szCs w:val="21"/>
                      <w:u w:val="none"/>
                      <w:lang w:val="en-US" w:eastAsia="zh-CN" w:bidi="ar"/>
                    </w:rPr>
                    <w:t>×</w:t>
                  </w:r>
                  <w:r>
                    <w:rPr>
                      <w:rFonts w:hint="eastAsia" w:cs="Times New Roman"/>
                      <w:i w:val="0"/>
                      <w:color w:val="auto"/>
                      <w:kern w:val="0"/>
                      <w:sz w:val="21"/>
                      <w:szCs w:val="21"/>
                      <w:u w:val="none"/>
                      <w:lang w:val="en-US" w:eastAsia="zh-CN" w:bidi="ar"/>
                    </w:rPr>
                    <w:t>85</w:t>
                  </w:r>
                </w:p>
              </w:tc>
              <w:tc>
                <w:tcPr>
                  <w:tcW w:w="652" w:type="pct"/>
                  <w:vMerge w:val="restart"/>
                  <w:tcBorders>
                    <w:tl2br w:val="nil"/>
                    <w:tr2bl w:val="nil"/>
                  </w:tcBorders>
                  <w:noWrap w:val="0"/>
                  <w:tcMar>
                    <w:top w:w="15" w:type="dxa"/>
                    <w:left w:w="15" w:type="dxa"/>
                    <w:right w:w="15" w:type="dxa"/>
                  </w:tcMar>
                  <w:vAlign w:val="center"/>
                </w:tcPr>
                <w:p w14:paraId="341291CA">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w:t>
                  </w:r>
                </w:p>
              </w:tc>
            </w:tr>
            <w:tr w14:paraId="68A7CC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728" w:type="pct"/>
                  <w:vMerge w:val="continue"/>
                  <w:tcBorders>
                    <w:tl2br w:val="nil"/>
                    <w:tr2bl w:val="nil"/>
                  </w:tcBorders>
                  <w:noWrap w:val="0"/>
                  <w:tcMar>
                    <w:top w:w="15" w:type="dxa"/>
                    <w:left w:w="15" w:type="dxa"/>
                    <w:right w:w="15" w:type="dxa"/>
                  </w:tcMar>
                  <w:vAlign w:val="center"/>
                </w:tcPr>
                <w:p w14:paraId="18D3555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889" w:type="pct"/>
                  <w:tcBorders>
                    <w:tl2br w:val="nil"/>
                    <w:tr2bl w:val="nil"/>
                  </w:tcBorders>
                  <w:noWrap w:val="0"/>
                  <w:tcMar>
                    <w:top w:w="15" w:type="dxa"/>
                    <w:left w:w="15" w:type="dxa"/>
                    <w:right w:w="15" w:type="dxa"/>
                  </w:tcMar>
                  <w:vAlign w:val="center"/>
                </w:tcPr>
                <w:p w14:paraId="1D4CFA33">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充装阀</w:t>
                  </w:r>
                </w:p>
              </w:tc>
              <w:tc>
                <w:tcPr>
                  <w:tcW w:w="856" w:type="pct"/>
                  <w:tcBorders>
                    <w:tl2br w:val="nil"/>
                    <w:tr2bl w:val="nil"/>
                  </w:tcBorders>
                  <w:noWrap w:val="0"/>
                  <w:tcMar>
                    <w:top w:w="15" w:type="dxa"/>
                    <w:left w:w="15" w:type="dxa"/>
                    <w:right w:w="15" w:type="dxa"/>
                  </w:tcMar>
                  <w:vAlign w:val="center"/>
                </w:tcPr>
                <w:p w14:paraId="4CE395F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非甲烷总烃</w:t>
                  </w:r>
                </w:p>
              </w:tc>
              <w:tc>
                <w:tcPr>
                  <w:tcW w:w="954" w:type="pct"/>
                  <w:tcBorders>
                    <w:tl2br w:val="nil"/>
                    <w:tr2bl w:val="nil"/>
                  </w:tcBorders>
                  <w:noWrap w:val="0"/>
                  <w:tcMar>
                    <w:top w:w="15" w:type="dxa"/>
                    <w:left w:w="15" w:type="dxa"/>
                    <w:right w:w="15" w:type="dxa"/>
                  </w:tcMar>
                  <w:vAlign w:val="center"/>
                </w:tcPr>
                <w:p w14:paraId="6C4DAA44">
                  <w:pPr>
                    <w:keepNext w:val="0"/>
                    <w:keepLines w:val="0"/>
                    <w:widowControl/>
                    <w:suppressLineNumbers w:val="0"/>
                    <w:jc w:val="center"/>
                    <w:textAlignment w:val="center"/>
                    <w:rPr>
                      <w:rFonts w:hint="default" w:ascii="Times New Roman" w:hAnsi="Times New Roman"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0.149</w:t>
                  </w:r>
                </w:p>
              </w:tc>
              <w:tc>
                <w:tcPr>
                  <w:tcW w:w="919" w:type="pct"/>
                  <w:vMerge w:val="continue"/>
                  <w:tcBorders>
                    <w:tl2br w:val="nil"/>
                    <w:tr2bl w:val="nil"/>
                  </w:tcBorders>
                  <w:noWrap w:val="0"/>
                  <w:tcMar>
                    <w:top w:w="15" w:type="dxa"/>
                    <w:left w:w="15" w:type="dxa"/>
                    <w:right w:w="15" w:type="dxa"/>
                  </w:tcMar>
                  <w:vAlign w:val="center"/>
                </w:tcPr>
                <w:p w14:paraId="463A371E">
                  <w:pPr>
                    <w:keepNext w:val="0"/>
                    <w:keepLines w:val="0"/>
                    <w:widowControl/>
                    <w:suppressLineNumbers w:val="0"/>
                    <w:jc w:val="center"/>
                    <w:textAlignment w:val="center"/>
                    <w:rPr>
                      <w:rFonts w:hint="default" w:ascii="Times New Roman" w:hAnsi="Times New Roman" w:cs="Times New Roman"/>
                      <w:i w:val="0"/>
                      <w:color w:val="auto"/>
                      <w:kern w:val="0"/>
                      <w:sz w:val="21"/>
                      <w:szCs w:val="21"/>
                      <w:u w:val="none"/>
                      <w:lang w:val="en-US" w:eastAsia="zh-CN" w:bidi="ar"/>
                    </w:rPr>
                  </w:pPr>
                </w:p>
              </w:tc>
              <w:tc>
                <w:tcPr>
                  <w:tcW w:w="652" w:type="pct"/>
                  <w:vMerge w:val="continue"/>
                  <w:tcBorders>
                    <w:tl2br w:val="nil"/>
                    <w:tr2bl w:val="nil"/>
                  </w:tcBorders>
                  <w:noWrap w:val="0"/>
                  <w:tcMar>
                    <w:top w:w="15" w:type="dxa"/>
                    <w:left w:w="15" w:type="dxa"/>
                    <w:right w:w="15" w:type="dxa"/>
                  </w:tcMar>
                  <w:vAlign w:val="center"/>
                </w:tcPr>
                <w:p w14:paraId="00101478">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p>
              </w:tc>
            </w:tr>
          </w:tbl>
          <w:p w14:paraId="56BC71E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szCs w:val="24"/>
                <w:lang w:val="en-US" w:eastAsia="zh-CN"/>
              </w:rPr>
              <w:t>达标排放情况分析</w:t>
            </w:r>
          </w:p>
          <w:p w14:paraId="0FE4C93A">
            <w:pPr>
              <w:spacing w:line="360" w:lineRule="auto"/>
              <w:ind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①</w:t>
            </w:r>
            <w:r>
              <w:rPr>
                <w:rFonts w:hint="default"/>
                <w:color w:val="auto"/>
                <w:sz w:val="24"/>
                <w:szCs w:val="32"/>
                <w:lang w:val="en-US" w:eastAsia="zh-CN"/>
              </w:rPr>
              <w:t>食堂油烟排放</w:t>
            </w:r>
            <w:r>
              <w:rPr>
                <w:rFonts w:hint="eastAsia"/>
                <w:b w:val="0"/>
                <w:bCs w:val="0"/>
                <w:color w:val="auto"/>
                <w:sz w:val="24"/>
                <w:szCs w:val="24"/>
                <w:lang w:val="en-US" w:eastAsia="zh-CN"/>
              </w:rPr>
              <w:t>达标性分析</w:t>
            </w:r>
          </w:p>
          <w:p w14:paraId="4BB00E40">
            <w:pPr>
              <w:pStyle w:val="9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highlight w:val="none"/>
              </w:rPr>
              <w:t>项目食堂厨房炉灶上方设置引风罩，把油烟废气收集后再通过净化效率为</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0%以上的油烟净化设施处理，油烟经处理达标后通过预设的烟气排放管道引至屋顶排放，其排放浓度能够达到《饮食业油烟排放标准》（GB18483-2001）中的标准，油烟排放浓度不超过2.0mg/m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2"/>
                <w:highlight w:val="none"/>
                <w:lang w:val="en-US" w:eastAsia="zh-CN"/>
              </w:rPr>
              <w:t>经处理后的油烟不会对周围环境产生大的影响</w:t>
            </w:r>
            <w:r>
              <w:rPr>
                <w:rFonts w:hint="eastAsia" w:ascii="Times New Roman" w:hAnsi="Times New Roman" w:eastAsia="宋体" w:cs="Times New Roman"/>
                <w:color w:val="auto"/>
                <w:sz w:val="24"/>
                <w:szCs w:val="22"/>
                <w:highlight w:val="none"/>
                <w:lang w:val="en-US" w:eastAsia="zh-CN"/>
              </w:rPr>
              <w:t>。</w:t>
            </w:r>
          </w:p>
          <w:p w14:paraId="71800194">
            <w:pPr>
              <w:pStyle w:val="16"/>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w:t>
            </w:r>
            <w:r>
              <w:rPr>
                <w:rFonts w:hint="default" w:ascii="Times New Roman" w:hAnsi="Times New Roman" w:eastAsia="宋体" w:cs="Times New Roman"/>
                <w:b w:val="0"/>
                <w:bCs w:val="0"/>
                <w:color w:val="auto"/>
                <w:sz w:val="24"/>
                <w:szCs w:val="24"/>
                <w:lang w:val="en-US" w:eastAsia="zh-CN"/>
              </w:rPr>
              <w:t>非甲烷总烃类气体</w:t>
            </w:r>
            <w:r>
              <w:rPr>
                <w:rFonts w:hint="eastAsia" w:ascii="Times New Roman" w:hAnsi="Times New Roman" w:eastAsia="宋体" w:cs="Times New Roman"/>
                <w:b w:val="0"/>
                <w:bCs w:val="0"/>
                <w:color w:val="auto"/>
                <w:sz w:val="24"/>
                <w:szCs w:val="24"/>
                <w:lang w:val="en-US" w:eastAsia="zh-CN"/>
              </w:rPr>
              <w:t>排放</w:t>
            </w:r>
            <w:r>
              <w:rPr>
                <w:rFonts w:hint="default" w:ascii="Times New Roman" w:hAnsi="Times New Roman" w:eastAsia="宋体" w:cs="Times New Roman"/>
                <w:b w:val="0"/>
                <w:bCs w:val="0"/>
                <w:color w:val="auto"/>
                <w:sz w:val="24"/>
                <w:szCs w:val="24"/>
                <w:lang w:val="en-US" w:eastAsia="zh-CN"/>
              </w:rPr>
              <w:t>达标性分析</w:t>
            </w:r>
          </w:p>
          <w:p w14:paraId="47811460">
            <w:pPr>
              <w:pStyle w:val="90"/>
              <w:bidi w:val="0"/>
              <w:rPr>
                <w:rFonts w:hint="default" w:ascii="Times New Roman" w:hAnsi="Times New Roman" w:eastAsia="宋体" w:cs="Times New Roman"/>
                <w:color w:val="auto"/>
                <w:lang w:val="en-US" w:eastAsia="zh-CN"/>
              </w:rPr>
            </w:pPr>
            <w:r>
              <w:rPr>
                <w:rFonts w:hint="eastAsia" w:cs="Times New Roman"/>
                <w:color w:val="auto"/>
                <w:lang w:val="en-US" w:eastAsia="zh-CN"/>
              </w:rPr>
              <w:t>根据</w:t>
            </w:r>
            <w:r>
              <w:rPr>
                <w:rFonts w:hint="default" w:ascii="Times New Roman" w:hAnsi="Times New Roman" w:eastAsia="宋体" w:cs="Times New Roman"/>
                <w:color w:val="auto"/>
                <w:lang w:val="en-US" w:eastAsia="zh-CN"/>
              </w:rPr>
              <w:t>表4-</w:t>
            </w:r>
            <w:r>
              <w:rPr>
                <w:rFonts w:hint="eastAsia" w:cs="Times New Roman"/>
                <w:color w:val="auto"/>
                <w:lang w:val="en-US" w:eastAsia="zh-CN"/>
              </w:rPr>
              <w:t>1中</w:t>
            </w:r>
            <w:r>
              <w:rPr>
                <w:rFonts w:hint="default" w:ascii="Times New Roman" w:hAnsi="Times New Roman" w:eastAsia="宋体" w:cs="Times New Roman"/>
                <w:color w:val="auto"/>
                <w:lang w:val="en-US" w:eastAsia="zh-CN"/>
              </w:rPr>
              <w:t>项目</w:t>
            </w:r>
            <w:r>
              <w:rPr>
                <w:rFonts w:hint="default" w:ascii="Times New Roman" w:hAnsi="Times New Roman" w:eastAsia="宋体" w:cs="Times New Roman"/>
                <w:b w:val="0"/>
                <w:bCs w:val="0"/>
                <w:color w:val="auto"/>
                <w:sz w:val="24"/>
                <w:szCs w:val="24"/>
                <w:lang w:val="en-US" w:eastAsia="zh-CN"/>
              </w:rPr>
              <w:t>非甲烷总烃类</w:t>
            </w:r>
            <w:r>
              <w:rPr>
                <w:rFonts w:hint="default" w:ascii="Times New Roman" w:hAnsi="Times New Roman" w:eastAsia="宋体" w:cs="Times New Roman"/>
                <w:color w:val="auto"/>
                <w:lang w:val="en-US" w:eastAsia="zh-CN"/>
              </w:rPr>
              <w:t>废气排放情况</w:t>
            </w:r>
            <w:r>
              <w:rPr>
                <w:rFonts w:hint="eastAsia" w:cs="Times New Roman"/>
                <w:color w:val="auto"/>
                <w:lang w:val="en-US" w:eastAsia="zh-CN"/>
              </w:rPr>
              <w:t>，</w:t>
            </w:r>
            <w:r>
              <w:rPr>
                <w:rFonts w:hint="default" w:ascii="Times New Roman" w:hAnsi="Times New Roman" w:eastAsia="宋体" w:cs="Times New Roman"/>
                <w:color w:val="auto"/>
                <w:lang w:val="en-US" w:eastAsia="zh-CN"/>
              </w:rPr>
              <w:t>本评价采用根据《环境影响评价技术导则一大气环境》（HJ2.2-2018）中推荐的AERSCREEN不考虑地形）模型对项目无组织废气进行达标性质分析，预测结果截图如下：</w:t>
            </w:r>
          </w:p>
          <w:p w14:paraId="5056B075">
            <w:pPr>
              <w:pStyle w:val="12"/>
              <w:keepNext w:val="0"/>
              <w:keepLines w:val="0"/>
              <w:pageBreakBefore w:val="0"/>
              <w:kinsoku/>
              <w:wordWrap/>
              <w:overflowPunct/>
              <w:topLinePunct w:val="0"/>
              <w:autoSpaceDE/>
              <w:autoSpaceDN/>
              <w:bidi w:val="0"/>
              <w:spacing w:before="0" w:after="0" w:line="360" w:lineRule="auto"/>
              <w:ind w:right="0"/>
              <w:jc w:val="center"/>
              <w:rPr>
                <w:rFonts w:hint="eastAsia"/>
                <w:color w:val="auto"/>
                <w:sz w:val="24"/>
                <w:szCs w:val="24"/>
                <w:highlight w:val="none"/>
                <w:lang w:val="en-US" w:eastAsia="zh-CN"/>
              </w:rPr>
            </w:pPr>
            <w:r>
              <w:rPr>
                <w:color w:val="auto"/>
              </w:rPr>
              <w:drawing>
                <wp:inline distT="0" distB="0" distL="114300" distR="114300">
                  <wp:extent cx="5880100" cy="1988185"/>
                  <wp:effectExtent l="0" t="0" r="6350"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5880100" cy="1988185"/>
                          </a:xfrm>
                          <a:prstGeom prst="rect">
                            <a:avLst/>
                          </a:prstGeom>
                          <a:noFill/>
                          <a:ln>
                            <a:noFill/>
                          </a:ln>
                        </pic:spPr>
                      </pic:pic>
                    </a:graphicData>
                  </a:graphic>
                </wp:inline>
              </w:drawing>
            </w:r>
          </w:p>
          <w:p w14:paraId="6FFED2E3">
            <w:pPr>
              <w:pStyle w:val="90"/>
              <w:bidi w:val="0"/>
              <w:spacing w:line="360" w:lineRule="auto"/>
              <w:ind w:firstLine="0" w:firstLineChars="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图4-</w:t>
            </w:r>
            <w:r>
              <w:rPr>
                <w:rFonts w:hint="eastAsia"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非甲烷总烃废气无组织排放预测结果图</w:t>
            </w:r>
          </w:p>
          <w:p w14:paraId="46196335">
            <w:pPr>
              <w:pStyle w:val="90"/>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w:t>
            </w:r>
            <w:r>
              <w:rPr>
                <w:rFonts w:hint="eastAsia" w:ascii="Times New Roman" w:hAnsi="Times New Roman" w:eastAsia="宋体" w:cs="Times New Roman"/>
                <w:color w:val="auto"/>
                <w:lang w:val="en-US" w:eastAsia="zh-CN"/>
              </w:rPr>
              <w:t>上图</w:t>
            </w:r>
            <w:r>
              <w:rPr>
                <w:rFonts w:hint="default" w:ascii="Times New Roman" w:hAnsi="Times New Roman" w:eastAsia="宋体" w:cs="Times New Roman"/>
                <w:color w:val="auto"/>
                <w:lang w:val="en-US" w:eastAsia="zh-CN"/>
              </w:rPr>
              <w:t>，本评价根据采用各污染因子最大地面浓度与其无组织监控浓度限值对比方式判定无组织达标情况，详见下表：</w:t>
            </w:r>
          </w:p>
          <w:p w14:paraId="16B90AFA">
            <w:pPr>
              <w:pStyle w:val="16"/>
              <w:spacing w:line="240" w:lineRule="auto"/>
              <w:jc w:val="center"/>
              <w:rPr>
                <w:rFonts w:hint="default"/>
                <w:b/>
                <w:bCs/>
                <w:color w:val="auto"/>
                <w:lang w:val="en-US" w:eastAsia="zh-CN"/>
              </w:rPr>
            </w:pPr>
            <w:r>
              <w:rPr>
                <w:rFonts w:hint="eastAsia" w:ascii="Times New Roman" w:hAnsi="Times New Roman" w:eastAsia="宋体" w:cs="Times New Roman"/>
                <w:b/>
                <w:bCs/>
                <w:color w:val="auto"/>
                <w:lang w:val="en-US" w:eastAsia="zh-CN"/>
              </w:rPr>
              <w:t>表4-</w:t>
            </w:r>
            <w:r>
              <w:rPr>
                <w:rFonts w:hint="eastAsia" w:ascii="Times New Roman" w:hAnsi="Times New Roman" w:cs="Times New Roman"/>
                <w:b/>
                <w:bCs/>
                <w:color w:val="auto"/>
                <w:lang w:val="en-US" w:eastAsia="zh-CN"/>
              </w:rPr>
              <w:t>3</w:t>
            </w:r>
            <w:r>
              <w:rPr>
                <w:rFonts w:hint="eastAsia" w:ascii="Times New Roman" w:hAnsi="Times New Roman" w:eastAsia="宋体" w:cs="Times New Roman"/>
                <w:b/>
                <w:bCs/>
                <w:color w:val="auto"/>
                <w:lang w:val="en-US" w:eastAsia="zh-CN"/>
              </w:rPr>
              <w:t>无组织废气排放达标情况一览表</w:t>
            </w:r>
          </w:p>
          <w:tbl>
            <w:tblPr>
              <w:tblStyle w:val="3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27"/>
              <w:gridCol w:w="1887"/>
              <w:gridCol w:w="2052"/>
              <w:gridCol w:w="2052"/>
              <w:gridCol w:w="2052"/>
            </w:tblGrid>
            <w:tr w14:paraId="7571866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14" w:hRule="atLeast"/>
                <w:jc w:val="center"/>
              </w:trPr>
              <w:tc>
                <w:tcPr>
                  <w:tcW w:w="1041" w:type="dxa"/>
                  <w:tcBorders>
                    <w:tl2br w:val="nil"/>
                    <w:tr2bl w:val="nil"/>
                  </w:tcBorders>
                  <w:noWrap w:val="0"/>
                  <w:vAlign w:val="center"/>
                </w:tcPr>
                <w:p w14:paraId="3D5459C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599" w:type="dxa"/>
                  <w:tcBorders>
                    <w:tl2br w:val="nil"/>
                    <w:tr2bl w:val="nil"/>
                  </w:tcBorders>
                  <w:noWrap w:val="0"/>
                  <w:vAlign w:val="center"/>
                </w:tcPr>
                <w:p w14:paraId="0A596E9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1739" w:type="dxa"/>
                  <w:tcBorders>
                    <w:tl2br w:val="nil"/>
                    <w:tr2bl w:val="nil"/>
                  </w:tcBorders>
                  <w:noWrap w:val="0"/>
                  <w:vAlign w:val="center"/>
                </w:tcPr>
                <w:p w14:paraId="30B5062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最大地面浓度（mg/m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39" w:type="dxa"/>
                  <w:tcBorders>
                    <w:tl2br w:val="nil"/>
                    <w:tr2bl w:val="nil"/>
                  </w:tcBorders>
                  <w:noWrap w:val="0"/>
                  <w:vAlign w:val="center"/>
                </w:tcPr>
                <w:p w14:paraId="3AE9998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厂界浓度限值（mg/m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739" w:type="dxa"/>
                  <w:tcBorders>
                    <w:tl2br w:val="nil"/>
                    <w:tr2bl w:val="nil"/>
                  </w:tcBorders>
                  <w:noWrap w:val="0"/>
                  <w:vAlign w:val="center"/>
                </w:tcPr>
                <w:p w14:paraId="1C42DFA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1558B70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3" w:hRule="atLeast"/>
                <w:jc w:val="center"/>
              </w:trPr>
              <w:tc>
                <w:tcPr>
                  <w:tcW w:w="1041" w:type="dxa"/>
                  <w:tcBorders>
                    <w:tl2br w:val="nil"/>
                    <w:tr2bl w:val="nil"/>
                  </w:tcBorders>
                  <w:noWrap w:val="0"/>
                  <w:vAlign w:val="center"/>
                </w:tcPr>
                <w:p w14:paraId="2CFDC3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99" w:type="dxa"/>
                  <w:tcBorders>
                    <w:tl2br w:val="nil"/>
                    <w:tr2bl w:val="nil"/>
                  </w:tcBorders>
                  <w:noWrap w:val="0"/>
                  <w:vAlign w:val="center"/>
                </w:tcPr>
                <w:p w14:paraId="21434C9E">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非甲烷总烃</w:t>
                  </w:r>
                </w:p>
              </w:tc>
              <w:tc>
                <w:tcPr>
                  <w:tcW w:w="1739" w:type="dxa"/>
                  <w:tcBorders>
                    <w:tl2br w:val="nil"/>
                    <w:tr2bl w:val="nil"/>
                  </w:tcBorders>
                  <w:noWrap w:val="0"/>
                  <w:vAlign w:val="center"/>
                </w:tcPr>
                <w:p w14:paraId="1A36A6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0.043032</w:t>
                  </w:r>
                </w:p>
              </w:tc>
              <w:tc>
                <w:tcPr>
                  <w:tcW w:w="1739" w:type="dxa"/>
                  <w:tcBorders>
                    <w:tl2br w:val="nil"/>
                    <w:tr2bl w:val="nil"/>
                  </w:tcBorders>
                  <w:noWrap w:val="0"/>
                  <w:vAlign w:val="center"/>
                </w:tcPr>
                <w:p w14:paraId="361E5E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4</w:t>
                  </w:r>
                </w:p>
              </w:tc>
              <w:tc>
                <w:tcPr>
                  <w:tcW w:w="1739" w:type="dxa"/>
                  <w:tcBorders>
                    <w:tl2br w:val="nil"/>
                    <w:tr2bl w:val="nil"/>
                  </w:tcBorders>
                  <w:noWrap w:val="0"/>
                  <w:vAlign w:val="center"/>
                </w:tcPr>
                <w:p w14:paraId="6808E7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3CFCD457">
            <w:pPr>
              <w:pStyle w:val="71"/>
              <w:keepNext w:val="0"/>
              <w:keepLines w:val="0"/>
              <w:suppressLineNumbers w:val="0"/>
              <w:bidi w:val="0"/>
              <w:spacing w:before="0" w:beforeAutospacing="0" w:after="0" w:afterAutospacing="0"/>
              <w:ind w:left="0" w:right="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（3）大气防护距离</w:t>
            </w:r>
          </w:p>
          <w:p w14:paraId="44327B65">
            <w:pPr>
              <w:pStyle w:val="71"/>
              <w:keepNext w:val="0"/>
              <w:keepLines w:val="0"/>
              <w:suppressLineNumbers w:val="0"/>
              <w:bidi w:val="0"/>
              <w:spacing w:before="0" w:beforeAutospacing="0" w:after="0" w:afterAutospacing="0"/>
              <w:ind w:left="0" w:right="0"/>
              <w:rPr>
                <w:rFonts w:hint="eastAsia" w:ascii="宋体" w:hAnsi="宋体" w:eastAsia="宋体" w:cs="宋体"/>
                <w:color w:val="auto"/>
                <w:kern w:val="2"/>
                <w:sz w:val="24"/>
                <w:szCs w:val="24"/>
                <w:lang w:val="en-US" w:eastAsia="zh-CN" w:bidi="ar"/>
              </w:rPr>
            </w:pPr>
            <w:r>
              <w:rPr>
                <w:rFonts w:hint="default" w:ascii="Times New Roman" w:hAnsi="Times New Roman" w:cs="Times New Roman"/>
                <w:color w:val="auto"/>
                <w:lang w:val="en-US" w:eastAsia="zh-CN"/>
              </w:rPr>
              <w:t>根据厂界无组织预测浓度，废气预测浓度均能厂界无组织相应限值要求；各污染因子无组织废气最大地面浓度均低于厂界浓度限值，废气预测浓度能满足环境质量现状标准值，对周边居民的影响极小，对区域大气环境的环境影响较小</w:t>
            </w:r>
            <w:r>
              <w:rPr>
                <w:rFonts w:hint="eastAsia"/>
                <w:color w:val="auto"/>
                <w:lang w:val="en-US" w:eastAsia="zh-CN"/>
              </w:rPr>
              <w:t>，无需设置大气环境防护距离</w:t>
            </w:r>
            <w:r>
              <w:rPr>
                <w:rFonts w:hint="eastAsia" w:ascii="宋体" w:hAnsi="宋体" w:eastAsia="宋体" w:cs="宋体"/>
                <w:color w:val="auto"/>
                <w:kern w:val="2"/>
                <w:sz w:val="24"/>
                <w:szCs w:val="24"/>
                <w:lang w:val="en-US" w:eastAsia="zh-CN" w:bidi="ar"/>
              </w:rPr>
              <w:t>。</w:t>
            </w:r>
          </w:p>
          <w:p w14:paraId="4C340433">
            <w:pPr>
              <w:pStyle w:val="71"/>
              <w:bidi w:val="0"/>
              <w:rPr>
                <w:rFonts w:hint="default"/>
                <w:b/>
                <w:bCs/>
                <w:color w:val="auto"/>
                <w:lang w:val="en-US" w:eastAsia="zh-CN"/>
              </w:rPr>
            </w:pPr>
            <w:r>
              <w:rPr>
                <w:rFonts w:hint="eastAsia"/>
                <w:b/>
                <w:bCs/>
                <w:color w:val="auto"/>
                <w:lang w:val="en-US" w:eastAsia="zh-CN"/>
              </w:rPr>
              <w:t>（4）卫生防护距离</w:t>
            </w:r>
          </w:p>
          <w:p w14:paraId="6F7844D7">
            <w:pPr>
              <w:pStyle w:val="90"/>
              <w:bidi w:val="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根据</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大气有害物质无组织排放卫生防护距离推导技术导则》（GB 39499-2020），</w:t>
            </w:r>
            <w:r>
              <w:rPr>
                <w:rFonts w:hint="default" w:ascii="Times New Roman" w:hAnsi="Times New Roman" w:eastAsia="宋体" w:cs="Times New Roman"/>
                <w:color w:val="auto"/>
                <w:lang w:val="zh-CN"/>
              </w:rPr>
              <w:t>卫生防护距离计算公式如下：</w:t>
            </w:r>
          </w:p>
          <w:p w14:paraId="0DE42FD1">
            <w:pPr>
              <w:pStyle w:val="90"/>
              <w:bidi w:val="0"/>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val="zh-CN"/>
              </w:rPr>
              <w:t>行业主要特征大气有害物质确定</w:t>
            </w:r>
          </w:p>
          <w:p w14:paraId="3390EBEF">
            <w:pPr>
              <w:pStyle w:val="9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本项目以整个</w:t>
            </w:r>
            <w:r>
              <w:rPr>
                <w:rFonts w:hint="eastAsia" w:ascii="Times New Roman" w:hAnsi="Times New Roman" w:eastAsia="宋体" w:cs="Times New Roman"/>
                <w:color w:val="auto"/>
                <w:lang w:val="en-US" w:eastAsia="zh-CN"/>
              </w:rPr>
              <w:t>灌瓶间和储罐区</w:t>
            </w:r>
            <w:r>
              <w:rPr>
                <w:rFonts w:hint="default" w:ascii="Times New Roman" w:hAnsi="Times New Roman" w:eastAsia="宋体" w:cs="Times New Roman"/>
                <w:color w:val="auto"/>
                <w:lang w:val="zh-CN"/>
              </w:rPr>
              <w:t>作为无组织面源计算，本项目涉及的污染因子</w:t>
            </w:r>
            <w:r>
              <w:rPr>
                <w:rFonts w:hint="eastAsia" w:ascii="Times New Roman" w:hAnsi="Times New Roman" w:eastAsia="宋体" w:cs="Times New Roman"/>
                <w:color w:val="auto"/>
                <w:lang w:val="en-US" w:eastAsia="zh-CN"/>
              </w:rPr>
              <w:t>为非甲烷总烃</w:t>
            </w:r>
            <w:r>
              <w:rPr>
                <w:rFonts w:hint="default"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因此，</w:t>
            </w:r>
            <w:r>
              <w:rPr>
                <w:rFonts w:hint="default" w:ascii="Times New Roman" w:hAnsi="Times New Roman" w:eastAsia="宋体" w:cs="Times New Roman"/>
                <w:color w:val="auto"/>
                <w:lang w:val="zh-CN"/>
              </w:rPr>
              <w:t>卫生防护距离计算因子</w:t>
            </w:r>
            <w:r>
              <w:rPr>
                <w:rFonts w:hint="eastAsia" w:ascii="Times New Roman" w:hAnsi="Times New Roman" w:eastAsia="宋体" w:cs="Times New Roman"/>
                <w:color w:val="auto"/>
                <w:lang w:val="en-US" w:eastAsia="zh-CN"/>
              </w:rPr>
              <w:t>为</w:t>
            </w:r>
            <w:r>
              <w:rPr>
                <w:rFonts w:hint="default" w:ascii="Times New Roman" w:hAnsi="Times New Roman" w:eastAsia="宋体" w:cs="Times New Roman"/>
                <w:color w:val="auto"/>
                <w:lang w:val="zh-CN"/>
              </w:rPr>
              <w:t>：</w:t>
            </w:r>
            <w:r>
              <w:rPr>
                <w:rFonts w:hint="eastAsia" w:ascii="Times New Roman" w:hAnsi="Times New Roman" w:eastAsia="宋体" w:cs="Times New Roman"/>
                <w:color w:val="auto"/>
                <w:lang w:val="en-US" w:eastAsia="zh-CN"/>
              </w:rPr>
              <w:t>非甲烷总烃。</w:t>
            </w:r>
          </w:p>
          <w:p w14:paraId="03B28C48">
            <w:pPr>
              <w:pStyle w:val="90"/>
              <w:ind w:firstLine="480" w:firstLineChars="200"/>
              <w:rPr>
                <w:rFonts w:hint="default"/>
                <w:color w:val="auto"/>
              </w:rPr>
            </w:pPr>
            <w:r>
              <w:rPr>
                <w:rFonts w:hint="default" w:ascii="Times New Roman" w:hAnsi="Times New Roman" w:eastAsia="宋体" w:cs="Times New Roman"/>
                <w:color w:val="auto"/>
                <w:lang w:val="en-US" w:eastAsia="zh-CN"/>
              </w:rPr>
              <w:t>2、卫生防护距离计算</w:t>
            </w:r>
          </w:p>
          <w:p w14:paraId="4F120E44">
            <w:pPr>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object>
                <v:shape id="_x0000_i1026" o:spt="75" type="#_x0000_t75" style="height:35.15pt;width:143.15pt;" o:ole="t" fillcolor="#000005"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14:paraId="7E240C87">
            <w:pPr>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式中：Cm—一次标准浓度限值(mg/Nm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6E86C5F7">
            <w:pPr>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L—工业企业所需卫生防护距离(m)；</w:t>
            </w:r>
          </w:p>
          <w:p w14:paraId="73CF24D0">
            <w:pPr>
              <w:spacing w:line="360" w:lineRule="auto"/>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r—有害气体无组织排放源所在生产单元的等效半径(m)；</w:t>
            </w:r>
          </w:p>
          <w:p w14:paraId="05FB519A">
            <w:pPr>
              <w:pStyle w:val="99"/>
              <w:numPr>
                <w:ilvl w:val="0"/>
                <w:numId w:val="0"/>
              </w:numPr>
              <w:ind w:left="1186" w:leftChars="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A、B、C、D—卫生防护距离计算系数。</w:t>
            </w:r>
          </w:p>
          <w:p w14:paraId="58F64D38">
            <w:pPr>
              <w:pStyle w:val="99"/>
              <w:ind w:left="1186"/>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卫生防护距离预测计算截图如下：</w:t>
            </w:r>
          </w:p>
          <w:p w14:paraId="0A779E61">
            <w:pPr>
              <w:pStyle w:val="71"/>
              <w:keepNext w:val="0"/>
              <w:keepLines w:val="0"/>
              <w:suppressLineNumbers w:val="0"/>
              <w:bidi w:val="0"/>
              <w:spacing w:before="0" w:beforeAutospacing="0" w:after="0" w:afterAutospacing="0"/>
              <w:ind w:left="0" w:leftChars="0" w:right="0" w:firstLine="0" w:firstLineChars="0"/>
              <w:jc w:val="center"/>
              <w:rPr>
                <w:rFonts w:hint="eastAsia" w:ascii="宋体" w:hAnsi="宋体" w:eastAsia="宋体" w:cs="宋体"/>
                <w:color w:val="auto"/>
                <w:kern w:val="2"/>
                <w:sz w:val="24"/>
                <w:szCs w:val="24"/>
                <w:lang w:val="en-US" w:eastAsia="zh-CN" w:bidi="ar"/>
              </w:rPr>
            </w:pPr>
            <w:r>
              <w:rPr>
                <w:color w:val="auto"/>
              </w:rPr>
              <w:drawing>
                <wp:inline distT="0" distB="0" distL="114300" distR="114300">
                  <wp:extent cx="5706110" cy="2557145"/>
                  <wp:effectExtent l="0" t="0" r="8890" b="1460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3"/>
                          <a:stretch>
                            <a:fillRect/>
                          </a:stretch>
                        </pic:blipFill>
                        <pic:spPr>
                          <a:xfrm>
                            <a:off x="0" y="0"/>
                            <a:ext cx="5706110" cy="2557145"/>
                          </a:xfrm>
                          <a:prstGeom prst="rect">
                            <a:avLst/>
                          </a:prstGeom>
                          <a:noFill/>
                          <a:ln>
                            <a:noFill/>
                          </a:ln>
                        </pic:spPr>
                      </pic:pic>
                    </a:graphicData>
                  </a:graphic>
                </wp:inline>
              </w:drawing>
            </w:r>
          </w:p>
          <w:p w14:paraId="4DF0D1E0">
            <w:pPr>
              <w:pStyle w:val="68"/>
              <w:tabs>
                <w:tab w:val="left" w:pos="0"/>
              </w:tabs>
              <w:bidi w:val="0"/>
              <w:rPr>
                <w:rFonts w:hint="eastAsia" w:ascii="Times New Roman" w:hAnsi="Times New Roman" w:cs="Times New Roman"/>
                <w:color w:val="auto"/>
                <w:lang w:val="en-US" w:eastAsia="zh-CN"/>
              </w:rPr>
            </w:pPr>
            <w:r>
              <w:rPr>
                <w:rFonts w:hint="default" w:ascii="Times New Roman" w:hAnsi="Times New Roman" w:cs="Times New Roman"/>
                <w:color w:val="auto"/>
              </w:rPr>
              <w:t>图</w:t>
            </w:r>
            <w:r>
              <w:rPr>
                <w:rFonts w:hint="default" w:ascii="Times New Roman" w:hAnsi="Times New Roman" w:cs="Times New Roman"/>
                <w:color w:val="auto"/>
                <w:lang w:val="en-US" w:eastAsia="zh-CN"/>
              </w:rPr>
              <w:t>4-</w:t>
            </w:r>
            <w:r>
              <w:rPr>
                <w:rFonts w:hint="eastAsia" w:cs="Times New Roman"/>
                <w:color w:val="auto"/>
                <w:lang w:val="en-US" w:eastAsia="zh-CN"/>
              </w:rPr>
              <w:t>2</w:t>
            </w:r>
            <w:r>
              <w:rPr>
                <w:rFonts w:hint="default" w:ascii="Times New Roman" w:hAnsi="Times New Roman" w:cs="Times New Roman"/>
                <w:color w:val="auto"/>
              </w:rPr>
              <w:t>卫生防护距离计算截图</w:t>
            </w:r>
          </w:p>
          <w:p w14:paraId="55A3C874">
            <w:pPr>
              <w:pStyle w:val="90"/>
              <w:bidi w:val="0"/>
              <w:rPr>
                <w:rFonts w:hint="eastAsia" w:ascii="宋体" w:hAnsi="宋体" w:eastAsia="宋体" w:cs="宋体"/>
                <w:color w:val="auto"/>
                <w:kern w:val="2"/>
                <w:sz w:val="24"/>
                <w:szCs w:val="24"/>
                <w:lang w:val="en-US" w:eastAsia="zh-CN" w:bidi="ar"/>
              </w:rPr>
            </w:pPr>
            <w:r>
              <w:rPr>
                <w:rFonts w:hint="default" w:ascii="Times New Roman" w:hAnsi="Times New Roman" w:cs="Times New Roman"/>
                <w:color w:val="auto"/>
              </w:rPr>
              <w:t>根据</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大气有害物质无组织排放卫生防护距离推导技术导则》（GB 39499-2020）</w:t>
            </w:r>
            <w:r>
              <w:rPr>
                <w:rFonts w:hint="default" w:ascii="Times New Roman" w:hAnsi="Times New Roman" w:cs="Times New Roman"/>
                <w:color w:val="auto"/>
              </w:rPr>
              <w:t>中的规定（卫生防护距离在100m以内，级差为50m；超过100m但小于1000m时，级差为100m；超过1000m以上时，级差为200m），将卫生防护距离的计算结果取整，确定本项目卫生防护距离范围为以无组织面源场界向外延伸</w:t>
            </w:r>
            <w:r>
              <w:rPr>
                <w:rFonts w:hint="eastAsia" w:cs="Times New Roman"/>
                <w:color w:val="auto"/>
                <w:lang w:val="en-US" w:eastAsia="zh-CN"/>
              </w:rPr>
              <w:t>50</w:t>
            </w:r>
            <w:r>
              <w:rPr>
                <w:rFonts w:hint="default" w:ascii="Times New Roman" w:hAnsi="Times New Roman" w:cs="Times New Roman"/>
                <w:color w:val="auto"/>
              </w:rPr>
              <w:t>m范围。本项目卫生防护距离范围内无敏感点，符合卫生防护距离要求，有关部门在其卫生防护距离</w:t>
            </w:r>
            <w:r>
              <w:rPr>
                <w:rFonts w:hint="eastAsia" w:cs="Times New Roman"/>
                <w:color w:val="auto"/>
                <w:lang w:val="en-US" w:eastAsia="zh-CN"/>
              </w:rPr>
              <w:t>50</w:t>
            </w:r>
            <w:r>
              <w:rPr>
                <w:rFonts w:hint="default" w:ascii="Times New Roman" w:hAnsi="Times New Roman" w:cs="Times New Roman"/>
                <w:color w:val="auto"/>
              </w:rPr>
              <w:t>m</w:t>
            </w:r>
            <w:r>
              <w:rPr>
                <w:rFonts w:hint="default" w:ascii="Times New Roman" w:hAnsi="Times New Roman" w:cs="Times New Roman"/>
                <w:color w:val="auto"/>
              </w:rPr>
              <w:t>范围内也不宜再规划建设诸如居住区、医院、学校等人类密集活动区。</w:t>
            </w:r>
          </w:p>
          <w:p w14:paraId="51A38F6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监测计划</w:t>
            </w:r>
          </w:p>
          <w:p w14:paraId="3546902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bCs/>
                <w:color w:val="auto"/>
                <w:sz w:val="24"/>
                <w:szCs w:val="24"/>
                <w:highlight w:val="none"/>
              </w:rPr>
            </w:pP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《排污许可证申请与核发技术规范总则》（HJ942-2018）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HYPERLINK "http://www.baidu.com/link?url=Jyo-cYxFSG-ilDfNq1jAY96Bfmz_qjL0G6ZK0GAtV24YnHRMOvhhmp0tBXGCMJty4JvnJV5k6tt9lqNm8waMwS6E_Ar_4m81RQKv7Pw6r_O" \t "https://www.baidu.com/_blank" </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《排污单位自行监测技术指南 总则》</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szCs w:val="24"/>
                <w:highlight w:val="none"/>
              </w:rPr>
              <w:t>进行，本项目废气污染物监测方案见</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p>
          <w:p w14:paraId="2EB41010">
            <w:pPr>
              <w:pStyle w:val="13"/>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4-4</w:t>
            </w:r>
            <w:r>
              <w:rPr>
                <w:rFonts w:hint="default" w:ascii="Times New Roman" w:hAnsi="Times New Roman" w:eastAsia="宋体" w:cs="Times New Roman"/>
                <w:b/>
                <w:bCs/>
                <w:color w:val="auto"/>
                <w:sz w:val="21"/>
                <w:szCs w:val="21"/>
                <w:highlight w:val="none"/>
              </w:rPr>
              <w:t>无组织废气监测计划表</w:t>
            </w:r>
          </w:p>
          <w:tbl>
            <w:tblPr>
              <w:tblStyle w:val="37"/>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545"/>
              <w:gridCol w:w="1613"/>
              <w:gridCol w:w="4402"/>
            </w:tblGrid>
            <w:tr w14:paraId="7EC25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tcBorders>
                    <w:tl2br w:val="nil"/>
                    <w:tr2bl w:val="nil"/>
                  </w:tcBorders>
                  <w:noWrap w:val="0"/>
                  <w:vAlign w:val="center"/>
                </w:tcPr>
                <w:p w14:paraId="62978F7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监测点位</w:t>
                  </w:r>
                </w:p>
              </w:tc>
              <w:tc>
                <w:tcPr>
                  <w:tcW w:w="1365" w:type="dxa"/>
                  <w:tcBorders>
                    <w:tl2br w:val="nil"/>
                    <w:tr2bl w:val="nil"/>
                  </w:tcBorders>
                  <w:noWrap w:val="0"/>
                  <w:vAlign w:val="center"/>
                </w:tcPr>
                <w:p w14:paraId="28BF017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监测指标</w:t>
                  </w:r>
                </w:p>
              </w:tc>
              <w:tc>
                <w:tcPr>
                  <w:tcW w:w="1425" w:type="dxa"/>
                  <w:tcBorders>
                    <w:tl2br w:val="nil"/>
                    <w:tr2bl w:val="nil"/>
                  </w:tcBorders>
                  <w:noWrap w:val="0"/>
                  <w:vAlign w:val="center"/>
                </w:tcPr>
                <w:p w14:paraId="470C8A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监测频次</w:t>
                  </w:r>
                </w:p>
              </w:tc>
              <w:tc>
                <w:tcPr>
                  <w:tcW w:w="3889" w:type="dxa"/>
                  <w:tcBorders>
                    <w:tl2br w:val="nil"/>
                    <w:tr2bl w:val="nil"/>
                  </w:tcBorders>
                  <w:noWrap w:val="0"/>
                  <w:vAlign w:val="center"/>
                </w:tcPr>
                <w:p w14:paraId="0C21F87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执行排放标准</w:t>
                  </w:r>
                </w:p>
              </w:tc>
            </w:tr>
            <w:tr w14:paraId="6984D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8" w:type="dxa"/>
                  <w:tcBorders>
                    <w:tl2br w:val="nil"/>
                    <w:tr2bl w:val="nil"/>
                  </w:tcBorders>
                  <w:noWrap w:val="0"/>
                  <w:vAlign w:val="center"/>
                </w:tcPr>
                <w:p w14:paraId="7FA1E2B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厂界四周</w:t>
                  </w:r>
                </w:p>
              </w:tc>
              <w:tc>
                <w:tcPr>
                  <w:tcW w:w="1365" w:type="dxa"/>
                  <w:tcBorders>
                    <w:tl2br w:val="nil"/>
                    <w:tr2bl w:val="nil"/>
                  </w:tcBorders>
                  <w:noWrap w:val="0"/>
                  <w:vAlign w:val="center"/>
                </w:tcPr>
                <w:p w14:paraId="0E40CAE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非甲烷总烃</w:t>
                  </w:r>
                </w:p>
              </w:tc>
              <w:tc>
                <w:tcPr>
                  <w:tcW w:w="1425" w:type="dxa"/>
                  <w:tcBorders>
                    <w:tl2br w:val="nil"/>
                    <w:tr2bl w:val="nil"/>
                  </w:tcBorders>
                  <w:noWrap w:val="0"/>
                  <w:vAlign w:val="center"/>
                </w:tcPr>
                <w:p w14:paraId="22617FC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1次/年</w:t>
                  </w:r>
                </w:p>
              </w:tc>
              <w:tc>
                <w:tcPr>
                  <w:tcW w:w="3889" w:type="dxa"/>
                  <w:tcBorders>
                    <w:tl2br w:val="nil"/>
                    <w:tr2bl w:val="nil"/>
                  </w:tcBorders>
                  <w:noWrap w:val="0"/>
                  <w:vAlign w:val="center"/>
                </w:tcPr>
                <w:p w14:paraId="2D187B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宋体" w:cs="Times New Roman"/>
                      <w:color w:val="auto"/>
                      <w:highlight w:val="none"/>
                      <w:lang w:val="en-US" w:eastAsia="zh-CN"/>
                    </w:rPr>
                  </w:pPr>
                  <w:r>
                    <w:rPr>
                      <w:color w:val="auto"/>
                      <w:highlight w:val="none"/>
                    </w:rPr>
                    <w:t>《大气污染物综合排放标准》（GB8978-1996）表2中无组织排放</w:t>
                  </w:r>
                  <w:r>
                    <w:rPr>
                      <w:rFonts w:hint="eastAsia" w:eastAsia="宋体"/>
                      <w:color w:val="auto"/>
                      <w:highlight w:val="none"/>
                      <w:lang w:val="en-US" w:eastAsia="zh-CN"/>
                    </w:rPr>
                    <w:t>限值</w:t>
                  </w:r>
                </w:p>
              </w:tc>
            </w:tr>
          </w:tbl>
          <w:p w14:paraId="2685AFD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eastAsia="zh-CN"/>
              </w:rPr>
              <w:t>（</w:t>
            </w:r>
            <w:r>
              <w:rPr>
                <w:rFonts w:hint="eastAsia"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lang w:val="en-US" w:eastAsia="zh-CN"/>
              </w:rPr>
              <w:t>）</w:t>
            </w:r>
            <w:r>
              <w:rPr>
                <w:rFonts w:hint="default" w:ascii="Times New Roman" w:hAnsi="Times New Roman" w:cs="Times New Roman"/>
                <w:b/>
                <w:bCs/>
                <w:color w:val="auto"/>
                <w:sz w:val="24"/>
                <w:highlight w:val="none"/>
              </w:rPr>
              <w:t>大气环境影响分析</w:t>
            </w:r>
          </w:p>
          <w:p w14:paraId="52E20A8D">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b w:val="0"/>
                <w:bCs w:val="0"/>
                <w:color w:val="auto"/>
                <w:lang w:val="en-US" w:eastAsia="zh-CN"/>
              </w:rPr>
            </w:pPr>
            <w:r>
              <w:rPr>
                <w:rFonts w:hint="eastAsia"/>
                <w:color w:val="auto"/>
                <w:sz w:val="24"/>
                <w:szCs w:val="24"/>
                <w:highlight w:val="none"/>
              </w:rPr>
              <w:t>本项目</w:t>
            </w:r>
            <w:r>
              <w:rPr>
                <w:rFonts w:hint="eastAsia"/>
                <w:color w:val="auto"/>
                <w:sz w:val="24"/>
                <w:szCs w:val="24"/>
                <w:highlight w:val="none"/>
                <w:lang w:val="en-US" w:eastAsia="zh-CN"/>
              </w:rPr>
              <w:t>无组织</w:t>
            </w:r>
            <w:r>
              <w:rPr>
                <w:rFonts w:hint="default"/>
                <w:color w:val="auto"/>
                <w:sz w:val="24"/>
                <w:szCs w:val="24"/>
                <w:highlight w:val="none"/>
              </w:rPr>
              <w:t>非甲烷总烃</w:t>
            </w:r>
            <w:r>
              <w:rPr>
                <w:rFonts w:hint="eastAsia"/>
                <w:color w:val="auto"/>
                <w:sz w:val="24"/>
                <w:szCs w:val="24"/>
                <w:highlight w:val="none"/>
                <w:lang w:val="en-US" w:eastAsia="zh-CN"/>
              </w:rPr>
              <w:t>，</w:t>
            </w:r>
            <w:r>
              <w:rPr>
                <w:rFonts w:hint="default"/>
                <w:color w:val="auto"/>
                <w:sz w:val="24"/>
                <w:szCs w:val="24"/>
                <w:highlight w:val="none"/>
              </w:rPr>
              <w:t>由于挥发烃类物质的密度远比空气要轻，排放出来的烃类废气迅速在大气中扩撒稀释</w:t>
            </w:r>
            <w:r>
              <w:rPr>
                <w:rFonts w:hint="eastAsia"/>
                <w:color w:val="auto"/>
                <w:sz w:val="24"/>
                <w:szCs w:val="24"/>
                <w:highlight w:val="none"/>
                <w:lang w:eastAsia="zh-CN"/>
              </w:rPr>
              <w:t>，</w:t>
            </w:r>
            <w:r>
              <w:rPr>
                <w:color w:val="auto"/>
                <w:sz w:val="24"/>
                <w:szCs w:val="24"/>
                <w:highlight w:val="none"/>
              </w:rPr>
              <w:t>在强化液化气储罐、压缩机、烃泵等压力容器、工艺管道的日常维护和安全管理后，项目非甲烷总烃厂界浓度能达到《大气污染物综合排放标准》（GB8978-1996）表2中无组织排放周界外浓度最高点监控浓度要求</w:t>
            </w:r>
            <w:r>
              <w:rPr>
                <w:rFonts w:hint="eastAsia"/>
                <w:color w:val="auto"/>
                <w:sz w:val="24"/>
                <w:szCs w:val="24"/>
                <w:highlight w:val="none"/>
                <w:lang w:val="en-US" w:eastAsia="zh-CN"/>
              </w:rPr>
              <w:t>；</w:t>
            </w:r>
            <w:r>
              <w:rPr>
                <w:rFonts w:hint="default"/>
                <w:color w:val="auto"/>
                <w:sz w:val="24"/>
                <w:szCs w:val="24"/>
                <w:highlight w:val="none"/>
              </w:rPr>
              <w:t>因此，其对周围环境的影响较小</w:t>
            </w:r>
            <w:r>
              <w:rPr>
                <w:rFonts w:hint="eastAsia"/>
                <w:color w:val="auto"/>
                <w:sz w:val="24"/>
                <w:szCs w:val="24"/>
                <w:highlight w:val="none"/>
              </w:rPr>
              <w:t>。</w:t>
            </w:r>
          </w:p>
          <w:p w14:paraId="278BB621">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（二）废水</w:t>
            </w:r>
          </w:p>
          <w:p w14:paraId="61453932">
            <w:pPr>
              <w:pStyle w:val="71"/>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1、废水污染物源强核算</w:t>
            </w:r>
          </w:p>
          <w:p w14:paraId="377B6406">
            <w:pPr>
              <w:pStyle w:val="71"/>
              <w:bidi w:val="0"/>
              <w:rPr>
                <w:rFonts w:hint="eastAsia"/>
                <w:color w:val="auto"/>
                <w:lang w:val="en-US" w:eastAsia="zh-CN"/>
              </w:rPr>
            </w:pPr>
            <w:r>
              <w:rPr>
                <w:rFonts w:hint="eastAsia"/>
                <w:color w:val="auto"/>
                <w:lang w:val="en-US" w:eastAsia="zh-CN"/>
              </w:rPr>
              <w:t>本项目废水主要为生活废水；喷淋降温用水全部蒸发，不产生废水。</w:t>
            </w:r>
          </w:p>
          <w:p w14:paraId="02DAAEB5">
            <w:pPr>
              <w:pStyle w:val="71"/>
              <w:bidi w:val="0"/>
              <w:rPr>
                <w:rFonts w:hint="eastAsia"/>
                <w:color w:val="auto"/>
                <w:lang w:val="en-US" w:eastAsia="zh-CN"/>
              </w:rPr>
            </w:pPr>
            <w:r>
              <w:rPr>
                <w:rFonts w:hint="eastAsia"/>
                <w:color w:val="auto"/>
                <w:lang w:val="en-US" w:eastAsia="zh-CN"/>
              </w:rPr>
              <w:t>（1）生活废水</w:t>
            </w:r>
          </w:p>
          <w:p w14:paraId="2E59F21D">
            <w:pPr>
              <w:pStyle w:val="71"/>
              <w:bidi w:val="0"/>
              <w:rPr>
                <w:rFonts w:hint="default"/>
                <w:color w:val="auto"/>
                <w:lang w:val="en-US" w:eastAsia="zh-CN"/>
              </w:rPr>
            </w:pPr>
            <w:r>
              <w:rPr>
                <w:rFonts w:hint="eastAsia"/>
                <w:color w:val="auto"/>
                <w:lang w:val="en-US" w:eastAsia="zh-CN"/>
              </w:rPr>
              <w:t>根据水平衡章节，本项目生活废水产生量为</w:t>
            </w:r>
            <w:r>
              <w:rPr>
                <w:rFonts w:hint="eastAsia"/>
                <w:color w:val="auto"/>
                <w:lang w:val="en-US" w:eastAsia="zh-CN"/>
              </w:rPr>
              <w:t>1.16</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d</w:t>
            </w:r>
            <w:r>
              <w:rPr>
                <w:rFonts w:hint="default"/>
                <w:color w:val="auto"/>
                <w:lang w:eastAsia="zh-CN"/>
              </w:rPr>
              <w:t>（</w:t>
            </w:r>
            <w:r>
              <w:rPr>
                <w:rFonts w:hint="eastAsia"/>
                <w:color w:val="auto"/>
                <w:lang w:val="en-US" w:eastAsia="zh-CN"/>
              </w:rPr>
              <w:t>423.4</w:t>
            </w:r>
            <w:r>
              <w:rPr>
                <w:rFonts w:hint="default"/>
                <w:color w:val="auto"/>
                <w:lang w:eastAsia="zh-CN"/>
              </w:rPr>
              <w:t>m</w:t>
            </w:r>
            <w:r>
              <w:rPr>
                <w:rFonts w:hint="default"/>
                <w:color w:val="auto"/>
                <w:vertAlign w:val="superscript"/>
                <w:lang w:eastAsia="zh-CN"/>
              </w:rPr>
              <w:t>3</w:t>
            </w:r>
            <w:r>
              <w:rPr>
                <w:rFonts w:hint="default"/>
                <w:color w:val="auto"/>
                <w:lang w:eastAsia="zh-CN"/>
              </w:rPr>
              <w:t>/</w:t>
            </w:r>
            <w:r>
              <w:rPr>
                <w:rFonts w:hint="eastAsia"/>
                <w:color w:val="auto"/>
                <w:lang w:val="en-US" w:eastAsia="zh-CN"/>
              </w:rPr>
              <w:t>a</w:t>
            </w:r>
            <w:r>
              <w:rPr>
                <w:rFonts w:hint="default"/>
                <w:color w:val="auto"/>
                <w:lang w:eastAsia="zh-CN"/>
              </w:rPr>
              <w:t>）。</w:t>
            </w:r>
            <w:r>
              <w:rPr>
                <w:rFonts w:hint="eastAsia"/>
                <w:color w:val="auto"/>
                <w:lang w:val="en-US" w:eastAsia="zh-CN"/>
              </w:rPr>
              <w:t>本项目生活废水经隔油池+三级化粪池处理达《农田灌溉水质标准》（GB5084-2021）旱作标准后用于周边农田灌溉，不外排。</w:t>
            </w:r>
            <w:r>
              <w:rPr>
                <w:rFonts w:hint="default"/>
                <w:color w:val="auto"/>
                <w:lang w:val="en-US" w:eastAsia="zh-CN"/>
              </w:rPr>
              <w:t>生活</w:t>
            </w:r>
            <w:r>
              <w:rPr>
                <w:rFonts w:hint="eastAsia"/>
                <w:color w:val="auto"/>
                <w:lang w:val="en-US" w:eastAsia="zh-CN"/>
              </w:rPr>
              <w:t>废</w:t>
            </w:r>
            <w:r>
              <w:rPr>
                <w:rFonts w:hint="default"/>
                <w:color w:val="auto"/>
                <w:lang w:val="en-US" w:eastAsia="zh-CN"/>
              </w:rPr>
              <w:t>水主要污染物为CODcr、BOD</w:t>
            </w:r>
            <w:r>
              <w:rPr>
                <w:rFonts w:hint="default"/>
                <w:color w:val="auto"/>
                <w:vertAlign w:val="subscript"/>
                <w:lang w:val="en-US" w:eastAsia="zh-CN"/>
              </w:rPr>
              <w:t>5</w:t>
            </w:r>
            <w:r>
              <w:rPr>
                <w:rFonts w:hint="default"/>
                <w:color w:val="auto"/>
                <w:lang w:val="en-US" w:eastAsia="zh-CN"/>
              </w:rPr>
              <w:t>、SS、NH</w:t>
            </w:r>
            <w:r>
              <w:rPr>
                <w:rFonts w:hint="default"/>
                <w:color w:val="auto"/>
                <w:vertAlign w:val="subscript"/>
                <w:lang w:val="en-US" w:eastAsia="zh-CN"/>
              </w:rPr>
              <w:t>3</w:t>
            </w:r>
            <w:r>
              <w:rPr>
                <w:rFonts w:hint="default"/>
                <w:color w:val="auto"/>
                <w:lang w:val="en-US" w:eastAsia="zh-CN"/>
              </w:rPr>
              <w:t>-N</w:t>
            </w:r>
            <w:r>
              <w:rPr>
                <w:rFonts w:hint="eastAsia"/>
                <w:color w:val="auto"/>
                <w:lang w:val="en-US" w:eastAsia="zh-CN"/>
              </w:rPr>
              <w:t>、</w:t>
            </w:r>
            <w:r>
              <w:rPr>
                <w:rFonts w:hint="eastAsia"/>
                <w:color w:val="auto"/>
                <w:vertAlign w:val="baseline"/>
                <w:lang w:val="en-US" w:eastAsia="zh-CN"/>
              </w:rPr>
              <w:t>TN、TP</w:t>
            </w:r>
            <w:r>
              <w:rPr>
                <w:rFonts w:hint="eastAsia"/>
                <w:color w:val="auto"/>
                <w:lang w:val="en-US" w:eastAsia="zh-CN"/>
              </w:rPr>
              <w:t>，产生浓度为CODcr250mg/L、BOD</w:t>
            </w:r>
            <w:r>
              <w:rPr>
                <w:rFonts w:hint="eastAsia"/>
                <w:color w:val="auto"/>
                <w:vertAlign w:val="subscript"/>
                <w:lang w:val="en-US" w:eastAsia="zh-CN"/>
              </w:rPr>
              <w:t>5</w:t>
            </w:r>
            <w:r>
              <w:rPr>
                <w:rFonts w:hint="eastAsia"/>
                <w:color w:val="auto"/>
                <w:vertAlign w:val="baseline"/>
                <w:lang w:val="en-US" w:eastAsia="zh-CN"/>
              </w:rPr>
              <w:t>150mg/L、SS200mg/L、NH</w:t>
            </w:r>
            <w:r>
              <w:rPr>
                <w:rFonts w:hint="eastAsia"/>
                <w:color w:val="auto"/>
                <w:vertAlign w:val="subscript"/>
                <w:lang w:val="en-US" w:eastAsia="zh-CN"/>
              </w:rPr>
              <w:t>3</w:t>
            </w:r>
            <w:r>
              <w:rPr>
                <w:rFonts w:hint="eastAsia"/>
                <w:color w:val="auto"/>
                <w:vertAlign w:val="baseline"/>
                <w:lang w:val="en-US" w:eastAsia="zh-CN"/>
              </w:rPr>
              <w:t>-N25mg/L、TN60mg/L、TP5mg/L、</w:t>
            </w:r>
            <w:r>
              <w:rPr>
                <w:rFonts w:hint="eastAsia"/>
                <w:color w:val="auto"/>
                <w:lang w:val="en-US" w:eastAsia="zh-CN"/>
              </w:rPr>
              <w:t>pH6-9、动植物油30</w:t>
            </w:r>
            <w:r>
              <w:rPr>
                <w:rFonts w:hint="eastAsia"/>
                <w:color w:val="auto"/>
                <w:vertAlign w:val="baseline"/>
                <w:lang w:val="en-US" w:eastAsia="zh-CN"/>
              </w:rPr>
              <w:t>mg/L。</w:t>
            </w:r>
          </w:p>
          <w:p w14:paraId="07981A66">
            <w:pPr>
              <w:pStyle w:val="71"/>
              <w:bidi w:val="0"/>
              <w:rPr>
                <w:rFonts w:hint="eastAsia"/>
                <w:color w:val="auto"/>
                <w:lang w:val="en-US" w:eastAsia="zh-CN"/>
              </w:rPr>
            </w:pPr>
            <w:r>
              <w:rPr>
                <w:rFonts w:hint="eastAsia"/>
                <w:color w:val="auto"/>
                <w:lang w:val="en-US" w:eastAsia="zh-CN"/>
              </w:rPr>
              <w:t>本项目废水源强核算见表4-5。</w:t>
            </w:r>
          </w:p>
          <w:p w14:paraId="2A757F57">
            <w:pPr>
              <w:pStyle w:val="71"/>
              <w:bidi w:val="0"/>
              <w:rPr>
                <w:rFonts w:hint="eastAsia"/>
                <w:color w:val="auto"/>
                <w:lang w:val="en-US" w:eastAsia="zh-CN"/>
              </w:rPr>
            </w:pPr>
          </w:p>
          <w:p w14:paraId="5E2B4D7B">
            <w:pPr>
              <w:pStyle w:val="71"/>
              <w:bidi w:val="0"/>
              <w:rPr>
                <w:rFonts w:hint="eastAsia"/>
                <w:color w:val="auto"/>
                <w:lang w:val="en-US" w:eastAsia="zh-CN"/>
              </w:rPr>
            </w:pPr>
          </w:p>
          <w:p w14:paraId="4CCE9D9C">
            <w:pPr>
              <w:pStyle w:val="71"/>
              <w:bidi w:val="0"/>
              <w:rPr>
                <w:rFonts w:hint="eastAsia"/>
                <w:color w:val="auto"/>
                <w:lang w:val="en-US" w:eastAsia="zh-CN"/>
              </w:rPr>
            </w:pPr>
          </w:p>
          <w:p w14:paraId="71167CF2">
            <w:pPr>
              <w:pStyle w:val="71"/>
              <w:bidi w:val="0"/>
              <w:rPr>
                <w:rFonts w:hint="eastAsia"/>
                <w:color w:val="auto"/>
                <w:lang w:val="en-US" w:eastAsia="zh-CN"/>
              </w:rPr>
            </w:pPr>
          </w:p>
          <w:p w14:paraId="79DE1CB0">
            <w:pPr>
              <w:pStyle w:val="71"/>
              <w:bidi w:val="0"/>
              <w:rPr>
                <w:rFonts w:hint="eastAsia"/>
                <w:color w:val="auto"/>
                <w:lang w:val="en-US" w:eastAsia="zh-CN"/>
              </w:rPr>
            </w:pPr>
          </w:p>
          <w:p w14:paraId="1B70F03A">
            <w:pPr>
              <w:pStyle w:val="71"/>
              <w:bidi w:val="0"/>
              <w:rPr>
                <w:rFonts w:hint="eastAsia"/>
                <w:color w:val="auto"/>
                <w:lang w:val="en-US" w:eastAsia="zh-CN"/>
              </w:rPr>
            </w:pPr>
          </w:p>
          <w:p w14:paraId="5A6BD2C0">
            <w:pPr>
              <w:pStyle w:val="71"/>
              <w:bidi w:val="0"/>
              <w:rPr>
                <w:rFonts w:hint="eastAsia"/>
                <w:color w:val="auto"/>
                <w:lang w:val="en-US" w:eastAsia="zh-CN"/>
              </w:rPr>
            </w:pPr>
          </w:p>
        </w:tc>
      </w:tr>
    </w:tbl>
    <w:p w14:paraId="0B6DC961">
      <w:pPr>
        <w:rPr>
          <w:color w:val="auto"/>
        </w:rPr>
        <w:sectPr>
          <w:pgSz w:w="11905" w:h="16838"/>
          <w:pgMar w:top="1440" w:right="1304" w:bottom="1440" w:left="1304" w:header="851" w:footer="1077" w:gutter="0"/>
          <w:pgBorders>
            <w:top w:val="none" w:sz="0" w:space="0"/>
            <w:left w:val="none" w:sz="0" w:space="0"/>
            <w:bottom w:val="none" w:sz="0" w:space="0"/>
            <w:right w:val="none" w:sz="0" w:space="0"/>
          </w:pgBorders>
          <w:cols w:space="720" w:num="1"/>
          <w:rtlGutter w:val="0"/>
          <w:docGrid w:type="linesAndChars" w:linePitch="312" w:charSpace="0"/>
        </w:sectPr>
      </w:pPr>
    </w:p>
    <w:tbl>
      <w:tblPr>
        <w:tblStyle w:val="36"/>
        <w:tblW w:w="51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3910"/>
      </w:tblGrid>
      <w:tr w14:paraId="0419C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2" w:hRule="atLeast"/>
          <w:jc w:val="center"/>
        </w:trPr>
        <w:tc>
          <w:tcPr>
            <w:tcW w:w="207" w:type="pct"/>
            <w:noWrap w:val="0"/>
            <w:tcMar>
              <w:left w:w="28" w:type="dxa"/>
              <w:right w:w="28" w:type="dxa"/>
            </w:tcMar>
            <w:vAlign w:val="center"/>
          </w:tcPr>
          <w:p w14:paraId="28C9E3DA">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运营期环境影响和保护措施</w:t>
            </w:r>
          </w:p>
        </w:tc>
        <w:tc>
          <w:tcPr>
            <w:tcW w:w="4792" w:type="pct"/>
            <w:noWrap w:val="0"/>
            <w:vAlign w:val="center"/>
          </w:tcPr>
          <w:p w14:paraId="366200C2">
            <w:pPr>
              <w:pStyle w:val="85"/>
              <w:bidi w:val="0"/>
              <w:rPr>
                <w:rFonts w:hint="eastAsia"/>
                <w:color w:val="auto"/>
                <w:lang w:val="en-US" w:eastAsia="zh-CN"/>
              </w:rPr>
            </w:pPr>
            <w:r>
              <w:rPr>
                <w:rFonts w:hint="eastAsia"/>
                <w:color w:val="auto"/>
                <w:lang w:val="en-US" w:eastAsia="zh-CN"/>
              </w:rPr>
              <w:t>表4-5本项目废水污染源源强核算结果及相关参数一览表</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7"/>
              <w:gridCol w:w="994"/>
              <w:gridCol w:w="1073"/>
              <w:gridCol w:w="1036"/>
              <w:gridCol w:w="1078"/>
              <w:gridCol w:w="982"/>
              <w:gridCol w:w="1563"/>
              <w:gridCol w:w="1175"/>
              <w:gridCol w:w="907"/>
              <w:gridCol w:w="781"/>
              <w:gridCol w:w="864"/>
              <w:gridCol w:w="810"/>
              <w:gridCol w:w="772"/>
              <w:gridCol w:w="764"/>
            </w:tblGrid>
            <w:tr w14:paraId="27AE9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24" w:type="pct"/>
                  <w:vMerge w:val="restart"/>
                  <w:tcBorders>
                    <w:tl2br w:val="nil"/>
                    <w:tr2bl w:val="nil"/>
                  </w:tcBorders>
                  <w:noWrap w:val="0"/>
                  <w:vAlign w:val="center"/>
                </w:tcPr>
                <w:p w14:paraId="76F9F5C5">
                  <w:pPr>
                    <w:pStyle w:val="67"/>
                    <w:bidi w:val="0"/>
                    <w:rPr>
                      <w:rFonts w:hint="eastAsia"/>
                      <w:color w:val="auto"/>
                      <w:lang w:val="en-US" w:eastAsia="zh-CN"/>
                    </w:rPr>
                  </w:pPr>
                  <w:r>
                    <w:rPr>
                      <w:rFonts w:hint="eastAsia"/>
                      <w:color w:val="auto"/>
                      <w:lang w:val="en-US" w:eastAsia="zh-CN"/>
                    </w:rPr>
                    <w:t>工序/生产线</w:t>
                  </w:r>
                </w:p>
              </w:tc>
              <w:tc>
                <w:tcPr>
                  <w:tcW w:w="363" w:type="pct"/>
                  <w:vMerge w:val="restart"/>
                  <w:tcBorders>
                    <w:tl2br w:val="nil"/>
                    <w:tr2bl w:val="nil"/>
                  </w:tcBorders>
                  <w:noWrap w:val="0"/>
                  <w:vAlign w:val="center"/>
                </w:tcPr>
                <w:p w14:paraId="6286CE9E">
                  <w:pPr>
                    <w:pStyle w:val="67"/>
                    <w:bidi w:val="0"/>
                    <w:rPr>
                      <w:rFonts w:hint="eastAsia"/>
                      <w:color w:val="auto"/>
                      <w:lang w:val="en-US" w:eastAsia="zh-CN"/>
                    </w:rPr>
                  </w:pPr>
                  <w:r>
                    <w:rPr>
                      <w:rFonts w:hint="eastAsia"/>
                      <w:color w:val="auto"/>
                      <w:lang w:val="en-US" w:eastAsia="zh-CN"/>
                    </w:rPr>
                    <w:t>污染源</w:t>
                  </w:r>
                </w:p>
              </w:tc>
              <w:tc>
                <w:tcPr>
                  <w:tcW w:w="392" w:type="pct"/>
                  <w:vMerge w:val="restart"/>
                  <w:tcBorders>
                    <w:tl2br w:val="nil"/>
                    <w:tr2bl w:val="nil"/>
                  </w:tcBorders>
                  <w:noWrap w:val="0"/>
                  <w:vAlign w:val="center"/>
                </w:tcPr>
                <w:p w14:paraId="4715E0B0">
                  <w:pPr>
                    <w:pStyle w:val="67"/>
                    <w:bidi w:val="0"/>
                    <w:rPr>
                      <w:rFonts w:hint="eastAsia"/>
                      <w:color w:val="auto"/>
                      <w:lang w:val="en-US" w:eastAsia="zh-CN"/>
                    </w:rPr>
                  </w:pPr>
                  <w:r>
                    <w:rPr>
                      <w:rFonts w:hint="eastAsia"/>
                      <w:color w:val="auto"/>
                      <w:lang w:val="en-US" w:eastAsia="zh-CN"/>
                    </w:rPr>
                    <w:t>污染物</w:t>
                  </w:r>
                </w:p>
              </w:tc>
              <w:tc>
                <w:tcPr>
                  <w:tcW w:w="1702" w:type="pct"/>
                  <w:gridSpan w:val="4"/>
                  <w:tcBorders>
                    <w:tl2br w:val="nil"/>
                    <w:tr2bl w:val="nil"/>
                  </w:tcBorders>
                  <w:noWrap w:val="0"/>
                  <w:vAlign w:val="center"/>
                </w:tcPr>
                <w:p w14:paraId="25B7FB52">
                  <w:pPr>
                    <w:pStyle w:val="67"/>
                    <w:bidi w:val="0"/>
                    <w:rPr>
                      <w:rFonts w:hint="eastAsia"/>
                      <w:color w:val="auto"/>
                      <w:lang w:val="en-US" w:eastAsia="zh-CN"/>
                    </w:rPr>
                  </w:pPr>
                  <w:r>
                    <w:rPr>
                      <w:rFonts w:hint="eastAsia"/>
                      <w:color w:val="auto"/>
                      <w:lang w:val="en-US" w:eastAsia="zh-CN"/>
                    </w:rPr>
                    <w:t>污染物产生</w:t>
                  </w:r>
                </w:p>
              </w:tc>
              <w:tc>
                <w:tcPr>
                  <w:tcW w:w="760" w:type="pct"/>
                  <w:gridSpan w:val="2"/>
                  <w:tcBorders>
                    <w:tl2br w:val="nil"/>
                    <w:tr2bl w:val="nil"/>
                  </w:tcBorders>
                  <w:noWrap w:val="0"/>
                  <w:vAlign w:val="center"/>
                </w:tcPr>
                <w:p w14:paraId="1CA19F45">
                  <w:pPr>
                    <w:pStyle w:val="67"/>
                    <w:bidi w:val="0"/>
                    <w:rPr>
                      <w:rFonts w:hint="eastAsia"/>
                      <w:color w:val="auto"/>
                      <w:lang w:val="en-US" w:eastAsia="zh-CN"/>
                    </w:rPr>
                  </w:pPr>
                  <w:r>
                    <w:rPr>
                      <w:rFonts w:hint="eastAsia"/>
                      <w:color w:val="auto"/>
                      <w:lang w:val="en-US" w:eastAsia="zh-CN"/>
                    </w:rPr>
                    <w:t>治理措施</w:t>
                  </w:r>
                </w:p>
              </w:tc>
              <w:tc>
                <w:tcPr>
                  <w:tcW w:w="1178" w:type="pct"/>
                  <w:gridSpan w:val="4"/>
                  <w:tcBorders>
                    <w:tl2br w:val="nil"/>
                    <w:tr2bl w:val="nil"/>
                  </w:tcBorders>
                  <w:noWrap w:val="0"/>
                  <w:vAlign w:val="center"/>
                </w:tcPr>
                <w:p w14:paraId="31D5D50F">
                  <w:pPr>
                    <w:pStyle w:val="67"/>
                    <w:bidi w:val="0"/>
                    <w:rPr>
                      <w:rFonts w:hint="eastAsia"/>
                      <w:color w:val="auto"/>
                      <w:lang w:val="en-US" w:eastAsia="zh-CN"/>
                    </w:rPr>
                  </w:pPr>
                  <w:r>
                    <w:rPr>
                      <w:rFonts w:hint="eastAsia"/>
                      <w:color w:val="auto"/>
                      <w:lang w:val="en-US" w:eastAsia="zh-CN"/>
                    </w:rPr>
                    <w:t>污染物排放</w:t>
                  </w:r>
                </w:p>
              </w:tc>
              <w:tc>
                <w:tcPr>
                  <w:tcW w:w="279" w:type="pct"/>
                  <w:vMerge w:val="restart"/>
                  <w:tcBorders>
                    <w:tl2br w:val="nil"/>
                    <w:tr2bl w:val="nil"/>
                  </w:tcBorders>
                  <w:noWrap w:val="0"/>
                  <w:vAlign w:val="center"/>
                </w:tcPr>
                <w:p w14:paraId="07EA8F13">
                  <w:pPr>
                    <w:pStyle w:val="67"/>
                    <w:bidi w:val="0"/>
                    <w:rPr>
                      <w:rFonts w:hint="eastAsia"/>
                      <w:color w:val="auto"/>
                      <w:lang w:val="en-US" w:eastAsia="zh-CN"/>
                    </w:rPr>
                  </w:pPr>
                  <w:r>
                    <w:rPr>
                      <w:rFonts w:hint="eastAsia"/>
                      <w:color w:val="auto"/>
                      <w:lang w:val="en-US" w:eastAsia="zh-CN"/>
                    </w:rPr>
                    <w:t>排放时间(d)</w:t>
                  </w:r>
                </w:p>
              </w:tc>
            </w:tr>
            <w:tr w14:paraId="666C8A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24" w:type="pct"/>
                  <w:vMerge w:val="continue"/>
                  <w:tcBorders>
                    <w:tl2br w:val="nil"/>
                    <w:tr2bl w:val="nil"/>
                  </w:tcBorders>
                  <w:noWrap w:val="0"/>
                  <w:vAlign w:val="center"/>
                </w:tcPr>
                <w:p w14:paraId="5AAE34A7">
                  <w:pPr>
                    <w:pStyle w:val="66"/>
                    <w:bidi w:val="0"/>
                    <w:rPr>
                      <w:rFonts w:hint="eastAsia"/>
                      <w:color w:val="auto"/>
                      <w:lang w:val="en-US" w:eastAsia="zh-CN"/>
                    </w:rPr>
                  </w:pPr>
                </w:p>
              </w:tc>
              <w:tc>
                <w:tcPr>
                  <w:tcW w:w="363" w:type="pct"/>
                  <w:vMerge w:val="continue"/>
                  <w:tcBorders>
                    <w:tl2br w:val="nil"/>
                    <w:tr2bl w:val="nil"/>
                  </w:tcBorders>
                  <w:noWrap w:val="0"/>
                  <w:vAlign w:val="center"/>
                </w:tcPr>
                <w:p w14:paraId="40050F08">
                  <w:pPr>
                    <w:pStyle w:val="66"/>
                    <w:bidi w:val="0"/>
                    <w:rPr>
                      <w:rFonts w:hint="eastAsia"/>
                      <w:color w:val="auto"/>
                      <w:lang w:val="en-US" w:eastAsia="zh-CN"/>
                    </w:rPr>
                  </w:pPr>
                </w:p>
              </w:tc>
              <w:tc>
                <w:tcPr>
                  <w:tcW w:w="392" w:type="pct"/>
                  <w:vMerge w:val="continue"/>
                  <w:tcBorders>
                    <w:tl2br w:val="nil"/>
                    <w:tr2bl w:val="nil"/>
                  </w:tcBorders>
                  <w:noWrap w:val="0"/>
                  <w:vAlign w:val="center"/>
                </w:tcPr>
                <w:p w14:paraId="757FCC10">
                  <w:pPr>
                    <w:pStyle w:val="66"/>
                    <w:bidi w:val="0"/>
                    <w:rPr>
                      <w:rFonts w:hint="eastAsia"/>
                      <w:color w:val="auto"/>
                      <w:lang w:val="en-US" w:eastAsia="zh-CN"/>
                    </w:rPr>
                  </w:pPr>
                </w:p>
              </w:tc>
              <w:tc>
                <w:tcPr>
                  <w:tcW w:w="378" w:type="pct"/>
                  <w:tcBorders>
                    <w:tl2br w:val="nil"/>
                    <w:tr2bl w:val="nil"/>
                  </w:tcBorders>
                  <w:noWrap w:val="0"/>
                  <w:vAlign w:val="center"/>
                </w:tcPr>
                <w:p w14:paraId="01B7A5D2">
                  <w:pPr>
                    <w:pStyle w:val="67"/>
                    <w:bidi w:val="0"/>
                    <w:rPr>
                      <w:rFonts w:hint="eastAsia"/>
                      <w:color w:val="auto"/>
                      <w:lang w:val="en-US" w:eastAsia="zh-CN"/>
                    </w:rPr>
                  </w:pPr>
                  <w:r>
                    <w:rPr>
                      <w:rFonts w:hint="eastAsia"/>
                      <w:color w:val="auto"/>
                      <w:lang w:val="en-US" w:eastAsia="zh-CN"/>
                    </w:rPr>
                    <w:t>核算方法</w:t>
                  </w:r>
                </w:p>
              </w:tc>
              <w:tc>
                <w:tcPr>
                  <w:tcW w:w="393" w:type="pct"/>
                  <w:tcBorders>
                    <w:tl2br w:val="nil"/>
                    <w:tr2bl w:val="nil"/>
                  </w:tcBorders>
                  <w:noWrap w:val="0"/>
                  <w:vAlign w:val="center"/>
                </w:tcPr>
                <w:p w14:paraId="1305EBD8">
                  <w:pPr>
                    <w:pStyle w:val="67"/>
                    <w:bidi w:val="0"/>
                    <w:rPr>
                      <w:rFonts w:hint="eastAsia"/>
                      <w:color w:val="auto"/>
                      <w:lang w:val="en-US" w:eastAsia="zh-CN"/>
                    </w:rPr>
                  </w:pPr>
                  <w:r>
                    <w:rPr>
                      <w:rFonts w:hint="eastAsia"/>
                      <w:color w:val="auto"/>
                      <w:lang w:val="en-US" w:eastAsia="zh-CN"/>
                    </w:rPr>
                    <w:t>废水产生量(m</w:t>
                  </w:r>
                  <w:r>
                    <w:rPr>
                      <w:rFonts w:hint="eastAsia"/>
                      <w:color w:val="auto"/>
                      <w:vertAlign w:val="superscript"/>
                      <w:lang w:val="en-US" w:eastAsia="zh-CN"/>
                    </w:rPr>
                    <w:t>3</w:t>
                  </w:r>
                  <w:r>
                    <w:rPr>
                      <w:rFonts w:hint="eastAsia"/>
                      <w:color w:val="auto"/>
                      <w:lang w:val="en-US" w:eastAsia="zh-CN"/>
                    </w:rPr>
                    <w:t>/a)</w:t>
                  </w:r>
                </w:p>
              </w:tc>
              <w:tc>
                <w:tcPr>
                  <w:tcW w:w="358" w:type="pct"/>
                  <w:tcBorders>
                    <w:tl2br w:val="nil"/>
                    <w:tr2bl w:val="nil"/>
                  </w:tcBorders>
                  <w:noWrap w:val="0"/>
                  <w:vAlign w:val="center"/>
                </w:tcPr>
                <w:p w14:paraId="7521D2BD">
                  <w:pPr>
                    <w:pStyle w:val="67"/>
                    <w:bidi w:val="0"/>
                    <w:rPr>
                      <w:rFonts w:hint="eastAsia"/>
                      <w:color w:val="auto"/>
                      <w:lang w:val="en-US" w:eastAsia="zh-CN"/>
                    </w:rPr>
                  </w:pPr>
                  <w:r>
                    <w:rPr>
                      <w:rFonts w:hint="eastAsia"/>
                      <w:color w:val="auto"/>
                      <w:lang w:val="en-US" w:eastAsia="zh-CN"/>
                    </w:rPr>
                    <w:t>产生浓度(mg/L)</w:t>
                  </w:r>
                </w:p>
              </w:tc>
              <w:tc>
                <w:tcPr>
                  <w:tcW w:w="571" w:type="pct"/>
                  <w:tcBorders>
                    <w:tl2br w:val="nil"/>
                    <w:tr2bl w:val="nil"/>
                  </w:tcBorders>
                  <w:noWrap w:val="0"/>
                  <w:vAlign w:val="center"/>
                </w:tcPr>
                <w:p w14:paraId="7144CEC7">
                  <w:pPr>
                    <w:pStyle w:val="67"/>
                    <w:bidi w:val="0"/>
                    <w:rPr>
                      <w:rFonts w:hint="eastAsia"/>
                      <w:color w:val="auto"/>
                      <w:lang w:val="en-US" w:eastAsia="zh-CN"/>
                    </w:rPr>
                  </w:pPr>
                  <w:r>
                    <w:rPr>
                      <w:rFonts w:hint="eastAsia"/>
                      <w:color w:val="auto"/>
                      <w:lang w:val="en-US" w:eastAsia="zh-CN"/>
                    </w:rPr>
                    <w:t>产生量</w:t>
                  </w:r>
                </w:p>
                <w:p w14:paraId="66D5D17D">
                  <w:pPr>
                    <w:pStyle w:val="67"/>
                    <w:bidi w:val="0"/>
                    <w:rPr>
                      <w:rFonts w:hint="eastAsia"/>
                      <w:color w:val="auto"/>
                      <w:lang w:val="en-US" w:eastAsia="zh-CN"/>
                    </w:rPr>
                  </w:pPr>
                  <w:r>
                    <w:rPr>
                      <w:rFonts w:hint="eastAsia"/>
                      <w:color w:val="auto"/>
                      <w:lang w:val="en-US" w:eastAsia="zh-CN"/>
                    </w:rPr>
                    <w:t>(t/a)</w:t>
                  </w:r>
                </w:p>
              </w:tc>
              <w:tc>
                <w:tcPr>
                  <w:tcW w:w="429" w:type="pct"/>
                  <w:tcBorders>
                    <w:tl2br w:val="nil"/>
                    <w:tr2bl w:val="nil"/>
                  </w:tcBorders>
                  <w:noWrap w:val="0"/>
                  <w:vAlign w:val="center"/>
                </w:tcPr>
                <w:p w14:paraId="67CFC24D">
                  <w:pPr>
                    <w:pStyle w:val="67"/>
                    <w:bidi w:val="0"/>
                    <w:rPr>
                      <w:rFonts w:hint="eastAsia"/>
                      <w:color w:val="auto"/>
                      <w:lang w:val="en-US" w:eastAsia="zh-CN"/>
                    </w:rPr>
                  </w:pPr>
                  <w:r>
                    <w:rPr>
                      <w:rFonts w:hint="eastAsia"/>
                      <w:color w:val="auto"/>
                      <w:lang w:val="en-US" w:eastAsia="zh-CN"/>
                    </w:rPr>
                    <w:t>工艺</w:t>
                  </w:r>
                </w:p>
              </w:tc>
              <w:tc>
                <w:tcPr>
                  <w:tcW w:w="331" w:type="pct"/>
                  <w:tcBorders>
                    <w:tl2br w:val="nil"/>
                    <w:tr2bl w:val="nil"/>
                  </w:tcBorders>
                  <w:noWrap w:val="0"/>
                  <w:vAlign w:val="center"/>
                </w:tcPr>
                <w:p w14:paraId="45E03479">
                  <w:pPr>
                    <w:pStyle w:val="67"/>
                    <w:bidi w:val="0"/>
                    <w:rPr>
                      <w:rFonts w:hint="eastAsia"/>
                      <w:color w:val="auto"/>
                      <w:lang w:val="en-US" w:eastAsia="zh-CN"/>
                    </w:rPr>
                  </w:pPr>
                  <w:r>
                    <w:rPr>
                      <w:rFonts w:hint="eastAsia"/>
                      <w:color w:val="auto"/>
                      <w:lang w:val="en-US" w:eastAsia="zh-CN"/>
                    </w:rPr>
                    <w:t>处理效率(%)</w:t>
                  </w:r>
                </w:p>
              </w:tc>
              <w:tc>
                <w:tcPr>
                  <w:tcW w:w="285" w:type="pct"/>
                  <w:tcBorders>
                    <w:tl2br w:val="nil"/>
                    <w:tr2bl w:val="nil"/>
                  </w:tcBorders>
                  <w:noWrap w:val="0"/>
                  <w:vAlign w:val="center"/>
                </w:tcPr>
                <w:p w14:paraId="4B4F3472">
                  <w:pPr>
                    <w:pStyle w:val="67"/>
                    <w:bidi w:val="0"/>
                    <w:rPr>
                      <w:rFonts w:hint="eastAsia"/>
                      <w:color w:val="auto"/>
                      <w:lang w:val="en-US" w:eastAsia="zh-CN"/>
                    </w:rPr>
                  </w:pPr>
                  <w:r>
                    <w:rPr>
                      <w:rFonts w:hint="eastAsia"/>
                      <w:color w:val="auto"/>
                      <w:lang w:val="en-US" w:eastAsia="zh-CN"/>
                    </w:rPr>
                    <w:t>核算方法</w:t>
                  </w:r>
                </w:p>
              </w:tc>
              <w:tc>
                <w:tcPr>
                  <w:tcW w:w="315" w:type="pct"/>
                  <w:tcBorders>
                    <w:tl2br w:val="nil"/>
                    <w:tr2bl w:val="nil"/>
                  </w:tcBorders>
                  <w:noWrap w:val="0"/>
                  <w:vAlign w:val="center"/>
                </w:tcPr>
                <w:p w14:paraId="6E656CFF">
                  <w:pPr>
                    <w:pStyle w:val="67"/>
                    <w:bidi w:val="0"/>
                    <w:rPr>
                      <w:rFonts w:hint="eastAsia"/>
                      <w:color w:val="auto"/>
                      <w:lang w:val="en-US" w:eastAsia="zh-CN"/>
                    </w:rPr>
                  </w:pPr>
                  <w:r>
                    <w:rPr>
                      <w:rFonts w:hint="eastAsia"/>
                      <w:color w:val="auto"/>
                      <w:lang w:val="en-US" w:eastAsia="zh-CN"/>
                    </w:rPr>
                    <w:t>废水排放量(m</w:t>
                  </w:r>
                  <w:r>
                    <w:rPr>
                      <w:rFonts w:hint="eastAsia"/>
                      <w:color w:val="auto"/>
                      <w:vertAlign w:val="superscript"/>
                      <w:lang w:val="en-US" w:eastAsia="zh-CN"/>
                    </w:rPr>
                    <w:t>3</w:t>
                  </w:r>
                  <w:r>
                    <w:rPr>
                      <w:rFonts w:hint="eastAsia"/>
                      <w:color w:val="auto"/>
                      <w:lang w:val="en-US" w:eastAsia="zh-CN"/>
                    </w:rPr>
                    <w:t>/a)</w:t>
                  </w:r>
                </w:p>
              </w:tc>
              <w:tc>
                <w:tcPr>
                  <w:tcW w:w="295" w:type="pct"/>
                  <w:tcBorders>
                    <w:tl2br w:val="nil"/>
                    <w:tr2bl w:val="nil"/>
                  </w:tcBorders>
                  <w:noWrap w:val="0"/>
                  <w:vAlign w:val="center"/>
                </w:tcPr>
                <w:p w14:paraId="33F84550">
                  <w:pPr>
                    <w:pStyle w:val="67"/>
                    <w:bidi w:val="0"/>
                    <w:rPr>
                      <w:rFonts w:hint="eastAsia"/>
                      <w:color w:val="auto"/>
                      <w:lang w:val="en-US" w:eastAsia="zh-CN"/>
                    </w:rPr>
                  </w:pPr>
                  <w:r>
                    <w:rPr>
                      <w:rFonts w:hint="eastAsia"/>
                      <w:color w:val="auto"/>
                      <w:lang w:val="en-US" w:eastAsia="zh-CN"/>
                    </w:rPr>
                    <w:t>排放浓度(mg/L)</w:t>
                  </w:r>
                </w:p>
              </w:tc>
              <w:tc>
                <w:tcPr>
                  <w:tcW w:w="282" w:type="pct"/>
                  <w:tcBorders>
                    <w:tl2br w:val="nil"/>
                    <w:tr2bl w:val="nil"/>
                  </w:tcBorders>
                  <w:noWrap w:val="0"/>
                  <w:vAlign w:val="center"/>
                </w:tcPr>
                <w:p w14:paraId="4A3E7910">
                  <w:pPr>
                    <w:pStyle w:val="67"/>
                    <w:bidi w:val="0"/>
                    <w:rPr>
                      <w:rFonts w:hint="eastAsia"/>
                      <w:color w:val="auto"/>
                      <w:lang w:val="en-US" w:eastAsia="zh-CN"/>
                    </w:rPr>
                  </w:pPr>
                  <w:r>
                    <w:rPr>
                      <w:rFonts w:hint="eastAsia"/>
                      <w:color w:val="auto"/>
                      <w:lang w:val="en-US" w:eastAsia="zh-CN"/>
                    </w:rPr>
                    <w:t>排放量(t/a)</w:t>
                  </w:r>
                </w:p>
              </w:tc>
              <w:tc>
                <w:tcPr>
                  <w:tcW w:w="279" w:type="pct"/>
                  <w:vMerge w:val="continue"/>
                  <w:tcBorders>
                    <w:tl2br w:val="nil"/>
                    <w:tr2bl w:val="nil"/>
                  </w:tcBorders>
                  <w:noWrap w:val="0"/>
                  <w:vAlign w:val="center"/>
                </w:tcPr>
                <w:p w14:paraId="553111FF">
                  <w:pPr>
                    <w:pStyle w:val="66"/>
                    <w:bidi w:val="0"/>
                    <w:rPr>
                      <w:rFonts w:hint="eastAsia"/>
                      <w:color w:val="auto"/>
                      <w:lang w:val="en-US" w:eastAsia="zh-CN"/>
                    </w:rPr>
                  </w:pPr>
                </w:p>
              </w:tc>
            </w:tr>
            <w:tr w14:paraId="76F7D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restart"/>
                  <w:tcBorders>
                    <w:tl2br w:val="nil"/>
                    <w:tr2bl w:val="nil"/>
                  </w:tcBorders>
                  <w:noWrap w:val="0"/>
                  <w:vAlign w:val="center"/>
                </w:tcPr>
                <w:p w14:paraId="240816CE">
                  <w:pPr>
                    <w:pStyle w:val="66"/>
                    <w:bidi w:val="0"/>
                    <w:rPr>
                      <w:rFonts w:hint="default"/>
                      <w:color w:val="auto"/>
                      <w:lang w:val="en-US" w:eastAsia="zh-CN"/>
                    </w:rPr>
                  </w:pPr>
                  <w:r>
                    <w:rPr>
                      <w:rFonts w:hint="eastAsia"/>
                      <w:color w:val="auto"/>
                      <w:lang w:val="en-US" w:eastAsia="zh-CN"/>
                    </w:rPr>
                    <w:t>员工生活</w:t>
                  </w:r>
                </w:p>
              </w:tc>
              <w:tc>
                <w:tcPr>
                  <w:tcW w:w="363" w:type="pct"/>
                  <w:vMerge w:val="restart"/>
                  <w:tcBorders>
                    <w:tl2br w:val="nil"/>
                    <w:tr2bl w:val="nil"/>
                  </w:tcBorders>
                  <w:noWrap w:val="0"/>
                  <w:vAlign w:val="center"/>
                </w:tcPr>
                <w:p w14:paraId="7E1057AE">
                  <w:pPr>
                    <w:pStyle w:val="66"/>
                    <w:bidi w:val="0"/>
                    <w:rPr>
                      <w:rFonts w:hint="default"/>
                      <w:color w:val="auto"/>
                      <w:lang w:val="en-US" w:eastAsia="zh-CN"/>
                    </w:rPr>
                  </w:pPr>
                  <w:r>
                    <w:rPr>
                      <w:rFonts w:hint="eastAsia"/>
                      <w:color w:val="auto"/>
                      <w:lang w:val="en-US" w:eastAsia="zh-CN"/>
                    </w:rPr>
                    <w:t>生活废水</w:t>
                  </w:r>
                </w:p>
              </w:tc>
              <w:tc>
                <w:tcPr>
                  <w:tcW w:w="392" w:type="pct"/>
                  <w:tcBorders>
                    <w:tl2br w:val="nil"/>
                    <w:tr2bl w:val="nil"/>
                  </w:tcBorders>
                  <w:noWrap w:val="0"/>
                  <w:vAlign w:val="center"/>
                </w:tcPr>
                <w:p w14:paraId="30AEC628">
                  <w:pPr>
                    <w:pStyle w:val="66"/>
                    <w:bidi w:val="0"/>
                    <w:rPr>
                      <w:rFonts w:hint="eastAsia"/>
                      <w:color w:val="auto"/>
                      <w:lang w:val="en-US" w:eastAsia="zh-CN"/>
                    </w:rPr>
                  </w:pPr>
                  <w:r>
                    <w:rPr>
                      <w:rFonts w:hint="eastAsia"/>
                      <w:color w:val="auto"/>
                      <w:lang w:val="en-US" w:eastAsia="zh-CN"/>
                    </w:rPr>
                    <w:t>COD</w:t>
                  </w:r>
                  <w:r>
                    <w:rPr>
                      <w:rFonts w:hint="default"/>
                      <w:color w:val="auto"/>
                      <w:lang w:val="en-US" w:eastAsia="zh-CN"/>
                    </w:rPr>
                    <w:t>cr</w:t>
                  </w:r>
                </w:p>
              </w:tc>
              <w:tc>
                <w:tcPr>
                  <w:tcW w:w="378" w:type="pct"/>
                  <w:vMerge w:val="restart"/>
                  <w:tcBorders>
                    <w:tl2br w:val="nil"/>
                    <w:tr2bl w:val="nil"/>
                  </w:tcBorders>
                  <w:noWrap w:val="0"/>
                  <w:vAlign w:val="center"/>
                </w:tcPr>
                <w:p w14:paraId="7590ADCA">
                  <w:pPr>
                    <w:pStyle w:val="66"/>
                    <w:bidi w:val="0"/>
                    <w:rPr>
                      <w:rFonts w:hint="default"/>
                      <w:color w:val="auto"/>
                      <w:lang w:val="en-US" w:eastAsia="zh-CN"/>
                    </w:rPr>
                  </w:pPr>
                  <w:r>
                    <w:rPr>
                      <w:rFonts w:hint="eastAsia"/>
                      <w:color w:val="auto"/>
                      <w:lang w:val="en-US" w:eastAsia="zh-CN"/>
                    </w:rPr>
                    <w:t>产污系数法</w:t>
                  </w:r>
                </w:p>
              </w:tc>
              <w:tc>
                <w:tcPr>
                  <w:tcW w:w="393" w:type="pct"/>
                  <w:vMerge w:val="restart"/>
                  <w:tcBorders>
                    <w:tl2br w:val="nil"/>
                    <w:tr2bl w:val="nil"/>
                  </w:tcBorders>
                  <w:noWrap w:val="0"/>
                  <w:vAlign w:val="center"/>
                </w:tcPr>
                <w:p w14:paraId="24F57535">
                  <w:pPr>
                    <w:pStyle w:val="66"/>
                    <w:bidi w:val="0"/>
                    <w:rPr>
                      <w:rFonts w:hint="default"/>
                      <w:color w:val="auto"/>
                      <w:lang w:val="en-US" w:eastAsia="zh-CN"/>
                    </w:rPr>
                  </w:pPr>
                  <w:r>
                    <w:rPr>
                      <w:rFonts w:hint="eastAsia"/>
                      <w:color w:val="auto"/>
                      <w:lang w:val="en-US" w:eastAsia="zh-CN"/>
                    </w:rPr>
                    <w:t>423.4</w:t>
                  </w:r>
                </w:p>
              </w:tc>
              <w:tc>
                <w:tcPr>
                  <w:tcW w:w="358" w:type="pct"/>
                  <w:tcBorders>
                    <w:tl2br w:val="nil"/>
                    <w:tr2bl w:val="nil"/>
                  </w:tcBorders>
                  <w:noWrap w:val="0"/>
                  <w:vAlign w:val="center"/>
                </w:tcPr>
                <w:p w14:paraId="07CDF48B">
                  <w:pPr>
                    <w:pStyle w:val="66"/>
                    <w:bidi w:val="0"/>
                    <w:rPr>
                      <w:rFonts w:hint="default"/>
                      <w:color w:val="auto"/>
                      <w:lang w:val="en-US" w:eastAsia="zh-CN"/>
                    </w:rPr>
                  </w:pPr>
                  <w:r>
                    <w:rPr>
                      <w:rFonts w:hint="eastAsia"/>
                      <w:color w:val="auto"/>
                      <w:lang w:val="en-US" w:eastAsia="zh-CN"/>
                    </w:rPr>
                    <w:t>250</w:t>
                  </w:r>
                </w:p>
              </w:tc>
              <w:tc>
                <w:tcPr>
                  <w:tcW w:w="571" w:type="pct"/>
                  <w:tcBorders>
                    <w:tl2br w:val="nil"/>
                    <w:tr2bl w:val="nil"/>
                  </w:tcBorders>
                  <w:noWrap w:val="0"/>
                  <w:vAlign w:val="center"/>
                </w:tcPr>
                <w:p w14:paraId="728D37DF">
                  <w:pPr>
                    <w:pStyle w:val="66"/>
                    <w:bidi w:val="0"/>
                    <w:rPr>
                      <w:rFonts w:hint="default"/>
                      <w:color w:val="auto"/>
                      <w:lang w:val="en-US" w:eastAsia="zh-CN"/>
                    </w:rPr>
                  </w:pPr>
                  <w:r>
                    <w:rPr>
                      <w:rFonts w:hint="eastAsia"/>
                      <w:color w:val="auto"/>
                      <w:lang w:val="en-US" w:eastAsia="zh-CN"/>
                    </w:rPr>
                    <w:t>0.1059</w:t>
                  </w:r>
                </w:p>
              </w:tc>
              <w:tc>
                <w:tcPr>
                  <w:tcW w:w="429" w:type="pct"/>
                  <w:vMerge w:val="restart"/>
                  <w:tcBorders>
                    <w:tl2br w:val="nil"/>
                    <w:tr2bl w:val="nil"/>
                  </w:tcBorders>
                  <w:noWrap w:val="0"/>
                  <w:vAlign w:val="center"/>
                </w:tcPr>
                <w:p w14:paraId="72873329">
                  <w:pPr>
                    <w:pStyle w:val="66"/>
                    <w:bidi w:val="0"/>
                    <w:jc w:val="center"/>
                    <w:rPr>
                      <w:rFonts w:hint="default"/>
                      <w:color w:val="auto"/>
                      <w:lang w:val="en-US" w:eastAsia="zh-CN"/>
                    </w:rPr>
                  </w:pPr>
                  <w:r>
                    <w:rPr>
                      <w:rFonts w:hint="eastAsia"/>
                      <w:color w:val="auto"/>
                      <w:lang w:val="en-US" w:eastAsia="zh-CN"/>
                    </w:rPr>
                    <w:t>经“隔油池+三级化粪池”处理后用于周边农田灌溉，不外排</w:t>
                  </w:r>
                </w:p>
              </w:tc>
              <w:tc>
                <w:tcPr>
                  <w:tcW w:w="331" w:type="pct"/>
                  <w:tcBorders>
                    <w:tl2br w:val="nil"/>
                    <w:tr2bl w:val="nil"/>
                  </w:tcBorders>
                  <w:noWrap w:val="0"/>
                  <w:vAlign w:val="center"/>
                </w:tcPr>
                <w:p w14:paraId="10AC8AAC">
                  <w:pPr>
                    <w:pStyle w:val="66"/>
                    <w:bidi w:val="0"/>
                    <w:rPr>
                      <w:rFonts w:hint="default"/>
                      <w:color w:val="auto"/>
                      <w:lang w:val="en-US" w:eastAsia="zh-CN"/>
                    </w:rPr>
                  </w:pPr>
                  <w:r>
                    <w:rPr>
                      <w:rFonts w:hint="eastAsia"/>
                      <w:color w:val="auto"/>
                      <w:lang w:val="en-US" w:eastAsia="zh-CN"/>
                    </w:rPr>
                    <w:t>35</w:t>
                  </w:r>
                </w:p>
              </w:tc>
              <w:tc>
                <w:tcPr>
                  <w:tcW w:w="285" w:type="pct"/>
                  <w:vMerge w:val="restart"/>
                  <w:tcBorders>
                    <w:tl2br w:val="nil"/>
                    <w:tr2bl w:val="nil"/>
                  </w:tcBorders>
                  <w:noWrap w:val="0"/>
                  <w:vAlign w:val="center"/>
                </w:tcPr>
                <w:p w14:paraId="18C4EE4B">
                  <w:pPr>
                    <w:pStyle w:val="66"/>
                    <w:bidi w:val="0"/>
                    <w:rPr>
                      <w:rFonts w:hint="eastAsia"/>
                      <w:color w:val="auto"/>
                      <w:lang w:val="en-US" w:eastAsia="zh-CN"/>
                    </w:rPr>
                  </w:pPr>
                  <w:r>
                    <w:rPr>
                      <w:rFonts w:hint="eastAsia"/>
                      <w:color w:val="auto"/>
                      <w:lang w:val="en-US" w:eastAsia="zh-CN"/>
                    </w:rPr>
                    <w:t>产污系数法</w:t>
                  </w:r>
                </w:p>
              </w:tc>
              <w:tc>
                <w:tcPr>
                  <w:tcW w:w="315" w:type="pct"/>
                  <w:vMerge w:val="restart"/>
                  <w:tcBorders>
                    <w:tl2br w:val="nil"/>
                    <w:tr2bl w:val="nil"/>
                  </w:tcBorders>
                  <w:noWrap w:val="0"/>
                  <w:vAlign w:val="center"/>
                </w:tcPr>
                <w:p w14:paraId="4C1A8D00">
                  <w:pPr>
                    <w:pStyle w:val="66"/>
                    <w:bidi w:val="0"/>
                    <w:rPr>
                      <w:rFonts w:hint="default"/>
                      <w:color w:val="auto"/>
                      <w:lang w:val="en-US" w:eastAsia="zh-CN"/>
                    </w:rPr>
                  </w:pPr>
                  <w:r>
                    <w:rPr>
                      <w:rFonts w:hint="eastAsia"/>
                      <w:color w:val="auto"/>
                      <w:lang w:val="en-US" w:eastAsia="zh-CN"/>
                    </w:rPr>
                    <w:t>0</w:t>
                  </w:r>
                </w:p>
              </w:tc>
              <w:tc>
                <w:tcPr>
                  <w:tcW w:w="295" w:type="pct"/>
                  <w:tcBorders>
                    <w:tl2br w:val="nil"/>
                    <w:tr2bl w:val="nil"/>
                  </w:tcBorders>
                  <w:noWrap w:val="0"/>
                  <w:vAlign w:val="center"/>
                </w:tcPr>
                <w:p w14:paraId="793007CB">
                  <w:pPr>
                    <w:pStyle w:val="66"/>
                    <w:bidi w:val="0"/>
                    <w:rPr>
                      <w:rFonts w:hint="eastAsia"/>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56B5E4BF">
                  <w:pPr>
                    <w:pStyle w:val="66"/>
                    <w:bidi w:val="0"/>
                    <w:rPr>
                      <w:rFonts w:hint="eastAsia"/>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1CACD7A8">
                  <w:pPr>
                    <w:pStyle w:val="66"/>
                    <w:bidi w:val="0"/>
                    <w:rPr>
                      <w:rFonts w:hint="eastAsia"/>
                      <w:color w:val="auto"/>
                      <w:lang w:val="en-US" w:eastAsia="zh-CN"/>
                    </w:rPr>
                  </w:pPr>
                </w:p>
              </w:tc>
            </w:tr>
            <w:tr w14:paraId="42D43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14:paraId="2E403DF9">
                  <w:pPr>
                    <w:pStyle w:val="66"/>
                    <w:bidi w:val="0"/>
                    <w:rPr>
                      <w:rFonts w:hint="eastAsia"/>
                      <w:color w:val="auto"/>
                      <w:lang w:val="en-US" w:eastAsia="zh-CN"/>
                    </w:rPr>
                  </w:pPr>
                </w:p>
              </w:tc>
              <w:tc>
                <w:tcPr>
                  <w:tcW w:w="363" w:type="pct"/>
                  <w:vMerge w:val="continue"/>
                  <w:tcBorders>
                    <w:tl2br w:val="nil"/>
                    <w:tr2bl w:val="nil"/>
                  </w:tcBorders>
                  <w:noWrap w:val="0"/>
                  <w:vAlign w:val="center"/>
                </w:tcPr>
                <w:p w14:paraId="3A0E69F3">
                  <w:pPr>
                    <w:pStyle w:val="66"/>
                    <w:bidi w:val="0"/>
                    <w:rPr>
                      <w:rFonts w:hint="eastAsia"/>
                      <w:color w:val="auto"/>
                      <w:lang w:val="en-US" w:eastAsia="zh-CN"/>
                    </w:rPr>
                  </w:pPr>
                </w:p>
              </w:tc>
              <w:tc>
                <w:tcPr>
                  <w:tcW w:w="392" w:type="pct"/>
                  <w:tcBorders>
                    <w:tl2br w:val="nil"/>
                    <w:tr2bl w:val="nil"/>
                  </w:tcBorders>
                  <w:noWrap w:val="0"/>
                  <w:vAlign w:val="center"/>
                </w:tcPr>
                <w:p w14:paraId="1E92CC16">
                  <w:pPr>
                    <w:pStyle w:val="66"/>
                    <w:bidi w:val="0"/>
                    <w:rPr>
                      <w:rFonts w:hint="eastAsia"/>
                      <w:color w:val="auto"/>
                      <w:lang w:val="en-US" w:eastAsia="zh-CN"/>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378" w:type="pct"/>
                  <w:vMerge w:val="continue"/>
                  <w:tcBorders>
                    <w:tl2br w:val="nil"/>
                    <w:tr2bl w:val="nil"/>
                  </w:tcBorders>
                  <w:noWrap w:val="0"/>
                  <w:vAlign w:val="center"/>
                </w:tcPr>
                <w:p w14:paraId="06952B77">
                  <w:pPr>
                    <w:pStyle w:val="66"/>
                    <w:bidi w:val="0"/>
                    <w:rPr>
                      <w:rFonts w:hint="eastAsia"/>
                      <w:color w:val="auto"/>
                      <w:lang w:val="en-US" w:eastAsia="zh-CN"/>
                    </w:rPr>
                  </w:pPr>
                </w:p>
              </w:tc>
              <w:tc>
                <w:tcPr>
                  <w:tcW w:w="393" w:type="pct"/>
                  <w:vMerge w:val="continue"/>
                  <w:tcBorders>
                    <w:tl2br w:val="nil"/>
                    <w:tr2bl w:val="nil"/>
                  </w:tcBorders>
                  <w:noWrap w:val="0"/>
                  <w:vAlign w:val="center"/>
                </w:tcPr>
                <w:p w14:paraId="7AE8FE47">
                  <w:pPr>
                    <w:pStyle w:val="66"/>
                    <w:bidi w:val="0"/>
                    <w:rPr>
                      <w:rFonts w:hint="eastAsia"/>
                      <w:color w:val="auto"/>
                      <w:lang w:val="en-US" w:eastAsia="zh-CN"/>
                    </w:rPr>
                  </w:pPr>
                </w:p>
              </w:tc>
              <w:tc>
                <w:tcPr>
                  <w:tcW w:w="358" w:type="pct"/>
                  <w:tcBorders>
                    <w:tl2br w:val="nil"/>
                    <w:tr2bl w:val="nil"/>
                  </w:tcBorders>
                  <w:noWrap w:val="0"/>
                  <w:vAlign w:val="center"/>
                </w:tcPr>
                <w:p w14:paraId="3CC9A8F6">
                  <w:pPr>
                    <w:pStyle w:val="66"/>
                    <w:bidi w:val="0"/>
                    <w:rPr>
                      <w:rFonts w:hint="default"/>
                      <w:color w:val="auto"/>
                      <w:lang w:val="en-US" w:eastAsia="zh-CN"/>
                    </w:rPr>
                  </w:pPr>
                  <w:r>
                    <w:rPr>
                      <w:rFonts w:hint="eastAsia"/>
                      <w:color w:val="auto"/>
                      <w:lang w:val="en-US" w:eastAsia="zh-CN"/>
                    </w:rPr>
                    <w:t>25</w:t>
                  </w:r>
                </w:p>
              </w:tc>
              <w:tc>
                <w:tcPr>
                  <w:tcW w:w="571" w:type="pct"/>
                  <w:tcBorders>
                    <w:tl2br w:val="nil"/>
                    <w:tr2bl w:val="nil"/>
                  </w:tcBorders>
                  <w:noWrap w:val="0"/>
                  <w:vAlign w:val="center"/>
                </w:tcPr>
                <w:p w14:paraId="4084F7C4">
                  <w:pPr>
                    <w:pStyle w:val="66"/>
                    <w:bidi w:val="0"/>
                    <w:rPr>
                      <w:rFonts w:hint="default"/>
                      <w:color w:val="auto"/>
                      <w:lang w:val="en-US" w:eastAsia="zh-CN"/>
                    </w:rPr>
                  </w:pPr>
                  <w:r>
                    <w:rPr>
                      <w:rFonts w:hint="eastAsia"/>
                      <w:color w:val="auto"/>
                      <w:lang w:val="en-US" w:eastAsia="zh-CN"/>
                    </w:rPr>
                    <w:t>0.0106</w:t>
                  </w:r>
                </w:p>
              </w:tc>
              <w:tc>
                <w:tcPr>
                  <w:tcW w:w="429" w:type="pct"/>
                  <w:vMerge w:val="continue"/>
                  <w:tcBorders>
                    <w:tl2br w:val="nil"/>
                    <w:tr2bl w:val="nil"/>
                  </w:tcBorders>
                  <w:noWrap w:val="0"/>
                  <w:vAlign w:val="center"/>
                </w:tcPr>
                <w:p w14:paraId="6B48DEE7">
                  <w:pPr>
                    <w:pStyle w:val="66"/>
                    <w:bidi w:val="0"/>
                    <w:rPr>
                      <w:rFonts w:hint="eastAsia"/>
                      <w:color w:val="auto"/>
                      <w:lang w:val="en-US" w:eastAsia="zh-CN"/>
                    </w:rPr>
                  </w:pPr>
                </w:p>
              </w:tc>
              <w:tc>
                <w:tcPr>
                  <w:tcW w:w="331" w:type="pct"/>
                  <w:tcBorders>
                    <w:tl2br w:val="nil"/>
                    <w:tr2bl w:val="nil"/>
                  </w:tcBorders>
                  <w:noWrap w:val="0"/>
                  <w:vAlign w:val="center"/>
                </w:tcPr>
                <w:p w14:paraId="2072BE82">
                  <w:pPr>
                    <w:pStyle w:val="66"/>
                    <w:bidi w:val="0"/>
                    <w:rPr>
                      <w:rFonts w:hint="default"/>
                      <w:color w:val="auto"/>
                      <w:lang w:val="en-US" w:eastAsia="zh-CN"/>
                    </w:rPr>
                  </w:pPr>
                  <w:r>
                    <w:rPr>
                      <w:rFonts w:hint="eastAsia"/>
                      <w:color w:val="auto"/>
                      <w:lang w:val="en-US" w:eastAsia="zh-CN"/>
                    </w:rPr>
                    <w:t>/</w:t>
                  </w:r>
                </w:p>
              </w:tc>
              <w:tc>
                <w:tcPr>
                  <w:tcW w:w="285" w:type="pct"/>
                  <w:vMerge w:val="continue"/>
                  <w:tcBorders>
                    <w:tl2br w:val="nil"/>
                    <w:tr2bl w:val="nil"/>
                  </w:tcBorders>
                  <w:noWrap w:val="0"/>
                  <w:vAlign w:val="center"/>
                </w:tcPr>
                <w:p w14:paraId="529916EE">
                  <w:pPr>
                    <w:pStyle w:val="66"/>
                    <w:bidi w:val="0"/>
                    <w:rPr>
                      <w:rFonts w:hint="eastAsia"/>
                      <w:color w:val="auto"/>
                      <w:lang w:val="en-US" w:eastAsia="zh-CN"/>
                    </w:rPr>
                  </w:pPr>
                </w:p>
              </w:tc>
              <w:tc>
                <w:tcPr>
                  <w:tcW w:w="315" w:type="pct"/>
                  <w:vMerge w:val="continue"/>
                  <w:tcBorders>
                    <w:tl2br w:val="nil"/>
                    <w:tr2bl w:val="nil"/>
                  </w:tcBorders>
                  <w:noWrap w:val="0"/>
                  <w:vAlign w:val="center"/>
                </w:tcPr>
                <w:p w14:paraId="0A3905E3">
                  <w:pPr>
                    <w:pStyle w:val="66"/>
                    <w:bidi w:val="0"/>
                    <w:rPr>
                      <w:rFonts w:hint="eastAsia"/>
                      <w:color w:val="auto"/>
                      <w:lang w:val="en-US" w:eastAsia="zh-CN"/>
                    </w:rPr>
                  </w:pPr>
                </w:p>
              </w:tc>
              <w:tc>
                <w:tcPr>
                  <w:tcW w:w="295" w:type="pct"/>
                  <w:tcBorders>
                    <w:tl2br w:val="nil"/>
                    <w:tr2bl w:val="nil"/>
                  </w:tcBorders>
                  <w:noWrap w:val="0"/>
                  <w:vAlign w:val="center"/>
                </w:tcPr>
                <w:p w14:paraId="4DA73BF9">
                  <w:pPr>
                    <w:pStyle w:val="66"/>
                    <w:bidi w:val="0"/>
                    <w:rPr>
                      <w:rFonts w:hint="eastAsia"/>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23341F86">
                  <w:pPr>
                    <w:pStyle w:val="66"/>
                    <w:bidi w:val="0"/>
                    <w:rPr>
                      <w:rFonts w:hint="eastAsia"/>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7F105429">
                  <w:pPr>
                    <w:pStyle w:val="66"/>
                    <w:bidi w:val="0"/>
                    <w:rPr>
                      <w:rFonts w:hint="eastAsia"/>
                      <w:color w:val="auto"/>
                      <w:lang w:val="en-US" w:eastAsia="zh-CN"/>
                    </w:rPr>
                  </w:pPr>
                </w:p>
              </w:tc>
            </w:tr>
            <w:tr w14:paraId="56543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14:paraId="358DD242">
                  <w:pPr>
                    <w:pStyle w:val="66"/>
                    <w:bidi w:val="0"/>
                    <w:rPr>
                      <w:rFonts w:hint="eastAsia"/>
                      <w:color w:val="auto"/>
                      <w:lang w:val="en-US" w:eastAsia="zh-CN"/>
                    </w:rPr>
                  </w:pPr>
                </w:p>
              </w:tc>
              <w:tc>
                <w:tcPr>
                  <w:tcW w:w="363" w:type="pct"/>
                  <w:vMerge w:val="continue"/>
                  <w:tcBorders>
                    <w:tl2br w:val="nil"/>
                    <w:tr2bl w:val="nil"/>
                  </w:tcBorders>
                  <w:noWrap w:val="0"/>
                  <w:vAlign w:val="center"/>
                </w:tcPr>
                <w:p w14:paraId="4A8BB4E1">
                  <w:pPr>
                    <w:pStyle w:val="66"/>
                    <w:bidi w:val="0"/>
                    <w:rPr>
                      <w:rFonts w:hint="eastAsia"/>
                      <w:color w:val="auto"/>
                      <w:lang w:val="en-US" w:eastAsia="zh-CN"/>
                    </w:rPr>
                  </w:pPr>
                </w:p>
              </w:tc>
              <w:tc>
                <w:tcPr>
                  <w:tcW w:w="392" w:type="pct"/>
                  <w:tcBorders>
                    <w:tl2br w:val="nil"/>
                    <w:tr2bl w:val="nil"/>
                  </w:tcBorders>
                  <w:noWrap w:val="0"/>
                  <w:vAlign w:val="center"/>
                </w:tcPr>
                <w:p w14:paraId="11CD437B">
                  <w:pPr>
                    <w:pStyle w:val="66"/>
                    <w:bidi w:val="0"/>
                    <w:rPr>
                      <w:rFonts w:hint="eastAsia"/>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378" w:type="pct"/>
                  <w:vMerge w:val="continue"/>
                  <w:tcBorders>
                    <w:tl2br w:val="nil"/>
                    <w:tr2bl w:val="nil"/>
                  </w:tcBorders>
                  <w:noWrap w:val="0"/>
                  <w:vAlign w:val="center"/>
                </w:tcPr>
                <w:p w14:paraId="008EA9AD">
                  <w:pPr>
                    <w:pStyle w:val="66"/>
                    <w:bidi w:val="0"/>
                    <w:rPr>
                      <w:rFonts w:hint="eastAsia"/>
                      <w:color w:val="auto"/>
                      <w:lang w:val="en-US" w:eastAsia="zh-CN"/>
                    </w:rPr>
                  </w:pPr>
                </w:p>
              </w:tc>
              <w:tc>
                <w:tcPr>
                  <w:tcW w:w="393" w:type="pct"/>
                  <w:vMerge w:val="continue"/>
                  <w:tcBorders>
                    <w:tl2br w:val="nil"/>
                    <w:tr2bl w:val="nil"/>
                  </w:tcBorders>
                  <w:noWrap w:val="0"/>
                  <w:vAlign w:val="center"/>
                </w:tcPr>
                <w:p w14:paraId="66127248">
                  <w:pPr>
                    <w:pStyle w:val="66"/>
                    <w:bidi w:val="0"/>
                    <w:rPr>
                      <w:rFonts w:hint="eastAsia"/>
                      <w:color w:val="auto"/>
                      <w:lang w:val="en-US" w:eastAsia="zh-CN"/>
                    </w:rPr>
                  </w:pPr>
                </w:p>
              </w:tc>
              <w:tc>
                <w:tcPr>
                  <w:tcW w:w="358" w:type="pct"/>
                  <w:tcBorders>
                    <w:tl2br w:val="nil"/>
                    <w:tr2bl w:val="nil"/>
                  </w:tcBorders>
                  <w:noWrap w:val="0"/>
                  <w:vAlign w:val="center"/>
                </w:tcPr>
                <w:p w14:paraId="3C7C65E5">
                  <w:pPr>
                    <w:pStyle w:val="66"/>
                    <w:bidi w:val="0"/>
                    <w:rPr>
                      <w:rFonts w:hint="default"/>
                      <w:color w:val="auto"/>
                      <w:lang w:val="en-US" w:eastAsia="zh-CN"/>
                    </w:rPr>
                  </w:pPr>
                  <w:r>
                    <w:rPr>
                      <w:rFonts w:hint="eastAsia"/>
                      <w:color w:val="auto"/>
                      <w:lang w:val="en-US" w:eastAsia="zh-CN"/>
                    </w:rPr>
                    <w:t>150</w:t>
                  </w:r>
                </w:p>
              </w:tc>
              <w:tc>
                <w:tcPr>
                  <w:tcW w:w="571" w:type="pct"/>
                  <w:tcBorders>
                    <w:tl2br w:val="nil"/>
                    <w:tr2bl w:val="nil"/>
                  </w:tcBorders>
                  <w:noWrap w:val="0"/>
                  <w:vAlign w:val="center"/>
                </w:tcPr>
                <w:p w14:paraId="3B880D8B">
                  <w:pPr>
                    <w:pStyle w:val="66"/>
                    <w:bidi w:val="0"/>
                    <w:rPr>
                      <w:rFonts w:hint="default"/>
                      <w:color w:val="auto"/>
                      <w:lang w:val="en-US" w:eastAsia="zh-CN"/>
                    </w:rPr>
                  </w:pPr>
                  <w:r>
                    <w:rPr>
                      <w:rFonts w:hint="eastAsia"/>
                      <w:color w:val="auto"/>
                      <w:lang w:val="en-US" w:eastAsia="zh-CN"/>
                    </w:rPr>
                    <w:t>0.0635</w:t>
                  </w:r>
                </w:p>
              </w:tc>
              <w:tc>
                <w:tcPr>
                  <w:tcW w:w="429" w:type="pct"/>
                  <w:vMerge w:val="continue"/>
                  <w:tcBorders>
                    <w:tl2br w:val="nil"/>
                    <w:tr2bl w:val="nil"/>
                  </w:tcBorders>
                  <w:noWrap w:val="0"/>
                  <w:vAlign w:val="center"/>
                </w:tcPr>
                <w:p w14:paraId="7C8BB08F">
                  <w:pPr>
                    <w:pStyle w:val="66"/>
                    <w:bidi w:val="0"/>
                    <w:rPr>
                      <w:rFonts w:hint="eastAsia"/>
                      <w:color w:val="auto"/>
                      <w:lang w:val="en-US" w:eastAsia="zh-CN"/>
                    </w:rPr>
                  </w:pPr>
                </w:p>
              </w:tc>
              <w:tc>
                <w:tcPr>
                  <w:tcW w:w="331" w:type="pct"/>
                  <w:tcBorders>
                    <w:tl2br w:val="nil"/>
                    <w:tr2bl w:val="nil"/>
                  </w:tcBorders>
                  <w:noWrap w:val="0"/>
                  <w:vAlign w:val="center"/>
                </w:tcPr>
                <w:p w14:paraId="3ECE7362">
                  <w:pPr>
                    <w:pStyle w:val="66"/>
                    <w:bidi w:val="0"/>
                    <w:rPr>
                      <w:rFonts w:hint="default"/>
                      <w:color w:val="auto"/>
                      <w:lang w:val="en-US" w:eastAsia="zh-CN"/>
                    </w:rPr>
                  </w:pPr>
                  <w:r>
                    <w:rPr>
                      <w:rFonts w:hint="eastAsia"/>
                      <w:color w:val="auto"/>
                      <w:lang w:val="en-US" w:eastAsia="zh-CN"/>
                    </w:rPr>
                    <w:t>45</w:t>
                  </w:r>
                </w:p>
              </w:tc>
              <w:tc>
                <w:tcPr>
                  <w:tcW w:w="285" w:type="pct"/>
                  <w:vMerge w:val="continue"/>
                  <w:tcBorders>
                    <w:tl2br w:val="nil"/>
                    <w:tr2bl w:val="nil"/>
                  </w:tcBorders>
                  <w:noWrap w:val="0"/>
                  <w:vAlign w:val="center"/>
                </w:tcPr>
                <w:p w14:paraId="0B416870">
                  <w:pPr>
                    <w:pStyle w:val="66"/>
                    <w:bidi w:val="0"/>
                    <w:rPr>
                      <w:rFonts w:hint="eastAsia"/>
                      <w:color w:val="auto"/>
                      <w:lang w:val="en-US" w:eastAsia="zh-CN"/>
                    </w:rPr>
                  </w:pPr>
                </w:p>
              </w:tc>
              <w:tc>
                <w:tcPr>
                  <w:tcW w:w="315" w:type="pct"/>
                  <w:vMerge w:val="continue"/>
                  <w:tcBorders>
                    <w:tl2br w:val="nil"/>
                    <w:tr2bl w:val="nil"/>
                  </w:tcBorders>
                  <w:noWrap w:val="0"/>
                  <w:vAlign w:val="center"/>
                </w:tcPr>
                <w:p w14:paraId="7A988905">
                  <w:pPr>
                    <w:pStyle w:val="66"/>
                    <w:bidi w:val="0"/>
                    <w:rPr>
                      <w:rFonts w:hint="eastAsia"/>
                      <w:color w:val="auto"/>
                      <w:lang w:val="en-US" w:eastAsia="zh-CN"/>
                    </w:rPr>
                  </w:pPr>
                </w:p>
              </w:tc>
              <w:tc>
                <w:tcPr>
                  <w:tcW w:w="295" w:type="pct"/>
                  <w:tcBorders>
                    <w:tl2br w:val="nil"/>
                    <w:tr2bl w:val="nil"/>
                  </w:tcBorders>
                  <w:noWrap w:val="0"/>
                  <w:vAlign w:val="center"/>
                </w:tcPr>
                <w:p w14:paraId="05A7F367">
                  <w:pPr>
                    <w:pStyle w:val="66"/>
                    <w:bidi w:val="0"/>
                    <w:rPr>
                      <w:rFonts w:hint="default"/>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0B5F1220">
                  <w:pPr>
                    <w:pStyle w:val="66"/>
                    <w:bidi w:val="0"/>
                    <w:rPr>
                      <w:rFonts w:hint="default"/>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6B6A0C88">
                  <w:pPr>
                    <w:pStyle w:val="66"/>
                    <w:bidi w:val="0"/>
                    <w:rPr>
                      <w:rFonts w:hint="eastAsia"/>
                      <w:color w:val="auto"/>
                      <w:lang w:val="en-US" w:eastAsia="zh-CN"/>
                    </w:rPr>
                  </w:pPr>
                </w:p>
              </w:tc>
            </w:tr>
            <w:tr w14:paraId="5E3F5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14:paraId="7F15D68B">
                  <w:pPr>
                    <w:pStyle w:val="66"/>
                    <w:bidi w:val="0"/>
                    <w:rPr>
                      <w:rFonts w:hint="eastAsia"/>
                      <w:color w:val="auto"/>
                      <w:lang w:val="en-US" w:eastAsia="zh-CN"/>
                    </w:rPr>
                  </w:pPr>
                </w:p>
              </w:tc>
              <w:tc>
                <w:tcPr>
                  <w:tcW w:w="363" w:type="pct"/>
                  <w:vMerge w:val="continue"/>
                  <w:tcBorders>
                    <w:tl2br w:val="nil"/>
                    <w:tr2bl w:val="nil"/>
                  </w:tcBorders>
                  <w:noWrap w:val="0"/>
                  <w:vAlign w:val="center"/>
                </w:tcPr>
                <w:p w14:paraId="1869EC5C">
                  <w:pPr>
                    <w:pStyle w:val="66"/>
                    <w:bidi w:val="0"/>
                    <w:rPr>
                      <w:rFonts w:hint="eastAsia"/>
                      <w:color w:val="auto"/>
                      <w:lang w:val="en-US" w:eastAsia="zh-CN"/>
                    </w:rPr>
                  </w:pPr>
                </w:p>
              </w:tc>
              <w:tc>
                <w:tcPr>
                  <w:tcW w:w="392" w:type="pct"/>
                  <w:tcBorders>
                    <w:tl2br w:val="nil"/>
                    <w:tr2bl w:val="nil"/>
                  </w:tcBorders>
                  <w:noWrap w:val="0"/>
                  <w:vAlign w:val="center"/>
                </w:tcPr>
                <w:p w14:paraId="1B2AA741">
                  <w:pPr>
                    <w:pStyle w:val="66"/>
                    <w:bidi w:val="0"/>
                    <w:rPr>
                      <w:rFonts w:hint="eastAsia"/>
                      <w:color w:val="auto"/>
                      <w:lang w:val="en-US" w:eastAsia="zh-CN"/>
                    </w:rPr>
                  </w:pPr>
                  <w:r>
                    <w:rPr>
                      <w:rFonts w:hint="eastAsia"/>
                      <w:color w:val="auto"/>
                      <w:vertAlign w:val="baseline"/>
                      <w:lang w:val="en-US" w:eastAsia="zh-CN"/>
                    </w:rPr>
                    <w:t>SS</w:t>
                  </w:r>
                </w:p>
              </w:tc>
              <w:tc>
                <w:tcPr>
                  <w:tcW w:w="378" w:type="pct"/>
                  <w:vMerge w:val="continue"/>
                  <w:tcBorders>
                    <w:tl2br w:val="nil"/>
                    <w:tr2bl w:val="nil"/>
                  </w:tcBorders>
                  <w:noWrap w:val="0"/>
                  <w:vAlign w:val="center"/>
                </w:tcPr>
                <w:p w14:paraId="584B9614">
                  <w:pPr>
                    <w:pStyle w:val="66"/>
                    <w:bidi w:val="0"/>
                    <w:rPr>
                      <w:rFonts w:hint="eastAsia"/>
                      <w:color w:val="auto"/>
                      <w:lang w:val="en-US" w:eastAsia="zh-CN"/>
                    </w:rPr>
                  </w:pPr>
                </w:p>
              </w:tc>
              <w:tc>
                <w:tcPr>
                  <w:tcW w:w="393" w:type="pct"/>
                  <w:vMerge w:val="continue"/>
                  <w:tcBorders>
                    <w:tl2br w:val="nil"/>
                    <w:tr2bl w:val="nil"/>
                  </w:tcBorders>
                  <w:noWrap w:val="0"/>
                  <w:vAlign w:val="center"/>
                </w:tcPr>
                <w:p w14:paraId="7A5AA253">
                  <w:pPr>
                    <w:pStyle w:val="66"/>
                    <w:bidi w:val="0"/>
                    <w:rPr>
                      <w:rFonts w:hint="eastAsia"/>
                      <w:color w:val="auto"/>
                      <w:lang w:val="en-US" w:eastAsia="zh-CN"/>
                    </w:rPr>
                  </w:pPr>
                </w:p>
              </w:tc>
              <w:tc>
                <w:tcPr>
                  <w:tcW w:w="358" w:type="pct"/>
                  <w:tcBorders>
                    <w:tl2br w:val="nil"/>
                    <w:tr2bl w:val="nil"/>
                  </w:tcBorders>
                  <w:noWrap w:val="0"/>
                  <w:vAlign w:val="center"/>
                </w:tcPr>
                <w:p w14:paraId="0E93B7F8">
                  <w:pPr>
                    <w:pStyle w:val="66"/>
                    <w:bidi w:val="0"/>
                    <w:rPr>
                      <w:rFonts w:hint="default"/>
                      <w:color w:val="auto"/>
                      <w:lang w:val="en-US" w:eastAsia="zh-CN"/>
                    </w:rPr>
                  </w:pPr>
                  <w:r>
                    <w:rPr>
                      <w:rFonts w:hint="eastAsia"/>
                      <w:color w:val="auto"/>
                      <w:lang w:val="en-US" w:eastAsia="zh-CN"/>
                    </w:rPr>
                    <w:t>200</w:t>
                  </w:r>
                </w:p>
              </w:tc>
              <w:tc>
                <w:tcPr>
                  <w:tcW w:w="571" w:type="pct"/>
                  <w:tcBorders>
                    <w:tl2br w:val="nil"/>
                    <w:tr2bl w:val="nil"/>
                  </w:tcBorders>
                  <w:noWrap w:val="0"/>
                  <w:vAlign w:val="center"/>
                </w:tcPr>
                <w:p w14:paraId="246FFD55">
                  <w:pPr>
                    <w:pStyle w:val="66"/>
                    <w:bidi w:val="0"/>
                    <w:rPr>
                      <w:rFonts w:hint="default"/>
                      <w:color w:val="auto"/>
                      <w:lang w:val="en-US" w:eastAsia="zh-CN"/>
                    </w:rPr>
                  </w:pPr>
                  <w:r>
                    <w:rPr>
                      <w:rFonts w:hint="eastAsia"/>
                      <w:color w:val="auto"/>
                      <w:lang w:val="en-US" w:eastAsia="zh-CN"/>
                    </w:rPr>
                    <w:t>0.0847</w:t>
                  </w:r>
                </w:p>
              </w:tc>
              <w:tc>
                <w:tcPr>
                  <w:tcW w:w="429" w:type="pct"/>
                  <w:vMerge w:val="continue"/>
                  <w:tcBorders>
                    <w:tl2br w:val="nil"/>
                    <w:tr2bl w:val="nil"/>
                  </w:tcBorders>
                  <w:noWrap w:val="0"/>
                  <w:vAlign w:val="center"/>
                </w:tcPr>
                <w:p w14:paraId="6AC92438">
                  <w:pPr>
                    <w:pStyle w:val="66"/>
                    <w:bidi w:val="0"/>
                    <w:rPr>
                      <w:rFonts w:hint="eastAsia"/>
                      <w:color w:val="auto"/>
                      <w:lang w:val="en-US" w:eastAsia="zh-CN"/>
                    </w:rPr>
                  </w:pPr>
                </w:p>
              </w:tc>
              <w:tc>
                <w:tcPr>
                  <w:tcW w:w="331" w:type="pct"/>
                  <w:tcBorders>
                    <w:tl2br w:val="nil"/>
                    <w:tr2bl w:val="nil"/>
                  </w:tcBorders>
                  <w:noWrap w:val="0"/>
                  <w:vAlign w:val="center"/>
                </w:tcPr>
                <w:p w14:paraId="59F38098">
                  <w:pPr>
                    <w:pStyle w:val="66"/>
                    <w:bidi w:val="0"/>
                    <w:rPr>
                      <w:rFonts w:hint="default"/>
                      <w:color w:val="auto"/>
                      <w:lang w:val="en-US" w:eastAsia="zh-CN"/>
                    </w:rPr>
                  </w:pPr>
                  <w:r>
                    <w:rPr>
                      <w:rFonts w:hint="eastAsia"/>
                      <w:color w:val="auto"/>
                      <w:lang w:val="en-US" w:eastAsia="zh-CN"/>
                    </w:rPr>
                    <w:t>50</w:t>
                  </w:r>
                </w:p>
              </w:tc>
              <w:tc>
                <w:tcPr>
                  <w:tcW w:w="285" w:type="pct"/>
                  <w:vMerge w:val="continue"/>
                  <w:tcBorders>
                    <w:tl2br w:val="nil"/>
                    <w:tr2bl w:val="nil"/>
                  </w:tcBorders>
                  <w:noWrap w:val="0"/>
                  <w:vAlign w:val="center"/>
                </w:tcPr>
                <w:p w14:paraId="0FDCA402">
                  <w:pPr>
                    <w:pStyle w:val="66"/>
                    <w:bidi w:val="0"/>
                    <w:rPr>
                      <w:rFonts w:hint="eastAsia"/>
                      <w:color w:val="auto"/>
                      <w:lang w:val="en-US" w:eastAsia="zh-CN"/>
                    </w:rPr>
                  </w:pPr>
                </w:p>
              </w:tc>
              <w:tc>
                <w:tcPr>
                  <w:tcW w:w="315" w:type="pct"/>
                  <w:vMerge w:val="continue"/>
                  <w:tcBorders>
                    <w:tl2br w:val="nil"/>
                    <w:tr2bl w:val="nil"/>
                  </w:tcBorders>
                  <w:noWrap w:val="0"/>
                  <w:vAlign w:val="center"/>
                </w:tcPr>
                <w:p w14:paraId="47836609">
                  <w:pPr>
                    <w:pStyle w:val="66"/>
                    <w:bidi w:val="0"/>
                    <w:rPr>
                      <w:rFonts w:hint="eastAsia"/>
                      <w:color w:val="auto"/>
                      <w:lang w:val="en-US" w:eastAsia="zh-CN"/>
                    </w:rPr>
                  </w:pPr>
                </w:p>
              </w:tc>
              <w:tc>
                <w:tcPr>
                  <w:tcW w:w="295" w:type="pct"/>
                  <w:tcBorders>
                    <w:tl2br w:val="nil"/>
                    <w:tr2bl w:val="nil"/>
                  </w:tcBorders>
                  <w:noWrap w:val="0"/>
                  <w:vAlign w:val="center"/>
                </w:tcPr>
                <w:p w14:paraId="1624466A">
                  <w:pPr>
                    <w:pStyle w:val="66"/>
                    <w:bidi w:val="0"/>
                    <w:rPr>
                      <w:rFonts w:hint="default"/>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40B7A478">
                  <w:pPr>
                    <w:pStyle w:val="66"/>
                    <w:bidi w:val="0"/>
                    <w:rPr>
                      <w:rFonts w:hint="default"/>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4DE4D1E3">
                  <w:pPr>
                    <w:pStyle w:val="66"/>
                    <w:bidi w:val="0"/>
                    <w:rPr>
                      <w:rFonts w:hint="eastAsia"/>
                      <w:color w:val="auto"/>
                      <w:lang w:val="en-US" w:eastAsia="zh-CN"/>
                    </w:rPr>
                  </w:pPr>
                </w:p>
              </w:tc>
            </w:tr>
            <w:tr w14:paraId="3E20F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14:paraId="33B2957C">
                  <w:pPr>
                    <w:pStyle w:val="66"/>
                    <w:bidi w:val="0"/>
                    <w:rPr>
                      <w:rFonts w:hint="eastAsia"/>
                      <w:color w:val="auto"/>
                      <w:lang w:val="en-US" w:eastAsia="zh-CN"/>
                    </w:rPr>
                  </w:pPr>
                </w:p>
              </w:tc>
              <w:tc>
                <w:tcPr>
                  <w:tcW w:w="363" w:type="pct"/>
                  <w:vMerge w:val="continue"/>
                  <w:tcBorders>
                    <w:tl2br w:val="nil"/>
                    <w:tr2bl w:val="nil"/>
                  </w:tcBorders>
                  <w:noWrap w:val="0"/>
                  <w:vAlign w:val="center"/>
                </w:tcPr>
                <w:p w14:paraId="7B07A1E8">
                  <w:pPr>
                    <w:pStyle w:val="66"/>
                    <w:bidi w:val="0"/>
                    <w:rPr>
                      <w:rFonts w:hint="eastAsia"/>
                      <w:color w:val="auto"/>
                      <w:lang w:val="en-US" w:eastAsia="zh-CN"/>
                    </w:rPr>
                  </w:pPr>
                </w:p>
              </w:tc>
              <w:tc>
                <w:tcPr>
                  <w:tcW w:w="392" w:type="pct"/>
                  <w:tcBorders>
                    <w:tl2br w:val="nil"/>
                    <w:tr2bl w:val="nil"/>
                  </w:tcBorders>
                  <w:noWrap w:val="0"/>
                  <w:vAlign w:val="center"/>
                </w:tcPr>
                <w:p w14:paraId="05A59062">
                  <w:pPr>
                    <w:pStyle w:val="66"/>
                    <w:bidi w:val="0"/>
                    <w:rPr>
                      <w:rFonts w:hint="default"/>
                      <w:color w:val="auto"/>
                      <w:vertAlign w:val="baseline"/>
                      <w:lang w:val="en-US" w:eastAsia="zh-CN"/>
                    </w:rPr>
                  </w:pPr>
                  <w:r>
                    <w:rPr>
                      <w:rFonts w:hint="eastAsia"/>
                      <w:color w:val="auto"/>
                      <w:vertAlign w:val="baseline"/>
                      <w:lang w:val="en-US" w:eastAsia="zh-CN"/>
                    </w:rPr>
                    <w:t>动植物油</w:t>
                  </w:r>
                </w:p>
              </w:tc>
              <w:tc>
                <w:tcPr>
                  <w:tcW w:w="378" w:type="pct"/>
                  <w:vMerge w:val="continue"/>
                  <w:tcBorders>
                    <w:tl2br w:val="nil"/>
                    <w:tr2bl w:val="nil"/>
                  </w:tcBorders>
                  <w:noWrap w:val="0"/>
                  <w:vAlign w:val="center"/>
                </w:tcPr>
                <w:p w14:paraId="70DB96E7">
                  <w:pPr>
                    <w:pStyle w:val="66"/>
                    <w:bidi w:val="0"/>
                    <w:rPr>
                      <w:rFonts w:hint="eastAsia"/>
                      <w:color w:val="auto"/>
                      <w:lang w:val="en-US" w:eastAsia="zh-CN"/>
                    </w:rPr>
                  </w:pPr>
                </w:p>
              </w:tc>
              <w:tc>
                <w:tcPr>
                  <w:tcW w:w="393" w:type="pct"/>
                  <w:vMerge w:val="continue"/>
                  <w:tcBorders>
                    <w:tl2br w:val="nil"/>
                    <w:tr2bl w:val="nil"/>
                  </w:tcBorders>
                  <w:noWrap w:val="0"/>
                  <w:vAlign w:val="center"/>
                </w:tcPr>
                <w:p w14:paraId="0060A485">
                  <w:pPr>
                    <w:pStyle w:val="66"/>
                    <w:bidi w:val="0"/>
                    <w:rPr>
                      <w:rFonts w:hint="eastAsia"/>
                      <w:color w:val="auto"/>
                      <w:lang w:val="en-US" w:eastAsia="zh-CN"/>
                    </w:rPr>
                  </w:pPr>
                </w:p>
              </w:tc>
              <w:tc>
                <w:tcPr>
                  <w:tcW w:w="358" w:type="pct"/>
                  <w:tcBorders>
                    <w:tl2br w:val="nil"/>
                    <w:tr2bl w:val="nil"/>
                  </w:tcBorders>
                  <w:noWrap w:val="0"/>
                  <w:vAlign w:val="center"/>
                </w:tcPr>
                <w:p w14:paraId="5C144360">
                  <w:pPr>
                    <w:pStyle w:val="66"/>
                    <w:bidi w:val="0"/>
                    <w:rPr>
                      <w:rFonts w:hint="default"/>
                      <w:color w:val="auto"/>
                      <w:lang w:val="en-US" w:eastAsia="zh-CN"/>
                    </w:rPr>
                  </w:pPr>
                  <w:r>
                    <w:rPr>
                      <w:rFonts w:hint="eastAsia"/>
                      <w:color w:val="auto"/>
                      <w:lang w:val="en-US" w:eastAsia="zh-CN"/>
                    </w:rPr>
                    <w:t>30</w:t>
                  </w:r>
                </w:p>
              </w:tc>
              <w:tc>
                <w:tcPr>
                  <w:tcW w:w="571" w:type="pct"/>
                  <w:tcBorders>
                    <w:tl2br w:val="nil"/>
                    <w:tr2bl w:val="nil"/>
                  </w:tcBorders>
                  <w:noWrap w:val="0"/>
                  <w:vAlign w:val="center"/>
                </w:tcPr>
                <w:p w14:paraId="1F92D982">
                  <w:pPr>
                    <w:pStyle w:val="66"/>
                    <w:bidi w:val="0"/>
                    <w:rPr>
                      <w:rFonts w:hint="default"/>
                      <w:color w:val="auto"/>
                      <w:lang w:val="en-US" w:eastAsia="zh-CN"/>
                    </w:rPr>
                  </w:pPr>
                  <w:r>
                    <w:rPr>
                      <w:rFonts w:hint="eastAsia"/>
                      <w:color w:val="auto"/>
                      <w:lang w:val="en-US" w:eastAsia="zh-CN"/>
                    </w:rPr>
                    <w:t>0.0127</w:t>
                  </w:r>
                </w:p>
              </w:tc>
              <w:tc>
                <w:tcPr>
                  <w:tcW w:w="429" w:type="pct"/>
                  <w:vMerge w:val="continue"/>
                  <w:tcBorders>
                    <w:tl2br w:val="nil"/>
                    <w:tr2bl w:val="nil"/>
                  </w:tcBorders>
                  <w:noWrap w:val="0"/>
                  <w:vAlign w:val="center"/>
                </w:tcPr>
                <w:p w14:paraId="71293619">
                  <w:pPr>
                    <w:pStyle w:val="66"/>
                    <w:bidi w:val="0"/>
                    <w:rPr>
                      <w:rFonts w:hint="eastAsia"/>
                      <w:color w:val="auto"/>
                      <w:lang w:val="en-US" w:eastAsia="zh-CN"/>
                    </w:rPr>
                  </w:pPr>
                </w:p>
              </w:tc>
              <w:tc>
                <w:tcPr>
                  <w:tcW w:w="331" w:type="pct"/>
                  <w:tcBorders>
                    <w:tl2br w:val="nil"/>
                    <w:tr2bl w:val="nil"/>
                  </w:tcBorders>
                  <w:noWrap w:val="0"/>
                  <w:vAlign w:val="center"/>
                </w:tcPr>
                <w:p w14:paraId="1C3270FE">
                  <w:pPr>
                    <w:pStyle w:val="66"/>
                    <w:bidi w:val="0"/>
                    <w:rPr>
                      <w:rFonts w:hint="default"/>
                      <w:color w:val="auto"/>
                      <w:lang w:val="en-US" w:eastAsia="zh-CN"/>
                    </w:rPr>
                  </w:pPr>
                  <w:r>
                    <w:rPr>
                      <w:rFonts w:hint="eastAsia"/>
                      <w:color w:val="auto"/>
                      <w:lang w:val="en-US" w:eastAsia="zh-CN"/>
                    </w:rPr>
                    <w:t>55</w:t>
                  </w:r>
                </w:p>
              </w:tc>
              <w:tc>
                <w:tcPr>
                  <w:tcW w:w="285" w:type="pct"/>
                  <w:vMerge w:val="continue"/>
                  <w:tcBorders>
                    <w:tl2br w:val="nil"/>
                    <w:tr2bl w:val="nil"/>
                  </w:tcBorders>
                  <w:noWrap w:val="0"/>
                  <w:vAlign w:val="center"/>
                </w:tcPr>
                <w:p w14:paraId="24D4E4AF">
                  <w:pPr>
                    <w:pStyle w:val="66"/>
                    <w:bidi w:val="0"/>
                    <w:rPr>
                      <w:rFonts w:hint="eastAsia"/>
                      <w:color w:val="auto"/>
                      <w:lang w:val="en-US" w:eastAsia="zh-CN"/>
                    </w:rPr>
                  </w:pPr>
                </w:p>
              </w:tc>
              <w:tc>
                <w:tcPr>
                  <w:tcW w:w="315" w:type="pct"/>
                  <w:vMerge w:val="continue"/>
                  <w:tcBorders>
                    <w:tl2br w:val="nil"/>
                    <w:tr2bl w:val="nil"/>
                  </w:tcBorders>
                  <w:noWrap w:val="0"/>
                  <w:vAlign w:val="center"/>
                </w:tcPr>
                <w:p w14:paraId="178ABD21">
                  <w:pPr>
                    <w:pStyle w:val="66"/>
                    <w:bidi w:val="0"/>
                    <w:rPr>
                      <w:rFonts w:hint="eastAsia"/>
                      <w:color w:val="auto"/>
                      <w:lang w:val="en-US" w:eastAsia="zh-CN"/>
                    </w:rPr>
                  </w:pPr>
                </w:p>
              </w:tc>
              <w:tc>
                <w:tcPr>
                  <w:tcW w:w="295" w:type="pct"/>
                  <w:tcBorders>
                    <w:tl2br w:val="nil"/>
                    <w:tr2bl w:val="nil"/>
                  </w:tcBorders>
                  <w:noWrap w:val="0"/>
                  <w:vAlign w:val="center"/>
                </w:tcPr>
                <w:p w14:paraId="7122A1CE">
                  <w:pPr>
                    <w:pStyle w:val="66"/>
                    <w:bidi w:val="0"/>
                    <w:rPr>
                      <w:rFonts w:hint="default"/>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0D2C76DB">
                  <w:pPr>
                    <w:pStyle w:val="66"/>
                    <w:bidi w:val="0"/>
                    <w:rPr>
                      <w:rFonts w:hint="default"/>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3BA452A2">
                  <w:pPr>
                    <w:pStyle w:val="66"/>
                    <w:bidi w:val="0"/>
                    <w:rPr>
                      <w:rFonts w:hint="eastAsia"/>
                      <w:color w:val="auto"/>
                      <w:lang w:val="en-US" w:eastAsia="zh-CN"/>
                    </w:rPr>
                  </w:pPr>
                </w:p>
              </w:tc>
            </w:tr>
            <w:tr w14:paraId="27AC9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14:paraId="622941F2">
                  <w:pPr>
                    <w:pStyle w:val="66"/>
                    <w:bidi w:val="0"/>
                    <w:rPr>
                      <w:rFonts w:hint="eastAsia"/>
                      <w:color w:val="auto"/>
                      <w:lang w:val="en-US" w:eastAsia="zh-CN"/>
                    </w:rPr>
                  </w:pPr>
                </w:p>
              </w:tc>
              <w:tc>
                <w:tcPr>
                  <w:tcW w:w="363" w:type="pct"/>
                  <w:vMerge w:val="continue"/>
                  <w:tcBorders>
                    <w:tl2br w:val="nil"/>
                    <w:tr2bl w:val="nil"/>
                  </w:tcBorders>
                  <w:noWrap w:val="0"/>
                  <w:vAlign w:val="center"/>
                </w:tcPr>
                <w:p w14:paraId="76465F07">
                  <w:pPr>
                    <w:pStyle w:val="66"/>
                    <w:bidi w:val="0"/>
                    <w:rPr>
                      <w:rFonts w:hint="eastAsia"/>
                      <w:color w:val="auto"/>
                      <w:lang w:val="en-US" w:eastAsia="zh-CN"/>
                    </w:rPr>
                  </w:pPr>
                </w:p>
              </w:tc>
              <w:tc>
                <w:tcPr>
                  <w:tcW w:w="392" w:type="pct"/>
                  <w:tcBorders>
                    <w:tl2br w:val="nil"/>
                    <w:tr2bl w:val="nil"/>
                  </w:tcBorders>
                  <w:noWrap w:val="0"/>
                  <w:vAlign w:val="center"/>
                </w:tcPr>
                <w:p w14:paraId="0FE0BC07">
                  <w:pPr>
                    <w:pStyle w:val="66"/>
                    <w:bidi w:val="0"/>
                    <w:rPr>
                      <w:rFonts w:hint="eastAsia"/>
                      <w:color w:val="auto"/>
                      <w:lang w:val="en-US" w:eastAsia="zh-CN"/>
                    </w:rPr>
                  </w:pPr>
                  <w:r>
                    <w:rPr>
                      <w:rFonts w:hint="eastAsia"/>
                      <w:color w:val="auto"/>
                      <w:lang w:val="en-US" w:eastAsia="zh-CN"/>
                    </w:rPr>
                    <w:t>TP</w:t>
                  </w:r>
                </w:p>
              </w:tc>
              <w:tc>
                <w:tcPr>
                  <w:tcW w:w="378" w:type="pct"/>
                  <w:vMerge w:val="continue"/>
                  <w:tcBorders>
                    <w:tl2br w:val="nil"/>
                    <w:tr2bl w:val="nil"/>
                  </w:tcBorders>
                  <w:noWrap w:val="0"/>
                  <w:vAlign w:val="center"/>
                </w:tcPr>
                <w:p w14:paraId="5C50BAD5">
                  <w:pPr>
                    <w:pStyle w:val="66"/>
                    <w:bidi w:val="0"/>
                    <w:rPr>
                      <w:rFonts w:hint="eastAsia"/>
                      <w:color w:val="auto"/>
                      <w:lang w:val="en-US" w:eastAsia="zh-CN"/>
                    </w:rPr>
                  </w:pPr>
                </w:p>
              </w:tc>
              <w:tc>
                <w:tcPr>
                  <w:tcW w:w="393" w:type="pct"/>
                  <w:vMerge w:val="continue"/>
                  <w:tcBorders>
                    <w:tl2br w:val="nil"/>
                    <w:tr2bl w:val="nil"/>
                  </w:tcBorders>
                  <w:noWrap w:val="0"/>
                  <w:vAlign w:val="center"/>
                </w:tcPr>
                <w:p w14:paraId="7A475A1F">
                  <w:pPr>
                    <w:pStyle w:val="66"/>
                    <w:bidi w:val="0"/>
                    <w:rPr>
                      <w:rFonts w:hint="eastAsia"/>
                      <w:color w:val="auto"/>
                      <w:lang w:val="en-US" w:eastAsia="zh-CN"/>
                    </w:rPr>
                  </w:pPr>
                </w:p>
              </w:tc>
              <w:tc>
                <w:tcPr>
                  <w:tcW w:w="358" w:type="pct"/>
                  <w:tcBorders>
                    <w:tl2br w:val="nil"/>
                    <w:tr2bl w:val="nil"/>
                  </w:tcBorders>
                  <w:noWrap w:val="0"/>
                  <w:vAlign w:val="center"/>
                </w:tcPr>
                <w:p w14:paraId="545AAF6B">
                  <w:pPr>
                    <w:pStyle w:val="66"/>
                    <w:bidi w:val="0"/>
                    <w:rPr>
                      <w:rFonts w:hint="default"/>
                      <w:color w:val="auto"/>
                      <w:lang w:val="en-US" w:eastAsia="zh-CN"/>
                    </w:rPr>
                  </w:pPr>
                  <w:r>
                    <w:rPr>
                      <w:rFonts w:hint="eastAsia"/>
                      <w:color w:val="auto"/>
                      <w:lang w:val="en-US" w:eastAsia="zh-CN"/>
                    </w:rPr>
                    <w:t>5</w:t>
                  </w:r>
                </w:p>
              </w:tc>
              <w:tc>
                <w:tcPr>
                  <w:tcW w:w="571" w:type="pct"/>
                  <w:tcBorders>
                    <w:tl2br w:val="nil"/>
                    <w:tr2bl w:val="nil"/>
                  </w:tcBorders>
                  <w:noWrap w:val="0"/>
                  <w:vAlign w:val="center"/>
                </w:tcPr>
                <w:p w14:paraId="53889C5E">
                  <w:pPr>
                    <w:pStyle w:val="66"/>
                    <w:bidi w:val="0"/>
                    <w:rPr>
                      <w:rFonts w:hint="default"/>
                      <w:color w:val="auto"/>
                      <w:lang w:val="en-US" w:eastAsia="zh-CN"/>
                    </w:rPr>
                  </w:pPr>
                  <w:r>
                    <w:rPr>
                      <w:rFonts w:hint="eastAsia"/>
                      <w:color w:val="auto"/>
                      <w:lang w:val="en-US" w:eastAsia="zh-CN"/>
                    </w:rPr>
                    <w:t>0.00127</w:t>
                  </w:r>
                </w:p>
              </w:tc>
              <w:tc>
                <w:tcPr>
                  <w:tcW w:w="429" w:type="pct"/>
                  <w:vMerge w:val="continue"/>
                  <w:tcBorders>
                    <w:tl2br w:val="nil"/>
                    <w:tr2bl w:val="nil"/>
                  </w:tcBorders>
                  <w:noWrap w:val="0"/>
                  <w:vAlign w:val="center"/>
                </w:tcPr>
                <w:p w14:paraId="4F3E817E">
                  <w:pPr>
                    <w:pStyle w:val="66"/>
                    <w:bidi w:val="0"/>
                    <w:rPr>
                      <w:rFonts w:hint="eastAsia"/>
                      <w:color w:val="auto"/>
                      <w:lang w:val="en-US" w:eastAsia="zh-CN"/>
                    </w:rPr>
                  </w:pPr>
                </w:p>
              </w:tc>
              <w:tc>
                <w:tcPr>
                  <w:tcW w:w="331" w:type="pct"/>
                  <w:tcBorders>
                    <w:tl2br w:val="nil"/>
                    <w:tr2bl w:val="nil"/>
                  </w:tcBorders>
                  <w:noWrap w:val="0"/>
                  <w:vAlign w:val="center"/>
                </w:tcPr>
                <w:p w14:paraId="24F7DC6C">
                  <w:pPr>
                    <w:pStyle w:val="66"/>
                    <w:bidi w:val="0"/>
                    <w:rPr>
                      <w:rFonts w:hint="default"/>
                      <w:color w:val="auto"/>
                      <w:lang w:val="en-US" w:eastAsia="zh-CN"/>
                    </w:rPr>
                  </w:pPr>
                  <w:r>
                    <w:rPr>
                      <w:rFonts w:hint="eastAsia"/>
                      <w:color w:val="auto"/>
                      <w:lang w:val="en-US" w:eastAsia="zh-CN"/>
                    </w:rPr>
                    <w:t>/</w:t>
                  </w:r>
                </w:p>
              </w:tc>
              <w:tc>
                <w:tcPr>
                  <w:tcW w:w="285" w:type="pct"/>
                  <w:vMerge w:val="continue"/>
                  <w:tcBorders>
                    <w:tl2br w:val="nil"/>
                    <w:tr2bl w:val="nil"/>
                  </w:tcBorders>
                  <w:noWrap w:val="0"/>
                  <w:vAlign w:val="center"/>
                </w:tcPr>
                <w:p w14:paraId="1F43BAD3">
                  <w:pPr>
                    <w:pStyle w:val="66"/>
                    <w:bidi w:val="0"/>
                    <w:rPr>
                      <w:rFonts w:hint="eastAsia"/>
                      <w:color w:val="auto"/>
                      <w:lang w:val="en-US" w:eastAsia="zh-CN"/>
                    </w:rPr>
                  </w:pPr>
                </w:p>
              </w:tc>
              <w:tc>
                <w:tcPr>
                  <w:tcW w:w="315" w:type="pct"/>
                  <w:vMerge w:val="continue"/>
                  <w:tcBorders>
                    <w:tl2br w:val="nil"/>
                    <w:tr2bl w:val="nil"/>
                  </w:tcBorders>
                  <w:noWrap w:val="0"/>
                  <w:vAlign w:val="center"/>
                </w:tcPr>
                <w:p w14:paraId="4B48DCB3">
                  <w:pPr>
                    <w:pStyle w:val="66"/>
                    <w:bidi w:val="0"/>
                    <w:rPr>
                      <w:rFonts w:hint="eastAsia"/>
                      <w:color w:val="auto"/>
                      <w:lang w:val="en-US" w:eastAsia="zh-CN"/>
                    </w:rPr>
                  </w:pPr>
                </w:p>
              </w:tc>
              <w:tc>
                <w:tcPr>
                  <w:tcW w:w="295" w:type="pct"/>
                  <w:tcBorders>
                    <w:tl2br w:val="nil"/>
                    <w:tr2bl w:val="nil"/>
                  </w:tcBorders>
                  <w:noWrap w:val="0"/>
                  <w:vAlign w:val="center"/>
                </w:tcPr>
                <w:p w14:paraId="76D59457">
                  <w:pPr>
                    <w:pStyle w:val="66"/>
                    <w:bidi w:val="0"/>
                    <w:rPr>
                      <w:rFonts w:hint="eastAsia"/>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20975022">
                  <w:pPr>
                    <w:pStyle w:val="66"/>
                    <w:bidi w:val="0"/>
                    <w:rPr>
                      <w:rFonts w:hint="eastAsia"/>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5DC380DD">
                  <w:pPr>
                    <w:pStyle w:val="66"/>
                    <w:bidi w:val="0"/>
                    <w:rPr>
                      <w:rFonts w:hint="eastAsia"/>
                      <w:color w:val="auto"/>
                      <w:lang w:val="en-US" w:eastAsia="zh-CN"/>
                    </w:rPr>
                  </w:pPr>
                </w:p>
              </w:tc>
            </w:tr>
            <w:tr w14:paraId="4F3FF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4" w:type="pct"/>
                  <w:vMerge w:val="continue"/>
                  <w:tcBorders>
                    <w:tl2br w:val="nil"/>
                    <w:tr2bl w:val="nil"/>
                  </w:tcBorders>
                  <w:noWrap w:val="0"/>
                  <w:vAlign w:val="center"/>
                </w:tcPr>
                <w:p w14:paraId="7DD89D72">
                  <w:pPr>
                    <w:pStyle w:val="66"/>
                    <w:bidi w:val="0"/>
                    <w:rPr>
                      <w:rFonts w:hint="eastAsia"/>
                      <w:color w:val="auto"/>
                      <w:lang w:val="en-US" w:eastAsia="zh-CN"/>
                    </w:rPr>
                  </w:pPr>
                </w:p>
              </w:tc>
              <w:tc>
                <w:tcPr>
                  <w:tcW w:w="363" w:type="pct"/>
                  <w:vMerge w:val="continue"/>
                  <w:tcBorders>
                    <w:tl2br w:val="nil"/>
                    <w:tr2bl w:val="nil"/>
                  </w:tcBorders>
                  <w:noWrap w:val="0"/>
                  <w:vAlign w:val="center"/>
                </w:tcPr>
                <w:p w14:paraId="2E1154BA">
                  <w:pPr>
                    <w:pStyle w:val="66"/>
                    <w:bidi w:val="0"/>
                    <w:rPr>
                      <w:rFonts w:hint="eastAsia"/>
                      <w:color w:val="auto"/>
                      <w:lang w:val="en-US" w:eastAsia="zh-CN"/>
                    </w:rPr>
                  </w:pPr>
                </w:p>
              </w:tc>
              <w:tc>
                <w:tcPr>
                  <w:tcW w:w="392" w:type="pct"/>
                  <w:tcBorders>
                    <w:tl2br w:val="nil"/>
                    <w:tr2bl w:val="nil"/>
                  </w:tcBorders>
                  <w:noWrap w:val="0"/>
                  <w:vAlign w:val="center"/>
                </w:tcPr>
                <w:p w14:paraId="0BF3B7CF">
                  <w:pPr>
                    <w:pStyle w:val="66"/>
                    <w:bidi w:val="0"/>
                    <w:rPr>
                      <w:rFonts w:hint="eastAsia"/>
                      <w:color w:val="auto"/>
                      <w:lang w:val="en-US" w:eastAsia="zh-CN"/>
                    </w:rPr>
                  </w:pPr>
                  <w:r>
                    <w:rPr>
                      <w:rFonts w:hint="eastAsia"/>
                      <w:color w:val="auto"/>
                      <w:lang w:val="en-US" w:eastAsia="zh-CN"/>
                    </w:rPr>
                    <w:t>TN</w:t>
                  </w:r>
                </w:p>
              </w:tc>
              <w:tc>
                <w:tcPr>
                  <w:tcW w:w="378" w:type="pct"/>
                  <w:vMerge w:val="continue"/>
                  <w:tcBorders>
                    <w:tl2br w:val="nil"/>
                    <w:tr2bl w:val="nil"/>
                  </w:tcBorders>
                  <w:noWrap w:val="0"/>
                  <w:vAlign w:val="center"/>
                </w:tcPr>
                <w:p w14:paraId="339101D3">
                  <w:pPr>
                    <w:pStyle w:val="66"/>
                    <w:bidi w:val="0"/>
                    <w:rPr>
                      <w:rFonts w:hint="eastAsia"/>
                      <w:color w:val="auto"/>
                      <w:lang w:val="en-US" w:eastAsia="zh-CN"/>
                    </w:rPr>
                  </w:pPr>
                </w:p>
              </w:tc>
              <w:tc>
                <w:tcPr>
                  <w:tcW w:w="393" w:type="pct"/>
                  <w:vMerge w:val="continue"/>
                  <w:tcBorders>
                    <w:tl2br w:val="nil"/>
                    <w:tr2bl w:val="nil"/>
                  </w:tcBorders>
                  <w:noWrap w:val="0"/>
                  <w:vAlign w:val="center"/>
                </w:tcPr>
                <w:p w14:paraId="32806B6F">
                  <w:pPr>
                    <w:pStyle w:val="66"/>
                    <w:bidi w:val="0"/>
                    <w:rPr>
                      <w:rFonts w:hint="eastAsia"/>
                      <w:color w:val="auto"/>
                      <w:lang w:val="en-US" w:eastAsia="zh-CN"/>
                    </w:rPr>
                  </w:pPr>
                </w:p>
              </w:tc>
              <w:tc>
                <w:tcPr>
                  <w:tcW w:w="358" w:type="pct"/>
                  <w:tcBorders>
                    <w:tl2br w:val="nil"/>
                    <w:tr2bl w:val="nil"/>
                  </w:tcBorders>
                  <w:noWrap w:val="0"/>
                  <w:vAlign w:val="center"/>
                </w:tcPr>
                <w:p w14:paraId="433DBCA3">
                  <w:pPr>
                    <w:pStyle w:val="66"/>
                    <w:bidi w:val="0"/>
                    <w:rPr>
                      <w:rFonts w:hint="default"/>
                      <w:color w:val="auto"/>
                      <w:lang w:val="en-US" w:eastAsia="zh-CN"/>
                    </w:rPr>
                  </w:pPr>
                  <w:r>
                    <w:rPr>
                      <w:rFonts w:hint="eastAsia"/>
                      <w:color w:val="auto"/>
                      <w:lang w:val="en-US" w:eastAsia="zh-CN"/>
                    </w:rPr>
                    <w:t>60</w:t>
                  </w:r>
                </w:p>
              </w:tc>
              <w:tc>
                <w:tcPr>
                  <w:tcW w:w="571" w:type="pct"/>
                  <w:tcBorders>
                    <w:tl2br w:val="nil"/>
                    <w:tr2bl w:val="nil"/>
                  </w:tcBorders>
                  <w:noWrap w:val="0"/>
                  <w:vAlign w:val="center"/>
                </w:tcPr>
                <w:p w14:paraId="567A11CA">
                  <w:pPr>
                    <w:pStyle w:val="66"/>
                    <w:bidi w:val="0"/>
                    <w:rPr>
                      <w:rFonts w:hint="default"/>
                      <w:color w:val="auto"/>
                      <w:lang w:val="en-US" w:eastAsia="zh-CN"/>
                    </w:rPr>
                  </w:pPr>
                  <w:r>
                    <w:rPr>
                      <w:rFonts w:hint="eastAsia"/>
                      <w:color w:val="auto"/>
                      <w:lang w:val="en-US" w:eastAsia="zh-CN"/>
                    </w:rPr>
                    <w:t>0.0254</w:t>
                  </w:r>
                </w:p>
              </w:tc>
              <w:tc>
                <w:tcPr>
                  <w:tcW w:w="429" w:type="pct"/>
                  <w:vMerge w:val="continue"/>
                  <w:tcBorders>
                    <w:tl2br w:val="nil"/>
                    <w:tr2bl w:val="nil"/>
                  </w:tcBorders>
                  <w:noWrap w:val="0"/>
                  <w:vAlign w:val="center"/>
                </w:tcPr>
                <w:p w14:paraId="2B820A5E">
                  <w:pPr>
                    <w:pStyle w:val="66"/>
                    <w:bidi w:val="0"/>
                    <w:rPr>
                      <w:rFonts w:hint="eastAsia"/>
                      <w:color w:val="auto"/>
                      <w:lang w:val="en-US" w:eastAsia="zh-CN"/>
                    </w:rPr>
                  </w:pPr>
                </w:p>
              </w:tc>
              <w:tc>
                <w:tcPr>
                  <w:tcW w:w="331" w:type="pct"/>
                  <w:tcBorders>
                    <w:tl2br w:val="nil"/>
                    <w:tr2bl w:val="nil"/>
                  </w:tcBorders>
                  <w:noWrap w:val="0"/>
                  <w:vAlign w:val="center"/>
                </w:tcPr>
                <w:p w14:paraId="34EB0E93">
                  <w:pPr>
                    <w:pStyle w:val="66"/>
                    <w:bidi w:val="0"/>
                    <w:rPr>
                      <w:rFonts w:hint="default"/>
                      <w:color w:val="auto"/>
                      <w:lang w:val="en-US" w:eastAsia="zh-CN"/>
                    </w:rPr>
                  </w:pPr>
                  <w:r>
                    <w:rPr>
                      <w:rFonts w:hint="eastAsia"/>
                      <w:color w:val="auto"/>
                      <w:lang w:val="en-US" w:eastAsia="zh-CN"/>
                    </w:rPr>
                    <w:t>/</w:t>
                  </w:r>
                </w:p>
              </w:tc>
              <w:tc>
                <w:tcPr>
                  <w:tcW w:w="285" w:type="pct"/>
                  <w:vMerge w:val="continue"/>
                  <w:tcBorders>
                    <w:tl2br w:val="nil"/>
                    <w:tr2bl w:val="nil"/>
                  </w:tcBorders>
                  <w:noWrap w:val="0"/>
                  <w:vAlign w:val="center"/>
                </w:tcPr>
                <w:p w14:paraId="7BAE80BC">
                  <w:pPr>
                    <w:pStyle w:val="66"/>
                    <w:bidi w:val="0"/>
                    <w:rPr>
                      <w:rFonts w:hint="eastAsia"/>
                      <w:color w:val="auto"/>
                      <w:lang w:val="en-US" w:eastAsia="zh-CN"/>
                    </w:rPr>
                  </w:pPr>
                </w:p>
              </w:tc>
              <w:tc>
                <w:tcPr>
                  <w:tcW w:w="315" w:type="pct"/>
                  <w:vMerge w:val="continue"/>
                  <w:tcBorders>
                    <w:tl2br w:val="nil"/>
                    <w:tr2bl w:val="nil"/>
                  </w:tcBorders>
                  <w:noWrap w:val="0"/>
                  <w:vAlign w:val="center"/>
                </w:tcPr>
                <w:p w14:paraId="725362BF">
                  <w:pPr>
                    <w:pStyle w:val="66"/>
                    <w:bidi w:val="0"/>
                    <w:rPr>
                      <w:rFonts w:hint="eastAsia"/>
                      <w:color w:val="auto"/>
                      <w:lang w:val="en-US" w:eastAsia="zh-CN"/>
                    </w:rPr>
                  </w:pPr>
                </w:p>
              </w:tc>
              <w:tc>
                <w:tcPr>
                  <w:tcW w:w="295" w:type="pct"/>
                  <w:tcBorders>
                    <w:tl2br w:val="nil"/>
                    <w:tr2bl w:val="nil"/>
                  </w:tcBorders>
                  <w:noWrap w:val="0"/>
                  <w:vAlign w:val="center"/>
                </w:tcPr>
                <w:p w14:paraId="282F53A9">
                  <w:pPr>
                    <w:pStyle w:val="66"/>
                    <w:bidi w:val="0"/>
                    <w:rPr>
                      <w:rFonts w:hint="eastAsia"/>
                      <w:color w:val="auto"/>
                      <w:lang w:val="en-US" w:eastAsia="zh-CN"/>
                    </w:rPr>
                  </w:pPr>
                  <w:r>
                    <w:rPr>
                      <w:rFonts w:hint="eastAsia"/>
                      <w:color w:val="auto"/>
                      <w:lang w:val="en-US" w:eastAsia="zh-CN"/>
                    </w:rPr>
                    <w:t>/</w:t>
                  </w:r>
                </w:p>
              </w:tc>
              <w:tc>
                <w:tcPr>
                  <w:tcW w:w="282" w:type="pct"/>
                  <w:tcBorders>
                    <w:tl2br w:val="nil"/>
                    <w:tr2bl w:val="nil"/>
                  </w:tcBorders>
                  <w:noWrap w:val="0"/>
                  <w:vAlign w:val="center"/>
                </w:tcPr>
                <w:p w14:paraId="6AF9F700">
                  <w:pPr>
                    <w:pStyle w:val="66"/>
                    <w:bidi w:val="0"/>
                    <w:rPr>
                      <w:rFonts w:hint="eastAsia"/>
                      <w:color w:val="auto"/>
                      <w:lang w:val="en-US" w:eastAsia="zh-CN"/>
                    </w:rPr>
                  </w:pPr>
                  <w:r>
                    <w:rPr>
                      <w:rFonts w:hint="eastAsia"/>
                      <w:color w:val="auto"/>
                      <w:lang w:val="en-US" w:eastAsia="zh-CN"/>
                    </w:rPr>
                    <w:t>0</w:t>
                  </w:r>
                </w:p>
              </w:tc>
              <w:tc>
                <w:tcPr>
                  <w:tcW w:w="279" w:type="pct"/>
                  <w:vMerge w:val="continue"/>
                  <w:tcBorders>
                    <w:tl2br w:val="nil"/>
                    <w:tr2bl w:val="nil"/>
                  </w:tcBorders>
                  <w:noWrap w:val="0"/>
                  <w:vAlign w:val="center"/>
                </w:tcPr>
                <w:p w14:paraId="7D4CF832">
                  <w:pPr>
                    <w:pStyle w:val="66"/>
                    <w:bidi w:val="0"/>
                    <w:rPr>
                      <w:rFonts w:hint="eastAsia"/>
                      <w:color w:val="auto"/>
                      <w:lang w:val="en-US" w:eastAsia="zh-CN"/>
                    </w:rPr>
                  </w:pPr>
                </w:p>
              </w:tc>
            </w:tr>
          </w:tbl>
          <w:p w14:paraId="75C3DC6C">
            <w:pPr>
              <w:pStyle w:val="71"/>
              <w:bidi w:val="0"/>
              <w:rPr>
                <w:color w:val="auto"/>
              </w:rPr>
            </w:pPr>
          </w:p>
          <w:p w14:paraId="078CABB4">
            <w:pPr>
              <w:pStyle w:val="71"/>
              <w:bidi w:val="0"/>
              <w:rPr>
                <w:color w:val="auto"/>
              </w:rPr>
            </w:pPr>
          </w:p>
          <w:p w14:paraId="1608C939">
            <w:pPr>
              <w:pStyle w:val="71"/>
              <w:bidi w:val="0"/>
              <w:rPr>
                <w:color w:val="auto"/>
              </w:rPr>
            </w:pPr>
          </w:p>
          <w:p w14:paraId="55A26BE8">
            <w:pPr>
              <w:pStyle w:val="71"/>
              <w:bidi w:val="0"/>
              <w:rPr>
                <w:color w:val="auto"/>
              </w:rPr>
            </w:pPr>
          </w:p>
          <w:p w14:paraId="12A28785">
            <w:pPr>
              <w:pStyle w:val="71"/>
              <w:bidi w:val="0"/>
              <w:rPr>
                <w:color w:val="auto"/>
              </w:rPr>
            </w:pPr>
          </w:p>
          <w:p w14:paraId="25CFB7DE">
            <w:pPr>
              <w:pStyle w:val="71"/>
              <w:bidi w:val="0"/>
              <w:rPr>
                <w:color w:val="auto"/>
              </w:rPr>
            </w:pPr>
          </w:p>
          <w:p w14:paraId="5EF4B8E4">
            <w:pPr>
              <w:pStyle w:val="71"/>
              <w:bidi w:val="0"/>
              <w:rPr>
                <w:color w:val="auto"/>
              </w:rPr>
            </w:pPr>
          </w:p>
          <w:p w14:paraId="0E1D327A">
            <w:pPr>
              <w:pStyle w:val="71"/>
              <w:bidi w:val="0"/>
              <w:rPr>
                <w:color w:val="auto"/>
              </w:rPr>
            </w:pPr>
          </w:p>
          <w:p w14:paraId="4333990A">
            <w:pPr>
              <w:pStyle w:val="71"/>
              <w:bidi w:val="0"/>
              <w:rPr>
                <w:color w:val="auto"/>
              </w:rPr>
            </w:pPr>
          </w:p>
        </w:tc>
      </w:tr>
    </w:tbl>
    <w:p w14:paraId="2027855C">
      <w:pPr>
        <w:rPr>
          <w:color w:val="auto"/>
        </w:rPr>
        <w:sectPr>
          <w:pgSz w:w="16838" w:h="11905" w:orient="landscape"/>
          <w:pgMar w:top="1304" w:right="1440" w:bottom="1304" w:left="1440" w:header="851" w:footer="1077" w:gutter="0"/>
          <w:pgBorders>
            <w:top w:val="none" w:sz="0" w:space="0"/>
            <w:left w:val="none" w:sz="0" w:space="0"/>
            <w:bottom w:val="none" w:sz="0" w:space="0"/>
            <w:right w:val="none" w:sz="0" w:space="0"/>
          </w:pgBorders>
          <w:cols w:space="720" w:num="1"/>
          <w:rtlGutter w:val="0"/>
          <w:docGrid w:type="linesAndChars" w:linePitch="312" w:charSpace="0"/>
        </w:sectPr>
      </w:pPr>
    </w:p>
    <w:tbl>
      <w:tblPr>
        <w:tblStyle w:val="3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8"/>
        <w:gridCol w:w="8893"/>
      </w:tblGrid>
      <w:tr w14:paraId="0AA03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5" w:hRule="atLeast"/>
          <w:jc w:val="center"/>
        </w:trPr>
        <w:tc>
          <w:tcPr>
            <w:tcW w:w="538" w:type="dxa"/>
            <w:noWrap w:val="0"/>
            <w:tcMar>
              <w:left w:w="28" w:type="dxa"/>
              <w:right w:w="28" w:type="dxa"/>
            </w:tcMar>
            <w:vAlign w:val="center"/>
          </w:tcPr>
          <w:p w14:paraId="5574377C">
            <w:pPr>
              <w:adjustRightInd w:val="0"/>
              <w:snapToGrid w:val="0"/>
              <w:jc w:val="center"/>
              <w:rPr>
                <w:rFonts w:hint="eastAsia" w:ascii="宋体" w:hAnsi="宋体" w:cs="宋体"/>
                <w:bCs/>
                <w:color w:val="auto"/>
                <w:sz w:val="24"/>
                <w:szCs w:val="24"/>
              </w:rPr>
            </w:pPr>
            <w:r>
              <w:rPr>
                <w:rFonts w:hint="eastAsia" w:ascii="宋体" w:hAnsi="宋体" w:cs="宋体"/>
                <w:bCs/>
                <w:color w:val="auto"/>
                <w:sz w:val="24"/>
                <w:szCs w:val="24"/>
              </w:rPr>
              <w:t>运营期环境影响和保护措施</w:t>
            </w:r>
          </w:p>
        </w:tc>
        <w:tc>
          <w:tcPr>
            <w:tcW w:w="8893" w:type="dxa"/>
            <w:noWrap w:val="0"/>
            <w:vAlign w:val="center"/>
          </w:tcPr>
          <w:p w14:paraId="768F47C8">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2、污染防治措施可行性分析</w:t>
            </w:r>
          </w:p>
          <w:p w14:paraId="153E4A78">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（1）生活废水处理可行性分析</w:t>
            </w:r>
          </w:p>
          <w:p w14:paraId="30B07BD7">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eastAsia="宋体"/>
                <w:b w:val="0"/>
                <w:bCs w:val="0"/>
                <w:color w:val="auto"/>
                <w:lang w:val="en-US" w:eastAsia="zh-CN"/>
              </w:rPr>
            </w:pPr>
            <w:r>
              <w:rPr>
                <w:rFonts w:hint="default" w:ascii="Times New Roman" w:hAnsi="Times New Roman" w:eastAsia="宋体" w:cs="Times New Roman"/>
                <w:b w:val="0"/>
                <w:bCs w:val="0"/>
                <w:color w:val="auto"/>
                <w:sz w:val="24"/>
                <w:szCs w:val="24"/>
                <w:highlight w:val="none"/>
                <w:lang w:val="zh-CN"/>
              </w:rPr>
              <w:t>①</w:t>
            </w:r>
            <w:r>
              <w:rPr>
                <w:rFonts w:hint="eastAsia" w:ascii="Times New Roman" w:hAnsi="Times New Roman" w:eastAsia="宋体" w:cs="Times New Roman"/>
                <w:b w:val="0"/>
                <w:bCs w:val="0"/>
                <w:color w:val="auto"/>
                <w:sz w:val="24"/>
                <w:szCs w:val="24"/>
                <w:highlight w:val="none"/>
                <w:lang w:val="en-US" w:eastAsia="zh-CN"/>
              </w:rPr>
              <w:t>灌溉水量可行性分析</w:t>
            </w:r>
          </w:p>
          <w:p w14:paraId="2713A6D6">
            <w:pPr>
              <w:pageBreakBefore/>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val="0"/>
                <w:color w:val="auto"/>
                <w:kern w:val="0"/>
                <w:sz w:val="24"/>
                <w:szCs w:val="24"/>
                <w:highlight w:val="none"/>
                <w:lang w:val="en-US" w:eastAsia="zh-CN" w:bidi="ar-SA"/>
              </w:rPr>
              <w:t>本项目生活污水产生总量为</w:t>
            </w:r>
            <w:r>
              <w:rPr>
                <w:rFonts w:hint="default" w:ascii="Times New Roman" w:hAnsi="Times New Roman" w:cs="Times New Roman"/>
                <w:color w:val="auto"/>
                <w:sz w:val="24"/>
                <w:highlight w:val="none"/>
                <w:lang w:val="en-US" w:eastAsia="zh-CN"/>
              </w:rPr>
              <w:t>1.16</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lang w:eastAsia="zh-CN"/>
              </w:rPr>
              <w:t>（</w:t>
            </w:r>
            <w:r>
              <w:rPr>
                <w:rFonts w:hint="default" w:ascii="Times New Roman" w:hAnsi="Times New Roman" w:cs="Times New Roman"/>
                <w:color w:val="auto"/>
                <w:sz w:val="24"/>
                <w:highlight w:val="none"/>
                <w:lang w:val="en-US" w:eastAsia="zh-CN"/>
              </w:rPr>
              <w:t>423.4</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rPr>
              <w:t>，则需要</w:t>
            </w:r>
            <w:r>
              <w:rPr>
                <w:rFonts w:hint="eastAsia" w:cs="Times New Roman"/>
                <w:color w:val="auto"/>
                <w:sz w:val="24"/>
                <w:szCs w:val="24"/>
                <w:lang w:val="en-US" w:eastAsia="zh-CN"/>
              </w:rPr>
              <w:t>7.1</w:t>
            </w:r>
            <w:r>
              <w:rPr>
                <w:rFonts w:hint="default" w:ascii="Times New Roman" w:hAnsi="Times New Roman" w:eastAsia="宋体" w:cs="Times New Roman"/>
                <w:color w:val="auto"/>
                <w:sz w:val="24"/>
                <w:szCs w:val="24"/>
              </w:rPr>
              <w:t>亩农田容纳本项目产生的农肥水。</w:t>
            </w:r>
            <w:r>
              <w:rPr>
                <w:rFonts w:hint="default" w:ascii="Times New Roman" w:hAnsi="Times New Roman" w:eastAsia="宋体" w:cs="Times New Roman"/>
                <w:b w:val="0"/>
                <w:bCs w:val="0"/>
                <w:color w:val="auto"/>
                <w:kern w:val="0"/>
                <w:sz w:val="24"/>
                <w:szCs w:val="24"/>
                <w:highlight w:val="none"/>
                <w:lang w:val="en-US" w:eastAsia="zh-CN" w:bidi="ar-SA"/>
              </w:rPr>
              <w:t>本项目周边主要种植的作物为小麦、玉米、薯类、油菜等</w:t>
            </w:r>
            <w:r>
              <w:rPr>
                <w:rFonts w:hint="default" w:ascii="Times New Roman" w:hAnsi="Times New Roman" w:eastAsia="宋体" w:cs="Times New Roman"/>
                <w:color w:val="auto"/>
                <w:kern w:val="2"/>
                <w:sz w:val="24"/>
                <w:szCs w:val="24"/>
                <w:lang w:val="en-US" w:eastAsia="zh-CN" w:bidi="ar-SA"/>
              </w:rPr>
              <w:t>，根据《江西省农业用水定额（DB36/T619-2017）》，宁都县属赣南区，灌溉保证率按75%计算。小麦、玉米、薯类、油菜等作物平均施肥用水基准定额按60m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/亩·a，</w:t>
            </w:r>
            <w:r>
              <w:rPr>
                <w:rFonts w:hint="default" w:ascii="Times New Roman" w:hAnsi="Times New Roman" w:eastAsia="宋体" w:cs="Times New Roman"/>
                <w:color w:val="auto"/>
                <w:sz w:val="24"/>
                <w:szCs w:val="24"/>
                <w:lang w:val="en-US" w:eastAsia="zh-CN"/>
              </w:rPr>
              <w:t>项目</w:t>
            </w:r>
            <w:r>
              <w:rPr>
                <w:rFonts w:hint="default" w:ascii="Times New Roman" w:hAnsi="Times New Roman" w:cs="Times New Roman"/>
                <w:color w:val="auto"/>
                <w:sz w:val="24"/>
                <w:szCs w:val="24"/>
                <w:lang w:val="en-US" w:eastAsia="zh-CN"/>
              </w:rPr>
              <w:t>四周500m范围内有</w:t>
            </w:r>
            <w:r>
              <w:rPr>
                <w:rFonts w:hint="default" w:ascii="Times New Roman" w:hAnsi="Times New Roman" w:eastAsia="宋体" w:cs="Times New Roman"/>
                <w:color w:val="auto"/>
                <w:sz w:val="24"/>
                <w:szCs w:val="24"/>
                <w:lang w:val="en-US" w:eastAsia="zh-CN"/>
              </w:rPr>
              <w:t>农田约</w:t>
            </w:r>
            <w:r>
              <w:rPr>
                <w:rFonts w:hint="default" w:ascii="Times New Roman" w:hAnsi="Times New Roman" w:cs="Times New Roman"/>
                <w:color w:val="auto"/>
                <w:sz w:val="24"/>
                <w:szCs w:val="24"/>
                <w:lang w:val="en-US" w:eastAsia="zh-CN"/>
              </w:rPr>
              <w:t>200</w:t>
            </w:r>
            <w:r>
              <w:rPr>
                <w:rFonts w:hint="default" w:ascii="Times New Roman" w:hAnsi="Times New Roman" w:eastAsia="宋体" w:cs="Times New Roman"/>
                <w:color w:val="auto"/>
                <w:sz w:val="24"/>
                <w:szCs w:val="24"/>
                <w:lang w:val="en-US" w:eastAsia="zh-CN"/>
              </w:rPr>
              <w:t>亩</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kern w:val="2"/>
                <w:sz w:val="24"/>
                <w:szCs w:val="24"/>
                <w:lang w:val="en-US" w:eastAsia="zh-CN" w:bidi="ar-SA"/>
              </w:rPr>
              <w:t>可见，项目附近耕地能完全消纳全厂产生的生活废水</w:t>
            </w:r>
            <w:r>
              <w:rPr>
                <w:rFonts w:hint="default" w:ascii="Times New Roman" w:hAnsi="Times New Roman" w:eastAsia="宋体" w:cs="Times New Roman"/>
                <w:color w:val="auto"/>
                <w:sz w:val="24"/>
                <w:highlight w:val="none"/>
              </w:rPr>
              <w:t>。</w:t>
            </w:r>
          </w:p>
          <w:p w14:paraId="0E2AE93E">
            <w:pPr>
              <w:pageBreakBefore/>
              <w:adjustRightInd w:val="0"/>
              <w:snapToGrid w:val="0"/>
              <w:spacing w:line="360" w:lineRule="auto"/>
              <w:ind w:firstLine="480" w:firstLineChars="20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综上所述，本项目生活废水</w:t>
            </w:r>
            <w:r>
              <w:rPr>
                <w:rFonts w:hint="default" w:ascii="Times New Roman" w:hAnsi="Times New Roman" w:eastAsia="宋体" w:cs="Times New Roman"/>
                <w:color w:val="auto"/>
                <w:kern w:val="2"/>
                <w:sz w:val="24"/>
                <w:szCs w:val="24"/>
                <w:lang w:val="en-US" w:eastAsia="zh-CN" w:bidi="ar-SA"/>
              </w:rPr>
              <w:t>治理措施有效可行，可以做到不外排。</w:t>
            </w:r>
          </w:p>
          <w:p w14:paraId="66A49E92">
            <w:pPr>
              <w:keepNext w:val="0"/>
              <w:keepLines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eastAsia="zh-CN"/>
              </w:rPr>
              <w:t>②</w:t>
            </w:r>
            <w:r>
              <w:rPr>
                <w:rFonts w:hint="eastAsia" w:ascii="宋体" w:hAnsi="宋体" w:eastAsia="宋体" w:cs="Times New Roman"/>
                <w:color w:val="auto"/>
                <w:sz w:val="24"/>
                <w:highlight w:val="none"/>
                <w:lang w:val="en-US" w:eastAsia="zh-CN"/>
              </w:rPr>
              <w:t>灌溉水质</w:t>
            </w:r>
            <w:r>
              <w:rPr>
                <w:rFonts w:hint="default" w:ascii="宋体" w:hAnsi="宋体" w:eastAsia="宋体" w:cs="Times New Roman"/>
                <w:color w:val="auto"/>
                <w:sz w:val="24"/>
                <w:highlight w:val="none"/>
                <w:lang w:val="zh-CN" w:eastAsia="zh-CN"/>
              </w:rPr>
              <w:t>可行性分析</w:t>
            </w:r>
          </w:p>
          <w:p w14:paraId="2CF574A2">
            <w:pPr>
              <w:keepNext w:val="0"/>
              <w:keepLines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Times New Roman"/>
                <w:color w:val="auto"/>
                <w:sz w:val="24"/>
                <w:highlight w:val="none"/>
              </w:rPr>
            </w:pPr>
            <w:r>
              <w:rPr>
                <w:rFonts w:hint="default" w:ascii="宋体" w:hAnsi="宋体" w:eastAsia="宋体" w:cs="Times New Roman"/>
                <w:color w:val="auto"/>
                <w:sz w:val="24"/>
                <w:highlight w:val="none"/>
              </w:rPr>
              <w:t>废水采用</w:t>
            </w:r>
            <w:r>
              <w:rPr>
                <w:rFonts w:ascii="宋体" w:hAnsi="宋体" w:eastAsia="宋体" w:cs="Times New Roman"/>
                <w:color w:val="auto"/>
                <w:sz w:val="24"/>
                <w:highlight w:val="none"/>
              </w:rPr>
              <w:t>化粪池</w:t>
            </w:r>
            <w:r>
              <w:rPr>
                <w:rFonts w:hint="eastAsia" w:ascii="宋体" w:hAnsi="宋体" w:cs="Times New Roman"/>
                <w:color w:val="auto"/>
                <w:sz w:val="24"/>
                <w:highlight w:val="none"/>
                <w:lang w:val="en-US" w:eastAsia="zh-CN"/>
              </w:rPr>
              <w:t>/隔油池</w:t>
            </w:r>
            <w:r>
              <w:rPr>
                <w:rFonts w:hint="default" w:ascii="宋体" w:hAnsi="宋体" w:eastAsia="宋体" w:cs="Times New Roman"/>
                <w:color w:val="auto"/>
                <w:sz w:val="24"/>
                <w:highlight w:val="none"/>
              </w:rPr>
              <w:t>处理设施进行处理。污水处理措施的处理效率及污水排放情况见下表。</w:t>
            </w:r>
          </w:p>
          <w:p w14:paraId="3E19F0B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highlight w:val="none"/>
              </w:rPr>
            </w:pPr>
            <w:r>
              <w:rPr>
                <w:rFonts w:hint="default"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6</w:t>
            </w:r>
            <w:r>
              <w:rPr>
                <w:rFonts w:hint="eastAsia" w:ascii="宋体" w:hAnsi="宋体" w:eastAsia="宋体" w:cs="宋体"/>
                <w:b/>
                <w:bCs/>
                <w:color w:val="auto"/>
                <w:sz w:val="21"/>
                <w:szCs w:val="21"/>
                <w:highlight w:val="none"/>
              </w:rPr>
              <w:t xml:space="preserve">  项目废水处理效率及排放情况一览表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Layout w:type="fixed"/>
              <w:tblCellMar>
                <w:top w:w="0" w:type="dxa"/>
                <w:left w:w="108" w:type="dxa"/>
                <w:bottom w:w="0" w:type="dxa"/>
                <w:right w:w="108" w:type="dxa"/>
              </w:tblCellMar>
            </w:tblPr>
            <w:tblGrid>
              <w:gridCol w:w="1011"/>
              <w:gridCol w:w="1161"/>
              <w:gridCol w:w="956"/>
              <w:gridCol w:w="956"/>
              <w:gridCol w:w="924"/>
              <w:gridCol w:w="838"/>
              <w:gridCol w:w="707"/>
              <w:gridCol w:w="707"/>
              <w:gridCol w:w="708"/>
              <w:gridCol w:w="709"/>
            </w:tblGrid>
            <w:tr w14:paraId="6305655E">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noWrap w:val="0"/>
                  <w:vAlign w:val="center"/>
                </w:tcPr>
                <w:p w14:paraId="3530FE53">
                  <w:pPr>
                    <w:spacing w:line="34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污水量</w:t>
                  </w:r>
                </w:p>
              </w:tc>
              <w:tc>
                <w:tcPr>
                  <w:tcW w:w="1272" w:type="dxa"/>
                  <w:noWrap w:val="0"/>
                  <w:vAlign w:val="center"/>
                </w:tcPr>
                <w:p w14:paraId="2D406DCC">
                  <w:pPr>
                    <w:spacing w:line="340" w:lineRule="exact"/>
                    <w:jc w:val="center"/>
                    <w:rPr>
                      <w:rFonts w:hint="default" w:ascii="Times New Roman" w:hAnsi="Times New Roman" w:eastAsia="宋体" w:cs="Times New Roman"/>
                      <w:b/>
                      <w:bCs w:val="0"/>
                      <w:color w:val="auto"/>
                      <w:sz w:val="21"/>
                      <w:szCs w:val="21"/>
                      <w:highlight w:val="none"/>
                    </w:rPr>
                  </w:pPr>
                </w:p>
              </w:tc>
              <w:tc>
                <w:tcPr>
                  <w:tcW w:w="1043" w:type="dxa"/>
                  <w:noWrap w:val="0"/>
                  <w:vAlign w:val="center"/>
                </w:tcPr>
                <w:p w14:paraId="7070EB8F">
                  <w:pPr>
                    <w:spacing w:line="34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单位</w:t>
                  </w:r>
                </w:p>
              </w:tc>
              <w:tc>
                <w:tcPr>
                  <w:tcW w:w="1043" w:type="dxa"/>
                  <w:noWrap w:val="0"/>
                  <w:vAlign w:val="center"/>
                </w:tcPr>
                <w:p w14:paraId="706BE483">
                  <w:pPr>
                    <w:spacing w:line="34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COD</w:t>
                  </w:r>
                  <w:r>
                    <w:rPr>
                      <w:rFonts w:hint="default" w:ascii="Times New Roman" w:hAnsi="Times New Roman" w:eastAsia="宋体" w:cs="Times New Roman"/>
                      <w:b/>
                      <w:bCs w:val="0"/>
                      <w:color w:val="auto"/>
                      <w:sz w:val="21"/>
                      <w:szCs w:val="21"/>
                      <w:highlight w:val="none"/>
                      <w:vertAlign w:val="subscript"/>
                    </w:rPr>
                    <w:t>Cr</w:t>
                  </w:r>
                </w:p>
              </w:tc>
              <w:tc>
                <w:tcPr>
                  <w:tcW w:w="1007" w:type="dxa"/>
                  <w:noWrap w:val="0"/>
                  <w:vAlign w:val="center"/>
                </w:tcPr>
                <w:p w14:paraId="2FED56E6">
                  <w:pPr>
                    <w:spacing w:line="34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BOD</w:t>
                  </w:r>
                  <w:r>
                    <w:rPr>
                      <w:rFonts w:hint="default" w:ascii="Times New Roman" w:hAnsi="Times New Roman" w:eastAsia="宋体" w:cs="Times New Roman"/>
                      <w:b/>
                      <w:bCs w:val="0"/>
                      <w:color w:val="auto"/>
                      <w:sz w:val="21"/>
                      <w:szCs w:val="21"/>
                      <w:highlight w:val="none"/>
                      <w:vertAlign w:val="subscript"/>
                    </w:rPr>
                    <w:t>5</w:t>
                  </w:r>
                </w:p>
              </w:tc>
              <w:tc>
                <w:tcPr>
                  <w:tcW w:w="911" w:type="dxa"/>
                  <w:noWrap w:val="0"/>
                  <w:vAlign w:val="center"/>
                </w:tcPr>
                <w:p w14:paraId="568FE491">
                  <w:pPr>
                    <w:spacing w:line="34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SS</w:t>
                  </w:r>
                </w:p>
              </w:tc>
              <w:tc>
                <w:tcPr>
                  <w:tcW w:w="765" w:type="dxa"/>
                  <w:noWrap w:val="0"/>
                  <w:vAlign w:val="center"/>
                </w:tcPr>
                <w:p w14:paraId="4A27E0B0">
                  <w:pPr>
                    <w:spacing w:line="340" w:lineRule="exact"/>
                    <w:jc w:val="center"/>
                    <w:rPr>
                      <w:rFonts w:hint="default" w:ascii="Times New Roman" w:hAnsi="Times New Roman" w:eastAsia="宋体" w:cs="Times New Roman"/>
                      <w:b/>
                      <w:bCs w:val="0"/>
                      <w:color w:val="auto"/>
                      <w:sz w:val="21"/>
                      <w:szCs w:val="21"/>
                      <w:highlight w:val="none"/>
                    </w:rPr>
                  </w:pPr>
                  <w:r>
                    <w:rPr>
                      <w:rFonts w:hint="eastAsia" w:cs="Times New Roman"/>
                      <w:b/>
                      <w:bCs/>
                      <w:i w:val="0"/>
                      <w:color w:val="auto"/>
                      <w:kern w:val="0"/>
                      <w:sz w:val="21"/>
                      <w:szCs w:val="21"/>
                      <w:highlight w:val="none"/>
                      <w:u w:val="none"/>
                      <w:lang w:val="en-US" w:eastAsia="zh-CN" w:bidi="ar"/>
                    </w:rPr>
                    <w:t>NH</w:t>
                  </w:r>
                  <w:r>
                    <w:rPr>
                      <w:rFonts w:hint="eastAsia" w:cs="Times New Roman"/>
                      <w:b/>
                      <w:bCs/>
                      <w:i w:val="0"/>
                      <w:color w:val="auto"/>
                      <w:kern w:val="0"/>
                      <w:sz w:val="21"/>
                      <w:szCs w:val="21"/>
                      <w:highlight w:val="none"/>
                      <w:u w:val="none"/>
                      <w:vertAlign w:val="subscript"/>
                      <w:lang w:val="en-US" w:eastAsia="zh-CN" w:bidi="ar"/>
                    </w:rPr>
                    <w:t>3</w:t>
                  </w:r>
                  <w:r>
                    <w:rPr>
                      <w:rFonts w:hint="eastAsia" w:cs="Times New Roman"/>
                      <w:b/>
                      <w:bCs/>
                      <w:i w:val="0"/>
                      <w:color w:val="auto"/>
                      <w:kern w:val="0"/>
                      <w:sz w:val="21"/>
                      <w:szCs w:val="21"/>
                      <w:highlight w:val="none"/>
                      <w:u w:val="none"/>
                      <w:lang w:val="en-US" w:eastAsia="zh-CN" w:bidi="ar"/>
                    </w:rPr>
                    <w:t>-N</w:t>
                  </w:r>
                </w:p>
              </w:tc>
              <w:tc>
                <w:tcPr>
                  <w:tcW w:w="765" w:type="dxa"/>
                  <w:noWrap w:val="0"/>
                  <w:vAlign w:val="center"/>
                </w:tcPr>
                <w:p w14:paraId="6E4DD27F">
                  <w:pPr>
                    <w:spacing w:line="340" w:lineRule="exact"/>
                    <w:jc w:val="center"/>
                    <w:rPr>
                      <w:rFonts w:hint="default"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TP</w:t>
                  </w:r>
                </w:p>
              </w:tc>
              <w:tc>
                <w:tcPr>
                  <w:tcW w:w="766" w:type="dxa"/>
                  <w:noWrap w:val="0"/>
                  <w:vAlign w:val="center"/>
                </w:tcPr>
                <w:p w14:paraId="186229D9">
                  <w:pPr>
                    <w:spacing w:line="340" w:lineRule="exact"/>
                    <w:jc w:val="center"/>
                    <w:rPr>
                      <w:rFonts w:hint="default"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TN</w:t>
                  </w:r>
                </w:p>
              </w:tc>
              <w:tc>
                <w:tcPr>
                  <w:tcW w:w="766" w:type="dxa"/>
                  <w:noWrap w:val="0"/>
                  <w:vAlign w:val="center"/>
                </w:tcPr>
                <w:p w14:paraId="70B0D3BF">
                  <w:pPr>
                    <w:spacing w:line="340" w:lineRule="exact"/>
                    <w:jc w:val="center"/>
                    <w:rPr>
                      <w:rFonts w:hint="default" w:cs="Times New Roman"/>
                      <w:b/>
                      <w:bCs/>
                      <w:i w:val="0"/>
                      <w:color w:val="auto"/>
                      <w:kern w:val="0"/>
                      <w:sz w:val="21"/>
                      <w:szCs w:val="21"/>
                      <w:highlight w:val="none"/>
                      <w:u w:val="none"/>
                      <w:lang w:val="en-US" w:eastAsia="zh-CN" w:bidi="ar"/>
                    </w:rPr>
                  </w:pPr>
                  <w:r>
                    <w:rPr>
                      <w:rFonts w:hint="eastAsia" w:cs="Times New Roman"/>
                      <w:b/>
                      <w:bCs/>
                      <w:i w:val="0"/>
                      <w:color w:val="auto"/>
                      <w:kern w:val="0"/>
                      <w:sz w:val="21"/>
                      <w:szCs w:val="21"/>
                      <w:highlight w:val="none"/>
                      <w:u w:val="none"/>
                      <w:lang w:val="en-US" w:eastAsia="zh-CN" w:bidi="ar"/>
                    </w:rPr>
                    <w:t>动植物油</w:t>
                  </w:r>
                </w:p>
              </w:tc>
            </w:tr>
            <w:tr w14:paraId="2338DD56">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vMerge w:val="restart"/>
                  <w:noWrap w:val="0"/>
                  <w:vAlign w:val="center"/>
                </w:tcPr>
                <w:p w14:paraId="1356AB33">
                  <w:pPr>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生活污水</w:t>
                  </w:r>
                  <w:r>
                    <w:rPr>
                      <w:rFonts w:hint="eastAsia" w:cs="Times New Roman"/>
                      <w:i w:val="0"/>
                      <w:color w:val="auto"/>
                      <w:kern w:val="0"/>
                      <w:sz w:val="21"/>
                      <w:szCs w:val="21"/>
                      <w:highlight w:val="none"/>
                      <w:u w:val="none"/>
                      <w:lang w:val="en-US" w:eastAsia="zh-CN" w:bidi="ar"/>
                    </w:rPr>
                    <w:t>423.4</w:t>
                  </w:r>
                  <w:r>
                    <w:rPr>
                      <w:rFonts w:hint="default" w:ascii="Times New Roman" w:hAnsi="Times New Roman" w:eastAsia="宋体" w:cs="Times New Roman"/>
                      <w:i w:val="0"/>
                      <w:color w:val="auto"/>
                      <w:kern w:val="0"/>
                      <w:sz w:val="21"/>
                      <w:szCs w:val="21"/>
                      <w:highlight w:val="none"/>
                      <w:u w:val="none"/>
                      <w:lang w:val="en-US" w:eastAsia="zh-CN" w:bidi="ar"/>
                    </w:rPr>
                    <w:t>m</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color w:val="auto"/>
                      <w:kern w:val="0"/>
                      <w:sz w:val="21"/>
                      <w:szCs w:val="21"/>
                      <w:highlight w:val="none"/>
                      <w:u w:val="none"/>
                      <w:lang w:val="en-US" w:eastAsia="zh-CN" w:bidi="ar"/>
                    </w:rPr>
                    <w:t>/a</w:t>
                  </w:r>
                </w:p>
              </w:tc>
              <w:tc>
                <w:tcPr>
                  <w:tcW w:w="1272" w:type="dxa"/>
                  <w:noWrap w:val="0"/>
                  <w:vAlign w:val="center"/>
                </w:tcPr>
                <w:p w14:paraId="2A733130">
                  <w:pPr>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产生浓度</w:t>
                  </w:r>
                </w:p>
              </w:tc>
              <w:tc>
                <w:tcPr>
                  <w:tcW w:w="1043" w:type="dxa"/>
                  <w:noWrap w:val="0"/>
                  <w:vAlign w:val="center"/>
                </w:tcPr>
                <w:p w14:paraId="6B610EC3">
                  <w:pPr>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043" w:type="dxa"/>
                  <w:noWrap w:val="0"/>
                  <w:vAlign w:val="center"/>
                </w:tcPr>
                <w:p w14:paraId="5F6BD9C2">
                  <w:pPr>
                    <w:pStyle w:val="71"/>
                    <w:bidi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250</w:t>
                  </w:r>
                </w:p>
              </w:tc>
              <w:tc>
                <w:tcPr>
                  <w:tcW w:w="1007" w:type="dxa"/>
                  <w:noWrap w:val="0"/>
                  <w:vAlign w:val="center"/>
                </w:tcPr>
                <w:p w14:paraId="5D661C74">
                  <w:pPr>
                    <w:pStyle w:val="71"/>
                    <w:bidi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150</w:t>
                  </w:r>
                </w:p>
              </w:tc>
              <w:tc>
                <w:tcPr>
                  <w:tcW w:w="911" w:type="dxa"/>
                  <w:noWrap w:val="0"/>
                  <w:vAlign w:val="center"/>
                </w:tcPr>
                <w:p w14:paraId="3BDC8CD1">
                  <w:pPr>
                    <w:pStyle w:val="71"/>
                    <w:bidi w:val="0"/>
                    <w:ind w:left="0" w:lef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200</w:t>
                  </w:r>
                </w:p>
              </w:tc>
              <w:tc>
                <w:tcPr>
                  <w:tcW w:w="765" w:type="dxa"/>
                  <w:noWrap w:val="0"/>
                  <w:vAlign w:val="center"/>
                </w:tcPr>
                <w:p w14:paraId="15F62DF8">
                  <w:pPr>
                    <w:pStyle w:val="71"/>
                    <w:bidi w:val="0"/>
                    <w:ind w:left="0" w:leftChars="0" w:firstLine="0" w:firstLineChars="0"/>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25</w:t>
                  </w:r>
                </w:p>
              </w:tc>
              <w:tc>
                <w:tcPr>
                  <w:tcW w:w="765" w:type="dxa"/>
                  <w:noWrap w:val="0"/>
                  <w:vAlign w:val="center"/>
                </w:tcPr>
                <w:p w14:paraId="565F4A83">
                  <w:pPr>
                    <w:pStyle w:val="71"/>
                    <w:bidi w:val="0"/>
                    <w:ind w:left="0" w:leftChars="0" w:firstLine="0" w:firstLineChars="0"/>
                    <w:jc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w:t>
                  </w:r>
                </w:p>
              </w:tc>
              <w:tc>
                <w:tcPr>
                  <w:tcW w:w="766" w:type="dxa"/>
                  <w:noWrap w:val="0"/>
                  <w:vAlign w:val="center"/>
                </w:tcPr>
                <w:p w14:paraId="37FA5E28">
                  <w:pPr>
                    <w:pStyle w:val="71"/>
                    <w:bidi w:val="0"/>
                    <w:ind w:left="0" w:leftChars="0" w:firstLine="0" w:firstLineChars="0"/>
                    <w:jc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60</w:t>
                  </w:r>
                </w:p>
              </w:tc>
              <w:tc>
                <w:tcPr>
                  <w:tcW w:w="766" w:type="dxa"/>
                  <w:noWrap w:val="0"/>
                  <w:vAlign w:val="center"/>
                </w:tcPr>
                <w:p w14:paraId="783FD732">
                  <w:pPr>
                    <w:pStyle w:val="71"/>
                    <w:bidi w:val="0"/>
                    <w:ind w:left="0" w:leftChars="0" w:firstLine="0" w:firstLineChars="0"/>
                    <w:jc w:val="center"/>
                    <w:rPr>
                      <w:rFonts w:hint="default" w:ascii="Times New Roman" w:hAnsi="Times New Roman"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30</w:t>
                  </w:r>
                </w:p>
              </w:tc>
            </w:tr>
            <w:tr w14:paraId="383B4C3A">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vMerge w:val="continue"/>
                  <w:noWrap w:val="0"/>
                  <w:vAlign w:val="center"/>
                </w:tcPr>
                <w:p w14:paraId="10E4BFCF">
                  <w:pPr>
                    <w:spacing w:line="340" w:lineRule="exact"/>
                    <w:jc w:val="center"/>
                    <w:rPr>
                      <w:rFonts w:hint="default" w:ascii="Times New Roman" w:hAnsi="Times New Roman" w:eastAsia="宋体" w:cs="Times New Roman"/>
                      <w:bCs/>
                      <w:color w:val="auto"/>
                      <w:sz w:val="21"/>
                      <w:szCs w:val="21"/>
                      <w:highlight w:val="none"/>
                    </w:rPr>
                  </w:pPr>
                </w:p>
              </w:tc>
              <w:tc>
                <w:tcPr>
                  <w:tcW w:w="1272" w:type="dxa"/>
                  <w:noWrap w:val="0"/>
                  <w:vAlign w:val="center"/>
                </w:tcPr>
                <w:p w14:paraId="2E3B5EF3">
                  <w:pPr>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tc>
              <w:tc>
                <w:tcPr>
                  <w:tcW w:w="1043" w:type="dxa"/>
                  <w:noWrap w:val="0"/>
                  <w:vAlign w:val="center"/>
                </w:tcPr>
                <w:p w14:paraId="5D3ED3D6">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1043" w:type="dxa"/>
                  <w:noWrap w:val="0"/>
                  <w:vAlign w:val="center"/>
                </w:tcPr>
                <w:p w14:paraId="733178F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0.1059 </w:t>
                  </w:r>
                </w:p>
              </w:tc>
              <w:tc>
                <w:tcPr>
                  <w:tcW w:w="1007" w:type="dxa"/>
                  <w:noWrap w:val="0"/>
                  <w:vAlign w:val="center"/>
                </w:tcPr>
                <w:p w14:paraId="22327E3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0.0635 </w:t>
                  </w:r>
                </w:p>
              </w:tc>
              <w:tc>
                <w:tcPr>
                  <w:tcW w:w="911" w:type="dxa"/>
                  <w:noWrap w:val="0"/>
                  <w:vAlign w:val="center"/>
                </w:tcPr>
                <w:p w14:paraId="66A58543">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0.0847 </w:t>
                  </w:r>
                </w:p>
              </w:tc>
              <w:tc>
                <w:tcPr>
                  <w:tcW w:w="765" w:type="dxa"/>
                  <w:noWrap w:val="0"/>
                  <w:vAlign w:val="center"/>
                </w:tcPr>
                <w:p w14:paraId="75EED890">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0.0106 </w:t>
                  </w:r>
                </w:p>
              </w:tc>
              <w:tc>
                <w:tcPr>
                  <w:tcW w:w="765" w:type="dxa"/>
                  <w:noWrap w:val="0"/>
                  <w:vAlign w:val="center"/>
                </w:tcPr>
                <w:p w14:paraId="7288FDDA">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0.0254 </w:t>
                  </w:r>
                </w:p>
              </w:tc>
              <w:tc>
                <w:tcPr>
                  <w:tcW w:w="766" w:type="dxa"/>
                  <w:noWrap w:val="0"/>
                  <w:vAlign w:val="center"/>
                </w:tcPr>
                <w:p w14:paraId="5B01A325">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 0.0013 </w:t>
                  </w:r>
                </w:p>
              </w:tc>
              <w:tc>
                <w:tcPr>
                  <w:tcW w:w="766" w:type="dxa"/>
                  <w:noWrap w:val="0"/>
                  <w:vAlign w:val="center"/>
                </w:tcPr>
                <w:p w14:paraId="0CDD2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0.0127</w:t>
                  </w:r>
                </w:p>
              </w:tc>
            </w:tr>
            <w:tr w14:paraId="48146CC7">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vMerge w:val="continue"/>
                  <w:noWrap w:val="0"/>
                  <w:vAlign w:val="center"/>
                </w:tcPr>
                <w:p w14:paraId="1E1D62D4">
                  <w:pPr>
                    <w:spacing w:line="340" w:lineRule="exact"/>
                    <w:jc w:val="center"/>
                    <w:rPr>
                      <w:rFonts w:hint="default" w:ascii="Times New Roman" w:hAnsi="Times New Roman" w:eastAsia="宋体" w:cs="Times New Roman"/>
                      <w:bCs/>
                      <w:color w:val="auto"/>
                      <w:sz w:val="21"/>
                      <w:szCs w:val="21"/>
                      <w:highlight w:val="none"/>
                    </w:rPr>
                  </w:pPr>
                </w:p>
              </w:tc>
              <w:tc>
                <w:tcPr>
                  <w:tcW w:w="1272" w:type="dxa"/>
                  <w:noWrap w:val="0"/>
                  <w:vAlign w:val="center"/>
                </w:tcPr>
                <w:p w14:paraId="58546AF3">
                  <w:pPr>
                    <w:spacing w:line="34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处理效率</w:t>
                  </w:r>
                </w:p>
              </w:tc>
              <w:tc>
                <w:tcPr>
                  <w:tcW w:w="1043" w:type="dxa"/>
                  <w:noWrap w:val="0"/>
                  <w:vAlign w:val="center"/>
                </w:tcPr>
                <w:p w14:paraId="72FFEBE2">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43" w:type="dxa"/>
                  <w:noWrap w:val="0"/>
                  <w:vAlign w:val="center"/>
                </w:tcPr>
                <w:p w14:paraId="3D394EF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Cs/>
                      <w:color w:val="auto"/>
                      <w:sz w:val="21"/>
                      <w:szCs w:val="21"/>
                      <w:highlight w:val="none"/>
                    </w:rPr>
                  </w:pPr>
                  <w:r>
                    <w:rPr>
                      <w:rFonts w:hint="eastAsia" w:cs="Times New Roman"/>
                      <w:i w:val="0"/>
                      <w:color w:val="auto"/>
                      <w:kern w:val="0"/>
                      <w:sz w:val="21"/>
                      <w:szCs w:val="21"/>
                      <w:highlight w:val="none"/>
                      <w:u w:val="none"/>
                      <w:lang w:val="en-US" w:eastAsia="zh-CN" w:bidi="ar"/>
                    </w:rPr>
                    <w:t>35</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1007" w:type="dxa"/>
                  <w:noWrap w:val="0"/>
                  <w:vAlign w:val="center"/>
                </w:tcPr>
                <w:p w14:paraId="5D7D11B3">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Cs/>
                      <w:color w:val="auto"/>
                      <w:sz w:val="21"/>
                      <w:szCs w:val="21"/>
                      <w:highlight w:val="none"/>
                    </w:rPr>
                  </w:pPr>
                  <w:r>
                    <w:rPr>
                      <w:rFonts w:hint="eastAsia" w:cs="Times New Roman"/>
                      <w:i w:val="0"/>
                      <w:color w:val="auto"/>
                      <w:kern w:val="0"/>
                      <w:sz w:val="21"/>
                      <w:szCs w:val="21"/>
                      <w:highlight w:val="none"/>
                      <w:u w:val="none"/>
                      <w:lang w:val="en-US" w:eastAsia="zh-CN" w:bidi="ar"/>
                    </w:rPr>
                    <w:t>45</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911" w:type="dxa"/>
                  <w:noWrap w:val="0"/>
                  <w:vAlign w:val="center"/>
                </w:tcPr>
                <w:p w14:paraId="2C528EFF">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ascii="Times New Roman" w:hAnsi="Times New Roman" w:eastAsia="宋体" w:cs="Times New Roman"/>
                      <w:bCs/>
                      <w:color w:val="auto"/>
                      <w:sz w:val="21"/>
                      <w:szCs w:val="21"/>
                      <w:highlight w:val="none"/>
                    </w:rPr>
                  </w:pPr>
                  <w:r>
                    <w:rPr>
                      <w:rFonts w:hint="eastAsia" w:cs="Times New Roman"/>
                      <w:i w:val="0"/>
                      <w:color w:val="auto"/>
                      <w:kern w:val="0"/>
                      <w:sz w:val="21"/>
                      <w:szCs w:val="21"/>
                      <w:highlight w:val="none"/>
                      <w:u w:val="none"/>
                      <w:lang w:val="en-US" w:eastAsia="zh-CN" w:bidi="ar"/>
                    </w:rPr>
                    <w:t>50</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765" w:type="dxa"/>
                  <w:noWrap w:val="0"/>
                  <w:vAlign w:val="center"/>
                </w:tcPr>
                <w:p w14:paraId="0F3CA4D6">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eastAsia" w:eastAsia="宋体" w:cs="Times New Roman"/>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w:t>
                  </w:r>
                </w:p>
              </w:tc>
              <w:tc>
                <w:tcPr>
                  <w:tcW w:w="765" w:type="dxa"/>
                  <w:noWrap w:val="0"/>
                  <w:vAlign w:val="center"/>
                </w:tcPr>
                <w:p w14:paraId="26246B95">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766" w:type="dxa"/>
                  <w:noWrap w:val="0"/>
                  <w:vAlign w:val="center"/>
                </w:tcPr>
                <w:p w14:paraId="2CD02D0C">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w:t>
                  </w:r>
                </w:p>
              </w:tc>
              <w:tc>
                <w:tcPr>
                  <w:tcW w:w="766" w:type="dxa"/>
                  <w:noWrap w:val="0"/>
                  <w:vAlign w:val="center"/>
                </w:tcPr>
                <w:p w14:paraId="60F89B0B">
                  <w:pPr>
                    <w:keepNext w:val="0"/>
                    <w:keepLines w:val="0"/>
                    <w:pageBreakBefore w:val="0"/>
                    <w:widowControl/>
                    <w:suppressLineNumbers w:val="0"/>
                    <w:kinsoku/>
                    <w:wordWrap/>
                    <w:overflowPunct/>
                    <w:topLinePunct w:val="0"/>
                    <w:autoSpaceDE/>
                    <w:autoSpaceDN/>
                    <w:bidi w:val="0"/>
                    <w:adjustRightInd/>
                    <w:snapToGrid w:val="0"/>
                    <w:spacing w:line="340" w:lineRule="exact"/>
                    <w:jc w:val="center"/>
                    <w:textAlignment w:val="center"/>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55%</w:t>
                  </w:r>
                </w:p>
              </w:tc>
            </w:tr>
            <w:tr w14:paraId="05ACF5C2">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vMerge w:val="continue"/>
                  <w:noWrap w:val="0"/>
                  <w:vAlign w:val="center"/>
                </w:tcPr>
                <w:p w14:paraId="7DA2A14E">
                  <w:pPr>
                    <w:spacing w:line="340" w:lineRule="exact"/>
                    <w:jc w:val="center"/>
                    <w:rPr>
                      <w:rFonts w:hint="default" w:ascii="Times New Roman" w:hAnsi="Times New Roman" w:eastAsia="宋体" w:cs="Times New Roman"/>
                      <w:color w:val="auto"/>
                      <w:sz w:val="21"/>
                      <w:szCs w:val="21"/>
                      <w:highlight w:val="none"/>
                    </w:rPr>
                  </w:pPr>
                </w:p>
              </w:tc>
              <w:tc>
                <w:tcPr>
                  <w:tcW w:w="1272" w:type="dxa"/>
                  <w:noWrap w:val="0"/>
                  <w:vAlign w:val="center"/>
                </w:tcPr>
                <w:p w14:paraId="08E325FB">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tc>
              <w:tc>
                <w:tcPr>
                  <w:tcW w:w="1043" w:type="dxa"/>
                  <w:noWrap w:val="0"/>
                  <w:vAlign w:val="center"/>
                </w:tcPr>
                <w:p w14:paraId="432E5F69">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043" w:type="dxa"/>
                  <w:noWrap w:val="0"/>
                  <w:vAlign w:val="center"/>
                </w:tcPr>
                <w:p w14:paraId="5C7E620B">
                  <w:pPr>
                    <w:pStyle w:val="71"/>
                    <w:bidi w:val="0"/>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Cs/>
                      <w:color w:val="auto"/>
                      <w:sz w:val="21"/>
                      <w:szCs w:val="21"/>
                      <w:highlight w:val="none"/>
                      <w:lang w:val="en-US" w:eastAsia="zh-CN"/>
                    </w:rPr>
                    <w:t>162.5</w:t>
                  </w:r>
                </w:p>
              </w:tc>
              <w:tc>
                <w:tcPr>
                  <w:tcW w:w="1007" w:type="dxa"/>
                  <w:noWrap w:val="0"/>
                  <w:vAlign w:val="center"/>
                </w:tcPr>
                <w:p w14:paraId="0D08B779">
                  <w:pPr>
                    <w:pStyle w:val="71"/>
                    <w:bidi w:val="0"/>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Cs/>
                      <w:color w:val="auto"/>
                      <w:sz w:val="21"/>
                      <w:szCs w:val="21"/>
                      <w:highlight w:val="none"/>
                      <w:lang w:val="en-US" w:eastAsia="zh-CN"/>
                    </w:rPr>
                    <w:t>82.5</w:t>
                  </w:r>
                </w:p>
              </w:tc>
              <w:tc>
                <w:tcPr>
                  <w:tcW w:w="911" w:type="dxa"/>
                  <w:noWrap w:val="0"/>
                  <w:vAlign w:val="center"/>
                </w:tcPr>
                <w:p w14:paraId="09ED9B7A">
                  <w:pPr>
                    <w:pStyle w:val="71"/>
                    <w:bidi w:val="0"/>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Cs/>
                      <w:color w:val="auto"/>
                      <w:sz w:val="21"/>
                      <w:szCs w:val="21"/>
                      <w:highlight w:val="none"/>
                      <w:lang w:val="en-US" w:eastAsia="zh-CN"/>
                    </w:rPr>
                    <w:t>100</w:t>
                  </w:r>
                </w:p>
              </w:tc>
              <w:tc>
                <w:tcPr>
                  <w:tcW w:w="765" w:type="dxa"/>
                  <w:noWrap w:val="0"/>
                  <w:vAlign w:val="center"/>
                </w:tcPr>
                <w:p w14:paraId="783911D0">
                  <w:pPr>
                    <w:pStyle w:val="71"/>
                    <w:bidi w:val="0"/>
                    <w:ind w:left="0" w:leftChars="0" w:firstLine="0" w:firstLineChars="0"/>
                    <w:jc w:val="center"/>
                    <w:rPr>
                      <w:rFonts w:hint="eastAsia" w:ascii="Times New Roman" w:hAnsi="Times New Roman" w:eastAsia="宋体" w:cs="Times New Roman"/>
                      <w:i w:val="0"/>
                      <w:color w:val="auto"/>
                      <w:sz w:val="21"/>
                      <w:szCs w:val="21"/>
                      <w:highlight w:val="none"/>
                      <w:u w:val="none"/>
                      <w:lang w:val="en-US" w:eastAsia="zh-CN"/>
                    </w:rPr>
                  </w:pPr>
                  <w:r>
                    <w:rPr>
                      <w:rFonts w:hint="eastAsia" w:ascii="Times New Roman" w:hAnsi="Times New Roman" w:cs="Times New Roman"/>
                      <w:bCs/>
                      <w:color w:val="auto"/>
                      <w:sz w:val="21"/>
                      <w:szCs w:val="21"/>
                      <w:highlight w:val="none"/>
                      <w:lang w:val="en-US" w:eastAsia="zh-CN"/>
                    </w:rPr>
                    <w:t>25</w:t>
                  </w:r>
                </w:p>
              </w:tc>
              <w:tc>
                <w:tcPr>
                  <w:tcW w:w="765" w:type="dxa"/>
                  <w:noWrap w:val="0"/>
                  <w:vAlign w:val="center"/>
                </w:tcPr>
                <w:p w14:paraId="34291DB5">
                  <w:pPr>
                    <w:pStyle w:val="71"/>
                    <w:bidi w:val="0"/>
                    <w:ind w:left="0" w:leftChars="0" w:firstLine="0" w:firstLineChars="0"/>
                    <w:jc w:val="center"/>
                    <w:rPr>
                      <w:rFonts w:hint="eastAsia" w:cs="Times New Roman"/>
                      <w:i w:val="0"/>
                      <w:color w:val="auto"/>
                      <w:sz w:val="21"/>
                      <w:szCs w:val="21"/>
                      <w:highlight w:val="none"/>
                      <w:u w:val="none"/>
                      <w:lang w:val="en-US" w:eastAsia="zh-CN"/>
                    </w:rPr>
                  </w:pPr>
                  <w:r>
                    <w:rPr>
                      <w:rFonts w:hint="eastAsia" w:ascii="Times New Roman" w:hAnsi="Times New Roman" w:cs="Times New Roman"/>
                      <w:bCs/>
                      <w:color w:val="auto"/>
                      <w:sz w:val="21"/>
                      <w:szCs w:val="21"/>
                      <w:highlight w:val="none"/>
                      <w:lang w:val="en-US" w:eastAsia="zh-CN"/>
                    </w:rPr>
                    <w:t>5</w:t>
                  </w:r>
                </w:p>
              </w:tc>
              <w:tc>
                <w:tcPr>
                  <w:tcW w:w="766" w:type="dxa"/>
                  <w:noWrap w:val="0"/>
                  <w:vAlign w:val="center"/>
                </w:tcPr>
                <w:p w14:paraId="245246B5">
                  <w:pPr>
                    <w:pStyle w:val="71"/>
                    <w:bidi w:val="0"/>
                    <w:ind w:left="0" w:leftChars="0" w:firstLine="0" w:firstLineChars="0"/>
                    <w:jc w:val="center"/>
                    <w:rPr>
                      <w:rFonts w:hint="eastAsia" w:cs="Times New Roman"/>
                      <w:i w:val="0"/>
                      <w:color w:val="auto"/>
                      <w:sz w:val="21"/>
                      <w:szCs w:val="21"/>
                      <w:highlight w:val="none"/>
                      <w:u w:val="none"/>
                      <w:lang w:val="en-US" w:eastAsia="zh-CN"/>
                    </w:rPr>
                  </w:pPr>
                  <w:r>
                    <w:rPr>
                      <w:rFonts w:hint="eastAsia" w:ascii="Times New Roman" w:hAnsi="Times New Roman" w:cs="Times New Roman"/>
                      <w:bCs/>
                      <w:color w:val="auto"/>
                      <w:sz w:val="21"/>
                      <w:szCs w:val="21"/>
                      <w:highlight w:val="none"/>
                      <w:lang w:val="en-US" w:eastAsia="zh-CN"/>
                    </w:rPr>
                    <w:t>60</w:t>
                  </w:r>
                </w:p>
              </w:tc>
              <w:tc>
                <w:tcPr>
                  <w:tcW w:w="766" w:type="dxa"/>
                  <w:noWrap w:val="0"/>
                  <w:vAlign w:val="center"/>
                </w:tcPr>
                <w:p w14:paraId="2CA38A24">
                  <w:pPr>
                    <w:pStyle w:val="71"/>
                    <w:bidi w:val="0"/>
                    <w:ind w:left="0" w:leftChars="0"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r>
            <w:tr w14:paraId="5B3E5210">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vMerge w:val="continue"/>
                  <w:noWrap w:val="0"/>
                  <w:vAlign w:val="center"/>
                </w:tcPr>
                <w:p w14:paraId="2E79AA67">
                  <w:pPr>
                    <w:spacing w:line="340" w:lineRule="exact"/>
                    <w:jc w:val="center"/>
                    <w:rPr>
                      <w:rFonts w:hint="default" w:ascii="Times New Roman" w:hAnsi="Times New Roman" w:eastAsia="宋体" w:cs="Times New Roman"/>
                      <w:color w:val="auto"/>
                      <w:sz w:val="21"/>
                      <w:szCs w:val="21"/>
                      <w:highlight w:val="none"/>
                    </w:rPr>
                  </w:pPr>
                </w:p>
              </w:tc>
              <w:tc>
                <w:tcPr>
                  <w:tcW w:w="1272" w:type="dxa"/>
                  <w:noWrap w:val="0"/>
                  <w:vAlign w:val="center"/>
                </w:tcPr>
                <w:p w14:paraId="1B62C331">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p>
              </w:tc>
              <w:tc>
                <w:tcPr>
                  <w:tcW w:w="1043" w:type="dxa"/>
                  <w:noWrap w:val="0"/>
                  <w:vAlign w:val="center"/>
                </w:tcPr>
                <w:p w14:paraId="5228C17F">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1043" w:type="dxa"/>
                  <w:noWrap w:val="0"/>
                  <w:vAlign w:val="center"/>
                </w:tcPr>
                <w:p w14:paraId="41EB7E6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0.069 </w:t>
                  </w:r>
                </w:p>
              </w:tc>
              <w:tc>
                <w:tcPr>
                  <w:tcW w:w="1007" w:type="dxa"/>
                  <w:noWrap w:val="0"/>
                  <w:vAlign w:val="center"/>
                </w:tcPr>
                <w:p w14:paraId="56A6A8C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0.035 </w:t>
                  </w:r>
                </w:p>
              </w:tc>
              <w:tc>
                <w:tcPr>
                  <w:tcW w:w="911" w:type="dxa"/>
                  <w:noWrap w:val="0"/>
                  <w:vAlign w:val="center"/>
                </w:tcPr>
                <w:p w14:paraId="100BB52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0.042 </w:t>
                  </w:r>
                </w:p>
              </w:tc>
              <w:tc>
                <w:tcPr>
                  <w:tcW w:w="765" w:type="dxa"/>
                  <w:noWrap w:val="0"/>
                  <w:vAlign w:val="center"/>
                </w:tcPr>
                <w:p w14:paraId="55443967">
                  <w:pPr>
                    <w:keepNext w:val="0"/>
                    <w:keepLines w:val="0"/>
                    <w:widowControl/>
                    <w:suppressLineNumbers w:val="0"/>
                    <w:jc w:val="center"/>
                    <w:textAlignment w:val="center"/>
                    <w:rPr>
                      <w:rFonts w:hint="eastAsia"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765" w:type="dxa"/>
                  <w:noWrap w:val="0"/>
                  <w:vAlign w:val="center"/>
                </w:tcPr>
                <w:p w14:paraId="078E968C">
                  <w:pPr>
                    <w:keepNext w:val="0"/>
                    <w:keepLines w:val="0"/>
                    <w:widowControl/>
                    <w:suppressLineNumbers w:val="0"/>
                    <w:jc w:val="center"/>
                    <w:textAlignment w:val="center"/>
                    <w:rPr>
                      <w:rFonts w:hint="eastAsia" w:cs="Times New Roman"/>
                      <w:i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0.025 </w:t>
                  </w:r>
                </w:p>
              </w:tc>
              <w:tc>
                <w:tcPr>
                  <w:tcW w:w="766" w:type="dxa"/>
                  <w:noWrap w:val="0"/>
                  <w:vAlign w:val="center"/>
                </w:tcPr>
                <w:p w14:paraId="6F91A1CA">
                  <w:pPr>
                    <w:keepNext w:val="0"/>
                    <w:keepLines w:val="0"/>
                    <w:widowControl/>
                    <w:suppressLineNumbers w:val="0"/>
                    <w:jc w:val="center"/>
                    <w:textAlignment w:val="center"/>
                    <w:rPr>
                      <w:rFonts w:hint="eastAsia" w:cs="Times New Roman"/>
                      <w:i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766" w:type="dxa"/>
                  <w:noWrap w:val="0"/>
                  <w:vAlign w:val="center"/>
                </w:tcPr>
                <w:p w14:paraId="0BA6A0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w:t>
                  </w:r>
                </w:p>
              </w:tc>
            </w:tr>
            <w:tr w14:paraId="505E00B2">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1105" w:type="dxa"/>
                  <w:vMerge w:val="continue"/>
                  <w:noWrap w:val="0"/>
                  <w:vAlign w:val="center"/>
                </w:tcPr>
                <w:p w14:paraId="486099B5">
                  <w:pPr>
                    <w:spacing w:line="340" w:lineRule="exact"/>
                    <w:jc w:val="center"/>
                    <w:rPr>
                      <w:rFonts w:hint="default" w:ascii="Times New Roman" w:hAnsi="Times New Roman" w:eastAsia="宋体" w:cs="Times New Roman"/>
                      <w:color w:val="auto"/>
                      <w:sz w:val="21"/>
                      <w:szCs w:val="21"/>
                      <w:highlight w:val="none"/>
                    </w:rPr>
                  </w:pPr>
                </w:p>
              </w:tc>
              <w:tc>
                <w:tcPr>
                  <w:tcW w:w="1272" w:type="dxa"/>
                  <w:noWrap w:val="0"/>
                  <w:vAlign w:val="center"/>
                </w:tcPr>
                <w:p w14:paraId="4A69B194">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标准浓度</w:t>
                  </w:r>
                </w:p>
              </w:tc>
              <w:tc>
                <w:tcPr>
                  <w:tcW w:w="1043" w:type="dxa"/>
                  <w:noWrap w:val="0"/>
                  <w:vAlign w:val="center"/>
                </w:tcPr>
                <w:p w14:paraId="7D5982DF">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1043" w:type="dxa"/>
                  <w:noWrap w:val="0"/>
                  <w:vAlign w:val="center"/>
                </w:tcPr>
                <w:p w14:paraId="4EEBA9A4">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1007" w:type="dxa"/>
                  <w:noWrap w:val="0"/>
                  <w:vAlign w:val="center"/>
                </w:tcPr>
                <w:p w14:paraId="2D5A0BA9">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911" w:type="dxa"/>
                  <w:noWrap w:val="0"/>
                  <w:vAlign w:val="center"/>
                </w:tcPr>
                <w:p w14:paraId="7E3DBBA9">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765" w:type="dxa"/>
                  <w:noWrap w:val="0"/>
                  <w:vAlign w:val="center"/>
                </w:tcPr>
                <w:p w14:paraId="776F8EFB">
                  <w:pPr>
                    <w:spacing w:line="340" w:lineRule="exact"/>
                    <w:jc w:val="center"/>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765" w:type="dxa"/>
                  <w:noWrap w:val="0"/>
                  <w:vAlign w:val="center"/>
                </w:tcPr>
                <w:p w14:paraId="4FBFAF0F">
                  <w:pPr>
                    <w:spacing w:line="340" w:lineRule="exac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66" w:type="dxa"/>
                  <w:noWrap w:val="0"/>
                  <w:vAlign w:val="center"/>
                </w:tcPr>
                <w:p w14:paraId="5BA981FD">
                  <w:pPr>
                    <w:spacing w:line="340" w:lineRule="exact"/>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66" w:type="dxa"/>
                  <w:noWrap w:val="0"/>
                  <w:vAlign w:val="center"/>
                </w:tcPr>
                <w:p w14:paraId="31980D26">
                  <w:pPr>
                    <w:spacing w:line="340" w:lineRule="exac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60DE81F">
              <w:tblPrEx>
                <w:tblBorders>
                  <w:top w:val="single" w:color="auto" w:sz="12" w:space="0"/>
                  <w:left w:val="none" w:color="auto" w:sz="0" w:space="0"/>
                  <w:bottom w:val="single" w:color="auto" w:sz="12" w:space="0"/>
                  <w:right w:val="none" w:color="auto" w:sz="0" w:space="0"/>
                  <w:insideH w:val="single" w:color="auto" w:sz="6" w:space="0"/>
                  <w:insideV w:val="single" w:color="auto" w:sz="8" w:space="0"/>
                </w:tblBorders>
                <w:tblCellMar>
                  <w:top w:w="0" w:type="dxa"/>
                  <w:left w:w="108" w:type="dxa"/>
                  <w:bottom w:w="0" w:type="dxa"/>
                  <w:right w:w="108" w:type="dxa"/>
                </w:tblCellMar>
              </w:tblPrEx>
              <w:trPr>
                <w:trHeight w:val="397" w:hRule="atLeast"/>
                <w:jc w:val="center"/>
              </w:trPr>
              <w:tc>
                <w:tcPr>
                  <w:tcW w:w="3420" w:type="dxa"/>
                  <w:gridSpan w:val="3"/>
                  <w:noWrap w:val="0"/>
                  <w:vAlign w:val="center"/>
                </w:tcPr>
                <w:p w14:paraId="11F56B71">
                  <w:pPr>
                    <w:spacing w:line="340" w:lineRule="exact"/>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水质达标性</w:t>
                  </w:r>
                </w:p>
              </w:tc>
              <w:tc>
                <w:tcPr>
                  <w:tcW w:w="1043" w:type="dxa"/>
                  <w:noWrap w:val="0"/>
                  <w:vAlign w:val="center"/>
                </w:tcPr>
                <w:p w14:paraId="7066E9B0">
                  <w:pPr>
                    <w:spacing w:line="34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1007" w:type="dxa"/>
                  <w:noWrap w:val="0"/>
                  <w:vAlign w:val="center"/>
                </w:tcPr>
                <w:p w14:paraId="3B88A176">
                  <w:pPr>
                    <w:spacing w:line="340" w:lineRule="exact"/>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达标</w:t>
                  </w:r>
                </w:p>
              </w:tc>
              <w:tc>
                <w:tcPr>
                  <w:tcW w:w="911" w:type="dxa"/>
                  <w:noWrap w:val="0"/>
                  <w:vAlign w:val="center"/>
                </w:tcPr>
                <w:p w14:paraId="0424A672">
                  <w:pPr>
                    <w:spacing w:line="340" w:lineRule="exact"/>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达标</w:t>
                  </w:r>
                </w:p>
              </w:tc>
              <w:tc>
                <w:tcPr>
                  <w:tcW w:w="765" w:type="dxa"/>
                  <w:noWrap w:val="0"/>
                  <w:vAlign w:val="center"/>
                </w:tcPr>
                <w:p w14:paraId="55BBCAE5">
                  <w:pPr>
                    <w:spacing w:line="340" w:lineRule="exact"/>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765" w:type="dxa"/>
                  <w:noWrap w:val="0"/>
                  <w:vAlign w:val="center"/>
                </w:tcPr>
                <w:p w14:paraId="35FE062C">
                  <w:pPr>
                    <w:spacing w:line="340" w:lineRule="exac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766" w:type="dxa"/>
                  <w:noWrap w:val="0"/>
                  <w:vAlign w:val="center"/>
                </w:tcPr>
                <w:p w14:paraId="11E1EE0A">
                  <w:pPr>
                    <w:spacing w:line="340" w:lineRule="exac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766" w:type="dxa"/>
                  <w:noWrap w:val="0"/>
                  <w:vAlign w:val="center"/>
                </w:tcPr>
                <w:p w14:paraId="263BB72A">
                  <w:pPr>
                    <w:spacing w:line="340" w:lineRule="exac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14:paraId="396A6CF0">
            <w:pPr>
              <w:keepNext w:val="0"/>
              <w:keepLines w:val="0"/>
              <w:pageBreakBefore w:val="0"/>
              <w:widowControl w:val="0"/>
              <w:kinsoku/>
              <w:wordWrap/>
              <w:overflowPunct/>
              <w:topLinePunct w:val="0"/>
              <w:autoSpaceDE/>
              <w:autoSpaceDN/>
              <w:bidi w:val="0"/>
              <w:adjustRightInd/>
              <w:snapToGrid w:val="0"/>
              <w:spacing w:before="95" w:beforeLines="3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由上表可知，处理后的污水浓度能达</w:t>
            </w:r>
            <w:r>
              <w:rPr>
                <w:rFonts w:hint="eastAsia" w:ascii="Times New Roman" w:hAnsi="Times New Roman" w:eastAsia="宋体" w:cs="Times New Roman"/>
                <w:b w:val="0"/>
                <w:bCs w:val="0"/>
                <w:color w:val="auto"/>
                <w:sz w:val="24"/>
                <w:szCs w:val="24"/>
                <w:highlight w:val="none"/>
                <w:lang w:val="en-US" w:eastAsia="zh-CN"/>
              </w:rPr>
              <w:t>《农田灌溉水质标准》（GB5084-2021）中</w:t>
            </w:r>
            <w:r>
              <w:rPr>
                <w:rFonts w:hint="default" w:ascii="Times New Roman" w:hAnsi="Times New Roman" w:eastAsia="宋体" w:cs="Times New Roman"/>
                <w:b w:val="0"/>
                <w:bCs w:val="0"/>
                <w:color w:val="auto"/>
                <w:sz w:val="24"/>
                <w:szCs w:val="24"/>
                <w:highlight w:val="none"/>
                <w:lang w:val="en-US" w:eastAsia="zh-CN"/>
              </w:rPr>
              <w:t>旱作用水标准，在技术上是可行。项目废水处理达标后用于周边</w:t>
            </w:r>
            <w:r>
              <w:rPr>
                <w:rFonts w:hint="eastAsia" w:cs="Times New Roman"/>
                <w:b w:val="0"/>
                <w:bCs w:val="0"/>
                <w:color w:val="auto"/>
                <w:sz w:val="24"/>
                <w:szCs w:val="24"/>
                <w:highlight w:val="none"/>
                <w:lang w:val="en-US" w:eastAsia="zh-CN"/>
              </w:rPr>
              <w:t>农田</w:t>
            </w:r>
            <w:r>
              <w:rPr>
                <w:rFonts w:hint="eastAsia" w:ascii="Times New Roman" w:hAnsi="Times New Roman" w:eastAsia="宋体" w:cs="Times New Roman"/>
                <w:b w:val="0"/>
                <w:bCs w:val="0"/>
                <w:color w:val="auto"/>
                <w:sz w:val="24"/>
                <w:szCs w:val="24"/>
                <w:highlight w:val="none"/>
                <w:lang w:val="en-US" w:eastAsia="zh-CN"/>
              </w:rPr>
              <w:t>灌溉</w:t>
            </w:r>
            <w:r>
              <w:rPr>
                <w:rFonts w:hint="default" w:ascii="Times New Roman" w:hAnsi="Times New Roman" w:eastAsia="宋体" w:cs="Times New Roman"/>
                <w:b w:val="0"/>
                <w:bCs w:val="0"/>
                <w:color w:val="auto"/>
                <w:sz w:val="24"/>
                <w:szCs w:val="24"/>
                <w:highlight w:val="none"/>
                <w:lang w:val="en-US" w:eastAsia="zh-CN"/>
              </w:rPr>
              <w:t>。</w:t>
            </w:r>
          </w:p>
          <w:p w14:paraId="53E7E1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w:t>
            </w:r>
            <w:r>
              <w:rPr>
                <w:rFonts w:hint="eastAsia" w:ascii="Times New Roman" w:hAnsi="Times New Roman" w:eastAsia="宋体" w:cs="Times New Roman"/>
                <w:b w:val="0"/>
                <w:bCs w:val="0"/>
                <w:color w:val="auto"/>
                <w:sz w:val="24"/>
                <w:szCs w:val="24"/>
                <w:highlight w:val="none"/>
                <w:lang w:val="en-US" w:eastAsia="zh-CN"/>
              </w:rPr>
              <w:t>灌溉方式可控性</w:t>
            </w:r>
          </w:p>
          <w:p w14:paraId="32EAD5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项目采用人工清掏方式对化粪池处理后的生活污水进行灌溉，本项目生活污水产生总量</w:t>
            </w:r>
            <w:r>
              <w:rPr>
                <w:rFonts w:hint="default" w:ascii="Times New Roman" w:hAnsi="Times New Roman" w:eastAsia="宋体" w:cs="Times New Roman"/>
                <w:b w:val="0"/>
                <w:bCs w:val="0"/>
                <w:color w:val="auto"/>
                <w:sz w:val="24"/>
                <w:szCs w:val="24"/>
                <w:highlight w:val="none"/>
                <w:lang w:val="en-US" w:eastAsia="zh-CN"/>
              </w:rPr>
              <w:t>为</w:t>
            </w:r>
            <w:r>
              <w:rPr>
                <w:rFonts w:hint="eastAsia" w:cs="Times New Roman"/>
                <w:color w:val="auto"/>
                <w:sz w:val="24"/>
                <w:highlight w:val="none"/>
                <w:lang w:val="en-US" w:eastAsia="zh-CN"/>
              </w:rPr>
              <w:t>1.16</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423.4</w:t>
            </w:r>
            <w:r>
              <w:rPr>
                <w:rFonts w:hint="default" w:ascii="Times New Roman" w:hAnsi="Times New Roman" w:eastAsia="宋体" w:cs="Times New Roman"/>
                <w:color w:val="auto"/>
                <w:sz w:val="24"/>
                <w:highlight w:val="none"/>
                <w:lang w:eastAsia="zh-CN"/>
              </w:rPr>
              <w:t>m</w:t>
            </w:r>
            <w:r>
              <w:rPr>
                <w:rFonts w:hint="default" w:ascii="Times New Roman" w:hAnsi="Times New Roman" w:eastAsia="宋体" w:cs="Times New Roman"/>
                <w:color w:val="auto"/>
                <w:sz w:val="24"/>
                <w:highlight w:val="none"/>
                <w:vertAlign w:val="superscript"/>
                <w:lang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在</w:t>
            </w:r>
            <w:r>
              <w:rPr>
                <w:rFonts w:hint="eastAsia" w:ascii="Times New Roman" w:hAnsi="Times New Roman" w:eastAsia="宋体" w:cs="Times New Roman"/>
                <w:b w:val="0"/>
                <w:bCs w:val="0"/>
                <w:color w:val="auto"/>
                <w:sz w:val="24"/>
                <w:szCs w:val="24"/>
                <w:highlight w:val="none"/>
                <w:lang w:val="en-US" w:eastAsia="zh-CN"/>
              </w:rPr>
              <w:t>长期雨水天气时，项目生活污水可储存在应急水池中，容积约</w:t>
            </w:r>
            <w:r>
              <w:rPr>
                <w:rFonts w:hint="eastAsia" w:cs="Times New Roman"/>
                <w:b w:val="0"/>
                <w:bCs w:val="0"/>
                <w:color w:val="auto"/>
                <w:sz w:val="24"/>
                <w:szCs w:val="24"/>
                <w:highlight w:val="none"/>
                <w:lang w:val="en-US" w:eastAsia="zh-CN"/>
              </w:rPr>
              <w:t>36</w:t>
            </w:r>
            <w:r>
              <w:rPr>
                <w:rFonts w:hint="eastAsia" w:ascii="Times New Roman" w:hAnsi="Times New Roman" w:eastAsia="宋体" w:cs="Times New Roman"/>
                <w:b w:val="0"/>
                <w:bCs w:val="0"/>
                <w:color w:val="auto"/>
                <w:sz w:val="24"/>
                <w:szCs w:val="24"/>
                <w:highlight w:val="none"/>
                <w:lang w:val="en-US" w:eastAsia="zh-CN"/>
              </w:rPr>
              <w:t>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lang w:val="en-US" w:eastAsia="zh-CN"/>
              </w:rPr>
              <w:t>，可储存约</w:t>
            </w:r>
            <w:r>
              <w:rPr>
                <w:rFonts w:hint="eastAsia" w:cs="Times New Roman"/>
                <w:b w:val="0"/>
                <w:bCs w:val="0"/>
                <w:color w:val="auto"/>
                <w:sz w:val="24"/>
                <w:szCs w:val="24"/>
                <w:highlight w:val="none"/>
                <w:lang w:val="en-US" w:eastAsia="zh-CN"/>
              </w:rPr>
              <w:t>30</w:t>
            </w:r>
            <w:r>
              <w:rPr>
                <w:rFonts w:hint="eastAsia" w:ascii="Times New Roman" w:hAnsi="Times New Roman" w:eastAsia="宋体" w:cs="Times New Roman"/>
                <w:b w:val="0"/>
                <w:bCs w:val="0"/>
                <w:color w:val="auto"/>
                <w:sz w:val="24"/>
                <w:szCs w:val="24"/>
                <w:highlight w:val="none"/>
                <w:lang w:val="en-US" w:eastAsia="zh-CN"/>
              </w:rPr>
              <w:t>天的生活污水，此期间可用</w:t>
            </w:r>
            <w:r>
              <w:rPr>
                <w:rFonts w:hint="eastAsia" w:cs="Times New Roman"/>
                <w:b w:val="0"/>
                <w:bCs w:val="0"/>
                <w:color w:val="auto"/>
                <w:sz w:val="24"/>
                <w:szCs w:val="24"/>
                <w:highlight w:val="none"/>
                <w:lang w:val="en-US" w:eastAsia="zh-CN"/>
              </w:rPr>
              <w:t>汽车等</w:t>
            </w:r>
            <w:r>
              <w:rPr>
                <w:rFonts w:hint="eastAsia" w:ascii="Times New Roman" w:hAnsi="Times New Roman" w:eastAsia="宋体" w:cs="Times New Roman"/>
                <w:b w:val="0"/>
                <w:bCs w:val="0"/>
                <w:color w:val="auto"/>
                <w:sz w:val="24"/>
                <w:szCs w:val="24"/>
                <w:highlight w:val="none"/>
                <w:lang w:val="en-US" w:eastAsia="zh-CN"/>
              </w:rPr>
              <w:t>运输方式将生活污水运送至污水处理厂处理，增加了生活污水灌溉方式的可控性。</w:t>
            </w:r>
          </w:p>
          <w:p w14:paraId="76C79461">
            <w:pPr>
              <w:pStyle w:val="71"/>
              <w:bidi w:val="0"/>
              <w:rPr>
                <w:rFonts w:hint="default"/>
                <w:color w:val="auto"/>
                <w:lang w:val="en-US" w:eastAsia="zh-CN"/>
              </w:rPr>
            </w:pPr>
            <w:r>
              <w:rPr>
                <w:rFonts w:hint="eastAsia" w:ascii="Times New Roman" w:hAnsi="Times New Roman" w:eastAsia="宋体" w:cs="Times New Roman"/>
                <w:b w:val="0"/>
                <w:bCs w:val="0"/>
                <w:color w:val="auto"/>
                <w:sz w:val="24"/>
                <w:szCs w:val="24"/>
                <w:highlight w:val="none"/>
                <w:lang w:val="en-US" w:eastAsia="zh-CN"/>
              </w:rPr>
              <w:t>因此本项目生活污水在满足</w:t>
            </w:r>
            <w:r>
              <w:rPr>
                <w:rFonts w:hint="default" w:ascii="Times New Roman" w:hAnsi="Times New Roman" w:eastAsia="宋体" w:cs="Times New Roman"/>
                <w:b w:val="0"/>
                <w:bCs w:val="0"/>
                <w:color w:val="auto"/>
                <w:sz w:val="24"/>
                <w:szCs w:val="24"/>
                <w:highlight w:val="none"/>
                <w:lang w:val="en-US" w:eastAsia="zh-CN"/>
              </w:rPr>
              <w:t>《农田灌溉</w:t>
            </w:r>
            <w:r>
              <w:rPr>
                <w:rFonts w:hint="eastAsia" w:ascii="Times New Roman" w:hAnsi="Times New Roman" w:eastAsia="宋体" w:cs="Times New Roman"/>
                <w:b w:val="0"/>
                <w:bCs w:val="0"/>
                <w:color w:val="auto"/>
                <w:sz w:val="24"/>
                <w:szCs w:val="24"/>
                <w:highlight w:val="none"/>
                <w:lang w:val="en-US" w:eastAsia="zh-CN"/>
              </w:rPr>
              <w:t>水质</w:t>
            </w:r>
            <w:r>
              <w:rPr>
                <w:rFonts w:hint="default" w:ascii="Times New Roman" w:hAnsi="Times New Roman" w:eastAsia="宋体" w:cs="Times New Roman"/>
                <w:b w:val="0"/>
                <w:bCs w:val="0"/>
                <w:color w:val="auto"/>
                <w:sz w:val="24"/>
                <w:szCs w:val="24"/>
                <w:highlight w:val="none"/>
                <w:lang w:val="en-US" w:eastAsia="zh-CN"/>
              </w:rPr>
              <w:t>标准》（GB5084-20</w:t>
            </w:r>
            <w:r>
              <w:rPr>
                <w:rFonts w:hint="eastAsia" w:ascii="Times New Roman" w:hAnsi="Times New Roman" w:eastAsia="宋体" w:cs="Times New Roman"/>
                <w:b w:val="0"/>
                <w:bCs w:val="0"/>
                <w:color w:val="auto"/>
                <w:sz w:val="24"/>
                <w:szCs w:val="24"/>
                <w:highlight w:val="none"/>
                <w:lang w:val="en-US" w:eastAsia="zh-CN"/>
              </w:rPr>
              <w:t>21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val="en-US" w:eastAsia="zh-CN"/>
              </w:rPr>
              <w:t>旱作</w:t>
            </w:r>
            <w:r>
              <w:rPr>
                <w:rFonts w:hint="eastAsia" w:ascii="Times New Roman" w:hAnsi="Times New Roman" w:eastAsia="宋体" w:cs="Times New Roman"/>
                <w:b w:val="0"/>
                <w:bCs w:val="0"/>
                <w:color w:val="auto"/>
                <w:sz w:val="24"/>
                <w:szCs w:val="24"/>
                <w:highlight w:val="none"/>
                <w:lang w:val="en-US" w:eastAsia="zh-CN"/>
              </w:rPr>
              <w:t>作物种类排放标准限值的基础上用于</w:t>
            </w:r>
            <w:r>
              <w:rPr>
                <w:rFonts w:hint="eastAsia" w:cs="Times New Roman"/>
                <w:b w:val="0"/>
                <w:bCs w:val="0"/>
                <w:color w:val="auto"/>
                <w:sz w:val="24"/>
                <w:szCs w:val="24"/>
                <w:highlight w:val="none"/>
                <w:lang w:val="en-US" w:eastAsia="zh-CN"/>
              </w:rPr>
              <w:t>农田</w:t>
            </w:r>
            <w:r>
              <w:rPr>
                <w:rFonts w:hint="eastAsia" w:ascii="Times New Roman" w:hAnsi="Times New Roman" w:eastAsia="宋体" w:cs="Times New Roman"/>
                <w:b w:val="0"/>
                <w:bCs w:val="0"/>
                <w:color w:val="auto"/>
                <w:sz w:val="24"/>
                <w:szCs w:val="24"/>
                <w:highlight w:val="none"/>
                <w:lang w:val="en-US" w:eastAsia="zh-CN"/>
              </w:rPr>
              <w:t>灌溉是可行的。</w:t>
            </w:r>
          </w:p>
          <w:p w14:paraId="59883E03">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（三）噪声</w:t>
            </w:r>
          </w:p>
          <w:p w14:paraId="340D9922">
            <w:pPr>
              <w:widowControl w:val="0"/>
              <w:bidi w:val="0"/>
              <w:spacing w:line="360" w:lineRule="auto"/>
              <w:ind w:firstLine="480" w:firstLineChars="200"/>
              <w:jc w:val="both"/>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cs="Times New Roman" w:eastAsiaTheme="minorEastAsia"/>
                <w:color w:val="auto"/>
                <w:kern w:val="2"/>
                <w:sz w:val="24"/>
                <w:szCs w:val="24"/>
                <w:lang w:val="en-US" w:eastAsia="zh-CN" w:bidi="ar-SA"/>
              </w:rPr>
              <w:t>、噪声源强及防治措施</w:t>
            </w:r>
          </w:p>
          <w:p w14:paraId="6EC0C887">
            <w:pPr>
              <w:spacing w:line="360" w:lineRule="auto"/>
              <w:ind w:firstLine="480" w:firstLineChars="20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szCs w:val="24"/>
              </w:rPr>
              <w:t>本项目主要噪声主要来源于</w:t>
            </w:r>
            <w:r>
              <w:rPr>
                <w:rFonts w:hint="default" w:ascii="Times New Roman" w:hAnsi="Times New Roman" w:cs="Times New Roman" w:eastAsiaTheme="minorEastAsia"/>
                <w:color w:val="auto"/>
                <w:sz w:val="24"/>
                <w:szCs w:val="24"/>
                <w:lang w:val="en-US" w:eastAsia="zh-CN"/>
              </w:rPr>
              <w:t>压缩机、烃泵、消防水泵</w:t>
            </w:r>
            <w:r>
              <w:rPr>
                <w:rFonts w:hint="default" w:ascii="Times New Roman" w:hAnsi="Times New Roman" w:cs="Times New Roman" w:eastAsiaTheme="minorEastAsia"/>
                <w:color w:val="auto"/>
                <w:sz w:val="24"/>
                <w:szCs w:val="24"/>
              </w:rPr>
              <w:t>产生的噪声，噪声值约为</w:t>
            </w:r>
            <w:r>
              <w:rPr>
                <w:rFonts w:hint="default" w:ascii="Times New Roman" w:hAnsi="Times New Roman"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0~</w:t>
            </w:r>
            <w:r>
              <w:rPr>
                <w:rFonts w:hint="default" w:ascii="Times New Roman" w:hAnsi="Times New Roman" w:cs="Times New Roman" w:eastAsiaTheme="minorEastAsia"/>
                <w:color w:val="auto"/>
                <w:sz w:val="24"/>
                <w:szCs w:val="24"/>
                <w:lang w:val="en-US" w:eastAsia="zh-CN"/>
              </w:rPr>
              <w:t>85</w:t>
            </w:r>
            <w:r>
              <w:rPr>
                <w:rFonts w:hint="default" w:ascii="Times New Roman" w:hAnsi="Times New Roman" w:cs="Times New Roman" w:eastAsiaTheme="minorEastAsia"/>
                <w:color w:val="auto"/>
                <w:sz w:val="24"/>
                <w:szCs w:val="24"/>
              </w:rPr>
              <w:t>dB（A）。</w:t>
            </w:r>
          </w:p>
          <w:p w14:paraId="7A03CFFB">
            <w:pPr>
              <w:pStyle w:val="12"/>
              <w:spacing w:before="0" w:after="0" w:line="360" w:lineRule="auto"/>
              <w:ind w:right="0" w:firstLine="480" w:firstLine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（1）噪声污染源及源强分析</w:t>
            </w:r>
          </w:p>
          <w:p w14:paraId="0FEFE6F7">
            <w:pPr>
              <w:adjustRightInd w:val="0"/>
              <w:snapToGrid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项目噪声源主要为</w:t>
            </w:r>
            <w:r>
              <w:rPr>
                <w:rFonts w:hint="default" w:ascii="Times New Roman" w:hAnsi="Times New Roman" w:cs="Times New Roman" w:eastAsiaTheme="minorEastAsia"/>
                <w:color w:val="auto"/>
                <w:sz w:val="24"/>
                <w:szCs w:val="24"/>
                <w:lang w:val="en-US" w:eastAsia="zh-CN"/>
              </w:rPr>
              <w:t>压缩机、烃泵、消防水泵</w:t>
            </w:r>
            <w:r>
              <w:rPr>
                <w:rFonts w:hint="default" w:ascii="Times New Roman" w:hAnsi="Times New Roman" w:cs="Times New Roman" w:eastAsiaTheme="minorEastAsia"/>
                <w:color w:val="auto"/>
                <w:sz w:val="24"/>
                <w:szCs w:val="24"/>
              </w:rPr>
              <w:t>等生产设备运行时产生的噪声及进出厂区车辆产生的噪声。压缩机、烃泵均位于泵房内，柴油发电机设置于发电机房内，项目噪声源强约为80-85dB（A）。根据项目运营特征，项目车辆噪声为不连续、间断噪声，具有瞬时性；柴油发电机为停电时使用，为偶发性。项目设备噪声衰减后源强具体情况见表4-</w:t>
            </w:r>
            <w:r>
              <w:rPr>
                <w:rFonts w:hint="eastAsia"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w:t>
            </w:r>
          </w:p>
          <w:p w14:paraId="7FF7E0AA">
            <w:pPr>
              <w:spacing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表4-</w:t>
            </w:r>
            <w:r>
              <w:rPr>
                <w:rFonts w:hint="eastAsia" w:cs="Times New Roman" w:eastAsiaTheme="minorEastAsia"/>
                <w:b/>
                <w:bCs/>
                <w:color w:val="auto"/>
                <w:sz w:val="21"/>
                <w:szCs w:val="21"/>
                <w:lang w:val="en-US" w:eastAsia="zh-CN"/>
              </w:rPr>
              <w:t>7</w:t>
            </w:r>
            <w:r>
              <w:rPr>
                <w:rFonts w:hint="default" w:ascii="Times New Roman" w:hAnsi="Times New Roman" w:cs="Times New Roman" w:eastAsiaTheme="minorEastAsia"/>
                <w:b/>
                <w:bCs/>
                <w:color w:val="auto"/>
                <w:sz w:val="21"/>
                <w:szCs w:val="21"/>
              </w:rPr>
              <w:t xml:space="preserve"> 项目噪声源强调查清单（室内声源）</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
              <w:gridCol w:w="426"/>
              <w:gridCol w:w="411"/>
              <w:gridCol w:w="469"/>
              <w:gridCol w:w="420"/>
              <w:gridCol w:w="366"/>
              <w:gridCol w:w="366"/>
              <w:gridCol w:w="367"/>
              <w:gridCol w:w="301"/>
              <w:gridCol w:w="301"/>
              <w:gridCol w:w="301"/>
              <w:gridCol w:w="302"/>
              <w:gridCol w:w="298"/>
              <w:gridCol w:w="298"/>
              <w:gridCol w:w="298"/>
              <w:gridCol w:w="306"/>
              <w:gridCol w:w="435"/>
              <w:gridCol w:w="581"/>
              <w:gridCol w:w="391"/>
              <w:gridCol w:w="435"/>
              <w:gridCol w:w="420"/>
              <w:gridCol w:w="406"/>
              <w:gridCol w:w="440"/>
            </w:tblGrid>
            <w:tr w14:paraId="02FD0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dxa"/>
                  <w:vMerge w:val="restart"/>
                  <w:tcBorders>
                    <w:tl2br w:val="nil"/>
                    <w:tr2bl w:val="nil"/>
                  </w:tcBorders>
                  <w:vAlign w:val="center"/>
                </w:tcPr>
                <w:p w14:paraId="3DFC4FCF">
                  <w:pPr>
                    <w:spacing w:line="240" w:lineRule="auto"/>
                    <w:jc w:val="center"/>
                    <w:rPr>
                      <w:rFonts w:hint="default" w:ascii="Times New Roman" w:hAnsi="Times New Roman" w:cs="Times New Roman" w:eastAsiaTheme="minorEastAsia"/>
                      <w:color w:val="auto"/>
                      <w:sz w:val="21"/>
                      <w:szCs w:val="21"/>
                    </w:rPr>
                  </w:pPr>
                  <w:bookmarkStart w:id="10" w:name="PT_6"/>
                  <w:r>
                    <w:rPr>
                      <w:rFonts w:hint="default" w:ascii="Times New Roman" w:hAnsi="Times New Roman" w:cs="Times New Roman" w:eastAsiaTheme="minorEastAsia"/>
                      <w:b/>
                      <w:color w:val="auto"/>
                      <w:sz w:val="21"/>
                      <w:szCs w:val="21"/>
                    </w:rPr>
                    <w:t>序号</w:t>
                  </w:r>
                </w:p>
              </w:tc>
              <w:tc>
                <w:tcPr>
                  <w:tcW w:w="426" w:type="dxa"/>
                  <w:vMerge w:val="restart"/>
                  <w:tcBorders>
                    <w:tl2br w:val="nil"/>
                    <w:tr2bl w:val="nil"/>
                  </w:tcBorders>
                  <w:vAlign w:val="center"/>
                </w:tcPr>
                <w:p w14:paraId="3D635A6C">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建筑物名称</w:t>
                  </w:r>
                </w:p>
              </w:tc>
              <w:tc>
                <w:tcPr>
                  <w:tcW w:w="411" w:type="dxa"/>
                  <w:vMerge w:val="restart"/>
                  <w:tcBorders>
                    <w:tl2br w:val="nil"/>
                    <w:tr2bl w:val="nil"/>
                  </w:tcBorders>
                  <w:vAlign w:val="center"/>
                </w:tcPr>
                <w:p w14:paraId="4B59D376">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声源名称</w:t>
                  </w:r>
                </w:p>
              </w:tc>
              <w:tc>
                <w:tcPr>
                  <w:tcW w:w="469" w:type="dxa"/>
                  <w:vMerge w:val="restart"/>
                  <w:tcBorders>
                    <w:tl2br w:val="nil"/>
                    <w:tr2bl w:val="nil"/>
                  </w:tcBorders>
                  <w:vAlign w:val="center"/>
                </w:tcPr>
                <w:p w14:paraId="11D44FD2">
                  <w:pPr>
                    <w:spacing w:line="240" w:lineRule="auto"/>
                    <w:jc w:val="center"/>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声源源强</w:t>
                  </w:r>
                  <w:r>
                    <w:rPr>
                      <w:rFonts w:hint="default" w:ascii="Times New Roman" w:hAnsi="Times New Roman" w:cs="Times New Roman" w:eastAsiaTheme="minorEastAsia"/>
                      <w:b/>
                      <w:bCs w:val="0"/>
                      <w:color w:val="auto"/>
                      <w:sz w:val="21"/>
                      <w:szCs w:val="21"/>
                    </w:rPr>
                    <w:t>/dB(A)</w:t>
                  </w:r>
                </w:p>
              </w:tc>
              <w:tc>
                <w:tcPr>
                  <w:tcW w:w="420" w:type="dxa"/>
                  <w:vMerge w:val="restart"/>
                  <w:tcBorders>
                    <w:tl2br w:val="nil"/>
                    <w:tr2bl w:val="nil"/>
                  </w:tcBorders>
                  <w:vAlign w:val="center"/>
                </w:tcPr>
                <w:p w14:paraId="3444308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声源控制措施</w:t>
                  </w:r>
                </w:p>
              </w:tc>
              <w:tc>
                <w:tcPr>
                  <w:tcW w:w="1099" w:type="dxa"/>
                  <w:gridSpan w:val="3"/>
                  <w:tcBorders>
                    <w:tl2br w:val="nil"/>
                    <w:tr2bl w:val="nil"/>
                  </w:tcBorders>
                  <w:vAlign w:val="center"/>
                </w:tcPr>
                <w:p w14:paraId="2DF78EE1">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空间相对位置/m</w:t>
                  </w:r>
                </w:p>
              </w:tc>
              <w:tc>
                <w:tcPr>
                  <w:tcW w:w="1205" w:type="dxa"/>
                  <w:gridSpan w:val="4"/>
                  <w:tcBorders>
                    <w:tl2br w:val="nil"/>
                    <w:tr2bl w:val="nil"/>
                  </w:tcBorders>
                  <w:vAlign w:val="center"/>
                </w:tcPr>
                <w:p w14:paraId="7B79B139">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距室内边界距离/m</w:t>
                  </w:r>
                </w:p>
              </w:tc>
              <w:tc>
                <w:tcPr>
                  <w:tcW w:w="1200" w:type="dxa"/>
                  <w:gridSpan w:val="4"/>
                  <w:tcBorders>
                    <w:tl2br w:val="nil"/>
                    <w:tr2bl w:val="nil"/>
                  </w:tcBorders>
                  <w:vAlign w:val="center"/>
                </w:tcPr>
                <w:p w14:paraId="181DEDD0">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室内边界声级/dB(A)</w:t>
                  </w:r>
                </w:p>
              </w:tc>
              <w:tc>
                <w:tcPr>
                  <w:tcW w:w="435" w:type="dxa"/>
                  <w:vMerge w:val="restart"/>
                  <w:tcBorders>
                    <w:tl2br w:val="nil"/>
                    <w:tr2bl w:val="nil"/>
                  </w:tcBorders>
                  <w:vAlign w:val="center"/>
                </w:tcPr>
                <w:p w14:paraId="0987CF6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color w:val="auto"/>
                      <w:sz w:val="21"/>
                      <w:szCs w:val="21"/>
                    </w:rPr>
                    <w:t>运行时段</w:t>
                  </w:r>
                </w:p>
              </w:tc>
              <w:tc>
                <w:tcPr>
                  <w:tcW w:w="579" w:type="dxa"/>
                  <w:vMerge w:val="restart"/>
                  <w:tcBorders>
                    <w:tl2br w:val="nil"/>
                    <w:tr2bl w:val="nil"/>
                  </w:tcBorders>
                  <w:vAlign w:val="center"/>
                </w:tcPr>
                <w:p w14:paraId="06BA8C8F">
                  <w:pPr>
                    <w:spacing w:line="240" w:lineRule="auto"/>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建筑物插入损失/dB(A)</w:t>
                  </w:r>
                  <w:bookmarkStart w:id="11" w:name="PT_10"/>
                  <w:bookmarkEnd w:id="11"/>
                </w:p>
              </w:tc>
              <w:tc>
                <w:tcPr>
                  <w:tcW w:w="2092" w:type="dxa"/>
                  <w:gridSpan w:val="5"/>
                  <w:tcBorders>
                    <w:tl2br w:val="nil"/>
                    <w:tr2bl w:val="nil"/>
                  </w:tcBorders>
                  <w:vAlign w:val="center"/>
                </w:tcPr>
                <w:p w14:paraId="63529E91">
                  <w:pPr>
                    <w:spacing w:line="240" w:lineRule="auto"/>
                    <w:jc w:val="center"/>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建筑物外噪声声压级/dB(A)</w:t>
                  </w:r>
                </w:p>
              </w:tc>
            </w:tr>
            <w:tr w14:paraId="5C5A8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29" w:type="dxa"/>
                  <w:vMerge w:val="continue"/>
                  <w:tcBorders>
                    <w:tl2br w:val="nil"/>
                    <w:tr2bl w:val="nil"/>
                  </w:tcBorders>
                  <w:shd w:val="clear" w:color="auto" w:fill="FFFFFF"/>
                  <w:tcMar>
                    <w:top w:w="0" w:type="dxa"/>
                    <w:left w:w="0" w:type="dxa"/>
                    <w:bottom w:w="0" w:type="dxa"/>
                    <w:right w:w="0" w:type="dxa"/>
                  </w:tcMar>
                  <w:vAlign w:val="center"/>
                </w:tcPr>
                <w:p w14:paraId="40F1F20E">
                  <w:pPr>
                    <w:spacing w:line="240" w:lineRule="auto"/>
                    <w:jc w:val="center"/>
                    <w:rPr>
                      <w:rFonts w:hint="default" w:ascii="Times New Roman" w:hAnsi="Times New Roman" w:cs="Times New Roman" w:eastAsiaTheme="minorEastAsia"/>
                      <w:color w:val="auto"/>
                      <w:sz w:val="21"/>
                      <w:szCs w:val="21"/>
                      <w:lang w:val="en-US" w:eastAsia="zh-CN"/>
                    </w:rPr>
                  </w:pPr>
                </w:p>
              </w:tc>
              <w:tc>
                <w:tcPr>
                  <w:tcW w:w="426" w:type="dxa"/>
                  <w:vMerge w:val="continue"/>
                  <w:tcBorders>
                    <w:tl2br w:val="nil"/>
                    <w:tr2bl w:val="nil"/>
                  </w:tcBorders>
                  <w:shd w:val="clear" w:color="auto" w:fill="FFFFFF"/>
                  <w:tcMar>
                    <w:top w:w="0" w:type="dxa"/>
                    <w:left w:w="0" w:type="dxa"/>
                    <w:bottom w:w="0" w:type="dxa"/>
                    <w:right w:w="0" w:type="dxa"/>
                  </w:tcMar>
                  <w:vAlign w:val="center"/>
                </w:tcPr>
                <w:p w14:paraId="07B2A079">
                  <w:pPr>
                    <w:spacing w:line="240" w:lineRule="auto"/>
                    <w:jc w:val="center"/>
                    <w:rPr>
                      <w:rFonts w:hint="default" w:ascii="Times New Roman" w:hAnsi="Times New Roman" w:cs="Times New Roman" w:eastAsiaTheme="minorEastAsia"/>
                      <w:color w:val="auto"/>
                      <w:sz w:val="21"/>
                      <w:szCs w:val="21"/>
                    </w:rPr>
                  </w:pPr>
                </w:p>
              </w:tc>
              <w:tc>
                <w:tcPr>
                  <w:tcW w:w="411" w:type="dxa"/>
                  <w:vMerge w:val="continue"/>
                  <w:tcBorders>
                    <w:tl2br w:val="nil"/>
                    <w:tr2bl w:val="nil"/>
                  </w:tcBorders>
                  <w:shd w:val="clear" w:color="auto" w:fill="FFFFFF"/>
                  <w:tcMar>
                    <w:top w:w="0" w:type="dxa"/>
                    <w:left w:w="0" w:type="dxa"/>
                    <w:bottom w:w="0" w:type="dxa"/>
                    <w:right w:w="0" w:type="dxa"/>
                  </w:tcMar>
                  <w:vAlign w:val="center"/>
                </w:tcPr>
                <w:p w14:paraId="63AD8389">
                  <w:pPr>
                    <w:spacing w:line="240" w:lineRule="auto"/>
                    <w:jc w:val="center"/>
                    <w:rPr>
                      <w:rFonts w:hint="default" w:ascii="Times New Roman" w:hAnsi="Times New Roman" w:cs="Times New Roman" w:eastAsiaTheme="minorEastAsia"/>
                      <w:color w:val="auto"/>
                      <w:sz w:val="21"/>
                      <w:szCs w:val="21"/>
                    </w:rPr>
                  </w:pPr>
                </w:p>
              </w:tc>
              <w:tc>
                <w:tcPr>
                  <w:tcW w:w="469" w:type="dxa"/>
                  <w:vMerge w:val="continue"/>
                  <w:tcBorders>
                    <w:tl2br w:val="nil"/>
                    <w:tr2bl w:val="nil"/>
                  </w:tcBorders>
                  <w:shd w:val="clear" w:color="auto" w:fill="FFFFFF"/>
                  <w:tcMar>
                    <w:top w:w="0" w:type="dxa"/>
                    <w:left w:w="0" w:type="dxa"/>
                    <w:bottom w:w="0" w:type="dxa"/>
                    <w:right w:w="0" w:type="dxa"/>
                  </w:tcMar>
                  <w:vAlign w:val="center"/>
                </w:tcPr>
                <w:p w14:paraId="35E97210">
                  <w:pPr>
                    <w:spacing w:line="240" w:lineRule="auto"/>
                    <w:jc w:val="center"/>
                    <w:rPr>
                      <w:rFonts w:hint="default" w:ascii="Times New Roman" w:hAnsi="Times New Roman" w:cs="Times New Roman" w:eastAsiaTheme="minorEastAsia"/>
                      <w:color w:val="auto"/>
                      <w:sz w:val="21"/>
                      <w:szCs w:val="21"/>
                    </w:rPr>
                  </w:pPr>
                </w:p>
              </w:tc>
              <w:tc>
                <w:tcPr>
                  <w:tcW w:w="420" w:type="dxa"/>
                  <w:vMerge w:val="continue"/>
                  <w:tcBorders>
                    <w:tl2br w:val="nil"/>
                    <w:tr2bl w:val="nil"/>
                  </w:tcBorders>
                  <w:shd w:val="clear" w:color="auto" w:fill="FFFFFF"/>
                  <w:tcMar>
                    <w:top w:w="0" w:type="dxa"/>
                    <w:left w:w="0" w:type="dxa"/>
                    <w:bottom w:w="0" w:type="dxa"/>
                    <w:right w:w="0" w:type="dxa"/>
                  </w:tcMar>
                  <w:vAlign w:val="center"/>
                </w:tcPr>
                <w:p w14:paraId="6F9CBEE2">
                  <w:pPr>
                    <w:spacing w:line="240" w:lineRule="auto"/>
                    <w:jc w:val="center"/>
                    <w:rPr>
                      <w:rFonts w:hint="default" w:ascii="Times New Roman" w:hAnsi="Times New Roman" w:cs="Times New Roman" w:eastAsiaTheme="minorEastAsia"/>
                      <w:color w:val="auto"/>
                      <w:sz w:val="21"/>
                      <w:szCs w:val="21"/>
                    </w:rPr>
                  </w:pPr>
                </w:p>
              </w:tc>
              <w:tc>
                <w:tcPr>
                  <w:tcW w:w="366" w:type="dxa"/>
                  <w:tcBorders>
                    <w:tl2br w:val="nil"/>
                    <w:tr2bl w:val="nil"/>
                  </w:tcBorders>
                  <w:shd w:val="clear" w:color="auto" w:fill="FFFFFF"/>
                  <w:tcMar>
                    <w:top w:w="0" w:type="dxa"/>
                    <w:left w:w="0" w:type="dxa"/>
                    <w:bottom w:w="0" w:type="dxa"/>
                    <w:right w:w="0" w:type="dxa"/>
                  </w:tcMar>
                  <w:vAlign w:val="center"/>
                </w:tcPr>
                <w:p w14:paraId="2FBACD37">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X</w:t>
                  </w:r>
                </w:p>
              </w:tc>
              <w:tc>
                <w:tcPr>
                  <w:tcW w:w="366" w:type="dxa"/>
                  <w:tcBorders>
                    <w:tl2br w:val="nil"/>
                    <w:tr2bl w:val="nil"/>
                  </w:tcBorders>
                  <w:shd w:val="clear" w:color="auto" w:fill="FFFFFF"/>
                  <w:tcMar>
                    <w:top w:w="0" w:type="dxa"/>
                    <w:left w:w="0" w:type="dxa"/>
                    <w:bottom w:w="0" w:type="dxa"/>
                    <w:right w:w="0" w:type="dxa"/>
                  </w:tcMar>
                  <w:vAlign w:val="center"/>
                </w:tcPr>
                <w:p w14:paraId="38D3A617">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Y</w:t>
                  </w:r>
                </w:p>
              </w:tc>
              <w:tc>
                <w:tcPr>
                  <w:tcW w:w="367" w:type="dxa"/>
                  <w:tcBorders>
                    <w:tl2br w:val="nil"/>
                    <w:tr2bl w:val="nil"/>
                  </w:tcBorders>
                  <w:shd w:val="clear" w:color="auto" w:fill="FFFFFF"/>
                  <w:tcMar>
                    <w:top w:w="0" w:type="dxa"/>
                    <w:left w:w="0" w:type="dxa"/>
                    <w:bottom w:w="0" w:type="dxa"/>
                    <w:right w:w="0" w:type="dxa"/>
                  </w:tcMar>
                  <w:vAlign w:val="center"/>
                </w:tcPr>
                <w:p w14:paraId="184F966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Z</w:t>
                  </w:r>
                </w:p>
              </w:tc>
              <w:tc>
                <w:tcPr>
                  <w:tcW w:w="301" w:type="dxa"/>
                  <w:tcBorders>
                    <w:tl2br w:val="nil"/>
                    <w:tr2bl w:val="nil"/>
                  </w:tcBorders>
                  <w:shd w:val="clear" w:color="auto" w:fill="FFFFFF"/>
                  <w:tcMar>
                    <w:top w:w="0" w:type="dxa"/>
                    <w:left w:w="0" w:type="dxa"/>
                    <w:bottom w:w="0" w:type="dxa"/>
                    <w:right w:w="0" w:type="dxa"/>
                  </w:tcMar>
                  <w:vAlign w:val="center"/>
                </w:tcPr>
                <w:p w14:paraId="6C527D2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301" w:type="dxa"/>
                  <w:tcBorders>
                    <w:tl2br w:val="nil"/>
                    <w:tr2bl w:val="nil"/>
                  </w:tcBorders>
                  <w:shd w:val="clear" w:color="auto" w:fill="FFFFFF"/>
                  <w:tcMar>
                    <w:top w:w="0" w:type="dxa"/>
                    <w:left w:w="0" w:type="dxa"/>
                    <w:bottom w:w="0" w:type="dxa"/>
                    <w:right w:w="0" w:type="dxa"/>
                  </w:tcMar>
                  <w:vAlign w:val="center"/>
                </w:tcPr>
                <w:p w14:paraId="63FAA46E">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301" w:type="dxa"/>
                  <w:tcBorders>
                    <w:tl2br w:val="nil"/>
                    <w:tr2bl w:val="nil"/>
                  </w:tcBorders>
                  <w:shd w:val="clear" w:color="auto" w:fill="FFFFFF"/>
                  <w:tcMar>
                    <w:top w:w="0" w:type="dxa"/>
                    <w:left w:w="0" w:type="dxa"/>
                    <w:bottom w:w="0" w:type="dxa"/>
                    <w:right w:w="0" w:type="dxa"/>
                  </w:tcMar>
                  <w:vAlign w:val="center"/>
                </w:tcPr>
                <w:p w14:paraId="3A48D20D">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302" w:type="dxa"/>
                  <w:tcBorders>
                    <w:tl2br w:val="nil"/>
                    <w:tr2bl w:val="nil"/>
                  </w:tcBorders>
                  <w:shd w:val="clear" w:color="auto" w:fill="FFFFFF"/>
                  <w:tcMar>
                    <w:top w:w="0" w:type="dxa"/>
                    <w:left w:w="0" w:type="dxa"/>
                    <w:bottom w:w="0" w:type="dxa"/>
                    <w:right w:w="0" w:type="dxa"/>
                  </w:tcMar>
                  <w:vAlign w:val="center"/>
                </w:tcPr>
                <w:p w14:paraId="34BAE2C5">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298" w:type="dxa"/>
                  <w:tcBorders>
                    <w:tl2br w:val="nil"/>
                    <w:tr2bl w:val="nil"/>
                  </w:tcBorders>
                  <w:shd w:val="clear" w:color="auto" w:fill="FFFFFF"/>
                  <w:tcMar>
                    <w:top w:w="0" w:type="dxa"/>
                    <w:left w:w="0" w:type="dxa"/>
                    <w:bottom w:w="0" w:type="dxa"/>
                    <w:right w:w="0" w:type="dxa"/>
                  </w:tcMar>
                  <w:vAlign w:val="center"/>
                </w:tcPr>
                <w:p w14:paraId="01271FA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298" w:type="dxa"/>
                  <w:tcBorders>
                    <w:tl2br w:val="nil"/>
                    <w:tr2bl w:val="nil"/>
                  </w:tcBorders>
                  <w:shd w:val="clear" w:color="auto" w:fill="FFFFFF"/>
                  <w:tcMar>
                    <w:top w:w="0" w:type="dxa"/>
                    <w:left w:w="0" w:type="dxa"/>
                    <w:bottom w:w="0" w:type="dxa"/>
                    <w:right w:w="0" w:type="dxa"/>
                  </w:tcMar>
                  <w:vAlign w:val="center"/>
                </w:tcPr>
                <w:p w14:paraId="012F1847">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298" w:type="dxa"/>
                  <w:tcBorders>
                    <w:tl2br w:val="nil"/>
                    <w:tr2bl w:val="nil"/>
                  </w:tcBorders>
                  <w:shd w:val="clear" w:color="auto" w:fill="FFFFFF"/>
                  <w:tcMar>
                    <w:top w:w="0" w:type="dxa"/>
                    <w:left w:w="0" w:type="dxa"/>
                    <w:bottom w:w="0" w:type="dxa"/>
                    <w:right w:w="0" w:type="dxa"/>
                  </w:tcMar>
                  <w:vAlign w:val="center"/>
                </w:tcPr>
                <w:p w14:paraId="169D0BC9">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306" w:type="dxa"/>
                  <w:tcBorders>
                    <w:tl2br w:val="nil"/>
                    <w:tr2bl w:val="nil"/>
                  </w:tcBorders>
                  <w:shd w:val="clear" w:color="auto" w:fill="FFFFFF"/>
                  <w:tcMar>
                    <w:top w:w="0" w:type="dxa"/>
                    <w:left w:w="0" w:type="dxa"/>
                    <w:bottom w:w="0" w:type="dxa"/>
                    <w:right w:w="0" w:type="dxa"/>
                  </w:tcMar>
                  <w:vAlign w:val="center"/>
                </w:tcPr>
                <w:p w14:paraId="461C83CA">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435" w:type="dxa"/>
                  <w:vMerge w:val="continue"/>
                  <w:tcBorders>
                    <w:tl2br w:val="nil"/>
                    <w:tr2bl w:val="nil"/>
                  </w:tcBorders>
                  <w:shd w:val="clear" w:color="auto" w:fill="FFFFFF"/>
                  <w:tcMar>
                    <w:top w:w="0" w:type="dxa"/>
                    <w:left w:w="0" w:type="dxa"/>
                    <w:bottom w:w="0" w:type="dxa"/>
                    <w:right w:w="0" w:type="dxa"/>
                  </w:tcMar>
                  <w:vAlign w:val="center"/>
                </w:tcPr>
                <w:p w14:paraId="301DF186">
                  <w:pPr>
                    <w:spacing w:line="240" w:lineRule="auto"/>
                    <w:jc w:val="center"/>
                    <w:rPr>
                      <w:rFonts w:hint="default" w:ascii="Times New Roman" w:hAnsi="Times New Roman" w:cs="Times New Roman" w:eastAsiaTheme="minorEastAsia"/>
                      <w:color w:val="auto"/>
                      <w:sz w:val="21"/>
                      <w:szCs w:val="21"/>
                    </w:rPr>
                  </w:pPr>
                </w:p>
              </w:tc>
              <w:tc>
                <w:tcPr>
                  <w:tcW w:w="579" w:type="dxa"/>
                  <w:vMerge w:val="continue"/>
                  <w:tcBorders>
                    <w:tl2br w:val="nil"/>
                    <w:tr2bl w:val="nil"/>
                  </w:tcBorders>
                  <w:shd w:val="clear" w:color="auto" w:fill="FFFFFF"/>
                  <w:tcMar>
                    <w:top w:w="0" w:type="dxa"/>
                    <w:left w:w="0" w:type="dxa"/>
                    <w:bottom w:w="0" w:type="dxa"/>
                    <w:right w:w="0" w:type="dxa"/>
                  </w:tcMar>
                  <w:vAlign w:val="center"/>
                </w:tcPr>
                <w:p w14:paraId="5C4D7E82">
                  <w:pPr>
                    <w:spacing w:line="240" w:lineRule="auto"/>
                    <w:jc w:val="center"/>
                    <w:rPr>
                      <w:rFonts w:hint="default" w:ascii="Times New Roman" w:hAnsi="Times New Roman" w:cs="Times New Roman" w:eastAsiaTheme="minorEastAsia"/>
                      <w:color w:val="auto"/>
                      <w:sz w:val="21"/>
                      <w:szCs w:val="21"/>
                    </w:rPr>
                  </w:pPr>
                </w:p>
              </w:tc>
              <w:tc>
                <w:tcPr>
                  <w:tcW w:w="391" w:type="dxa"/>
                  <w:tcBorders>
                    <w:tl2br w:val="nil"/>
                    <w:tr2bl w:val="nil"/>
                  </w:tcBorders>
                  <w:shd w:val="clear" w:color="auto" w:fill="FFFFFF"/>
                  <w:tcMar>
                    <w:top w:w="0" w:type="dxa"/>
                    <w:left w:w="0" w:type="dxa"/>
                    <w:bottom w:w="0" w:type="dxa"/>
                    <w:right w:w="0" w:type="dxa"/>
                  </w:tcMar>
                  <w:vAlign w:val="center"/>
                </w:tcPr>
                <w:p w14:paraId="5664B32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东</w:t>
                  </w:r>
                </w:p>
              </w:tc>
              <w:tc>
                <w:tcPr>
                  <w:tcW w:w="435" w:type="dxa"/>
                  <w:tcBorders>
                    <w:tl2br w:val="nil"/>
                    <w:tr2bl w:val="nil"/>
                  </w:tcBorders>
                  <w:shd w:val="clear" w:color="auto" w:fill="FFFFFF"/>
                  <w:tcMar>
                    <w:top w:w="0" w:type="dxa"/>
                    <w:left w:w="0" w:type="dxa"/>
                    <w:bottom w:w="0" w:type="dxa"/>
                    <w:right w:w="0" w:type="dxa"/>
                  </w:tcMar>
                  <w:vAlign w:val="center"/>
                </w:tcPr>
                <w:p w14:paraId="161A3725">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南</w:t>
                  </w:r>
                </w:p>
              </w:tc>
              <w:tc>
                <w:tcPr>
                  <w:tcW w:w="420" w:type="dxa"/>
                  <w:tcBorders>
                    <w:tl2br w:val="nil"/>
                    <w:tr2bl w:val="nil"/>
                  </w:tcBorders>
                  <w:shd w:val="clear" w:color="auto" w:fill="FFFFFF"/>
                  <w:tcMar>
                    <w:top w:w="0" w:type="dxa"/>
                    <w:left w:w="0" w:type="dxa"/>
                    <w:bottom w:w="0" w:type="dxa"/>
                    <w:right w:w="0" w:type="dxa"/>
                  </w:tcMar>
                  <w:vAlign w:val="center"/>
                </w:tcPr>
                <w:p w14:paraId="16743E51">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西</w:t>
                  </w:r>
                </w:p>
              </w:tc>
              <w:tc>
                <w:tcPr>
                  <w:tcW w:w="406" w:type="dxa"/>
                  <w:tcBorders>
                    <w:tl2br w:val="nil"/>
                    <w:tr2bl w:val="nil"/>
                  </w:tcBorders>
                  <w:shd w:val="clear" w:color="auto" w:fill="FFFFFF"/>
                  <w:tcMar>
                    <w:top w:w="0" w:type="dxa"/>
                    <w:left w:w="0" w:type="dxa"/>
                    <w:bottom w:w="0" w:type="dxa"/>
                    <w:right w:w="0" w:type="dxa"/>
                  </w:tcMar>
                  <w:vAlign w:val="center"/>
                </w:tcPr>
                <w:p w14:paraId="415136FC">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北</w:t>
                  </w:r>
                </w:p>
              </w:tc>
              <w:tc>
                <w:tcPr>
                  <w:tcW w:w="440" w:type="dxa"/>
                  <w:tcBorders>
                    <w:tl2br w:val="nil"/>
                    <w:tr2bl w:val="nil"/>
                  </w:tcBorders>
                  <w:shd w:val="clear" w:color="auto" w:fill="FFFFFF"/>
                  <w:tcMar>
                    <w:top w:w="0" w:type="dxa"/>
                    <w:left w:w="0" w:type="dxa"/>
                    <w:bottom w:w="0" w:type="dxa"/>
                    <w:right w:w="0" w:type="dxa"/>
                  </w:tcMar>
                  <w:vAlign w:val="center"/>
                </w:tcPr>
                <w:p w14:paraId="706AB6AA">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建筑物外距离</w:t>
                  </w:r>
                </w:p>
              </w:tc>
            </w:tr>
            <w:tr w14:paraId="3E71F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29" w:type="dxa"/>
                  <w:tcBorders>
                    <w:tl2br w:val="nil"/>
                    <w:tr2bl w:val="nil"/>
                  </w:tcBorders>
                  <w:shd w:val="clear" w:color="auto" w:fill="FFFFFF"/>
                  <w:tcMar>
                    <w:top w:w="0" w:type="dxa"/>
                    <w:left w:w="0" w:type="dxa"/>
                    <w:bottom w:w="0" w:type="dxa"/>
                    <w:right w:w="0" w:type="dxa"/>
                  </w:tcMar>
                  <w:vAlign w:val="center"/>
                </w:tcPr>
                <w:p w14:paraId="7A6C57C9">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26" w:type="dxa"/>
                  <w:tcBorders>
                    <w:tl2br w:val="nil"/>
                    <w:tr2bl w:val="nil"/>
                  </w:tcBorders>
                  <w:shd w:val="clear" w:color="auto" w:fill="FFFFFF"/>
                  <w:tcMar>
                    <w:top w:w="0" w:type="dxa"/>
                    <w:left w:w="0" w:type="dxa"/>
                    <w:bottom w:w="0" w:type="dxa"/>
                    <w:right w:w="0" w:type="dxa"/>
                  </w:tcMar>
                  <w:vAlign w:val="center"/>
                </w:tcPr>
                <w:p w14:paraId="7218C41D">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生产</w:t>
                  </w:r>
                  <w:r>
                    <w:rPr>
                      <w:rFonts w:hint="default" w:ascii="Times New Roman" w:hAnsi="Times New Roman" w:cs="Times New Roman" w:eastAsiaTheme="minorEastAsia"/>
                      <w:color w:val="auto"/>
                      <w:sz w:val="21"/>
                      <w:szCs w:val="21"/>
                      <w:lang w:val="en-US" w:eastAsia="zh-CN"/>
                    </w:rPr>
                    <w:t>用房</w:t>
                  </w:r>
                </w:p>
              </w:tc>
              <w:tc>
                <w:tcPr>
                  <w:tcW w:w="411" w:type="dxa"/>
                  <w:tcBorders>
                    <w:tl2br w:val="nil"/>
                    <w:tr2bl w:val="nil"/>
                  </w:tcBorders>
                  <w:shd w:val="clear" w:color="auto" w:fill="FFFFFF"/>
                  <w:tcMar>
                    <w:top w:w="0" w:type="dxa"/>
                    <w:left w:w="0" w:type="dxa"/>
                    <w:bottom w:w="0" w:type="dxa"/>
                    <w:right w:w="0" w:type="dxa"/>
                  </w:tcMar>
                  <w:vAlign w:val="center"/>
                </w:tcPr>
                <w:p w14:paraId="15704171">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烃泵</w:t>
                  </w:r>
                </w:p>
              </w:tc>
              <w:tc>
                <w:tcPr>
                  <w:tcW w:w="469" w:type="dxa"/>
                  <w:tcBorders>
                    <w:tl2br w:val="nil"/>
                    <w:tr2bl w:val="nil"/>
                  </w:tcBorders>
                  <w:shd w:val="clear" w:color="auto" w:fill="FFFFFF"/>
                  <w:tcMar>
                    <w:top w:w="0" w:type="dxa"/>
                    <w:left w:w="0" w:type="dxa"/>
                    <w:bottom w:w="0" w:type="dxa"/>
                    <w:right w:w="0" w:type="dxa"/>
                  </w:tcMar>
                  <w:vAlign w:val="center"/>
                </w:tcPr>
                <w:p w14:paraId="1AB4D72E">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420" w:type="dxa"/>
                  <w:vMerge w:val="restart"/>
                  <w:tcBorders>
                    <w:tl2br w:val="nil"/>
                    <w:tr2bl w:val="nil"/>
                  </w:tcBorders>
                  <w:shd w:val="clear" w:color="auto" w:fill="FFFFFF"/>
                  <w:tcMar>
                    <w:top w:w="0" w:type="dxa"/>
                    <w:left w:w="0" w:type="dxa"/>
                    <w:bottom w:w="0" w:type="dxa"/>
                    <w:right w:w="0" w:type="dxa"/>
                  </w:tcMar>
                  <w:vAlign w:val="center"/>
                </w:tcPr>
                <w:p w14:paraId="38971D56">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设备减震，建筑隔声</w:t>
                  </w:r>
                </w:p>
              </w:tc>
              <w:tc>
                <w:tcPr>
                  <w:tcW w:w="366" w:type="dxa"/>
                  <w:tcBorders>
                    <w:tl2br w:val="nil"/>
                    <w:tr2bl w:val="nil"/>
                  </w:tcBorders>
                  <w:shd w:val="clear" w:color="auto" w:fill="FFFFFF"/>
                  <w:tcMar>
                    <w:top w:w="0" w:type="dxa"/>
                    <w:left w:w="0" w:type="dxa"/>
                    <w:bottom w:w="0" w:type="dxa"/>
                    <w:right w:w="0" w:type="dxa"/>
                  </w:tcMar>
                  <w:vAlign w:val="center"/>
                </w:tcPr>
                <w:p w14:paraId="29261770">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4</w:t>
                  </w:r>
                </w:p>
              </w:tc>
              <w:tc>
                <w:tcPr>
                  <w:tcW w:w="366" w:type="dxa"/>
                  <w:tcBorders>
                    <w:tl2br w:val="nil"/>
                    <w:tr2bl w:val="nil"/>
                  </w:tcBorders>
                  <w:shd w:val="clear" w:color="auto" w:fill="FFFFFF"/>
                  <w:tcMar>
                    <w:top w:w="0" w:type="dxa"/>
                    <w:left w:w="0" w:type="dxa"/>
                    <w:bottom w:w="0" w:type="dxa"/>
                    <w:right w:w="0" w:type="dxa"/>
                  </w:tcMar>
                  <w:vAlign w:val="center"/>
                </w:tcPr>
                <w:p w14:paraId="2B1AE51A">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w:t>
                  </w:r>
                </w:p>
              </w:tc>
              <w:tc>
                <w:tcPr>
                  <w:tcW w:w="367" w:type="dxa"/>
                  <w:tcBorders>
                    <w:tl2br w:val="nil"/>
                    <w:tr2bl w:val="nil"/>
                  </w:tcBorders>
                  <w:shd w:val="clear" w:color="auto" w:fill="FFFFFF"/>
                  <w:tcMar>
                    <w:top w:w="0" w:type="dxa"/>
                    <w:left w:w="0" w:type="dxa"/>
                    <w:bottom w:w="0" w:type="dxa"/>
                    <w:right w:w="0" w:type="dxa"/>
                  </w:tcMar>
                  <w:vAlign w:val="center"/>
                </w:tcPr>
                <w:p w14:paraId="45C4011D">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301" w:type="dxa"/>
                  <w:tcBorders>
                    <w:tl2br w:val="nil"/>
                    <w:tr2bl w:val="nil"/>
                  </w:tcBorders>
                  <w:shd w:val="clear" w:color="auto" w:fill="FFFFFF"/>
                  <w:tcMar>
                    <w:top w:w="0" w:type="dxa"/>
                    <w:left w:w="0" w:type="dxa"/>
                    <w:bottom w:w="0" w:type="dxa"/>
                    <w:right w:w="0" w:type="dxa"/>
                  </w:tcMar>
                  <w:vAlign w:val="center"/>
                </w:tcPr>
                <w:p w14:paraId="0A7E1D56">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301" w:type="dxa"/>
                  <w:tcBorders>
                    <w:tl2br w:val="nil"/>
                    <w:tr2bl w:val="nil"/>
                  </w:tcBorders>
                  <w:shd w:val="clear" w:color="auto" w:fill="FFFFFF"/>
                  <w:tcMar>
                    <w:top w:w="0" w:type="dxa"/>
                    <w:left w:w="0" w:type="dxa"/>
                    <w:bottom w:w="0" w:type="dxa"/>
                    <w:right w:w="0" w:type="dxa"/>
                  </w:tcMar>
                  <w:vAlign w:val="center"/>
                </w:tcPr>
                <w:p w14:paraId="5C89FB2A">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301" w:type="dxa"/>
                  <w:tcBorders>
                    <w:tl2br w:val="nil"/>
                    <w:tr2bl w:val="nil"/>
                  </w:tcBorders>
                  <w:shd w:val="clear" w:color="auto" w:fill="FFFFFF"/>
                  <w:tcMar>
                    <w:top w:w="0" w:type="dxa"/>
                    <w:left w:w="0" w:type="dxa"/>
                    <w:bottom w:w="0" w:type="dxa"/>
                    <w:right w:w="0" w:type="dxa"/>
                  </w:tcMar>
                  <w:vAlign w:val="center"/>
                </w:tcPr>
                <w:p w14:paraId="06E73DA6">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302" w:type="dxa"/>
                  <w:tcBorders>
                    <w:tl2br w:val="nil"/>
                    <w:tr2bl w:val="nil"/>
                  </w:tcBorders>
                  <w:shd w:val="clear" w:color="auto" w:fill="FFFFFF"/>
                  <w:tcMar>
                    <w:top w:w="0" w:type="dxa"/>
                    <w:left w:w="0" w:type="dxa"/>
                    <w:bottom w:w="0" w:type="dxa"/>
                    <w:right w:w="0" w:type="dxa"/>
                  </w:tcMar>
                  <w:vAlign w:val="center"/>
                </w:tcPr>
                <w:p w14:paraId="51D01B0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298" w:type="dxa"/>
                  <w:tcBorders>
                    <w:tl2br w:val="nil"/>
                    <w:tr2bl w:val="nil"/>
                  </w:tcBorders>
                  <w:shd w:val="clear" w:color="auto" w:fill="FFFFFF"/>
                  <w:tcMar>
                    <w:top w:w="0" w:type="dxa"/>
                    <w:left w:w="0" w:type="dxa"/>
                    <w:bottom w:w="0" w:type="dxa"/>
                    <w:right w:w="0" w:type="dxa"/>
                  </w:tcMar>
                  <w:vAlign w:val="center"/>
                </w:tcPr>
                <w:p w14:paraId="3B7A0A90">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298" w:type="dxa"/>
                  <w:tcBorders>
                    <w:tl2br w:val="nil"/>
                    <w:tr2bl w:val="nil"/>
                  </w:tcBorders>
                  <w:shd w:val="clear" w:color="auto" w:fill="FFFFFF"/>
                  <w:tcMar>
                    <w:top w:w="0" w:type="dxa"/>
                    <w:left w:w="0" w:type="dxa"/>
                    <w:bottom w:w="0" w:type="dxa"/>
                    <w:right w:w="0" w:type="dxa"/>
                  </w:tcMar>
                  <w:vAlign w:val="center"/>
                </w:tcPr>
                <w:p w14:paraId="09CE1BD9">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73.5</w:t>
                  </w:r>
                </w:p>
              </w:tc>
              <w:tc>
                <w:tcPr>
                  <w:tcW w:w="298" w:type="dxa"/>
                  <w:tcBorders>
                    <w:tl2br w:val="nil"/>
                    <w:tr2bl w:val="nil"/>
                  </w:tcBorders>
                  <w:shd w:val="clear" w:color="auto" w:fill="FFFFFF"/>
                  <w:tcMar>
                    <w:top w:w="0" w:type="dxa"/>
                    <w:left w:w="0" w:type="dxa"/>
                    <w:bottom w:w="0" w:type="dxa"/>
                    <w:right w:w="0" w:type="dxa"/>
                  </w:tcMar>
                  <w:vAlign w:val="center"/>
                </w:tcPr>
                <w:p w14:paraId="34EFCADF">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306" w:type="dxa"/>
                  <w:tcBorders>
                    <w:tl2br w:val="nil"/>
                    <w:tr2bl w:val="nil"/>
                  </w:tcBorders>
                  <w:shd w:val="clear" w:color="auto" w:fill="FFFFFF"/>
                  <w:tcMar>
                    <w:top w:w="0" w:type="dxa"/>
                    <w:left w:w="0" w:type="dxa"/>
                    <w:bottom w:w="0" w:type="dxa"/>
                    <w:right w:w="0" w:type="dxa"/>
                  </w:tcMar>
                  <w:vAlign w:val="center"/>
                </w:tcPr>
                <w:p w14:paraId="51598C3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73.5</w:t>
                  </w:r>
                </w:p>
              </w:tc>
              <w:tc>
                <w:tcPr>
                  <w:tcW w:w="435" w:type="dxa"/>
                  <w:vMerge w:val="restart"/>
                  <w:tcBorders>
                    <w:tl2br w:val="nil"/>
                    <w:tr2bl w:val="nil"/>
                  </w:tcBorders>
                  <w:shd w:val="clear" w:color="auto" w:fill="FFFFFF"/>
                  <w:tcMar>
                    <w:top w:w="0" w:type="dxa"/>
                    <w:left w:w="0" w:type="dxa"/>
                    <w:bottom w:w="0" w:type="dxa"/>
                    <w:right w:w="0" w:type="dxa"/>
                  </w:tcMar>
                  <w:vAlign w:val="center"/>
                </w:tcPr>
                <w:p w14:paraId="4728447E">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2920h</w:t>
                  </w:r>
                </w:p>
              </w:tc>
              <w:tc>
                <w:tcPr>
                  <w:tcW w:w="579" w:type="dxa"/>
                  <w:tcBorders>
                    <w:tl2br w:val="nil"/>
                    <w:tr2bl w:val="nil"/>
                  </w:tcBorders>
                  <w:shd w:val="clear" w:color="auto" w:fill="FFFFFF"/>
                  <w:tcMar>
                    <w:top w:w="0" w:type="dxa"/>
                    <w:left w:w="0" w:type="dxa"/>
                    <w:bottom w:w="0" w:type="dxa"/>
                    <w:right w:w="0" w:type="dxa"/>
                  </w:tcMar>
                  <w:vAlign w:val="center"/>
                </w:tcPr>
                <w:p w14:paraId="0E2A2A1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w:t>
                  </w:r>
                </w:p>
              </w:tc>
              <w:tc>
                <w:tcPr>
                  <w:tcW w:w="391" w:type="dxa"/>
                  <w:tcBorders>
                    <w:tl2br w:val="nil"/>
                    <w:tr2bl w:val="nil"/>
                  </w:tcBorders>
                  <w:shd w:val="clear" w:color="auto" w:fill="FFFFFF"/>
                  <w:tcMar>
                    <w:top w:w="0" w:type="dxa"/>
                    <w:left w:w="0" w:type="dxa"/>
                    <w:bottom w:w="0" w:type="dxa"/>
                    <w:right w:w="0" w:type="dxa"/>
                  </w:tcMar>
                  <w:vAlign w:val="center"/>
                </w:tcPr>
                <w:p w14:paraId="3E85945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w:t>
                  </w:r>
                </w:p>
              </w:tc>
              <w:tc>
                <w:tcPr>
                  <w:tcW w:w="435" w:type="dxa"/>
                  <w:tcBorders>
                    <w:tl2br w:val="nil"/>
                    <w:tr2bl w:val="nil"/>
                  </w:tcBorders>
                  <w:shd w:val="clear" w:color="auto" w:fill="FFFFFF"/>
                  <w:tcMar>
                    <w:top w:w="0" w:type="dxa"/>
                    <w:left w:w="0" w:type="dxa"/>
                    <w:bottom w:w="0" w:type="dxa"/>
                    <w:right w:w="0" w:type="dxa"/>
                  </w:tcMar>
                  <w:vAlign w:val="center"/>
                </w:tcPr>
                <w:p w14:paraId="315DB847">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53.5</w:t>
                  </w:r>
                </w:p>
              </w:tc>
              <w:tc>
                <w:tcPr>
                  <w:tcW w:w="420" w:type="dxa"/>
                  <w:tcBorders>
                    <w:tl2br w:val="nil"/>
                    <w:tr2bl w:val="nil"/>
                  </w:tcBorders>
                  <w:shd w:val="clear" w:color="auto" w:fill="FFFFFF"/>
                  <w:tcMar>
                    <w:top w:w="0" w:type="dxa"/>
                    <w:left w:w="0" w:type="dxa"/>
                    <w:bottom w:w="0" w:type="dxa"/>
                    <w:right w:w="0" w:type="dxa"/>
                  </w:tcMar>
                  <w:vAlign w:val="center"/>
                </w:tcPr>
                <w:p w14:paraId="3D6D1E8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w:t>
                  </w:r>
                </w:p>
              </w:tc>
              <w:tc>
                <w:tcPr>
                  <w:tcW w:w="406" w:type="dxa"/>
                  <w:tcBorders>
                    <w:tl2br w:val="nil"/>
                    <w:tr2bl w:val="nil"/>
                  </w:tcBorders>
                  <w:shd w:val="clear" w:color="auto" w:fill="FFFFFF"/>
                  <w:tcMar>
                    <w:top w:w="0" w:type="dxa"/>
                    <w:left w:w="0" w:type="dxa"/>
                    <w:bottom w:w="0" w:type="dxa"/>
                    <w:right w:w="0" w:type="dxa"/>
                  </w:tcMar>
                  <w:vAlign w:val="center"/>
                </w:tcPr>
                <w:p w14:paraId="7E5810C5">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53.5</w:t>
                  </w:r>
                </w:p>
              </w:tc>
              <w:tc>
                <w:tcPr>
                  <w:tcW w:w="440" w:type="dxa"/>
                  <w:tcBorders>
                    <w:tl2br w:val="nil"/>
                    <w:tr2bl w:val="nil"/>
                  </w:tcBorders>
                  <w:shd w:val="clear" w:color="auto" w:fill="FFFFFF"/>
                  <w:tcMar>
                    <w:top w:w="0" w:type="dxa"/>
                    <w:left w:w="0" w:type="dxa"/>
                    <w:bottom w:w="0" w:type="dxa"/>
                    <w:right w:w="0" w:type="dxa"/>
                  </w:tcMar>
                  <w:vAlign w:val="center"/>
                </w:tcPr>
                <w:p w14:paraId="5F6E0B93">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r>
            <w:tr w14:paraId="22043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29" w:type="dxa"/>
                  <w:tcBorders>
                    <w:tl2br w:val="nil"/>
                    <w:tr2bl w:val="nil"/>
                  </w:tcBorders>
                  <w:shd w:val="clear" w:color="auto" w:fill="FFFFFF"/>
                  <w:tcMar>
                    <w:top w:w="0" w:type="dxa"/>
                    <w:left w:w="0" w:type="dxa"/>
                    <w:bottom w:w="0" w:type="dxa"/>
                    <w:right w:w="0" w:type="dxa"/>
                  </w:tcMar>
                  <w:vAlign w:val="center"/>
                </w:tcPr>
                <w:p w14:paraId="5B047D8C">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426" w:type="dxa"/>
                  <w:tcBorders>
                    <w:tl2br w:val="nil"/>
                    <w:tr2bl w:val="nil"/>
                  </w:tcBorders>
                  <w:shd w:val="clear" w:color="auto" w:fill="FFFFFF"/>
                  <w:tcMar>
                    <w:top w:w="0" w:type="dxa"/>
                    <w:left w:w="0" w:type="dxa"/>
                    <w:bottom w:w="0" w:type="dxa"/>
                    <w:right w:w="0" w:type="dxa"/>
                  </w:tcMar>
                  <w:vAlign w:val="center"/>
                </w:tcPr>
                <w:p w14:paraId="0B37B2F1">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生产</w:t>
                  </w:r>
                  <w:r>
                    <w:rPr>
                      <w:rFonts w:hint="default" w:ascii="Times New Roman" w:hAnsi="Times New Roman" w:cs="Times New Roman" w:eastAsiaTheme="minorEastAsia"/>
                      <w:color w:val="auto"/>
                      <w:sz w:val="21"/>
                      <w:szCs w:val="21"/>
                      <w:lang w:val="en-US" w:eastAsia="zh-CN"/>
                    </w:rPr>
                    <w:t>用房</w:t>
                  </w:r>
                </w:p>
              </w:tc>
              <w:tc>
                <w:tcPr>
                  <w:tcW w:w="411" w:type="dxa"/>
                  <w:tcBorders>
                    <w:tl2br w:val="nil"/>
                    <w:tr2bl w:val="nil"/>
                  </w:tcBorders>
                  <w:shd w:val="clear" w:color="auto" w:fill="FFFFFF"/>
                  <w:tcMar>
                    <w:top w:w="0" w:type="dxa"/>
                    <w:left w:w="0" w:type="dxa"/>
                    <w:bottom w:w="0" w:type="dxa"/>
                    <w:right w:w="0" w:type="dxa"/>
                  </w:tcMar>
                  <w:vAlign w:val="center"/>
                </w:tcPr>
                <w:p w14:paraId="6935222F">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压缩机</w:t>
                  </w:r>
                </w:p>
              </w:tc>
              <w:tc>
                <w:tcPr>
                  <w:tcW w:w="469" w:type="dxa"/>
                  <w:tcBorders>
                    <w:tl2br w:val="nil"/>
                    <w:tr2bl w:val="nil"/>
                  </w:tcBorders>
                  <w:shd w:val="clear" w:color="auto" w:fill="FFFFFF"/>
                  <w:tcMar>
                    <w:top w:w="0" w:type="dxa"/>
                    <w:left w:w="0" w:type="dxa"/>
                    <w:bottom w:w="0" w:type="dxa"/>
                    <w:right w:w="0" w:type="dxa"/>
                  </w:tcMar>
                  <w:vAlign w:val="center"/>
                </w:tcPr>
                <w:p w14:paraId="5BE32B7D">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420" w:type="dxa"/>
                  <w:vMerge w:val="continue"/>
                  <w:tcBorders>
                    <w:tl2br w:val="nil"/>
                    <w:tr2bl w:val="nil"/>
                  </w:tcBorders>
                  <w:shd w:val="clear" w:color="auto" w:fill="FFFFFF"/>
                  <w:tcMar>
                    <w:top w:w="0" w:type="dxa"/>
                    <w:left w:w="0" w:type="dxa"/>
                    <w:bottom w:w="0" w:type="dxa"/>
                    <w:right w:w="0" w:type="dxa"/>
                  </w:tcMar>
                  <w:vAlign w:val="center"/>
                </w:tcPr>
                <w:p w14:paraId="45CA89EC">
                  <w:pPr>
                    <w:spacing w:line="240" w:lineRule="auto"/>
                    <w:jc w:val="center"/>
                    <w:rPr>
                      <w:rFonts w:hint="default" w:ascii="Times New Roman" w:hAnsi="Times New Roman" w:cs="Times New Roman" w:eastAsiaTheme="minorEastAsia"/>
                      <w:color w:val="auto"/>
                      <w:sz w:val="21"/>
                      <w:szCs w:val="21"/>
                    </w:rPr>
                  </w:pPr>
                </w:p>
              </w:tc>
              <w:tc>
                <w:tcPr>
                  <w:tcW w:w="366" w:type="dxa"/>
                  <w:tcBorders>
                    <w:tl2br w:val="nil"/>
                    <w:tr2bl w:val="nil"/>
                  </w:tcBorders>
                  <w:shd w:val="clear" w:color="auto" w:fill="FFFFFF"/>
                  <w:tcMar>
                    <w:top w:w="0" w:type="dxa"/>
                    <w:left w:w="0" w:type="dxa"/>
                    <w:bottom w:w="0" w:type="dxa"/>
                    <w:right w:w="0" w:type="dxa"/>
                  </w:tcMar>
                  <w:vAlign w:val="center"/>
                </w:tcPr>
                <w:p w14:paraId="712BCAC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w:t>
                  </w:r>
                </w:p>
              </w:tc>
              <w:tc>
                <w:tcPr>
                  <w:tcW w:w="366" w:type="dxa"/>
                  <w:tcBorders>
                    <w:tl2br w:val="nil"/>
                    <w:tr2bl w:val="nil"/>
                  </w:tcBorders>
                  <w:shd w:val="clear" w:color="auto" w:fill="FFFFFF"/>
                  <w:tcMar>
                    <w:top w:w="0" w:type="dxa"/>
                    <w:left w:w="0" w:type="dxa"/>
                    <w:bottom w:w="0" w:type="dxa"/>
                    <w:right w:w="0" w:type="dxa"/>
                  </w:tcMar>
                  <w:vAlign w:val="center"/>
                </w:tcPr>
                <w:p w14:paraId="50D283FA">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43</w:t>
                  </w:r>
                </w:p>
              </w:tc>
              <w:tc>
                <w:tcPr>
                  <w:tcW w:w="367" w:type="dxa"/>
                  <w:tcBorders>
                    <w:tl2br w:val="nil"/>
                    <w:tr2bl w:val="nil"/>
                  </w:tcBorders>
                  <w:shd w:val="clear" w:color="auto" w:fill="FFFFFF"/>
                  <w:tcMar>
                    <w:top w:w="0" w:type="dxa"/>
                    <w:left w:w="0" w:type="dxa"/>
                    <w:bottom w:w="0" w:type="dxa"/>
                    <w:right w:w="0" w:type="dxa"/>
                  </w:tcMar>
                  <w:vAlign w:val="center"/>
                </w:tcPr>
                <w:p w14:paraId="02F2F285">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301" w:type="dxa"/>
                  <w:tcBorders>
                    <w:tl2br w:val="nil"/>
                    <w:tr2bl w:val="nil"/>
                  </w:tcBorders>
                  <w:shd w:val="clear" w:color="auto" w:fill="FFFFFF"/>
                  <w:tcMar>
                    <w:top w:w="0" w:type="dxa"/>
                    <w:left w:w="0" w:type="dxa"/>
                    <w:bottom w:w="0" w:type="dxa"/>
                    <w:right w:w="0" w:type="dxa"/>
                  </w:tcMar>
                  <w:vAlign w:val="center"/>
                </w:tcPr>
                <w:p w14:paraId="653F6B59">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301" w:type="dxa"/>
                  <w:tcBorders>
                    <w:tl2br w:val="nil"/>
                    <w:tr2bl w:val="nil"/>
                  </w:tcBorders>
                  <w:shd w:val="clear" w:color="auto" w:fill="FFFFFF"/>
                  <w:tcMar>
                    <w:top w:w="0" w:type="dxa"/>
                    <w:left w:w="0" w:type="dxa"/>
                    <w:bottom w:w="0" w:type="dxa"/>
                    <w:right w:w="0" w:type="dxa"/>
                  </w:tcMar>
                  <w:vAlign w:val="center"/>
                </w:tcPr>
                <w:p w14:paraId="69DE3C2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301" w:type="dxa"/>
                  <w:tcBorders>
                    <w:tl2br w:val="nil"/>
                    <w:tr2bl w:val="nil"/>
                  </w:tcBorders>
                  <w:shd w:val="clear" w:color="auto" w:fill="FFFFFF"/>
                  <w:tcMar>
                    <w:top w:w="0" w:type="dxa"/>
                    <w:left w:w="0" w:type="dxa"/>
                    <w:bottom w:w="0" w:type="dxa"/>
                    <w:right w:w="0" w:type="dxa"/>
                  </w:tcMar>
                  <w:vAlign w:val="center"/>
                </w:tcPr>
                <w:p w14:paraId="1AC93C0A">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302" w:type="dxa"/>
                  <w:tcBorders>
                    <w:tl2br w:val="nil"/>
                    <w:tr2bl w:val="nil"/>
                  </w:tcBorders>
                  <w:shd w:val="clear" w:color="auto" w:fill="FFFFFF"/>
                  <w:tcMar>
                    <w:top w:w="0" w:type="dxa"/>
                    <w:left w:w="0" w:type="dxa"/>
                    <w:bottom w:w="0" w:type="dxa"/>
                    <w:right w:w="0" w:type="dxa"/>
                  </w:tcMar>
                  <w:vAlign w:val="center"/>
                </w:tcPr>
                <w:p w14:paraId="79EFC03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298" w:type="dxa"/>
                  <w:tcBorders>
                    <w:tl2br w:val="nil"/>
                    <w:tr2bl w:val="nil"/>
                  </w:tcBorders>
                  <w:shd w:val="clear" w:color="auto" w:fill="FFFFFF"/>
                  <w:tcMar>
                    <w:top w:w="0" w:type="dxa"/>
                    <w:left w:w="0" w:type="dxa"/>
                    <w:bottom w:w="0" w:type="dxa"/>
                    <w:right w:w="0" w:type="dxa"/>
                  </w:tcMar>
                  <w:vAlign w:val="center"/>
                </w:tcPr>
                <w:p w14:paraId="62B95FC0">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298" w:type="dxa"/>
                  <w:tcBorders>
                    <w:tl2br w:val="nil"/>
                    <w:tr2bl w:val="nil"/>
                  </w:tcBorders>
                  <w:shd w:val="clear" w:color="auto" w:fill="FFFFFF"/>
                  <w:tcMar>
                    <w:top w:w="0" w:type="dxa"/>
                    <w:left w:w="0" w:type="dxa"/>
                    <w:bottom w:w="0" w:type="dxa"/>
                    <w:right w:w="0" w:type="dxa"/>
                  </w:tcMar>
                  <w:vAlign w:val="center"/>
                </w:tcPr>
                <w:p w14:paraId="72C55E7A">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83</w:t>
                  </w:r>
                </w:p>
              </w:tc>
              <w:tc>
                <w:tcPr>
                  <w:tcW w:w="298" w:type="dxa"/>
                  <w:tcBorders>
                    <w:tl2br w:val="nil"/>
                    <w:tr2bl w:val="nil"/>
                  </w:tcBorders>
                  <w:shd w:val="clear" w:color="auto" w:fill="FFFFFF"/>
                  <w:tcMar>
                    <w:top w:w="0" w:type="dxa"/>
                    <w:left w:w="0" w:type="dxa"/>
                    <w:bottom w:w="0" w:type="dxa"/>
                    <w:right w:w="0" w:type="dxa"/>
                  </w:tcMar>
                  <w:vAlign w:val="center"/>
                </w:tcPr>
                <w:p w14:paraId="083F4843">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306" w:type="dxa"/>
                  <w:tcBorders>
                    <w:tl2br w:val="nil"/>
                    <w:tr2bl w:val="nil"/>
                  </w:tcBorders>
                  <w:shd w:val="clear" w:color="auto" w:fill="FFFFFF"/>
                  <w:tcMar>
                    <w:top w:w="0" w:type="dxa"/>
                    <w:left w:w="0" w:type="dxa"/>
                    <w:bottom w:w="0" w:type="dxa"/>
                    <w:right w:w="0" w:type="dxa"/>
                  </w:tcMar>
                  <w:vAlign w:val="center"/>
                </w:tcPr>
                <w:p w14:paraId="6A46E14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83</w:t>
                  </w:r>
                </w:p>
              </w:tc>
              <w:tc>
                <w:tcPr>
                  <w:tcW w:w="435" w:type="dxa"/>
                  <w:vMerge w:val="continue"/>
                  <w:tcBorders>
                    <w:tl2br w:val="nil"/>
                    <w:tr2bl w:val="nil"/>
                  </w:tcBorders>
                  <w:shd w:val="clear" w:color="auto" w:fill="FFFFFF"/>
                  <w:tcMar>
                    <w:top w:w="0" w:type="dxa"/>
                    <w:left w:w="0" w:type="dxa"/>
                    <w:bottom w:w="0" w:type="dxa"/>
                    <w:right w:w="0" w:type="dxa"/>
                  </w:tcMar>
                  <w:vAlign w:val="center"/>
                </w:tcPr>
                <w:p w14:paraId="7F594E9B">
                  <w:pPr>
                    <w:spacing w:line="240" w:lineRule="auto"/>
                    <w:jc w:val="center"/>
                    <w:rPr>
                      <w:rFonts w:hint="default" w:ascii="Times New Roman" w:hAnsi="Times New Roman" w:cs="Times New Roman" w:eastAsiaTheme="minorEastAsia"/>
                      <w:color w:val="auto"/>
                      <w:sz w:val="21"/>
                      <w:szCs w:val="21"/>
                    </w:rPr>
                  </w:pPr>
                </w:p>
              </w:tc>
              <w:tc>
                <w:tcPr>
                  <w:tcW w:w="579" w:type="dxa"/>
                  <w:tcBorders>
                    <w:tl2br w:val="nil"/>
                    <w:tr2bl w:val="nil"/>
                  </w:tcBorders>
                  <w:shd w:val="clear" w:color="auto" w:fill="FFFFFF"/>
                  <w:tcMar>
                    <w:top w:w="0" w:type="dxa"/>
                    <w:left w:w="0" w:type="dxa"/>
                    <w:bottom w:w="0" w:type="dxa"/>
                    <w:right w:w="0" w:type="dxa"/>
                  </w:tcMar>
                  <w:vAlign w:val="center"/>
                </w:tcPr>
                <w:p w14:paraId="52C6109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w:t>
                  </w:r>
                </w:p>
              </w:tc>
              <w:tc>
                <w:tcPr>
                  <w:tcW w:w="391" w:type="dxa"/>
                  <w:tcBorders>
                    <w:tl2br w:val="nil"/>
                    <w:tr2bl w:val="nil"/>
                  </w:tcBorders>
                  <w:shd w:val="clear" w:color="auto" w:fill="FFFFFF"/>
                  <w:tcMar>
                    <w:top w:w="0" w:type="dxa"/>
                    <w:left w:w="0" w:type="dxa"/>
                    <w:bottom w:w="0" w:type="dxa"/>
                    <w:right w:w="0" w:type="dxa"/>
                  </w:tcMar>
                  <w:vAlign w:val="center"/>
                </w:tcPr>
                <w:p w14:paraId="67173EC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w:t>
                  </w:r>
                </w:p>
              </w:tc>
              <w:tc>
                <w:tcPr>
                  <w:tcW w:w="435" w:type="dxa"/>
                  <w:tcBorders>
                    <w:tl2br w:val="nil"/>
                    <w:tr2bl w:val="nil"/>
                  </w:tcBorders>
                  <w:shd w:val="clear" w:color="auto" w:fill="FFFFFF"/>
                  <w:tcMar>
                    <w:top w:w="0" w:type="dxa"/>
                    <w:left w:w="0" w:type="dxa"/>
                    <w:bottom w:w="0" w:type="dxa"/>
                    <w:right w:w="0" w:type="dxa"/>
                  </w:tcMar>
                  <w:vAlign w:val="center"/>
                </w:tcPr>
                <w:p w14:paraId="0F99124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63</w:t>
                  </w:r>
                </w:p>
              </w:tc>
              <w:tc>
                <w:tcPr>
                  <w:tcW w:w="420" w:type="dxa"/>
                  <w:tcBorders>
                    <w:tl2br w:val="nil"/>
                    <w:tr2bl w:val="nil"/>
                  </w:tcBorders>
                  <w:shd w:val="clear" w:color="auto" w:fill="FFFFFF"/>
                  <w:tcMar>
                    <w:top w:w="0" w:type="dxa"/>
                    <w:left w:w="0" w:type="dxa"/>
                    <w:bottom w:w="0" w:type="dxa"/>
                    <w:right w:w="0" w:type="dxa"/>
                  </w:tcMar>
                  <w:vAlign w:val="center"/>
                </w:tcPr>
                <w:p w14:paraId="028521A7">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w:t>
                  </w:r>
                </w:p>
              </w:tc>
              <w:tc>
                <w:tcPr>
                  <w:tcW w:w="406" w:type="dxa"/>
                  <w:tcBorders>
                    <w:tl2br w:val="nil"/>
                    <w:tr2bl w:val="nil"/>
                  </w:tcBorders>
                  <w:shd w:val="clear" w:color="auto" w:fill="FFFFFF"/>
                  <w:tcMar>
                    <w:top w:w="0" w:type="dxa"/>
                    <w:left w:w="0" w:type="dxa"/>
                    <w:bottom w:w="0" w:type="dxa"/>
                    <w:right w:w="0" w:type="dxa"/>
                  </w:tcMar>
                  <w:vAlign w:val="center"/>
                </w:tcPr>
                <w:p w14:paraId="5C161FA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63</w:t>
                  </w:r>
                </w:p>
              </w:tc>
              <w:tc>
                <w:tcPr>
                  <w:tcW w:w="440" w:type="dxa"/>
                  <w:tcBorders>
                    <w:tl2br w:val="nil"/>
                    <w:tr2bl w:val="nil"/>
                  </w:tcBorders>
                  <w:shd w:val="clear" w:color="auto" w:fill="FFFFFF"/>
                  <w:tcMar>
                    <w:top w:w="0" w:type="dxa"/>
                    <w:left w:w="0" w:type="dxa"/>
                    <w:bottom w:w="0" w:type="dxa"/>
                    <w:right w:w="0" w:type="dxa"/>
                  </w:tcMar>
                  <w:vAlign w:val="center"/>
                </w:tcPr>
                <w:p w14:paraId="7A5EF23E">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r>
            <w:tr w14:paraId="03D9C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29" w:type="dxa"/>
                  <w:tcBorders>
                    <w:tl2br w:val="nil"/>
                    <w:tr2bl w:val="nil"/>
                  </w:tcBorders>
                  <w:shd w:val="clear" w:color="auto" w:fill="FFFFFF"/>
                  <w:tcMar>
                    <w:top w:w="0" w:type="dxa"/>
                    <w:left w:w="0" w:type="dxa"/>
                    <w:bottom w:w="0" w:type="dxa"/>
                    <w:right w:w="0" w:type="dxa"/>
                  </w:tcMar>
                  <w:vAlign w:val="center"/>
                </w:tcPr>
                <w:p w14:paraId="23674CF5">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426" w:type="dxa"/>
                  <w:tcBorders>
                    <w:tl2br w:val="nil"/>
                    <w:tr2bl w:val="nil"/>
                  </w:tcBorders>
                  <w:shd w:val="clear" w:color="auto" w:fill="FFFFFF"/>
                  <w:tcMar>
                    <w:top w:w="0" w:type="dxa"/>
                    <w:left w:w="0" w:type="dxa"/>
                    <w:bottom w:w="0" w:type="dxa"/>
                    <w:right w:w="0" w:type="dxa"/>
                  </w:tcMar>
                  <w:vAlign w:val="center"/>
                </w:tcPr>
                <w:p w14:paraId="01CBB636">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发电机房</w:t>
                  </w:r>
                </w:p>
              </w:tc>
              <w:tc>
                <w:tcPr>
                  <w:tcW w:w="411" w:type="dxa"/>
                  <w:tcBorders>
                    <w:tl2br w:val="nil"/>
                    <w:tr2bl w:val="nil"/>
                  </w:tcBorders>
                  <w:shd w:val="clear" w:color="auto" w:fill="FFFFFF"/>
                  <w:tcMar>
                    <w:top w:w="0" w:type="dxa"/>
                    <w:left w:w="0" w:type="dxa"/>
                    <w:bottom w:w="0" w:type="dxa"/>
                    <w:right w:w="0" w:type="dxa"/>
                  </w:tcMar>
                  <w:vAlign w:val="center"/>
                </w:tcPr>
                <w:p w14:paraId="18C99791">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发电机</w:t>
                  </w:r>
                </w:p>
              </w:tc>
              <w:tc>
                <w:tcPr>
                  <w:tcW w:w="469" w:type="dxa"/>
                  <w:tcBorders>
                    <w:tl2br w:val="nil"/>
                    <w:tr2bl w:val="nil"/>
                  </w:tcBorders>
                  <w:shd w:val="clear" w:color="auto" w:fill="FFFFFF"/>
                  <w:tcMar>
                    <w:top w:w="0" w:type="dxa"/>
                    <w:left w:w="0" w:type="dxa"/>
                    <w:bottom w:w="0" w:type="dxa"/>
                    <w:right w:w="0" w:type="dxa"/>
                  </w:tcMar>
                  <w:vAlign w:val="center"/>
                </w:tcPr>
                <w:p w14:paraId="52D2014C">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85</w:t>
                  </w:r>
                </w:p>
              </w:tc>
              <w:tc>
                <w:tcPr>
                  <w:tcW w:w="420" w:type="dxa"/>
                  <w:vMerge w:val="continue"/>
                  <w:tcBorders>
                    <w:tl2br w:val="nil"/>
                    <w:tr2bl w:val="nil"/>
                  </w:tcBorders>
                  <w:shd w:val="clear" w:color="auto" w:fill="FFFFFF"/>
                  <w:tcMar>
                    <w:top w:w="0" w:type="dxa"/>
                    <w:left w:w="0" w:type="dxa"/>
                    <w:bottom w:w="0" w:type="dxa"/>
                    <w:right w:w="0" w:type="dxa"/>
                  </w:tcMar>
                  <w:vAlign w:val="center"/>
                </w:tcPr>
                <w:p w14:paraId="0E8CC905">
                  <w:pPr>
                    <w:spacing w:line="240" w:lineRule="auto"/>
                    <w:jc w:val="center"/>
                    <w:rPr>
                      <w:rFonts w:hint="default" w:ascii="Times New Roman" w:hAnsi="Times New Roman" w:cs="Times New Roman" w:eastAsiaTheme="minorEastAsia"/>
                      <w:color w:val="auto"/>
                      <w:sz w:val="21"/>
                      <w:szCs w:val="21"/>
                    </w:rPr>
                  </w:pPr>
                </w:p>
              </w:tc>
              <w:tc>
                <w:tcPr>
                  <w:tcW w:w="366" w:type="dxa"/>
                  <w:tcBorders>
                    <w:tl2br w:val="nil"/>
                    <w:tr2bl w:val="nil"/>
                  </w:tcBorders>
                  <w:shd w:val="clear" w:color="auto" w:fill="FFFFFF"/>
                  <w:tcMar>
                    <w:top w:w="0" w:type="dxa"/>
                    <w:left w:w="0" w:type="dxa"/>
                    <w:bottom w:w="0" w:type="dxa"/>
                    <w:right w:w="0" w:type="dxa"/>
                  </w:tcMar>
                  <w:vAlign w:val="center"/>
                </w:tcPr>
                <w:p w14:paraId="15F4214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9</w:t>
                  </w:r>
                </w:p>
              </w:tc>
              <w:tc>
                <w:tcPr>
                  <w:tcW w:w="366" w:type="dxa"/>
                  <w:tcBorders>
                    <w:tl2br w:val="nil"/>
                    <w:tr2bl w:val="nil"/>
                  </w:tcBorders>
                  <w:shd w:val="clear" w:color="auto" w:fill="FFFFFF"/>
                  <w:tcMar>
                    <w:top w:w="0" w:type="dxa"/>
                    <w:left w:w="0" w:type="dxa"/>
                    <w:bottom w:w="0" w:type="dxa"/>
                    <w:right w:w="0" w:type="dxa"/>
                  </w:tcMar>
                  <w:vAlign w:val="center"/>
                </w:tcPr>
                <w:p w14:paraId="1E487073">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42</w:t>
                  </w:r>
                </w:p>
              </w:tc>
              <w:tc>
                <w:tcPr>
                  <w:tcW w:w="367" w:type="dxa"/>
                  <w:tcBorders>
                    <w:tl2br w:val="nil"/>
                    <w:tr2bl w:val="nil"/>
                  </w:tcBorders>
                  <w:shd w:val="clear" w:color="auto" w:fill="FFFFFF"/>
                  <w:tcMar>
                    <w:top w:w="0" w:type="dxa"/>
                    <w:left w:w="0" w:type="dxa"/>
                    <w:bottom w:w="0" w:type="dxa"/>
                    <w:right w:w="0" w:type="dxa"/>
                  </w:tcMar>
                  <w:vAlign w:val="center"/>
                </w:tcPr>
                <w:p w14:paraId="145374B2">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301" w:type="dxa"/>
                  <w:tcBorders>
                    <w:tl2br w:val="nil"/>
                    <w:tr2bl w:val="nil"/>
                  </w:tcBorders>
                  <w:shd w:val="clear" w:color="auto" w:fill="FFFFFF"/>
                  <w:tcMar>
                    <w:top w:w="0" w:type="dxa"/>
                    <w:left w:w="0" w:type="dxa"/>
                    <w:bottom w:w="0" w:type="dxa"/>
                    <w:right w:w="0" w:type="dxa"/>
                  </w:tcMar>
                  <w:vAlign w:val="center"/>
                </w:tcPr>
                <w:p w14:paraId="76722D6A">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301" w:type="dxa"/>
                  <w:tcBorders>
                    <w:tl2br w:val="nil"/>
                    <w:tr2bl w:val="nil"/>
                  </w:tcBorders>
                  <w:shd w:val="clear" w:color="auto" w:fill="FFFFFF"/>
                  <w:tcMar>
                    <w:top w:w="0" w:type="dxa"/>
                    <w:left w:w="0" w:type="dxa"/>
                    <w:bottom w:w="0" w:type="dxa"/>
                    <w:right w:w="0" w:type="dxa"/>
                  </w:tcMar>
                  <w:vAlign w:val="center"/>
                </w:tcPr>
                <w:p w14:paraId="780D3595">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301" w:type="dxa"/>
                  <w:tcBorders>
                    <w:tl2br w:val="nil"/>
                    <w:tr2bl w:val="nil"/>
                  </w:tcBorders>
                  <w:shd w:val="clear" w:color="auto" w:fill="FFFFFF"/>
                  <w:tcMar>
                    <w:top w:w="0" w:type="dxa"/>
                    <w:left w:w="0" w:type="dxa"/>
                    <w:bottom w:w="0" w:type="dxa"/>
                    <w:right w:w="0" w:type="dxa"/>
                  </w:tcMar>
                  <w:vAlign w:val="center"/>
                </w:tcPr>
                <w:p w14:paraId="6CF9575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302" w:type="dxa"/>
                  <w:tcBorders>
                    <w:tl2br w:val="nil"/>
                    <w:tr2bl w:val="nil"/>
                  </w:tcBorders>
                  <w:shd w:val="clear" w:color="auto" w:fill="FFFFFF"/>
                  <w:tcMar>
                    <w:top w:w="0" w:type="dxa"/>
                    <w:left w:w="0" w:type="dxa"/>
                    <w:bottom w:w="0" w:type="dxa"/>
                    <w:right w:w="0" w:type="dxa"/>
                  </w:tcMar>
                  <w:vAlign w:val="center"/>
                </w:tcPr>
                <w:p w14:paraId="51FBE7B8">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298" w:type="dxa"/>
                  <w:tcBorders>
                    <w:tl2br w:val="nil"/>
                    <w:tr2bl w:val="nil"/>
                  </w:tcBorders>
                  <w:shd w:val="clear" w:color="auto" w:fill="FFFFFF"/>
                  <w:tcMar>
                    <w:top w:w="0" w:type="dxa"/>
                    <w:left w:w="0" w:type="dxa"/>
                    <w:bottom w:w="0" w:type="dxa"/>
                    <w:right w:w="0" w:type="dxa"/>
                  </w:tcMar>
                  <w:vAlign w:val="center"/>
                </w:tcPr>
                <w:p w14:paraId="0530738B">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75.5</w:t>
                  </w:r>
                </w:p>
              </w:tc>
              <w:tc>
                <w:tcPr>
                  <w:tcW w:w="298" w:type="dxa"/>
                  <w:tcBorders>
                    <w:tl2br w:val="nil"/>
                    <w:tr2bl w:val="nil"/>
                  </w:tcBorders>
                  <w:shd w:val="clear" w:color="auto" w:fill="FFFFFF"/>
                  <w:tcMar>
                    <w:top w:w="0" w:type="dxa"/>
                    <w:left w:w="0" w:type="dxa"/>
                    <w:bottom w:w="0" w:type="dxa"/>
                    <w:right w:w="0" w:type="dxa"/>
                  </w:tcMar>
                  <w:vAlign w:val="center"/>
                </w:tcPr>
                <w:p w14:paraId="6415984F">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85</w:t>
                  </w:r>
                </w:p>
              </w:tc>
              <w:tc>
                <w:tcPr>
                  <w:tcW w:w="298" w:type="dxa"/>
                  <w:tcBorders>
                    <w:tl2br w:val="nil"/>
                    <w:tr2bl w:val="nil"/>
                  </w:tcBorders>
                  <w:shd w:val="clear" w:color="auto" w:fill="FFFFFF"/>
                  <w:tcMar>
                    <w:top w:w="0" w:type="dxa"/>
                    <w:left w:w="0" w:type="dxa"/>
                    <w:bottom w:w="0" w:type="dxa"/>
                    <w:right w:w="0" w:type="dxa"/>
                  </w:tcMar>
                  <w:vAlign w:val="center"/>
                </w:tcPr>
                <w:p w14:paraId="335F000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79</w:t>
                  </w:r>
                </w:p>
              </w:tc>
              <w:tc>
                <w:tcPr>
                  <w:tcW w:w="306" w:type="dxa"/>
                  <w:tcBorders>
                    <w:tl2br w:val="nil"/>
                    <w:tr2bl w:val="nil"/>
                  </w:tcBorders>
                  <w:shd w:val="clear" w:color="auto" w:fill="FFFFFF"/>
                  <w:tcMar>
                    <w:top w:w="0" w:type="dxa"/>
                    <w:left w:w="0" w:type="dxa"/>
                    <w:bottom w:w="0" w:type="dxa"/>
                    <w:right w:w="0" w:type="dxa"/>
                  </w:tcMar>
                  <w:vAlign w:val="center"/>
                </w:tcPr>
                <w:p w14:paraId="6D84EB1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85</w:t>
                  </w:r>
                </w:p>
              </w:tc>
              <w:tc>
                <w:tcPr>
                  <w:tcW w:w="435" w:type="dxa"/>
                  <w:vMerge w:val="continue"/>
                  <w:tcBorders>
                    <w:tl2br w:val="nil"/>
                    <w:tr2bl w:val="nil"/>
                  </w:tcBorders>
                  <w:shd w:val="clear" w:color="auto" w:fill="FFFFFF"/>
                  <w:tcMar>
                    <w:top w:w="0" w:type="dxa"/>
                    <w:left w:w="0" w:type="dxa"/>
                    <w:bottom w:w="0" w:type="dxa"/>
                    <w:right w:w="0" w:type="dxa"/>
                  </w:tcMar>
                  <w:vAlign w:val="center"/>
                </w:tcPr>
                <w:p w14:paraId="49E5F090">
                  <w:pPr>
                    <w:spacing w:line="240" w:lineRule="auto"/>
                    <w:jc w:val="center"/>
                    <w:rPr>
                      <w:rFonts w:hint="default" w:ascii="Times New Roman" w:hAnsi="Times New Roman" w:cs="Times New Roman" w:eastAsiaTheme="minorEastAsia"/>
                      <w:color w:val="auto"/>
                      <w:sz w:val="21"/>
                      <w:szCs w:val="21"/>
                    </w:rPr>
                  </w:pPr>
                </w:p>
              </w:tc>
              <w:tc>
                <w:tcPr>
                  <w:tcW w:w="579" w:type="dxa"/>
                  <w:tcBorders>
                    <w:tl2br w:val="nil"/>
                    <w:tr2bl w:val="nil"/>
                  </w:tcBorders>
                  <w:shd w:val="clear" w:color="auto" w:fill="FFFFFF"/>
                  <w:tcMar>
                    <w:top w:w="0" w:type="dxa"/>
                    <w:left w:w="0" w:type="dxa"/>
                    <w:bottom w:w="0" w:type="dxa"/>
                    <w:right w:w="0" w:type="dxa"/>
                  </w:tcMar>
                  <w:vAlign w:val="center"/>
                </w:tcPr>
                <w:p w14:paraId="4B97CF2A">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w:t>
                  </w:r>
                </w:p>
              </w:tc>
              <w:tc>
                <w:tcPr>
                  <w:tcW w:w="391" w:type="dxa"/>
                  <w:tcBorders>
                    <w:tl2br w:val="nil"/>
                    <w:tr2bl w:val="nil"/>
                  </w:tcBorders>
                  <w:shd w:val="clear" w:color="auto" w:fill="FFFFFF"/>
                  <w:tcMar>
                    <w:top w:w="0" w:type="dxa"/>
                    <w:left w:w="0" w:type="dxa"/>
                    <w:bottom w:w="0" w:type="dxa"/>
                    <w:right w:w="0" w:type="dxa"/>
                  </w:tcMar>
                  <w:vAlign w:val="center"/>
                </w:tcPr>
                <w:p w14:paraId="59259C20">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55.5</w:t>
                  </w:r>
                </w:p>
              </w:tc>
              <w:tc>
                <w:tcPr>
                  <w:tcW w:w="435" w:type="dxa"/>
                  <w:tcBorders>
                    <w:tl2br w:val="nil"/>
                    <w:tr2bl w:val="nil"/>
                  </w:tcBorders>
                  <w:shd w:val="clear" w:color="auto" w:fill="FFFFFF"/>
                  <w:tcMar>
                    <w:top w:w="0" w:type="dxa"/>
                    <w:left w:w="0" w:type="dxa"/>
                    <w:bottom w:w="0" w:type="dxa"/>
                    <w:right w:w="0" w:type="dxa"/>
                  </w:tcMar>
                  <w:vAlign w:val="center"/>
                </w:tcPr>
                <w:p w14:paraId="160EE299">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65</w:t>
                  </w:r>
                </w:p>
              </w:tc>
              <w:tc>
                <w:tcPr>
                  <w:tcW w:w="420" w:type="dxa"/>
                  <w:tcBorders>
                    <w:tl2br w:val="nil"/>
                    <w:tr2bl w:val="nil"/>
                  </w:tcBorders>
                  <w:shd w:val="clear" w:color="auto" w:fill="FFFFFF"/>
                  <w:tcMar>
                    <w:top w:w="0" w:type="dxa"/>
                    <w:left w:w="0" w:type="dxa"/>
                    <w:bottom w:w="0" w:type="dxa"/>
                    <w:right w:w="0" w:type="dxa"/>
                  </w:tcMar>
                  <w:vAlign w:val="center"/>
                </w:tcPr>
                <w:p w14:paraId="297AC8C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59</w:t>
                  </w:r>
                </w:p>
              </w:tc>
              <w:tc>
                <w:tcPr>
                  <w:tcW w:w="406" w:type="dxa"/>
                  <w:tcBorders>
                    <w:tl2br w:val="nil"/>
                    <w:tr2bl w:val="nil"/>
                  </w:tcBorders>
                  <w:shd w:val="clear" w:color="auto" w:fill="FFFFFF"/>
                  <w:tcMar>
                    <w:top w:w="0" w:type="dxa"/>
                    <w:left w:w="0" w:type="dxa"/>
                    <w:bottom w:w="0" w:type="dxa"/>
                    <w:right w:w="0" w:type="dxa"/>
                  </w:tcMar>
                  <w:vAlign w:val="center"/>
                </w:tcPr>
                <w:p w14:paraId="037CE5AE">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65</w:t>
                  </w:r>
                </w:p>
              </w:tc>
              <w:tc>
                <w:tcPr>
                  <w:tcW w:w="440" w:type="dxa"/>
                  <w:tcBorders>
                    <w:tl2br w:val="nil"/>
                    <w:tr2bl w:val="nil"/>
                  </w:tcBorders>
                  <w:shd w:val="clear" w:color="auto" w:fill="FFFFFF"/>
                  <w:tcMar>
                    <w:top w:w="0" w:type="dxa"/>
                    <w:left w:w="0" w:type="dxa"/>
                    <w:bottom w:w="0" w:type="dxa"/>
                    <w:right w:w="0" w:type="dxa"/>
                  </w:tcMar>
                  <w:vAlign w:val="center"/>
                </w:tcPr>
                <w:p w14:paraId="78522FC6">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r>
            <w:tr w14:paraId="77F89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29" w:type="dxa"/>
                  <w:tcBorders>
                    <w:tl2br w:val="nil"/>
                    <w:tr2bl w:val="nil"/>
                  </w:tcBorders>
                  <w:shd w:val="clear" w:color="auto" w:fill="FFFFFF"/>
                  <w:tcMar>
                    <w:top w:w="0" w:type="dxa"/>
                    <w:left w:w="0" w:type="dxa"/>
                    <w:bottom w:w="0" w:type="dxa"/>
                    <w:right w:w="0" w:type="dxa"/>
                  </w:tcMar>
                  <w:vAlign w:val="center"/>
                </w:tcPr>
                <w:p w14:paraId="7047E03A">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426" w:type="dxa"/>
                  <w:tcBorders>
                    <w:tl2br w:val="nil"/>
                    <w:tr2bl w:val="nil"/>
                  </w:tcBorders>
                  <w:shd w:val="clear" w:color="auto" w:fill="FFFFFF"/>
                  <w:tcMar>
                    <w:top w:w="0" w:type="dxa"/>
                    <w:left w:w="0" w:type="dxa"/>
                    <w:bottom w:w="0" w:type="dxa"/>
                    <w:right w:w="0" w:type="dxa"/>
                  </w:tcMar>
                  <w:vAlign w:val="center"/>
                </w:tcPr>
                <w:p w14:paraId="059E6593">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消防泵</w:t>
                  </w:r>
                  <w:r>
                    <w:rPr>
                      <w:rFonts w:hint="default" w:ascii="Times New Roman" w:hAnsi="Times New Roman" w:cs="Times New Roman" w:eastAsiaTheme="minorEastAsia"/>
                      <w:color w:val="auto"/>
                      <w:sz w:val="21"/>
                      <w:szCs w:val="21"/>
                    </w:rPr>
                    <w:t>房</w:t>
                  </w:r>
                </w:p>
              </w:tc>
              <w:tc>
                <w:tcPr>
                  <w:tcW w:w="411" w:type="dxa"/>
                  <w:tcBorders>
                    <w:tl2br w:val="nil"/>
                    <w:tr2bl w:val="nil"/>
                  </w:tcBorders>
                  <w:shd w:val="clear" w:color="auto" w:fill="FFFFFF"/>
                  <w:tcMar>
                    <w:top w:w="0" w:type="dxa"/>
                    <w:left w:w="0" w:type="dxa"/>
                    <w:bottom w:w="0" w:type="dxa"/>
                    <w:right w:w="0" w:type="dxa"/>
                  </w:tcMar>
                  <w:vAlign w:val="center"/>
                </w:tcPr>
                <w:p w14:paraId="3F73554E">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真空泵</w:t>
                  </w:r>
                </w:p>
              </w:tc>
              <w:tc>
                <w:tcPr>
                  <w:tcW w:w="469" w:type="dxa"/>
                  <w:tcBorders>
                    <w:tl2br w:val="nil"/>
                    <w:tr2bl w:val="nil"/>
                  </w:tcBorders>
                  <w:shd w:val="clear" w:color="auto" w:fill="FFFFFF"/>
                  <w:tcMar>
                    <w:top w:w="0" w:type="dxa"/>
                    <w:left w:w="0" w:type="dxa"/>
                    <w:bottom w:w="0" w:type="dxa"/>
                    <w:right w:w="0" w:type="dxa"/>
                  </w:tcMar>
                  <w:vAlign w:val="center"/>
                </w:tcPr>
                <w:p w14:paraId="4081B934">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420" w:type="dxa"/>
                  <w:vMerge w:val="continue"/>
                  <w:tcBorders>
                    <w:tl2br w:val="nil"/>
                    <w:tr2bl w:val="nil"/>
                  </w:tcBorders>
                  <w:shd w:val="clear" w:color="auto" w:fill="FFFFFF"/>
                  <w:tcMar>
                    <w:top w:w="0" w:type="dxa"/>
                    <w:left w:w="0" w:type="dxa"/>
                    <w:bottom w:w="0" w:type="dxa"/>
                    <w:right w:w="0" w:type="dxa"/>
                  </w:tcMar>
                  <w:vAlign w:val="center"/>
                </w:tcPr>
                <w:p w14:paraId="67C43A99">
                  <w:pPr>
                    <w:spacing w:line="240" w:lineRule="auto"/>
                    <w:jc w:val="center"/>
                    <w:rPr>
                      <w:rFonts w:hint="default" w:ascii="Times New Roman" w:hAnsi="Times New Roman" w:cs="Times New Roman" w:eastAsiaTheme="minorEastAsia"/>
                      <w:color w:val="auto"/>
                      <w:sz w:val="21"/>
                      <w:szCs w:val="21"/>
                    </w:rPr>
                  </w:pPr>
                </w:p>
              </w:tc>
              <w:tc>
                <w:tcPr>
                  <w:tcW w:w="366" w:type="dxa"/>
                  <w:tcBorders>
                    <w:tl2br w:val="nil"/>
                    <w:tr2bl w:val="nil"/>
                  </w:tcBorders>
                  <w:shd w:val="clear" w:color="auto" w:fill="FFFFFF"/>
                  <w:tcMar>
                    <w:top w:w="0" w:type="dxa"/>
                    <w:left w:w="0" w:type="dxa"/>
                    <w:bottom w:w="0" w:type="dxa"/>
                    <w:right w:w="0" w:type="dxa"/>
                  </w:tcMar>
                  <w:vAlign w:val="center"/>
                </w:tcPr>
                <w:p w14:paraId="1CDA64C0">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3</w:t>
                  </w:r>
                </w:p>
              </w:tc>
              <w:tc>
                <w:tcPr>
                  <w:tcW w:w="366" w:type="dxa"/>
                  <w:tcBorders>
                    <w:tl2br w:val="nil"/>
                    <w:tr2bl w:val="nil"/>
                  </w:tcBorders>
                  <w:shd w:val="clear" w:color="auto" w:fill="FFFFFF"/>
                  <w:tcMar>
                    <w:top w:w="0" w:type="dxa"/>
                    <w:left w:w="0" w:type="dxa"/>
                    <w:bottom w:w="0" w:type="dxa"/>
                    <w:right w:w="0" w:type="dxa"/>
                  </w:tcMar>
                  <w:vAlign w:val="center"/>
                </w:tcPr>
                <w:p w14:paraId="34A93129">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c>
                <w:tcPr>
                  <w:tcW w:w="367" w:type="dxa"/>
                  <w:tcBorders>
                    <w:tl2br w:val="nil"/>
                    <w:tr2bl w:val="nil"/>
                  </w:tcBorders>
                  <w:shd w:val="clear" w:color="auto" w:fill="FFFFFF"/>
                  <w:tcMar>
                    <w:top w:w="0" w:type="dxa"/>
                    <w:left w:w="0" w:type="dxa"/>
                    <w:bottom w:w="0" w:type="dxa"/>
                    <w:right w:w="0" w:type="dxa"/>
                  </w:tcMar>
                  <w:vAlign w:val="center"/>
                </w:tcPr>
                <w:p w14:paraId="28DBE416">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301" w:type="dxa"/>
                  <w:tcBorders>
                    <w:tl2br w:val="nil"/>
                    <w:tr2bl w:val="nil"/>
                  </w:tcBorders>
                  <w:shd w:val="clear" w:color="auto" w:fill="FFFFFF"/>
                  <w:tcMar>
                    <w:top w:w="0" w:type="dxa"/>
                    <w:left w:w="0" w:type="dxa"/>
                    <w:bottom w:w="0" w:type="dxa"/>
                    <w:right w:w="0" w:type="dxa"/>
                  </w:tcMar>
                  <w:vAlign w:val="center"/>
                </w:tcPr>
                <w:p w14:paraId="2D34A50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301" w:type="dxa"/>
                  <w:tcBorders>
                    <w:tl2br w:val="nil"/>
                    <w:tr2bl w:val="nil"/>
                  </w:tcBorders>
                  <w:shd w:val="clear" w:color="auto" w:fill="FFFFFF"/>
                  <w:tcMar>
                    <w:top w:w="0" w:type="dxa"/>
                    <w:left w:w="0" w:type="dxa"/>
                    <w:bottom w:w="0" w:type="dxa"/>
                    <w:right w:w="0" w:type="dxa"/>
                  </w:tcMar>
                  <w:vAlign w:val="center"/>
                </w:tcPr>
                <w:p w14:paraId="4627A962">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301" w:type="dxa"/>
                  <w:tcBorders>
                    <w:tl2br w:val="nil"/>
                    <w:tr2bl w:val="nil"/>
                  </w:tcBorders>
                  <w:shd w:val="clear" w:color="auto" w:fill="FFFFFF"/>
                  <w:tcMar>
                    <w:top w:w="0" w:type="dxa"/>
                    <w:left w:w="0" w:type="dxa"/>
                    <w:bottom w:w="0" w:type="dxa"/>
                    <w:right w:w="0" w:type="dxa"/>
                  </w:tcMar>
                  <w:vAlign w:val="center"/>
                </w:tcPr>
                <w:p w14:paraId="7A727F2C">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302" w:type="dxa"/>
                  <w:tcBorders>
                    <w:tl2br w:val="nil"/>
                    <w:tr2bl w:val="nil"/>
                  </w:tcBorders>
                  <w:shd w:val="clear" w:color="auto" w:fill="FFFFFF"/>
                  <w:tcMar>
                    <w:top w:w="0" w:type="dxa"/>
                    <w:left w:w="0" w:type="dxa"/>
                    <w:bottom w:w="0" w:type="dxa"/>
                    <w:right w:w="0" w:type="dxa"/>
                  </w:tcMar>
                  <w:vAlign w:val="center"/>
                </w:tcPr>
                <w:p w14:paraId="678A096C">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298" w:type="dxa"/>
                  <w:tcBorders>
                    <w:tl2br w:val="nil"/>
                    <w:tr2bl w:val="nil"/>
                  </w:tcBorders>
                  <w:shd w:val="clear" w:color="auto" w:fill="FFFFFF"/>
                  <w:tcMar>
                    <w:top w:w="0" w:type="dxa"/>
                    <w:left w:w="0" w:type="dxa"/>
                    <w:bottom w:w="0" w:type="dxa"/>
                    <w:right w:w="0" w:type="dxa"/>
                  </w:tcMar>
                  <w:vAlign w:val="center"/>
                </w:tcPr>
                <w:p w14:paraId="1D89C36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69</w:t>
                  </w:r>
                </w:p>
              </w:tc>
              <w:tc>
                <w:tcPr>
                  <w:tcW w:w="298" w:type="dxa"/>
                  <w:tcBorders>
                    <w:tl2br w:val="nil"/>
                    <w:tr2bl w:val="nil"/>
                  </w:tcBorders>
                  <w:shd w:val="clear" w:color="auto" w:fill="FFFFFF"/>
                  <w:tcMar>
                    <w:top w:w="0" w:type="dxa"/>
                    <w:left w:w="0" w:type="dxa"/>
                    <w:bottom w:w="0" w:type="dxa"/>
                    <w:right w:w="0" w:type="dxa"/>
                  </w:tcMar>
                  <w:vAlign w:val="center"/>
                </w:tcPr>
                <w:p w14:paraId="14350C61">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83</w:t>
                  </w:r>
                </w:p>
              </w:tc>
              <w:tc>
                <w:tcPr>
                  <w:tcW w:w="298" w:type="dxa"/>
                  <w:tcBorders>
                    <w:tl2br w:val="nil"/>
                    <w:tr2bl w:val="nil"/>
                  </w:tcBorders>
                  <w:shd w:val="clear" w:color="auto" w:fill="FFFFFF"/>
                  <w:tcMar>
                    <w:top w:w="0" w:type="dxa"/>
                    <w:left w:w="0" w:type="dxa"/>
                    <w:bottom w:w="0" w:type="dxa"/>
                    <w:right w:w="0" w:type="dxa"/>
                  </w:tcMar>
                  <w:vAlign w:val="center"/>
                </w:tcPr>
                <w:p w14:paraId="04D5C407">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77</w:t>
                  </w:r>
                </w:p>
              </w:tc>
              <w:tc>
                <w:tcPr>
                  <w:tcW w:w="306" w:type="dxa"/>
                  <w:tcBorders>
                    <w:tl2br w:val="nil"/>
                    <w:tr2bl w:val="nil"/>
                  </w:tcBorders>
                  <w:shd w:val="clear" w:color="auto" w:fill="FFFFFF"/>
                  <w:tcMar>
                    <w:top w:w="0" w:type="dxa"/>
                    <w:left w:w="0" w:type="dxa"/>
                    <w:bottom w:w="0" w:type="dxa"/>
                    <w:right w:w="0" w:type="dxa"/>
                  </w:tcMar>
                  <w:vAlign w:val="center"/>
                </w:tcPr>
                <w:p w14:paraId="30763808">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83</w:t>
                  </w:r>
                </w:p>
              </w:tc>
              <w:tc>
                <w:tcPr>
                  <w:tcW w:w="435" w:type="dxa"/>
                  <w:vMerge w:val="continue"/>
                  <w:tcBorders>
                    <w:tl2br w:val="nil"/>
                    <w:tr2bl w:val="nil"/>
                  </w:tcBorders>
                  <w:shd w:val="clear" w:color="auto" w:fill="FFFFFF"/>
                  <w:tcMar>
                    <w:top w:w="0" w:type="dxa"/>
                    <w:left w:w="0" w:type="dxa"/>
                    <w:bottom w:w="0" w:type="dxa"/>
                    <w:right w:w="0" w:type="dxa"/>
                  </w:tcMar>
                  <w:vAlign w:val="center"/>
                </w:tcPr>
                <w:p w14:paraId="1072C240">
                  <w:pPr>
                    <w:spacing w:line="240" w:lineRule="auto"/>
                    <w:jc w:val="center"/>
                    <w:rPr>
                      <w:rFonts w:hint="default" w:ascii="Times New Roman" w:hAnsi="Times New Roman" w:cs="Times New Roman" w:eastAsiaTheme="minorEastAsia"/>
                      <w:color w:val="auto"/>
                      <w:sz w:val="21"/>
                      <w:szCs w:val="21"/>
                    </w:rPr>
                  </w:pPr>
                </w:p>
              </w:tc>
              <w:tc>
                <w:tcPr>
                  <w:tcW w:w="579" w:type="dxa"/>
                  <w:tcBorders>
                    <w:tl2br w:val="nil"/>
                    <w:tr2bl w:val="nil"/>
                  </w:tcBorders>
                  <w:shd w:val="clear" w:color="auto" w:fill="FFFFFF"/>
                  <w:tcMar>
                    <w:top w:w="0" w:type="dxa"/>
                    <w:left w:w="0" w:type="dxa"/>
                    <w:bottom w:w="0" w:type="dxa"/>
                    <w:right w:w="0" w:type="dxa"/>
                  </w:tcMar>
                  <w:vAlign w:val="center"/>
                </w:tcPr>
                <w:p w14:paraId="67018BA5">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w:t>
                  </w:r>
                </w:p>
              </w:tc>
              <w:tc>
                <w:tcPr>
                  <w:tcW w:w="391" w:type="dxa"/>
                  <w:tcBorders>
                    <w:tl2br w:val="nil"/>
                    <w:tr2bl w:val="nil"/>
                  </w:tcBorders>
                  <w:shd w:val="clear" w:color="auto" w:fill="FFFFFF"/>
                  <w:tcMar>
                    <w:top w:w="0" w:type="dxa"/>
                    <w:left w:w="0" w:type="dxa"/>
                    <w:bottom w:w="0" w:type="dxa"/>
                    <w:right w:w="0" w:type="dxa"/>
                  </w:tcMar>
                  <w:vAlign w:val="center"/>
                </w:tcPr>
                <w:p w14:paraId="79A6A47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49</w:t>
                  </w:r>
                </w:p>
              </w:tc>
              <w:tc>
                <w:tcPr>
                  <w:tcW w:w="435" w:type="dxa"/>
                  <w:tcBorders>
                    <w:tl2br w:val="nil"/>
                    <w:tr2bl w:val="nil"/>
                  </w:tcBorders>
                  <w:shd w:val="clear" w:color="auto" w:fill="FFFFFF"/>
                  <w:tcMar>
                    <w:top w:w="0" w:type="dxa"/>
                    <w:left w:w="0" w:type="dxa"/>
                    <w:bottom w:w="0" w:type="dxa"/>
                    <w:right w:w="0" w:type="dxa"/>
                  </w:tcMar>
                  <w:vAlign w:val="center"/>
                </w:tcPr>
                <w:p w14:paraId="555887B5">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63</w:t>
                  </w:r>
                </w:p>
              </w:tc>
              <w:tc>
                <w:tcPr>
                  <w:tcW w:w="420" w:type="dxa"/>
                  <w:tcBorders>
                    <w:tl2br w:val="nil"/>
                    <w:tr2bl w:val="nil"/>
                  </w:tcBorders>
                  <w:shd w:val="clear" w:color="auto" w:fill="FFFFFF"/>
                  <w:tcMar>
                    <w:top w:w="0" w:type="dxa"/>
                    <w:left w:w="0" w:type="dxa"/>
                    <w:bottom w:w="0" w:type="dxa"/>
                    <w:right w:w="0" w:type="dxa"/>
                  </w:tcMar>
                  <w:vAlign w:val="center"/>
                </w:tcPr>
                <w:p w14:paraId="5EE517E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57</w:t>
                  </w:r>
                </w:p>
              </w:tc>
              <w:tc>
                <w:tcPr>
                  <w:tcW w:w="406" w:type="dxa"/>
                  <w:tcBorders>
                    <w:tl2br w:val="nil"/>
                    <w:tr2bl w:val="nil"/>
                  </w:tcBorders>
                  <w:shd w:val="clear" w:color="auto" w:fill="FFFFFF"/>
                  <w:tcMar>
                    <w:top w:w="0" w:type="dxa"/>
                    <w:left w:w="0" w:type="dxa"/>
                    <w:bottom w:w="0" w:type="dxa"/>
                    <w:right w:w="0" w:type="dxa"/>
                  </w:tcMar>
                  <w:vAlign w:val="center"/>
                </w:tcPr>
                <w:p w14:paraId="4EB52F7B">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63</w:t>
                  </w:r>
                </w:p>
              </w:tc>
              <w:tc>
                <w:tcPr>
                  <w:tcW w:w="440" w:type="dxa"/>
                  <w:tcBorders>
                    <w:tl2br w:val="nil"/>
                    <w:tr2bl w:val="nil"/>
                  </w:tcBorders>
                  <w:shd w:val="clear" w:color="auto" w:fill="FFFFFF"/>
                  <w:tcMar>
                    <w:top w:w="0" w:type="dxa"/>
                    <w:left w:w="0" w:type="dxa"/>
                    <w:bottom w:w="0" w:type="dxa"/>
                    <w:right w:w="0" w:type="dxa"/>
                  </w:tcMar>
                  <w:vAlign w:val="center"/>
                </w:tcPr>
                <w:p w14:paraId="2F10A6CB">
                  <w:pPr>
                    <w:spacing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r>
            <w:bookmarkEnd w:id="10"/>
          </w:tbl>
          <w:p w14:paraId="50A77E19">
            <w:pPr>
              <w:pStyle w:val="34"/>
              <w:spacing w:line="360" w:lineRule="auto"/>
              <w:ind w:firstLine="0" w:firstLineChars="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注：坐标以厂界中心（</w:t>
            </w:r>
            <w:r>
              <w:rPr>
                <w:rFonts w:hint="default" w:ascii="Times New Roman" w:hAnsi="Times New Roman" w:cs="Times New Roman" w:eastAsiaTheme="minorEastAsia"/>
                <w:color w:val="auto"/>
                <w:sz w:val="21"/>
                <w:szCs w:val="21"/>
                <w:lang w:eastAsia="zh-CN"/>
              </w:rPr>
              <w:t>E115°59′24.622″,</w:t>
            </w:r>
            <w:r>
              <w:rPr>
                <w:rFonts w:hint="default" w:ascii="Times New Roman" w:hAnsi="Times New Roman" w:cs="Times New Roman" w:eastAsiaTheme="minorEastAsia"/>
                <w:color w:val="auto"/>
                <w:sz w:val="21"/>
                <w:szCs w:val="21"/>
                <w:lang w:val="en-US" w:eastAsia="zh-CN"/>
              </w:rPr>
              <w:t>N</w:t>
            </w:r>
            <w:r>
              <w:rPr>
                <w:rFonts w:hint="default" w:ascii="Times New Roman" w:hAnsi="Times New Roman" w:cs="Times New Roman" w:eastAsiaTheme="minorEastAsia"/>
                <w:color w:val="auto"/>
                <w:sz w:val="21"/>
                <w:szCs w:val="21"/>
                <w:lang w:eastAsia="zh-CN"/>
              </w:rPr>
              <w:t>26°27′20.72</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）为坐标原点，正东向为X轴正方向，正北向为Y轴正方向。</w:t>
            </w:r>
          </w:p>
          <w:p w14:paraId="17FE47B9">
            <w:pPr>
              <w:pStyle w:val="12"/>
              <w:spacing w:before="0" w:after="0" w:line="360" w:lineRule="auto"/>
              <w:ind w:left="420" w:leftChars="200" w:right="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（2）噪声影响与预测</w:t>
            </w:r>
          </w:p>
          <w:p w14:paraId="5A5F150F">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①预测范围和内容</w:t>
            </w:r>
          </w:p>
          <w:p w14:paraId="3D84A05C">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根据各噪声源源强和所选用的预测模式，结合厂区平面布置，计算了本项目建设完成后对厂界噪声值的影响，结果见下表。</w:t>
            </w:r>
          </w:p>
          <w:p w14:paraId="4D982580">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②评价标准</w:t>
            </w:r>
          </w:p>
          <w:p w14:paraId="2FF62A2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项目厂界噪声执行《工业企业厂界环境噪声排放标准》（GB12348-2008）2类</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昼间60dB(A)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夜间50dB(A)</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和</w:t>
            </w:r>
            <w:r>
              <w:rPr>
                <w:rFonts w:hint="default" w:ascii="Times New Roman" w:hAnsi="Times New Roman" w:cs="Times New Roman" w:eastAsiaTheme="minorEastAsia"/>
                <w:color w:val="auto"/>
                <w:sz w:val="24"/>
                <w:szCs w:val="24"/>
                <w:lang w:val="en-US" w:eastAsia="zh-CN"/>
              </w:rPr>
              <w:t>4类</w:t>
            </w:r>
            <w:r>
              <w:rPr>
                <w:rFonts w:hint="default" w:ascii="Times New Roman" w:hAnsi="Times New Roman" w:cs="Times New Roman" w:eastAsiaTheme="minorEastAsia"/>
                <w:color w:val="auto"/>
                <w:sz w:val="24"/>
                <w:szCs w:val="24"/>
              </w:rPr>
              <w:t>标准</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昼间</w:t>
            </w:r>
            <w:r>
              <w:rPr>
                <w:rFonts w:hint="default"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0dB(A)</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夜间</w:t>
            </w:r>
            <w:r>
              <w:rPr>
                <w:rFonts w:hint="default" w:ascii="Times New Roman" w:hAnsi="Times New Roman" w:cs="Times New Roman" w:eastAsiaTheme="minorEastAsia"/>
                <w:color w:val="auto"/>
                <w:sz w:val="24"/>
                <w:szCs w:val="24"/>
                <w:lang w:val="en-US" w:eastAsia="zh-CN"/>
              </w:rPr>
              <w:t>55</w:t>
            </w:r>
            <w:r>
              <w:rPr>
                <w:rFonts w:hint="default" w:ascii="Times New Roman" w:hAnsi="Times New Roman" w:cs="Times New Roman" w:eastAsiaTheme="minorEastAsia"/>
                <w:color w:val="auto"/>
                <w:sz w:val="24"/>
                <w:szCs w:val="24"/>
              </w:rPr>
              <w:t>dB(A)</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p>
          <w:p w14:paraId="0731B84E">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③预测方法</w:t>
            </w:r>
          </w:p>
          <w:p w14:paraId="6FA46DA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根据各主要噪声设备在厂区的分布情况和四周厂界的距离情况，本评价采用《环境影响评价技术导则——声环境》（HJ2.4-2021）中工业噪声预测计算模式计算预测点新增噪声源的污染水平，模式如下：</w:t>
            </w:r>
          </w:p>
          <w:p w14:paraId="75EDB8A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A</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室外声源</w:t>
            </w:r>
          </w:p>
          <w:p w14:paraId="66B5DB4B">
            <w:pPr>
              <w:spacing w:line="360" w:lineRule="auto"/>
              <w:ind w:firstLine="508"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7"/>
                <w:sz w:val="24"/>
                <w:szCs w:val="24"/>
              </w:rPr>
              <w:t>户外声传播衰减包括几何发散（</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div</w:t>
            </w:r>
            <w:r>
              <w:rPr>
                <w:rFonts w:hint="default" w:ascii="Times New Roman" w:hAnsi="Times New Roman" w:cs="Times New Roman" w:eastAsiaTheme="minorEastAsia"/>
                <w:color w:val="auto"/>
                <w:spacing w:val="7"/>
                <w:position w:val="-1"/>
                <w:sz w:val="24"/>
                <w:szCs w:val="24"/>
              </w:rPr>
              <w:t xml:space="preserve"> ）</w:t>
            </w:r>
            <w:r>
              <w:rPr>
                <w:rFonts w:hint="default" w:ascii="Times New Roman" w:hAnsi="Times New Roman" w:cs="Times New Roman" w:eastAsiaTheme="minorEastAsia"/>
                <w:color w:val="auto"/>
                <w:spacing w:val="7"/>
                <w:sz w:val="24"/>
                <w:szCs w:val="24"/>
              </w:rPr>
              <w:t>、大气吸收（</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atm</w:t>
            </w:r>
            <w:r>
              <w:rPr>
                <w:rFonts w:hint="default" w:ascii="Times New Roman" w:hAnsi="Times New Roman" w:cs="Times New Roman" w:eastAsiaTheme="minorEastAsia"/>
                <w:color w:val="auto"/>
                <w:spacing w:val="7"/>
                <w:position w:val="-1"/>
                <w:sz w:val="24"/>
                <w:szCs w:val="24"/>
              </w:rPr>
              <w:t xml:space="preserve"> ）</w:t>
            </w:r>
            <w:r>
              <w:rPr>
                <w:rFonts w:hint="default" w:ascii="Times New Roman" w:hAnsi="Times New Roman" w:cs="Times New Roman" w:eastAsiaTheme="minorEastAsia"/>
                <w:color w:val="auto"/>
                <w:spacing w:val="7"/>
                <w:sz w:val="24"/>
                <w:szCs w:val="24"/>
              </w:rPr>
              <w:t>、地面效应（</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gr</w:t>
            </w:r>
            <w:r>
              <w:rPr>
                <w:rFonts w:hint="default" w:ascii="Times New Roman" w:hAnsi="Times New Roman" w:cs="Times New Roman" w:eastAsiaTheme="minorEastAsia"/>
                <w:color w:val="auto"/>
                <w:spacing w:val="7"/>
                <w:position w:val="-1"/>
                <w:sz w:val="24"/>
                <w:szCs w:val="24"/>
              </w:rPr>
              <w:t xml:space="preserve"> ）</w:t>
            </w:r>
            <w:r>
              <w:rPr>
                <w:rFonts w:hint="default" w:ascii="Times New Roman" w:hAnsi="Times New Roman" w:cs="Times New Roman" w:eastAsiaTheme="minorEastAsia"/>
                <w:color w:val="auto"/>
                <w:spacing w:val="7"/>
                <w:sz w:val="24"/>
                <w:szCs w:val="24"/>
              </w:rPr>
              <w:t>、障碍物屏蔽（</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bar</w:t>
            </w:r>
            <w:r>
              <w:rPr>
                <w:rFonts w:hint="default" w:ascii="Times New Roman" w:hAnsi="Times New Roman" w:cs="Times New Roman" w:eastAsiaTheme="minorEastAsia"/>
                <w:color w:val="auto"/>
                <w:spacing w:val="7"/>
                <w:position w:val="-1"/>
                <w:sz w:val="24"/>
                <w:szCs w:val="24"/>
              </w:rPr>
              <w:t xml:space="preserve"> ）</w:t>
            </w:r>
            <w:r>
              <w:rPr>
                <w:rFonts w:hint="default" w:ascii="Times New Roman" w:hAnsi="Times New Roman" w:cs="Times New Roman" w:eastAsiaTheme="minorEastAsia"/>
                <w:color w:val="auto"/>
                <w:spacing w:val="7"/>
                <w:sz w:val="24"/>
                <w:szCs w:val="24"/>
              </w:rPr>
              <w:t>、其</w:t>
            </w:r>
            <w:r>
              <w:rPr>
                <w:rFonts w:hint="default" w:ascii="Times New Roman" w:hAnsi="Times New Roman" w:cs="Times New Roman" w:eastAsiaTheme="minorEastAsia"/>
                <w:color w:val="auto"/>
                <w:spacing w:val="17"/>
                <w:sz w:val="24"/>
                <w:szCs w:val="24"/>
              </w:rPr>
              <w:t>他</w:t>
            </w:r>
            <w:r>
              <w:rPr>
                <w:rFonts w:hint="default" w:ascii="Times New Roman" w:hAnsi="Times New Roman" w:cs="Times New Roman" w:eastAsiaTheme="minorEastAsia"/>
                <w:color w:val="auto"/>
                <w:spacing w:val="11"/>
                <w:sz w:val="24"/>
                <w:szCs w:val="24"/>
              </w:rPr>
              <w:t>多方面效应（</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misc</w:t>
            </w:r>
            <w:r>
              <w:rPr>
                <w:rFonts w:hint="default" w:ascii="Times New Roman" w:hAnsi="Times New Roman" w:cs="Times New Roman" w:eastAsiaTheme="minorEastAsia"/>
                <w:color w:val="auto"/>
                <w:spacing w:val="11"/>
                <w:position w:val="-1"/>
                <w:sz w:val="24"/>
                <w:szCs w:val="24"/>
              </w:rPr>
              <w:t xml:space="preserve"> ）</w:t>
            </w:r>
            <w:r>
              <w:rPr>
                <w:rFonts w:hint="default" w:ascii="Times New Roman" w:hAnsi="Times New Roman" w:cs="Times New Roman" w:eastAsiaTheme="minorEastAsia"/>
                <w:color w:val="auto"/>
                <w:spacing w:val="11"/>
                <w:sz w:val="24"/>
                <w:szCs w:val="24"/>
              </w:rPr>
              <w:t>引起的衰减。</w:t>
            </w:r>
          </w:p>
          <w:p w14:paraId="116A7625">
            <w:pPr>
              <w:spacing w:line="360" w:lineRule="auto"/>
              <w:ind w:firstLine="472"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2"/>
                <w:sz w:val="24"/>
                <w:szCs w:val="24"/>
              </w:rPr>
              <w:t>a）在环境影响评价中，应根据声源声功率级或参考位置处的声压级、户外声传播衰减，计算预</w:t>
            </w:r>
            <w:r>
              <w:rPr>
                <w:rFonts w:hint="default" w:ascii="Times New Roman" w:hAnsi="Times New Roman" w:cs="Times New Roman" w:eastAsiaTheme="minorEastAsia"/>
                <w:color w:val="auto"/>
                <w:spacing w:val="18"/>
                <w:sz w:val="24"/>
                <w:szCs w:val="24"/>
              </w:rPr>
              <w:t>测</w:t>
            </w:r>
            <w:r>
              <w:rPr>
                <w:rFonts w:hint="default" w:ascii="Times New Roman" w:hAnsi="Times New Roman" w:cs="Times New Roman" w:eastAsiaTheme="minorEastAsia"/>
                <w:color w:val="auto"/>
                <w:spacing w:val="13"/>
                <w:sz w:val="24"/>
                <w:szCs w:val="24"/>
              </w:rPr>
              <w:t>点</w:t>
            </w:r>
            <w:r>
              <w:rPr>
                <w:rFonts w:hint="default" w:ascii="Times New Roman" w:hAnsi="Times New Roman" w:cs="Times New Roman" w:eastAsiaTheme="minorEastAsia"/>
                <w:color w:val="auto"/>
                <w:spacing w:val="9"/>
                <w:sz w:val="24"/>
                <w:szCs w:val="24"/>
              </w:rPr>
              <w:t>的声级，分别按式（</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pacing w:val="9"/>
                <w:sz w:val="24"/>
                <w:szCs w:val="24"/>
              </w:rPr>
              <w:t>.1）或式（</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pacing w:val="9"/>
                <w:sz w:val="24"/>
                <w:szCs w:val="24"/>
              </w:rPr>
              <w:t>.2）计算。</w:t>
            </w:r>
          </w:p>
          <w:p w14:paraId="639753D1">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position w:val="1"/>
                <w:sz w:val="24"/>
                <w:szCs w:val="24"/>
              </w:rPr>
              <w:t>L</w:t>
            </w:r>
            <w:r>
              <w:rPr>
                <w:rFonts w:hint="default" w:ascii="Times New Roman" w:hAnsi="Times New Roman" w:cs="Times New Roman" w:eastAsiaTheme="minorEastAsia"/>
                <w:i/>
                <w:iCs/>
                <w:color w:val="auto"/>
                <w:position w:val="-1"/>
                <w:sz w:val="24"/>
                <w:szCs w:val="24"/>
              </w:rPr>
              <w:t>p</w:t>
            </w:r>
            <w:r>
              <w:rPr>
                <w:rFonts w:hint="default" w:ascii="Times New Roman" w:hAnsi="Times New Roman" w:cs="Times New Roman" w:eastAsiaTheme="minorEastAsia"/>
                <w:color w:val="auto"/>
                <w:spacing w:val="11"/>
                <w:position w:val="1"/>
                <w:sz w:val="24"/>
                <w:szCs w:val="24"/>
              </w:rPr>
              <w:t>(</w:t>
            </w:r>
            <w:r>
              <w:rPr>
                <w:rFonts w:hint="default" w:ascii="Times New Roman" w:hAnsi="Times New Roman" w:cs="Times New Roman" w:eastAsiaTheme="minorEastAsia"/>
                <w:i/>
                <w:iCs/>
                <w:color w:val="auto"/>
                <w:position w:val="1"/>
                <w:sz w:val="24"/>
                <w:szCs w:val="24"/>
              </w:rPr>
              <w:t>r</w:t>
            </w:r>
            <w:r>
              <w:rPr>
                <w:rFonts w:hint="default" w:ascii="Times New Roman" w:hAnsi="Times New Roman" w:cs="Times New Roman" w:eastAsiaTheme="minorEastAsia"/>
                <w:color w:val="auto"/>
                <w:spacing w:val="8"/>
                <w:position w:val="1"/>
                <w:sz w:val="24"/>
                <w:szCs w:val="24"/>
              </w:rPr>
              <w:t>)</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1"/>
                <w:sz w:val="24"/>
                <w:szCs w:val="24"/>
              </w:rPr>
              <w:t>w</w:t>
            </w:r>
            <w:r>
              <w:rPr>
                <w:rFonts w:hint="default" w:ascii="Times New Roman" w:hAnsi="Times New Roman" w:cs="Times New Roman" w:eastAsiaTheme="minorEastAsia"/>
                <w:color w:val="auto"/>
                <w:spacing w:val="8"/>
                <w:position w:val="1"/>
                <w:sz w:val="24"/>
                <w:szCs w:val="24"/>
              </w:rPr>
              <w:t>+</w:t>
            </w:r>
            <w:r>
              <w:rPr>
                <w:rFonts w:hint="default" w:ascii="Times New Roman" w:hAnsi="Times New Roman" w:cs="Times New Roman" w:eastAsiaTheme="minorEastAsia"/>
                <w:i/>
                <w:iCs/>
                <w:color w:val="auto"/>
                <w:position w:val="1"/>
                <w:sz w:val="24"/>
                <w:szCs w:val="24"/>
              </w:rPr>
              <w:t>D</w:t>
            </w:r>
            <w:r>
              <w:rPr>
                <w:rFonts w:hint="default" w:ascii="Times New Roman" w:hAnsi="Times New Roman" w:cs="Times New Roman" w:eastAsiaTheme="minorEastAsia"/>
                <w:color w:val="auto"/>
                <w:position w:val="-1"/>
                <w:sz w:val="24"/>
                <w:szCs w:val="24"/>
              </w:rPr>
              <w:t>C</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div</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atm</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gr</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bar</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1"/>
                <w:sz w:val="24"/>
                <w:szCs w:val="24"/>
              </w:rPr>
              <w:t>misc</w:t>
            </w:r>
            <w:r>
              <w:rPr>
                <w:rFonts w:hint="default" w:ascii="Times New Roman" w:hAnsi="Times New Roman" w:cs="Times New Roman" w:eastAsiaTheme="minorEastAsia"/>
                <w:color w:val="auto"/>
                <w:spacing w:val="8"/>
                <w:position w:val="1"/>
                <w:sz w:val="24"/>
                <w:szCs w:val="24"/>
              </w:rPr>
              <w:t xml:space="preserve">)     </w:t>
            </w:r>
            <w:r>
              <w:rPr>
                <w:rFonts w:hint="default" w:ascii="Times New Roman" w:hAnsi="Times New Roman" w:cs="Times New Roman" w:eastAsiaTheme="minorEastAsia"/>
                <w:color w:val="auto"/>
                <w:spacing w:val="8"/>
                <w:sz w:val="24"/>
                <w:szCs w:val="24"/>
              </w:rPr>
              <w:t>(A.1)</w:t>
            </w:r>
          </w:p>
          <w:p w14:paraId="343AC1D4">
            <w:pPr>
              <w:spacing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1"/>
                <w:sz w:val="24"/>
                <w:szCs w:val="24"/>
              </w:rPr>
              <w:t>式中：</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3"/>
                <w:sz w:val="24"/>
                <w:szCs w:val="24"/>
              </w:rPr>
              <w:t>p</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z w:val="24"/>
                <w:szCs w:val="24"/>
              </w:rPr>
              <w:t>) ——预测点处声压级，dB；</w:t>
            </w:r>
          </w:p>
          <w:p w14:paraId="102E3FA2">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1"/>
                <w:sz w:val="24"/>
                <w:szCs w:val="24"/>
              </w:rPr>
              <w:t>w</w:t>
            </w:r>
            <w:r>
              <w:rPr>
                <w:rFonts w:hint="default" w:ascii="Times New Roman" w:hAnsi="Times New Roman" w:cs="Times New Roman" w:eastAsiaTheme="minorEastAsia"/>
                <w:color w:val="auto"/>
                <w:spacing w:val="3"/>
                <w:position w:val="-1"/>
                <w:sz w:val="24"/>
                <w:szCs w:val="24"/>
              </w:rPr>
              <w:t xml:space="preserve">  </w:t>
            </w:r>
            <w:r>
              <w:rPr>
                <w:rFonts w:hint="default" w:ascii="Times New Roman" w:hAnsi="Times New Roman" w:cs="Times New Roman" w:eastAsiaTheme="minorEastAsia"/>
                <w:color w:val="auto"/>
                <w:spacing w:val="3"/>
                <w:sz w:val="24"/>
                <w:szCs w:val="24"/>
              </w:rPr>
              <w:t>——由点声源产生的声功率级（</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pacing w:val="3"/>
                <w:sz w:val="24"/>
                <w:szCs w:val="24"/>
              </w:rPr>
              <w:t>计权或倍频带）</w:t>
            </w:r>
            <w:r>
              <w:rPr>
                <w:rFonts w:hint="default" w:ascii="Times New Roman" w:hAnsi="Times New Roman" w:cs="Times New Roman" w:eastAsiaTheme="minorEastAsia"/>
                <w:color w:val="auto"/>
                <w:sz w:val="24"/>
                <w:szCs w:val="24"/>
              </w:rPr>
              <w:t>，dB；</w:t>
            </w:r>
          </w:p>
          <w:p w14:paraId="285D0B18">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D</w:t>
            </w:r>
            <w:r>
              <w:rPr>
                <w:rFonts w:hint="default" w:ascii="Times New Roman" w:hAnsi="Times New Roman" w:cs="Times New Roman" w:eastAsiaTheme="minorEastAsia"/>
                <w:color w:val="auto"/>
                <w:position w:val="-2"/>
                <w:sz w:val="24"/>
                <w:szCs w:val="24"/>
              </w:rPr>
              <w:t>C</w:t>
            </w:r>
            <w:r>
              <w:rPr>
                <w:rFonts w:hint="default" w:ascii="Times New Roman" w:hAnsi="Times New Roman" w:cs="Times New Roman" w:eastAsiaTheme="minorEastAsia"/>
                <w:color w:val="auto"/>
                <w:spacing w:val="1"/>
                <w:position w:val="-2"/>
                <w:sz w:val="24"/>
                <w:szCs w:val="24"/>
              </w:rPr>
              <w:t xml:space="preserve">  </w:t>
            </w:r>
            <w:r>
              <w:rPr>
                <w:rFonts w:hint="default" w:ascii="Times New Roman" w:hAnsi="Times New Roman" w:cs="Times New Roman" w:eastAsiaTheme="minorEastAsia"/>
                <w:color w:val="auto"/>
                <w:spacing w:val="1"/>
                <w:sz w:val="24"/>
                <w:szCs w:val="24"/>
              </w:rPr>
              <w:t>——</w:t>
            </w:r>
            <w:r>
              <w:rPr>
                <w:rFonts w:hint="default" w:ascii="Times New Roman" w:hAnsi="Times New Roman" w:cs="Times New Roman" w:eastAsiaTheme="minorEastAsia"/>
                <w:color w:val="auto"/>
                <w:sz w:val="24"/>
                <w:szCs w:val="24"/>
              </w:rPr>
              <w:t>指向性校正，它描述点声源的等效连续声压级与产生声功率级</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1"/>
                <w:sz w:val="24"/>
                <w:szCs w:val="24"/>
              </w:rPr>
              <w:t>w</w:t>
            </w:r>
            <w:r>
              <w:rPr>
                <w:rFonts w:hint="default" w:ascii="Times New Roman" w:hAnsi="Times New Roman" w:cs="Times New Roman" w:eastAsiaTheme="minorEastAsia"/>
                <w:color w:val="auto"/>
                <w:position w:val="-1"/>
                <w:sz w:val="24"/>
                <w:szCs w:val="24"/>
              </w:rPr>
              <w:t xml:space="preserve"> </w:t>
            </w:r>
            <w:r>
              <w:rPr>
                <w:rFonts w:hint="default" w:ascii="Times New Roman" w:hAnsi="Times New Roman" w:cs="Times New Roman" w:eastAsiaTheme="minorEastAsia"/>
                <w:color w:val="auto"/>
                <w:sz w:val="24"/>
                <w:szCs w:val="24"/>
              </w:rPr>
              <w:t>的全向点声源在规定方</w:t>
            </w:r>
            <w:r>
              <w:rPr>
                <w:rFonts w:hint="default" w:ascii="Times New Roman" w:hAnsi="Times New Roman" w:cs="Times New Roman" w:eastAsiaTheme="minorEastAsia"/>
                <w:color w:val="auto"/>
                <w:spacing w:val="-4"/>
                <w:sz w:val="24"/>
                <w:szCs w:val="24"/>
              </w:rPr>
              <w:t>向</w:t>
            </w:r>
            <w:r>
              <w:rPr>
                <w:rFonts w:hint="default" w:ascii="Times New Roman" w:hAnsi="Times New Roman" w:cs="Times New Roman" w:eastAsiaTheme="minorEastAsia"/>
                <w:color w:val="auto"/>
                <w:spacing w:val="-2"/>
                <w:sz w:val="24"/>
                <w:szCs w:val="24"/>
              </w:rPr>
              <w:t>的声级的偏差程度，dB；</w:t>
            </w:r>
          </w:p>
          <w:p w14:paraId="29BC0956">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div</w:t>
            </w:r>
            <w:r>
              <w:rPr>
                <w:rFonts w:hint="default" w:ascii="Times New Roman" w:hAnsi="Times New Roman" w:cs="Times New Roman" w:eastAsiaTheme="minorEastAsia"/>
                <w:color w:val="auto"/>
                <w:spacing w:val="3"/>
                <w:position w:val="-2"/>
                <w:sz w:val="24"/>
                <w:szCs w:val="24"/>
              </w:rPr>
              <w:t xml:space="preserve"> </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——几何发散引起的衰减，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0576BB2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atm</w:t>
            </w:r>
            <w:r>
              <w:rPr>
                <w:rFonts w:hint="default" w:ascii="Times New Roman" w:hAnsi="Times New Roman" w:cs="Times New Roman" w:eastAsiaTheme="minorEastAsia"/>
                <w:color w:val="auto"/>
                <w:spacing w:val="4"/>
                <w:position w:val="-2"/>
                <w:sz w:val="24"/>
                <w:szCs w:val="24"/>
              </w:rPr>
              <w:t xml:space="preserve">  </w:t>
            </w:r>
            <w:r>
              <w:rPr>
                <w:rFonts w:hint="default" w:ascii="Times New Roman" w:hAnsi="Times New Roman" w:cs="Times New Roman" w:eastAsiaTheme="minorEastAsia"/>
                <w:color w:val="auto"/>
                <w:spacing w:val="2"/>
                <w:sz w:val="24"/>
                <w:szCs w:val="24"/>
              </w:rPr>
              <w:t>——大气吸收引起的衰减，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39D79414">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gr</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——地面效应引起的衰减</w:t>
            </w:r>
            <w:r>
              <w:rPr>
                <w:rFonts w:hint="default" w:ascii="Times New Roman" w:hAnsi="Times New Roman" w:cs="Times New Roman" w:eastAsiaTheme="minorEastAsia"/>
                <w:color w:val="auto"/>
                <w:spacing w:val="1"/>
                <w:sz w:val="24"/>
                <w:szCs w:val="24"/>
              </w:rPr>
              <w:t>，</w:t>
            </w:r>
            <w:r>
              <w:rPr>
                <w:rFonts w:hint="default" w:ascii="Times New Roman" w:hAnsi="Times New Roman" w:cs="Times New Roman" w:eastAsiaTheme="minorEastAsia"/>
                <w:color w:val="auto"/>
                <w:sz w:val="24"/>
                <w:szCs w:val="24"/>
              </w:rPr>
              <w:t>dB；</w:t>
            </w:r>
          </w:p>
          <w:p w14:paraId="5960E25C">
            <w:pPr>
              <w:spacing w:line="360" w:lineRule="auto"/>
              <w:ind w:firstLine="47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1"/>
                <w:sz w:val="24"/>
                <w:szCs w:val="24"/>
              </w:rPr>
              <w:t>A</w:t>
            </w:r>
            <w:r>
              <w:rPr>
                <w:rFonts w:hint="default" w:ascii="Times New Roman" w:hAnsi="Times New Roman" w:cs="Times New Roman" w:eastAsiaTheme="minorEastAsia"/>
                <w:color w:val="auto"/>
                <w:spacing w:val="-1"/>
                <w:position w:val="-2"/>
                <w:sz w:val="24"/>
                <w:szCs w:val="24"/>
              </w:rPr>
              <w:t xml:space="preserve">bar  </w:t>
            </w:r>
            <w:r>
              <w:rPr>
                <w:rFonts w:hint="default" w:ascii="Times New Roman" w:hAnsi="Times New Roman" w:cs="Times New Roman" w:eastAsiaTheme="minorEastAsia"/>
                <w:color w:val="auto"/>
                <w:spacing w:val="-1"/>
                <w:sz w:val="24"/>
                <w:szCs w:val="24"/>
              </w:rPr>
              <w:t>——障碍物屏蔽引起的衰减，d</w:t>
            </w:r>
            <w:r>
              <w:rPr>
                <w:rFonts w:hint="default" w:ascii="Times New Roman" w:hAnsi="Times New Roman" w:cs="Times New Roman" w:eastAsiaTheme="minorEastAsia"/>
                <w:color w:val="auto"/>
                <w:sz w:val="24"/>
                <w:szCs w:val="24"/>
              </w:rPr>
              <w:t>B</w:t>
            </w:r>
            <w:r>
              <w:rPr>
                <w:rFonts w:hint="default" w:ascii="Times New Roman" w:hAnsi="Times New Roman" w:cs="Times New Roman" w:eastAsiaTheme="minorEastAsia"/>
                <w:color w:val="auto"/>
                <w:spacing w:val="-1"/>
                <w:sz w:val="24"/>
                <w:szCs w:val="24"/>
              </w:rPr>
              <w:t>；</w:t>
            </w:r>
          </w:p>
          <w:p w14:paraId="6A9CF579">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misc</w:t>
            </w:r>
            <w:r>
              <w:rPr>
                <w:rFonts w:hint="default" w:ascii="Times New Roman" w:hAnsi="Times New Roman" w:cs="Times New Roman" w:eastAsiaTheme="minorEastAsia"/>
                <w:color w:val="auto"/>
                <w:spacing w:val="3"/>
                <w:position w:val="-2"/>
                <w:sz w:val="24"/>
                <w:szCs w:val="24"/>
              </w:rPr>
              <w:t xml:space="preserve"> </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——其他多方面效应引起的衰减，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1126B989">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2"/>
                <w:sz w:val="24"/>
                <w:szCs w:val="24"/>
              </w:rPr>
              <w:t>p</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2"/>
                <w:sz w:val="24"/>
                <w:szCs w:val="24"/>
              </w:rPr>
              <w:t>p</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pacing w:val="7"/>
                <w:position w:val="-2"/>
                <w:sz w:val="24"/>
                <w:szCs w:val="24"/>
              </w:rPr>
              <w:t>0</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D</w:t>
            </w:r>
            <w:r>
              <w:rPr>
                <w:rFonts w:hint="default" w:ascii="Times New Roman" w:hAnsi="Times New Roman" w:cs="Times New Roman" w:eastAsiaTheme="minorEastAsia"/>
                <w:color w:val="auto"/>
                <w:position w:val="-2"/>
                <w:sz w:val="24"/>
                <w:szCs w:val="24"/>
              </w:rPr>
              <w:t>C</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div</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atm</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gr</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bar</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misc</w:t>
            </w:r>
            <w:r>
              <w:rPr>
                <w:rFonts w:hint="default" w:ascii="Times New Roman" w:hAnsi="Times New Roman" w:cs="Times New Roman" w:eastAsiaTheme="minorEastAsia"/>
                <w:color w:val="auto"/>
                <w:spacing w:val="4"/>
                <w:sz w:val="24"/>
                <w:szCs w:val="24"/>
              </w:rPr>
              <w:t xml:space="preserve">)    </w:t>
            </w:r>
            <w:r>
              <w:rPr>
                <w:rFonts w:hint="default" w:ascii="Times New Roman" w:hAnsi="Times New Roman" w:cs="Times New Roman" w:eastAsiaTheme="minorEastAsia"/>
                <w:color w:val="auto"/>
                <w:spacing w:val="8"/>
                <w:sz w:val="24"/>
                <w:szCs w:val="24"/>
              </w:rPr>
              <w:t>(A.2)</w:t>
            </w:r>
          </w:p>
          <w:p w14:paraId="77337C38">
            <w:pPr>
              <w:spacing w:line="360" w:lineRule="auto"/>
              <w:ind w:firstLine="47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1"/>
                <w:sz w:val="24"/>
                <w:szCs w:val="24"/>
              </w:rPr>
              <w:t>式中：</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3"/>
                <w:sz w:val="24"/>
                <w:szCs w:val="24"/>
              </w:rPr>
              <w:t>p</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z w:val="24"/>
                <w:szCs w:val="24"/>
              </w:rPr>
              <w:t>) ——预测点处声压级，dB；</w:t>
            </w:r>
          </w:p>
          <w:p w14:paraId="5AB0CCCC">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2"/>
                <w:sz w:val="24"/>
                <w:szCs w:val="24"/>
              </w:rPr>
              <w:t>p</w:t>
            </w:r>
            <w:r>
              <w:rPr>
                <w:rFonts w:hint="default" w:ascii="Times New Roman" w:hAnsi="Times New Roman" w:cs="Times New Roman" w:eastAsiaTheme="minorEastAsia"/>
                <w:color w:val="auto"/>
                <w:spacing w:val="2"/>
                <w:sz w:val="24"/>
                <w:szCs w:val="24"/>
              </w:rPr>
              <w:t>(</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pacing w:val="2"/>
                <w:position w:val="-2"/>
                <w:sz w:val="24"/>
                <w:szCs w:val="24"/>
              </w:rPr>
              <w:t>0</w:t>
            </w:r>
            <w:r>
              <w:rPr>
                <w:rFonts w:hint="default" w:ascii="Times New Roman" w:hAnsi="Times New Roman" w:cs="Times New Roman" w:eastAsiaTheme="minorEastAsia"/>
                <w:color w:val="auto"/>
                <w:spacing w:val="2"/>
                <w:sz w:val="24"/>
                <w:szCs w:val="24"/>
              </w:rPr>
              <w:t xml:space="preserve">) </w:t>
            </w:r>
            <w:r>
              <w:rPr>
                <w:rFonts w:hint="default" w:ascii="Times New Roman" w:hAnsi="Times New Roman" w:cs="Times New Roman" w:eastAsiaTheme="minorEastAsia"/>
                <w:color w:val="auto"/>
                <w:spacing w:val="1"/>
                <w:sz w:val="24"/>
                <w:szCs w:val="24"/>
              </w:rPr>
              <w:t>——参考位置</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pacing w:val="1"/>
                <w:position w:val="-2"/>
                <w:sz w:val="24"/>
                <w:szCs w:val="24"/>
              </w:rPr>
              <w:t>0</w:t>
            </w:r>
            <w:r>
              <w:rPr>
                <w:rFonts w:hint="default" w:ascii="Times New Roman" w:hAnsi="Times New Roman" w:cs="Times New Roman" w:eastAsiaTheme="minorEastAsia"/>
                <w:color w:val="auto"/>
                <w:spacing w:val="1"/>
                <w:sz w:val="24"/>
                <w:szCs w:val="24"/>
              </w:rPr>
              <w:t>处的声压级，</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1"/>
                <w:sz w:val="24"/>
                <w:szCs w:val="24"/>
              </w:rPr>
              <w:t>；</w:t>
            </w:r>
          </w:p>
          <w:p w14:paraId="37284510">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D</w:t>
            </w:r>
            <w:r>
              <w:rPr>
                <w:rFonts w:hint="default" w:ascii="Times New Roman" w:hAnsi="Times New Roman" w:cs="Times New Roman" w:eastAsiaTheme="minorEastAsia"/>
                <w:color w:val="auto"/>
                <w:position w:val="-2"/>
                <w:sz w:val="24"/>
                <w:szCs w:val="24"/>
              </w:rPr>
              <w:t>C</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——指向性校正，它描述点</w:t>
            </w:r>
            <w:r>
              <w:rPr>
                <w:rFonts w:hint="default" w:ascii="Times New Roman" w:hAnsi="Times New Roman" w:cs="Times New Roman" w:eastAsiaTheme="minorEastAsia"/>
                <w:color w:val="auto"/>
                <w:spacing w:val="1"/>
                <w:sz w:val="24"/>
                <w:szCs w:val="24"/>
              </w:rPr>
              <w:t>声源的等效连续声压级与产生声功率级</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1"/>
                <w:sz w:val="24"/>
                <w:szCs w:val="24"/>
              </w:rPr>
              <w:t>w</w:t>
            </w:r>
            <w:r>
              <w:rPr>
                <w:rFonts w:hint="default" w:ascii="Times New Roman" w:hAnsi="Times New Roman" w:cs="Times New Roman" w:eastAsiaTheme="minorEastAsia"/>
                <w:color w:val="auto"/>
                <w:spacing w:val="1"/>
                <w:position w:val="-1"/>
                <w:sz w:val="24"/>
                <w:szCs w:val="24"/>
              </w:rPr>
              <w:t xml:space="preserve"> </w:t>
            </w:r>
            <w:r>
              <w:rPr>
                <w:rFonts w:hint="default" w:ascii="Times New Roman" w:hAnsi="Times New Roman" w:cs="Times New Roman" w:eastAsiaTheme="minorEastAsia"/>
                <w:color w:val="auto"/>
                <w:spacing w:val="1"/>
                <w:sz w:val="24"/>
                <w:szCs w:val="24"/>
              </w:rPr>
              <w:t>的全向点声源在规定方</w:t>
            </w:r>
            <w:r>
              <w:rPr>
                <w:rFonts w:hint="default" w:ascii="Times New Roman" w:hAnsi="Times New Roman" w:cs="Times New Roman" w:eastAsiaTheme="minorEastAsia"/>
                <w:color w:val="auto"/>
                <w:sz w:val="24"/>
                <w:szCs w:val="24"/>
              </w:rPr>
              <w:t xml:space="preserve"> </w:t>
            </w:r>
            <w:r>
              <w:rPr>
                <w:rFonts w:hint="default" w:ascii="Times New Roman" w:hAnsi="Times New Roman" w:cs="Times New Roman" w:eastAsiaTheme="minorEastAsia"/>
                <w:color w:val="auto"/>
                <w:spacing w:val="-4"/>
                <w:sz w:val="24"/>
                <w:szCs w:val="24"/>
              </w:rPr>
              <w:t>向</w:t>
            </w:r>
            <w:r>
              <w:rPr>
                <w:rFonts w:hint="default" w:ascii="Times New Roman" w:hAnsi="Times New Roman" w:cs="Times New Roman" w:eastAsiaTheme="minorEastAsia"/>
                <w:color w:val="auto"/>
                <w:spacing w:val="-2"/>
                <w:sz w:val="24"/>
                <w:szCs w:val="24"/>
              </w:rPr>
              <w:t>的声级的偏差程度，dB；</w:t>
            </w:r>
          </w:p>
          <w:p w14:paraId="00313890">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div</w:t>
            </w:r>
            <w:r>
              <w:rPr>
                <w:rFonts w:hint="default" w:ascii="Times New Roman" w:hAnsi="Times New Roman" w:cs="Times New Roman" w:eastAsiaTheme="minorEastAsia"/>
                <w:color w:val="auto"/>
                <w:spacing w:val="3"/>
                <w:position w:val="-2"/>
                <w:sz w:val="24"/>
                <w:szCs w:val="24"/>
              </w:rPr>
              <w:t xml:space="preserve"> </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——几何发散引起的衰减，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1722740A">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atm</w:t>
            </w:r>
            <w:r>
              <w:rPr>
                <w:rFonts w:hint="default" w:ascii="Times New Roman" w:hAnsi="Times New Roman" w:cs="Times New Roman" w:eastAsiaTheme="minorEastAsia"/>
                <w:color w:val="auto"/>
                <w:spacing w:val="4"/>
                <w:position w:val="-2"/>
                <w:sz w:val="24"/>
                <w:szCs w:val="24"/>
              </w:rPr>
              <w:t xml:space="preserve">  </w:t>
            </w:r>
            <w:r>
              <w:rPr>
                <w:rFonts w:hint="default" w:ascii="Times New Roman" w:hAnsi="Times New Roman" w:cs="Times New Roman" w:eastAsiaTheme="minorEastAsia"/>
                <w:color w:val="auto"/>
                <w:spacing w:val="2"/>
                <w:sz w:val="24"/>
                <w:szCs w:val="24"/>
              </w:rPr>
              <w:t>——大气吸收引起的衰减，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5262E71E">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gr</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——地面效应引起的衰减</w:t>
            </w:r>
            <w:r>
              <w:rPr>
                <w:rFonts w:hint="default" w:ascii="Times New Roman" w:hAnsi="Times New Roman" w:cs="Times New Roman" w:eastAsiaTheme="minorEastAsia"/>
                <w:color w:val="auto"/>
                <w:spacing w:val="1"/>
                <w:sz w:val="24"/>
                <w:szCs w:val="24"/>
              </w:rPr>
              <w:t>，</w:t>
            </w:r>
            <w:r>
              <w:rPr>
                <w:rFonts w:hint="default" w:ascii="Times New Roman" w:hAnsi="Times New Roman" w:cs="Times New Roman" w:eastAsiaTheme="minorEastAsia"/>
                <w:color w:val="auto"/>
                <w:sz w:val="24"/>
                <w:szCs w:val="24"/>
              </w:rPr>
              <w:t>dB；</w:t>
            </w:r>
          </w:p>
          <w:p w14:paraId="4B0CD016">
            <w:pPr>
              <w:spacing w:line="360" w:lineRule="auto"/>
              <w:ind w:firstLine="47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1"/>
                <w:sz w:val="24"/>
                <w:szCs w:val="24"/>
              </w:rPr>
              <w:t>A</w:t>
            </w:r>
            <w:r>
              <w:rPr>
                <w:rFonts w:hint="default" w:ascii="Times New Roman" w:hAnsi="Times New Roman" w:cs="Times New Roman" w:eastAsiaTheme="minorEastAsia"/>
                <w:color w:val="auto"/>
                <w:spacing w:val="-1"/>
                <w:position w:val="-2"/>
                <w:sz w:val="24"/>
                <w:szCs w:val="24"/>
              </w:rPr>
              <w:t xml:space="preserve">bar  </w:t>
            </w:r>
            <w:r>
              <w:rPr>
                <w:rFonts w:hint="default" w:ascii="Times New Roman" w:hAnsi="Times New Roman" w:cs="Times New Roman" w:eastAsiaTheme="minorEastAsia"/>
                <w:color w:val="auto"/>
                <w:spacing w:val="-1"/>
                <w:sz w:val="24"/>
                <w:szCs w:val="24"/>
              </w:rPr>
              <w:t>——障碍物屏蔽引起的衰减，d</w:t>
            </w:r>
            <w:r>
              <w:rPr>
                <w:rFonts w:hint="default" w:ascii="Times New Roman" w:hAnsi="Times New Roman" w:cs="Times New Roman" w:eastAsiaTheme="minorEastAsia"/>
                <w:color w:val="auto"/>
                <w:sz w:val="24"/>
                <w:szCs w:val="24"/>
              </w:rPr>
              <w:t>B</w:t>
            </w:r>
            <w:r>
              <w:rPr>
                <w:rFonts w:hint="default" w:ascii="Times New Roman" w:hAnsi="Times New Roman" w:cs="Times New Roman" w:eastAsiaTheme="minorEastAsia"/>
                <w:color w:val="auto"/>
                <w:spacing w:val="-1"/>
                <w:sz w:val="24"/>
                <w:szCs w:val="24"/>
              </w:rPr>
              <w:t>；</w:t>
            </w:r>
          </w:p>
          <w:p w14:paraId="551F662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misc</w:t>
            </w:r>
            <w:r>
              <w:rPr>
                <w:rFonts w:hint="default" w:ascii="Times New Roman" w:hAnsi="Times New Roman" w:cs="Times New Roman" w:eastAsiaTheme="minorEastAsia"/>
                <w:color w:val="auto"/>
                <w:spacing w:val="3"/>
                <w:position w:val="-2"/>
                <w:sz w:val="24"/>
                <w:szCs w:val="24"/>
              </w:rPr>
              <w:t xml:space="preserve"> </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——其他多方面效应引起的衰减，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2F73A14A">
            <w:pPr>
              <w:spacing w:line="360" w:lineRule="auto"/>
              <w:ind w:firstLine="472"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2"/>
                <w:sz w:val="24"/>
                <w:szCs w:val="24"/>
              </w:rPr>
              <w:t>b）预测点的</w:t>
            </w:r>
            <w:r>
              <w:rPr>
                <w:rFonts w:hint="default" w:ascii="Times New Roman" w:hAnsi="Times New Roman" w:cs="Times New Roman" w:eastAsiaTheme="minorEastAsia"/>
                <w:color w:val="auto"/>
                <w:spacing w:val="-1"/>
                <w:sz w:val="24"/>
                <w:szCs w:val="24"/>
              </w:rPr>
              <w:t>A</w:t>
            </w:r>
            <w:r>
              <w:rPr>
                <w:rFonts w:hint="default" w:ascii="Times New Roman" w:hAnsi="Times New Roman" w:cs="Times New Roman" w:eastAsiaTheme="minorEastAsia"/>
                <w:color w:val="auto"/>
                <w:spacing w:val="-2"/>
                <w:sz w:val="24"/>
                <w:szCs w:val="24"/>
              </w:rPr>
              <w:t>声级</w:t>
            </w:r>
            <w:r>
              <w:rPr>
                <w:rFonts w:hint="default" w:ascii="Times New Roman" w:hAnsi="Times New Roman" w:cs="Times New Roman" w:eastAsiaTheme="minorEastAsia"/>
                <w:i/>
                <w:iCs/>
                <w:color w:val="auto"/>
                <w:spacing w:val="-1"/>
                <w:sz w:val="24"/>
                <w:szCs w:val="24"/>
              </w:rPr>
              <w:t>L</w:t>
            </w:r>
            <w:r>
              <w:rPr>
                <w:rFonts w:hint="default" w:ascii="Times New Roman" w:hAnsi="Times New Roman" w:cs="Times New Roman" w:eastAsiaTheme="minorEastAsia"/>
                <w:color w:val="auto"/>
                <w:spacing w:val="-1"/>
                <w:position w:val="-3"/>
                <w:sz w:val="24"/>
                <w:szCs w:val="24"/>
              </w:rPr>
              <w:t>A</w:t>
            </w:r>
            <w:r>
              <w:rPr>
                <w:rFonts w:hint="default" w:ascii="Times New Roman" w:hAnsi="Times New Roman" w:cs="Times New Roman" w:eastAsiaTheme="minorEastAsia"/>
                <w:i/>
                <w:iCs/>
                <w:color w:val="auto"/>
                <w:spacing w:val="-1"/>
                <w:sz w:val="24"/>
                <w:szCs w:val="24"/>
              </w:rPr>
              <w:t>(r)</w:t>
            </w:r>
            <w:r>
              <w:rPr>
                <w:rFonts w:hint="default" w:ascii="Times New Roman" w:hAnsi="Times New Roman" w:cs="Times New Roman" w:eastAsiaTheme="minorEastAsia"/>
                <w:color w:val="auto"/>
                <w:spacing w:val="-2"/>
                <w:sz w:val="24"/>
                <w:szCs w:val="24"/>
              </w:rPr>
              <w:t>可按式（</w:t>
            </w:r>
            <w:r>
              <w:rPr>
                <w:rFonts w:hint="default" w:ascii="Times New Roman" w:hAnsi="Times New Roman" w:cs="Times New Roman" w:eastAsiaTheme="minorEastAsia"/>
                <w:color w:val="auto"/>
                <w:spacing w:val="-1"/>
                <w:sz w:val="24"/>
                <w:szCs w:val="24"/>
              </w:rPr>
              <w:t>A</w:t>
            </w:r>
            <w:r>
              <w:rPr>
                <w:rFonts w:hint="default" w:ascii="Times New Roman" w:hAnsi="Times New Roman" w:cs="Times New Roman" w:eastAsiaTheme="minorEastAsia"/>
                <w:color w:val="auto"/>
                <w:spacing w:val="-2"/>
                <w:sz w:val="24"/>
                <w:szCs w:val="24"/>
              </w:rPr>
              <w:t>.3）计算，即将8个倍频带声压级合成</w:t>
            </w:r>
            <w:r>
              <w:rPr>
                <w:rFonts w:hint="default" w:ascii="Times New Roman" w:hAnsi="Times New Roman" w:cs="Times New Roman" w:eastAsiaTheme="minorEastAsia"/>
                <w:color w:val="auto"/>
                <w:spacing w:val="-1"/>
                <w:sz w:val="24"/>
                <w:szCs w:val="24"/>
              </w:rPr>
              <w:t>，计算出预测点的A声级[</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color w:val="auto"/>
                <w:position w:val="-3"/>
                <w:sz w:val="24"/>
                <w:szCs w:val="24"/>
              </w:rPr>
              <w:t>A</w:t>
            </w:r>
            <w:r>
              <w:rPr>
                <w:rFonts w:hint="default" w:ascii="Times New Roman" w:hAnsi="Times New Roman" w:cs="Times New Roman" w:eastAsiaTheme="minorEastAsia"/>
                <w:color w:val="auto"/>
                <w:spacing w:val="-1"/>
                <w:sz w:val="24"/>
                <w:szCs w:val="24"/>
              </w:rPr>
              <w:t>(</w:t>
            </w:r>
            <w:r>
              <w:rPr>
                <w:rFonts w:hint="default" w:ascii="Times New Roman" w:hAnsi="Times New Roman" w:cs="Times New Roman" w:eastAsiaTheme="minorEastAsia"/>
                <w:i/>
                <w:iCs/>
                <w:color w:val="auto"/>
                <w:sz w:val="24"/>
                <w:szCs w:val="24"/>
              </w:rPr>
              <w:t>r</w:t>
            </w:r>
            <w:r>
              <w:rPr>
                <w:rFonts w:hint="default" w:ascii="Times New Roman" w:hAnsi="Times New Roman" w:cs="Times New Roman" w:eastAsiaTheme="minorEastAsia"/>
                <w:color w:val="auto"/>
                <w:spacing w:val="-1"/>
                <w:sz w:val="24"/>
                <w:szCs w:val="24"/>
              </w:rPr>
              <w:t>)]</w:t>
            </w:r>
            <w:r>
              <w:rPr>
                <w:rFonts w:hint="default" w:ascii="Times New Roman" w:hAnsi="Times New Roman" w:cs="Times New Roman" w:eastAsiaTheme="minorEastAsia"/>
                <w:color w:val="auto"/>
                <w:sz w:val="24"/>
                <w:szCs w:val="24"/>
              </w:rPr>
              <w:t>。</w:t>
            </w:r>
          </w:p>
          <w:p w14:paraId="5BDB91BE">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drawing>
                <wp:inline distT="0" distB="0" distL="114300" distR="114300">
                  <wp:extent cx="2484120" cy="670560"/>
                  <wp:effectExtent l="0" t="0" r="1143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2484120" cy="670560"/>
                          </a:xfrm>
                          <a:prstGeom prst="rect">
                            <a:avLst/>
                          </a:prstGeom>
                          <a:noFill/>
                          <a:ln>
                            <a:noFill/>
                          </a:ln>
                        </pic:spPr>
                      </pic:pic>
                    </a:graphicData>
                  </a:graphic>
                </wp:inline>
              </w:drawing>
            </w:r>
            <w:r>
              <w:rPr>
                <w:rFonts w:hint="default" w:ascii="Times New Roman" w:hAnsi="Times New Roman" w:cs="Times New Roman" w:eastAsiaTheme="minorEastAsia"/>
                <w:color w:val="auto"/>
                <w:spacing w:val="8"/>
                <w:sz w:val="24"/>
                <w:szCs w:val="24"/>
              </w:rPr>
              <w:t>(A.3)</w:t>
            </w:r>
          </w:p>
          <w:p w14:paraId="73EDB0B4">
            <w:pPr>
              <w:spacing w:line="360" w:lineRule="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18"/>
                <w:sz w:val="24"/>
                <w:szCs w:val="24"/>
              </w:rPr>
              <w:t>式中</w:t>
            </w:r>
            <w:r>
              <w:rPr>
                <w:rFonts w:hint="default" w:ascii="Times New Roman" w:hAnsi="Times New Roman" w:cs="Times New Roman" w:eastAsiaTheme="minorEastAsia"/>
                <w:color w:val="auto"/>
                <w:spacing w:val="-11"/>
                <w:sz w:val="24"/>
                <w:szCs w:val="24"/>
              </w:rPr>
              <w:t>：</w:t>
            </w:r>
            <w:r>
              <w:rPr>
                <w:rFonts w:hint="default" w:ascii="Times New Roman" w:hAnsi="Times New Roman" w:cs="Times New Roman" w:eastAsiaTheme="minorEastAsia"/>
                <w:i/>
                <w:iCs/>
                <w:color w:val="auto"/>
                <w:spacing w:val="-9"/>
                <w:sz w:val="24"/>
                <w:szCs w:val="24"/>
              </w:rPr>
              <w:t>L</w:t>
            </w:r>
            <w:r>
              <w:rPr>
                <w:rFonts w:hint="default" w:ascii="Times New Roman" w:hAnsi="Times New Roman" w:cs="Times New Roman" w:eastAsiaTheme="minorEastAsia"/>
                <w:color w:val="auto"/>
                <w:spacing w:val="-9"/>
                <w:position w:val="-2"/>
                <w:sz w:val="24"/>
                <w:szCs w:val="24"/>
              </w:rPr>
              <w:t>A</w:t>
            </w:r>
            <w:r>
              <w:rPr>
                <w:rFonts w:hint="default" w:ascii="Times New Roman" w:hAnsi="Times New Roman" w:cs="Times New Roman" w:eastAsiaTheme="minorEastAsia"/>
                <w:color w:val="auto"/>
                <w:spacing w:val="-9"/>
                <w:sz w:val="24"/>
                <w:szCs w:val="24"/>
              </w:rPr>
              <w:t>(</w:t>
            </w:r>
            <w:r>
              <w:rPr>
                <w:rFonts w:hint="default" w:ascii="Times New Roman" w:hAnsi="Times New Roman" w:cs="Times New Roman" w:eastAsiaTheme="minorEastAsia"/>
                <w:i/>
                <w:iCs/>
                <w:color w:val="auto"/>
                <w:spacing w:val="-9"/>
                <w:sz w:val="24"/>
                <w:szCs w:val="24"/>
              </w:rPr>
              <w:t>r</w:t>
            </w:r>
            <w:r>
              <w:rPr>
                <w:rFonts w:hint="default" w:ascii="Times New Roman" w:hAnsi="Times New Roman" w:cs="Times New Roman" w:eastAsiaTheme="minorEastAsia"/>
                <w:color w:val="auto"/>
                <w:spacing w:val="-9"/>
                <w:sz w:val="24"/>
                <w:szCs w:val="24"/>
              </w:rPr>
              <w:t>) ——距声源</w:t>
            </w:r>
            <w:r>
              <w:rPr>
                <w:rFonts w:hint="default" w:ascii="Times New Roman" w:hAnsi="Times New Roman" w:cs="Times New Roman" w:eastAsiaTheme="minorEastAsia"/>
                <w:i/>
                <w:iCs/>
                <w:color w:val="auto"/>
                <w:spacing w:val="-9"/>
                <w:sz w:val="24"/>
                <w:szCs w:val="24"/>
              </w:rPr>
              <w:t>r</w:t>
            </w:r>
            <w:r>
              <w:rPr>
                <w:rFonts w:hint="default" w:ascii="Times New Roman" w:hAnsi="Times New Roman" w:cs="Times New Roman" w:eastAsiaTheme="minorEastAsia"/>
                <w:color w:val="auto"/>
                <w:spacing w:val="-9"/>
                <w:sz w:val="24"/>
                <w:szCs w:val="24"/>
              </w:rPr>
              <w:t>处的A声级，dB(A)；</w:t>
            </w:r>
          </w:p>
          <w:p w14:paraId="6C93036D">
            <w:pPr>
              <w:spacing w:line="360" w:lineRule="auto"/>
              <w:ind w:firstLine="714" w:firstLineChars="3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1"/>
                <w:position w:val="7"/>
                <w:sz w:val="24"/>
                <w:szCs w:val="24"/>
              </w:rPr>
              <w:t>L</w:t>
            </w:r>
            <w:r>
              <w:rPr>
                <w:rFonts w:hint="default" w:ascii="Times New Roman" w:hAnsi="Times New Roman" w:cs="Times New Roman" w:eastAsiaTheme="minorEastAsia"/>
                <w:i/>
                <w:iCs/>
                <w:color w:val="auto"/>
                <w:spacing w:val="-1"/>
                <w:position w:val="4"/>
                <w:sz w:val="24"/>
                <w:szCs w:val="24"/>
              </w:rPr>
              <w:t>pi</w:t>
            </w:r>
            <w:r>
              <w:rPr>
                <w:rFonts w:hint="default" w:ascii="Times New Roman" w:hAnsi="Times New Roman" w:cs="Times New Roman" w:eastAsiaTheme="minorEastAsia"/>
                <w:color w:val="auto"/>
                <w:spacing w:val="-2"/>
                <w:position w:val="7"/>
                <w:sz w:val="24"/>
                <w:szCs w:val="24"/>
              </w:rPr>
              <w:t>(</w:t>
            </w:r>
            <w:r>
              <w:rPr>
                <w:rFonts w:hint="default" w:ascii="Times New Roman" w:hAnsi="Times New Roman" w:cs="Times New Roman" w:eastAsiaTheme="minorEastAsia"/>
                <w:i/>
                <w:iCs/>
                <w:color w:val="auto"/>
                <w:spacing w:val="-1"/>
                <w:position w:val="7"/>
                <w:sz w:val="24"/>
                <w:szCs w:val="24"/>
              </w:rPr>
              <w:t>r</w:t>
            </w:r>
            <w:r>
              <w:rPr>
                <w:rFonts w:hint="default" w:ascii="Times New Roman" w:hAnsi="Times New Roman" w:cs="Times New Roman" w:eastAsiaTheme="minorEastAsia"/>
                <w:color w:val="auto"/>
                <w:spacing w:val="-2"/>
                <w:position w:val="7"/>
                <w:sz w:val="24"/>
                <w:szCs w:val="24"/>
              </w:rPr>
              <w:t xml:space="preserve">) </w:t>
            </w:r>
            <w:r>
              <w:rPr>
                <w:rFonts w:hint="default" w:ascii="Times New Roman" w:hAnsi="Times New Roman" w:cs="Times New Roman" w:eastAsiaTheme="minorEastAsia"/>
                <w:color w:val="auto"/>
                <w:spacing w:val="-1"/>
                <w:position w:val="7"/>
                <w:sz w:val="24"/>
                <w:szCs w:val="24"/>
              </w:rPr>
              <w:t>——预测点（</w:t>
            </w:r>
            <w:r>
              <w:rPr>
                <w:rFonts w:hint="default" w:ascii="Times New Roman" w:hAnsi="Times New Roman" w:cs="Times New Roman" w:eastAsiaTheme="minorEastAsia"/>
                <w:i/>
                <w:iCs/>
                <w:color w:val="auto"/>
                <w:spacing w:val="-1"/>
                <w:position w:val="7"/>
                <w:sz w:val="24"/>
                <w:szCs w:val="24"/>
              </w:rPr>
              <w:t>r）</w:t>
            </w:r>
            <w:r>
              <w:rPr>
                <w:rFonts w:hint="default" w:ascii="Times New Roman" w:hAnsi="Times New Roman" w:cs="Times New Roman" w:eastAsiaTheme="minorEastAsia"/>
                <w:color w:val="auto"/>
                <w:spacing w:val="-1"/>
                <w:position w:val="7"/>
                <w:sz w:val="24"/>
                <w:szCs w:val="24"/>
              </w:rPr>
              <w:t>处，第</w:t>
            </w:r>
            <w:r>
              <w:rPr>
                <w:rFonts w:hint="default" w:ascii="Times New Roman" w:hAnsi="Times New Roman" w:cs="Times New Roman" w:eastAsiaTheme="minorEastAsia"/>
                <w:i/>
                <w:iCs/>
                <w:color w:val="auto"/>
                <w:spacing w:val="-1"/>
                <w:position w:val="7"/>
                <w:sz w:val="24"/>
                <w:szCs w:val="24"/>
              </w:rPr>
              <w:t>i</w:t>
            </w:r>
            <w:r>
              <w:rPr>
                <w:rFonts w:hint="default" w:ascii="Times New Roman" w:hAnsi="Times New Roman" w:cs="Times New Roman" w:eastAsiaTheme="minorEastAsia"/>
                <w:color w:val="auto"/>
                <w:spacing w:val="-1"/>
                <w:position w:val="7"/>
                <w:sz w:val="24"/>
                <w:szCs w:val="24"/>
              </w:rPr>
              <w:t>倍频带声压级，dB；</w:t>
            </w:r>
          </w:p>
          <w:p w14:paraId="4EACF28D">
            <w:pPr>
              <w:spacing w:line="360" w:lineRule="auto"/>
              <w:ind w:firstLine="684" w:firstLineChars="3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6"/>
                <w:sz w:val="24"/>
                <w:szCs w:val="24"/>
              </w:rPr>
              <w:t>Δ</w:t>
            </w:r>
            <w:r>
              <w:rPr>
                <w:rFonts w:hint="default" w:ascii="Times New Roman" w:hAnsi="Times New Roman" w:cs="Times New Roman" w:eastAsiaTheme="minorEastAsia"/>
                <w:i/>
                <w:iCs/>
                <w:color w:val="auto"/>
                <w:spacing w:val="-3"/>
                <w:sz w:val="24"/>
                <w:szCs w:val="24"/>
              </w:rPr>
              <w:t>L</w:t>
            </w:r>
            <w:r>
              <w:rPr>
                <w:rFonts w:hint="default" w:ascii="Times New Roman" w:hAnsi="Times New Roman" w:cs="Times New Roman" w:eastAsiaTheme="minorEastAsia"/>
                <w:i/>
                <w:iCs/>
                <w:color w:val="auto"/>
                <w:spacing w:val="-3"/>
                <w:position w:val="-2"/>
                <w:sz w:val="24"/>
                <w:szCs w:val="24"/>
              </w:rPr>
              <w:t>i</w:t>
            </w:r>
            <w:r>
              <w:rPr>
                <w:rFonts w:hint="default" w:ascii="Times New Roman" w:hAnsi="Times New Roman" w:cs="Times New Roman" w:eastAsiaTheme="minorEastAsia"/>
                <w:color w:val="auto"/>
                <w:spacing w:val="-6"/>
                <w:position w:val="-2"/>
                <w:sz w:val="24"/>
                <w:szCs w:val="24"/>
              </w:rPr>
              <w:t xml:space="preserve">  </w:t>
            </w:r>
            <w:r>
              <w:rPr>
                <w:rFonts w:hint="default" w:ascii="Times New Roman" w:hAnsi="Times New Roman" w:cs="Times New Roman" w:eastAsiaTheme="minorEastAsia"/>
                <w:color w:val="auto"/>
                <w:spacing w:val="-6"/>
                <w:sz w:val="24"/>
                <w:szCs w:val="24"/>
              </w:rPr>
              <w:t>—</w:t>
            </w:r>
            <w:r>
              <w:rPr>
                <w:rFonts w:hint="default" w:ascii="Times New Roman" w:hAnsi="Times New Roman" w:cs="Times New Roman" w:eastAsiaTheme="minorEastAsia"/>
                <w:color w:val="auto"/>
                <w:spacing w:val="-4"/>
                <w:sz w:val="24"/>
                <w:szCs w:val="24"/>
              </w:rPr>
              <w:t>—</w:t>
            </w:r>
            <w:r>
              <w:rPr>
                <w:rFonts w:hint="default" w:ascii="Times New Roman" w:hAnsi="Times New Roman" w:cs="Times New Roman" w:eastAsiaTheme="minorEastAsia"/>
                <w:color w:val="auto"/>
                <w:spacing w:val="-3"/>
                <w:sz w:val="24"/>
                <w:szCs w:val="24"/>
              </w:rPr>
              <w:t>第</w:t>
            </w:r>
            <w:r>
              <w:rPr>
                <w:rFonts w:hint="default" w:ascii="Times New Roman" w:hAnsi="Times New Roman" w:cs="Times New Roman" w:eastAsiaTheme="minorEastAsia"/>
                <w:i/>
                <w:iCs/>
                <w:color w:val="auto"/>
                <w:spacing w:val="-3"/>
                <w:sz w:val="24"/>
                <w:szCs w:val="24"/>
              </w:rPr>
              <w:t>i</w:t>
            </w:r>
            <w:r>
              <w:rPr>
                <w:rFonts w:hint="default" w:ascii="Times New Roman" w:hAnsi="Times New Roman" w:cs="Times New Roman" w:eastAsiaTheme="minorEastAsia"/>
                <w:color w:val="auto"/>
                <w:spacing w:val="-3"/>
                <w:sz w:val="24"/>
                <w:szCs w:val="24"/>
              </w:rPr>
              <w:t>倍频带的A计权网络修正值，dB。</w:t>
            </w:r>
          </w:p>
          <w:p w14:paraId="2418CEF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c</w:t>
            </w:r>
            <w:r>
              <w:rPr>
                <w:rFonts w:hint="default" w:ascii="Times New Roman" w:hAnsi="Times New Roman" w:cs="Times New Roman" w:eastAsiaTheme="minorEastAsia"/>
                <w:color w:val="auto"/>
                <w:spacing w:val="-1"/>
                <w:sz w:val="24"/>
                <w:szCs w:val="24"/>
              </w:rPr>
              <w:t xml:space="preserve">)  </w:t>
            </w:r>
            <w:r>
              <w:rPr>
                <w:rFonts w:hint="default" w:ascii="Times New Roman" w:hAnsi="Times New Roman" w:cs="Times New Roman" w:eastAsiaTheme="minorEastAsia"/>
                <w:color w:val="auto"/>
                <w:sz w:val="24"/>
                <w:szCs w:val="24"/>
              </w:rPr>
              <w:t>在只考虑几何发散衰减时，可按式（A.4）计算。</w:t>
            </w:r>
          </w:p>
          <w:p w14:paraId="08815245">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6"/>
                <w:w w:val="89"/>
                <w:position w:val="1"/>
                <w:sz w:val="24"/>
                <w:szCs w:val="24"/>
              </w:rPr>
              <w:t>L</w:t>
            </w:r>
            <w:r>
              <w:rPr>
                <w:rFonts w:hint="default" w:ascii="Times New Roman" w:hAnsi="Times New Roman" w:cs="Times New Roman" w:eastAsiaTheme="minorEastAsia"/>
                <w:color w:val="auto"/>
                <w:spacing w:val="-6"/>
                <w:w w:val="89"/>
                <w:position w:val="-4"/>
                <w:sz w:val="24"/>
                <w:szCs w:val="24"/>
              </w:rPr>
              <w:t>A</w:t>
            </w:r>
            <w:r>
              <w:rPr>
                <w:rFonts w:hint="default" w:ascii="Times New Roman" w:hAnsi="Times New Roman" w:cs="Times New Roman" w:eastAsiaTheme="minorEastAsia"/>
                <w:color w:val="auto"/>
                <w:spacing w:val="25"/>
                <w:position w:val="-4"/>
                <w:sz w:val="24"/>
                <w:szCs w:val="24"/>
              </w:rPr>
              <w:t xml:space="preserve"> </w:t>
            </w:r>
            <w:r>
              <w:rPr>
                <w:rFonts w:hint="default" w:ascii="Times New Roman" w:hAnsi="Times New Roman" w:cs="Times New Roman" w:eastAsiaTheme="minorEastAsia"/>
                <w:color w:val="auto"/>
                <w:spacing w:val="-6"/>
                <w:w w:val="89"/>
                <w:sz w:val="24"/>
                <w:szCs w:val="24"/>
              </w:rPr>
              <w:t>(</w:t>
            </w:r>
            <w:r>
              <w:rPr>
                <w:rFonts w:hint="default" w:ascii="Times New Roman" w:hAnsi="Times New Roman" w:cs="Times New Roman" w:eastAsiaTheme="minorEastAsia"/>
                <w:i/>
                <w:iCs/>
                <w:color w:val="auto"/>
                <w:spacing w:val="-6"/>
                <w:w w:val="89"/>
                <w:sz w:val="24"/>
                <w:szCs w:val="24"/>
              </w:rPr>
              <w:t>r</w:t>
            </w:r>
            <w:r>
              <w:rPr>
                <w:rFonts w:hint="default" w:ascii="Times New Roman" w:hAnsi="Times New Roman" w:cs="Times New Roman" w:eastAsiaTheme="minorEastAsia"/>
                <w:color w:val="auto"/>
                <w:spacing w:val="-6"/>
                <w:w w:val="89"/>
                <w:sz w:val="24"/>
                <w:szCs w:val="24"/>
              </w:rPr>
              <w:t>)</w:t>
            </w:r>
            <w:r>
              <w:rPr>
                <w:rFonts w:hint="default" w:ascii="Times New Roman" w:hAnsi="Times New Roman" w:cs="Times New Roman" w:eastAsiaTheme="minorEastAsia"/>
                <w:color w:val="auto"/>
                <w:spacing w:val="-6"/>
                <w:w w:val="89"/>
                <w:position w:val="1"/>
                <w:sz w:val="24"/>
                <w:szCs w:val="24"/>
              </w:rPr>
              <w:t>=</w:t>
            </w:r>
            <w:r>
              <w:rPr>
                <w:rFonts w:hint="default" w:ascii="Times New Roman" w:hAnsi="Times New Roman" w:cs="Times New Roman" w:eastAsiaTheme="minorEastAsia"/>
                <w:i/>
                <w:iCs/>
                <w:color w:val="auto"/>
                <w:spacing w:val="-6"/>
                <w:w w:val="89"/>
                <w:position w:val="1"/>
                <w:sz w:val="24"/>
                <w:szCs w:val="24"/>
              </w:rPr>
              <w:t>L</w:t>
            </w:r>
            <w:r>
              <w:rPr>
                <w:rFonts w:hint="default" w:ascii="Times New Roman" w:hAnsi="Times New Roman" w:cs="Times New Roman" w:eastAsiaTheme="minorEastAsia"/>
                <w:color w:val="auto"/>
                <w:spacing w:val="-6"/>
                <w:w w:val="89"/>
                <w:position w:val="-4"/>
                <w:sz w:val="24"/>
                <w:szCs w:val="24"/>
              </w:rPr>
              <w:t>A</w:t>
            </w:r>
            <w:r>
              <w:rPr>
                <w:rFonts w:hint="default" w:ascii="Times New Roman" w:hAnsi="Times New Roman" w:cs="Times New Roman" w:eastAsiaTheme="minorEastAsia"/>
                <w:color w:val="auto"/>
                <w:spacing w:val="18"/>
                <w:w w:val="102"/>
                <w:position w:val="-4"/>
                <w:sz w:val="24"/>
                <w:szCs w:val="24"/>
              </w:rPr>
              <w:t xml:space="preserve"> </w:t>
            </w:r>
            <w:r>
              <w:rPr>
                <w:rFonts w:hint="default" w:ascii="Times New Roman" w:hAnsi="Times New Roman" w:cs="Times New Roman" w:eastAsiaTheme="minorEastAsia"/>
                <w:color w:val="auto"/>
                <w:spacing w:val="-6"/>
                <w:w w:val="89"/>
                <w:sz w:val="24"/>
                <w:szCs w:val="24"/>
              </w:rPr>
              <w:t>(</w:t>
            </w:r>
            <w:r>
              <w:rPr>
                <w:rFonts w:hint="default" w:ascii="Times New Roman" w:hAnsi="Times New Roman" w:cs="Times New Roman" w:eastAsiaTheme="minorEastAsia"/>
                <w:i/>
                <w:iCs/>
                <w:color w:val="auto"/>
                <w:spacing w:val="-6"/>
                <w:w w:val="89"/>
                <w:position w:val="1"/>
                <w:sz w:val="24"/>
                <w:szCs w:val="24"/>
              </w:rPr>
              <w:t>r</w:t>
            </w:r>
            <w:r>
              <w:rPr>
                <w:rFonts w:hint="default" w:ascii="Times New Roman" w:hAnsi="Times New Roman" w:cs="Times New Roman" w:eastAsiaTheme="minorEastAsia"/>
                <w:color w:val="auto"/>
                <w:spacing w:val="-6"/>
                <w:w w:val="89"/>
                <w:position w:val="-4"/>
                <w:sz w:val="24"/>
                <w:szCs w:val="24"/>
              </w:rPr>
              <w:t>0</w:t>
            </w:r>
            <w:r>
              <w:rPr>
                <w:rFonts w:hint="default" w:ascii="Times New Roman" w:hAnsi="Times New Roman" w:cs="Times New Roman" w:eastAsiaTheme="minorEastAsia"/>
                <w:color w:val="auto"/>
                <w:spacing w:val="4"/>
                <w:position w:val="-4"/>
                <w:sz w:val="24"/>
                <w:szCs w:val="24"/>
              </w:rPr>
              <w:t xml:space="preserve"> </w:t>
            </w:r>
            <w:r>
              <w:rPr>
                <w:rFonts w:hint="default" w:ascii="Times New Roman" w:hAnsi="Times New Roman" w:cs="Times New Roman" w:eastAsiaTheme="minorEastAsia"/>
                <w:color w:val="auto"/>
                <w:spacing w:val="-6"/>
                <w:w w:val="89"/>
                <w:sz w:val="24"/>
                <w:szCs w:val="24"/>
              </w:rPr>
              <w:t>)-</w:t>
            </w:r>
            <w:r>
              <w:rPr>
                <w:rFonts w:hint="default" w:ascii="Times New Roman" w:hAnsi="Times New Roman" w:cs="Times New Roman" w:eastAsiaTheme="minorEastAsia"/>
                <w:i/>
                <w:iCs/>
                <w:color w:val="auto"/>
                <w:spacing w:val="-6"/>
                <w:w w:val="89"/>
                <w:position w:val="1"/>
                <w:sz w:val="24"/>
                <w:szCs w:val="24"/>
              </w:rPr>
              <w:t>A</w:t>
            </w:r>
            <w:r>
              <w:rPr>
                <w:rFonts w:hint="default" w:ascii="Times New Roman" w:hAnsi="Times New Roman" w:cs="Times New Roman" w:eastAsiaTheme="minorEastAsia"/>
                <w:color w:val="auto"/>
                <w:spacing w:val="-6"/>
                <w:w w:val="89"/>
                <w:position w:val="-4"/>
                <w:sz w:val="24"/>
                <w:szCs w:val="24"/>
              </w:rPr>
              <w:t>div</w:t>
            </w:r>
            <w:r>
              <w:rPr>
                <w:rFonts w:hint="default" w:ascii="Times New Roman" w:hAnsi="Times New Roman" w:cs="Times New Roman" w:eastAsiaTheme="minorEastAsia"/>
                <w:color w:val="auto"/>
                <w:spacing w:val="-1"/>
                <w:position w:val="7"/>
                <w:sz w:val="24"/>
                <w:szCs w:val="24"/>
              </w:rPr>
              <w:t xml:space="preserve">       </w:t>
            </w:r>
            <w:r>
              <w:rPr>
                <w:rFonts w:hint="default" w:ascii="Times New Roman" w:hAnsi="Times New Roman" w:cs="Times New Roman" w:eastAsiaTheme="minorEastAsia"/>
                <w:color w:val="auto"/>
                <w:spacing w:val="8"/>
                <w:sz w:val="24"/>
                <w:szCs w:val="24"/>
              </w:rPr>
              <w:t>(A.4)</w:t>
            </w:r>
          </w:p>
          <w:p w14:paraId="6A420237">
            <w:pPr>
              <w:spacing w:line="360" w:lineRule="auto"/>
              <w:ind w:firstLine="204" w:firstLineChars="1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18"/>
                <w:sz w:val="24"/>
                <w:szCs w:val="24"/>
              </w:rPr>
              <w:t>式中</w:t>
            </w:r>
            <w:r>
              <w:rPr>
                <w:rFonts w:hint="default" w:ascii="Times New Roman" w:hAnsi="Times New Roman" w:cs="Times New Roman" w:eastAsiaTheme="minorEastAsia"/>
                <w:color w:val="auto"/>
                <w:spacing w:val="-11"/>
                <w:sz w:val="24"/>
                <w:szCs w:val="24"/>
              </w:rPr>
              <w:t>：</w:t>
            </w:r>
            <w:r>
              <w:rPr>
                <w:rFonts w:hint="default" w:ascii="Times New Roman" w:hAnsi="Times New Roman" w:cs="Times New Roman" w:eastAsiaTheme="minorEastAsia"/>
                <w:i/>
                <w:iCs/>
                <w:color w:val="auto"/>
                <w:spacing w:val="-9"/>
                <w:sz w:val="24"/>
                <w:szCs w:val="24"/>
              </w:rPr>
              <w:t>L</w:t>
            </w:r>
            <w:r>
              <w:rPr>
                <w:rFonts w:hint="default" w:ascii="Times New Roman" w:hAnsi="Times New Roman" w:cs="Times New Roman" w:eastAsiaTheme="minorEastAsia"/>
                <w:color w:val="auto"/>
                <w:spacing w:val="-9"/>
                <w:position w:val="-2"/>
                <w:sz w:val="24"/>
                <w:szCs w:val="24"/>
              </w:rPr>
              <w:t>A</w:t>
            </w:r>
            <w:r>
              <w:rPr>
                <w:rFonts w:hint="default" w:ascii="Times New Roman" w:hAnsi="Times New Roman" w:cs="Times New Roman" w:eastAsiaTheme="minorEastAsia"/>
                <w:color w:val="auto"/>
                <w:spacing w:val="-9"/>
                <w:sz w:val="24"/>
                <w:szCs w:val="24"/>
              </w:rPr>
              <w:t>(</w:t>
            </w:r>
            <w:r>
              <w:rPr>
                <w:rFonts w:hint="default" w:ascii="Times New Roman" w:hAnsi="Times New Roman" w:cs="Times New Roman" w:eastAsiaTheme="minorEastAsia"/>
                <w:i/>
                <w:iCs/>
                <w:color w:val="auto"/>
                <w:spacing w:val="-9"/>
                <w:sz w:val="24"/>
                <w:szCs w:val="24"/>
              </w:rPr>
              <w:t>r</w:t>
            </w:r>
            <w:r>
              <w:rPr>
                <w:rFonts w:hint="default" w:ascii="Times New Roman" w:hAnsi="Times New Roman" w:cs="Times New Roman" w:eastAsiaTheme="minorEastAsia"/>
                <w:color w:val="auto"/>
                <w:spacing w:val="-9"/>
                <w:sz w:val="24"/>
                <w:szCs w:val="24"/>
              </w:rPr>
              <w:t>) ——距声源</w:t>
            </w:r>
            <w:r>
              <w:rPr>
                <w:rFonts w:hint="default" w:ascii="Times New Roman" w:hAnsi="Times New Roman" w:cs="Times New Roman" w:eastAsiaTheme="minorEastAsia"/>
                <w:i/>
                <w:iCs/>
                <w:color w:val="auto"/>
                <w:spacing w:val="-9"/>
                <w:sz w:val="24"/>
                <w:szCs w:val="24"/>
              </w:rPr>
              <w:t>r</w:t>
            </w:r>
            <w:r>
              <w:rPr>
                <w:rFonts w:hint="default" w:ascii="Times New Roman" w:hAnsi="Times New Roman" w:cs="Times New Roman" w:eastAsiaTheme="minorEastAsia"/>
                <w:color w:val="auto"/>
                <w:spacing w:val="-9"/>
                <w:sz w:val="24"/>
                <w:szCs w:val="24"/>
              </w:rPr>
              <w:t>处的A声级，dB(A)；</w:t>
            </w:r>
          </w:p>
          <w:p w14:paraId="73523243">
            <w:pPr>
              <w:spacing w:line="360" w:lineRule="auto"/>
              <w:ind w:firstLine="690" w:firstLineChars="3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5"/>
                <w:position w:val="8"/>
                <w:sz w:val="24"/>
                <w:szCs w:val="24"/>
              </w:rPr>
              <w:t>L</w:t>
            </w:r>
            <w:r>
              <w:rPr>
                <w:rFonts w:hint="default" w:ascii="Times New Roman" w:hAnsi="Times New Roman" w:cs="Times New Roman" w:eastAsiaTheme="minorEastAsia"/>
                <w:color w:val="auto"/>
                <w:spacing w:val="-5"/>
                <w:position w:val="6"/>
                <w:sz w:val="24"/>
                <w:szCs w:val="24"/>
              </w:rPr>
              <w:t>A</w:t>
            </w:r>
            <w:r>
              <w:rPr>
                <w:rFonts w:hint="default" w:ascii="Times New Roman" w:hAnsi="Times New Roman" w:cs="Times New Roman" w:eastAsiaTheme="minorEastAsia"/>
                <w:color w:val="auto"/>
                <w:spacing w:val="-10"/>
                <w:position w:val="8"/>
                <w:sz w:val="24"/>
                <w:szCs w:val="24"/>
              </w:rPr>
              <w:t>(</w:t>
            </w:r>
            <w:r>
              <w:rPr>
                <w:rFonts w:hint="default" w:ascii="Times New Roman" w:hAnsi="Times New Roman" w:cs="Times New Roman" w:eastAsiaTheme="minorEastAsia"/>
                <w:i/>
                <w:iCs/>
                <w:color w:val="auto"/>
                <w:spacing w:val="-5"/>
                <w:position w:val="8"/>
                <w:sz w:val="24"/>
                <w:szCs w:val="24"/>
              </w:rPr>
              <w:t>r</w:t>
            </w:r>
            <w:r>
              <w:rPr>
                <w:rFonts w:hint="default" w:ascii="Times New Roman" w:hAnsi="Times New Roman" w:cs="Times New Roman" w:eastAsiaTheme="minorEastAsia"/>
                <w:color w:val="auto"/>
                <w:spacing w:val="-10"/>
                <w:position w:val="6"/>
                <w:sz w:val="24"/>
                <w:szCs w:val="24"/>
              </w:rPr>
              <w:t>0</w:t>
            </w:r>
            <w:r>
              <w:rPr>
                <w:rFonts w:hint="default" w:ascii="Times New Roman" w:hAnsi="Times New Roman" w:cs="Times New Roman" w:eastAsiaTheme="minorEastAsia"/>
                <w:color w:val="auto"/>
                <w:spacing w:val="-10"/>
                <w:position w:val="8"/>
                <w:sz w:val="24"/>
                <w:szCs w:val="24"/>
              </w:rPr>
              <w:t>)</w:t>
            </w:r>
            <w:r>
              <w:rPr>
                <w:rFonts w:hint="default" w:ascii="Times New Roman" w:hAnsi="Times New Roman" w:cs="Times New Roman" w:eastAsiaTheme="minorEastAsia"/>
                <w:color w:val="auto"/>
                <w:spacing w:val="-8"/>
                <w:position w:val="8"/>
                <w:sz w:val="24"/>
                <w:szCs w:val="24"/>
              </w:rPr>
              <w:t>—</w:t>
            </w:r>
            <w:r>
              <w:rPr>
                <w:rFonts w:hint="default" w:ascii="Times New Roman" w:hAnsi="Times New Roman" w:cs="Times New Roman" w:eastAsiaTheme="minorEastAsia"/>
                <w:color w:val="auto"/>
                <w:spacing w:val="-5"/>
                <w:position w:val="8"/>
                <w:sz w:val="24"/>
                <w:szCs w:val="24"/>
              </w:rPr>
              <w:t>—参考位置</w:t>
            </w:r>
            <w:r>
              <w:rPr>
                <w:rFonts w:hint="default" w:ascii="Times New Roman" w:hAnsi="Times New Roman" w:cs="Times New Roman" w:eastAsiaTheme="minorEastAsia"/>
                <w:i/>
                <w:iCs/>
                <w:color w:val="auto"/>
                <w:spacing w:val="-5"/>
                <w:position w:val="8"/>
                <w:sz w:val="24"/>
                <w:szCs w:val="24"/>
              </w:rPr>
              <w:t>r</w:t>
            </w:r>
            <w:r>
              <w:rPr>
                <w:rFonts w:hint="default" w:ascii="Times New Roman" w:hAnsi="Times New Roman" w:cs="Times New Roman" w:eastAsiaTheme="minorEastAsia"/>
                <w:color w:val="auto"/>
                <w:spacing w:val="-5"/>
                <w:position w:val="6"/>
                <w:sz w:val="24"/>
                <w:szCs w:val="24"/>
              </w:rPr>
              <w:t xml:space="preserve">0 </w:t>
            </w:r>
            <w:r>
              <w:rPr>
                <w:rFonts w:hint="default" w:ascii="Times New Roman" w:hAnsi="Times New Roman" w:cs="Times New Roman" w:eastAsiaTheme="minorEastAsia"/>
                <w:color w:val="auto"/>
                <w:spacing w:val="-5"/>
                <w:position w:val="8"/>
                <w:sz w:val="24"/>
                <w:szCs w:val="24"/>
              </w:rPr>
              <w:t>处的A声级，dB(A)；</w:t>
            </w:r>
          </w:p>
          <w:p w14:paraId="04326FB1">
            <w:pPr>
              <w:spacing w:line="360" w:lineRule="auto"/>
              <w:ind w:firstLine="720" w:firstLineChars="300"/>
              <w:rPr>
                <w:rFonts w:hint="default" w:ascii="Times New Roman" w:hAnsi="Times New Roman" w:cs="Times New Roman" w:eastAsiaTheme="minorEastAsia"/>
                <w:color w:val="auto"/>
                <w:spacing w:val="2"/>
                <w:sz w:val="24"/>
                <w:szCs w:val="24"/>
              </w:rPr>
            </w:pPr>
            <w:r>
              <w:rPr>
                <w:rFonts w:hint="default" w:ascii="Times New Roman" w:hAnsi="Times New Roman" w:cs="Times New Roman" w:eastAsiaTheme="minorEastAsia"/>
                <w:i/>
                <w:iCs/>
                <w:color w:val="auto"/>
                <w:sz w:val="24"/>
                <w:szCs w:val="24"/>
              </w:rPr>
              <w:t>A</w:t>
            </w:r>
            <w:r>
              <w:rPr>
                <w:rFonts w:hint="default" w:ascii="Times New Roman" w:hAnsi="Times New Roman" w:cs="Times New Roman" w:eastAsiaTheme="minorEastAsia"/>
                <w:color w:val="auto"/>
                <w:position w:val="-2"/>
                <w:sz w:val="24"/>
                <w:szCs w:val="24"/>
              </w:rPr>
              <w:t>div</w:t>
            </w:r>
            <w:r>
              <w:rPr>
                <w:rFonts w:hint="default" w:ascii="Times New Roman" w:hAnsi="Times New Roman" w:cs="Times New Roman" w:eastAsiaTheme="minorEastAsia"/>
                <w:color w:val="auto"/>
                <w:spacing w:val="3"/>
                <w:position w:val="-2"/>
                <w:sz w:val="24"/>
                <w:szCs w:val="24"/>
              </w:rPr>
              <w:t xml:space="preserve"> </w:t>
            </w:r>
            <w:r>
              <w:rPr>
                <w:rFonts w:hint="default" w:ascii="Times New Roman" w:hAnsi="Times New Roman" w:cs="Times New Roman" w:eastAsiaTheme="minorEastAsia"/>
                <w:color w:val="auto"/>
                <w:spacing w:val="2"/>
                <w:position w:val="-2"/>
                <w:sz w:val="24"/>
                <w:szCs w:val="24"/>
              </w:rPr>
              <w:t xml:space="preserve"> </w:t>
            </w:r>
            <w:r>
              <w:rPr>
                <w:rFonts w:hint="default" w:ascii="Times New Roman" w:hAnsi="Times New Roman" w:cs="Times New Roman" w:eastAsiaTheme="minorEastAsia"/>
                <w:color w:val="auto"/>
                <w:spacing w:val="2"/>
                <w:sz w:val="24"/>
                <w:szCs w:val="24"/>
              </w:rPr>
              <w:t>——几何发散引起的衰减，</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2"/>
                <w:sz w:val="24"/>
                <w:szCs w:val="24"/>
              </w:rPr>
              <w:t>。</w:t>
            </w:r>
          </w:p>
          <w:p w14:paraId="375EF32F">
            <w:pPr>
              <w:spacing w:line="360" w:lineRule="auto"/>
              <w:ind w:firstLine="720" w:firstLineChars="3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B</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室内声源</w:t>
            </w:r>
          </w:p>
          <w:p w14:paraId="4BDB863D">
            <w:pPr>
              <w:pStyle w:val="19"/>
              <w:spacing w:before="120" w:beforeLines="50" w:line="360" w:lineRule="auto"/>
              <w:ind w:firstLine="48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drawing>
                <wp:inline distT="0" distB="0" distL="114300" distR="114300">
                  <wp:extent cx="2331720" cy="487680"/>
                  <wp:effectExtent l="0" t="0" r="11430" b="762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25"/>
                          <a:stretch>
                            <a:fillRect/>
                          </a:stretch>
                        </pic:blipFill>
                        <pic:spPr>
                          <a:xfrm>
                            <a:off x="0" y="0"/>
                            <a:ext cx="2331720" cy="487680"/>
                          </a:xfrm>
                          <a:prstGeom prst="rect">
                            <a:avLst/>
                          </a:prstGeom>
                        </pic:spPr>
                      </pic:pic>
                    </a:graphicData>
                  </a:graphic>
                </wp:inline>
              </w:drawing>
            </w:r>
            <w:r>
              <w:rPr>
                <w:rFonts w:hint="default" w:ascii="Times New Roman" w:hAnsi="Times New Roman" w:cs="Times New Roman" w:eastAsiaTheme="minorEastAsia"/>
                <w:bCs w:val="0"/>
                <w:color w:val="auto"/>
                <w:spacing w:val="8"/>
                <w:sz w:val="24"/>
                <w:szCs w:val="24"/>
              </w:rPr>
              <w:t>(B.2)</w:t>
            </w:r>
          </w:p>
          <w:p w14:paraId="3B50053C">
            <w:pPr>
              <w:spacing w:before="120" w:beforeLines="50" w:line="360" w:lineRule="auto"/>
              <w:ind w:firstLine="472"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2"/>
                <w:sz w:val="24"/>
                <w:szCs w:val="24"/>
              </w:rPr>
              <w:t>式中：</w:t>
            </w:r>
            <w:r>
              <w:rPr>
                <w:rFonts w:hint="default" w:ascii="Times New Roman" w:hAnsi="Times New Roman" w:cs="Times New Roman" w:eastAsiaTheme="minorEastAsia"/>
                <w:i/>
                <w:iCs/>
                <w:color w:val="auto"/>
                <w:spacing w:val="-1"/>
                <w:sz w:val="24"/>
                <w:szCs w:val="24"/>
              </w:rPr>
              <w:t>L</w:t>
            </w:r>
            <w:r>
              <w:rPr>
                <w:rFonts w:hint="default" w:ascii="Times New Roman" w:hAnsi="Times New Roman" w:cs="Times New Roman" w:eastAsiaTheme="minorEastAsia"/>
                <w:i/>
                <w:iCs/>
                <w:color w:val="auto"/>
                <w:spacing w:val="-1"/>
                <w:position w:val="-2"/>
                <w:sz w:val="24"/>
                <w:szCs w:val="24"/>
              </w:rPr>
              <w:t>p</w:t>
            </w:r>
            <w:r>
              <w:rPr>
                <w:rFonts w:hint="default" w:ascii="Times New Roman" w:hAnsi="Times New Roman" w:cs="Times New Roman" w:eastAsiaTheme="minorEastAsia"/>
                <w:color w:val="auto"/>
                <w:spacing w:val="-2"/>
                <w:position w:val="-2"/>
                <w:sz w:val="24"/>
                <w:szCs w:val="24"/>
              </w:rPr>
              <w:t>1</w:t>
            </w:r>
            <w:r>
              <w:rPr>
                <w:rFonts w:hint="default" w:ascii="Times New Roman" w:hAnsi="Times New Roman" w:cs="Times New Roman" w:eastAsiaTheme="minorEastAsia"/>
                <w:color w:val="auto"/>
                <w:spacing w:val="-2"/>
                <w:sz w:val="24"/>
                <w:szCs w:val="24"/>
              </w:rPr>
              <w:t>——靠近开口处（</w:t>
            </w:r>
            <w:r>
              <w:rPr>
                <w:rFonts w:hint="default" w:ascii="Times New Roman" w:hAnsi="Times New Roman" w:cs="Times New Roman" w:eastAsiaTheme="minorEastAsia"/>
                <w:color w:val="auto"/>
                <w:spacing w:val="-1"/>
                <w:sz w:val="24"/>
                <w:szCs w:val="24"/>
              </w:rPr>
              <w:t>或窗户）室内某倍频带的声压级或 A 声级，dB；</w:t>
            </w:r>
          </w:p>
          <w:p w14:paraId="00DF8863">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3"/>
                <w:sz w:val="24"/>
                <w:szCs w:val="24"/>
              </w:rPr>
              <w:t>w</w:t>
            </w:r>
            <w:r>
              <w:rPr>
                <w:rFonts w:hint="default" w:ascii="Times New Roman" w:hAnsi="Times New Roman" w:cs="Times New Roman" w:eastAsiaTheme="minorEastAsia"/>
                <w:color w:val="auto"/>
                <w:spacing w:val="3"/>
                <w:position w:val="-3"/>
                <w:sz w:val="24"/>
                <w:szCs w:val="24"/>
              </w:rPr>
              <w:t xml:space="preserve"> </w:t>
            </w:r>
            <w:r>
              <w:rPr>
                <w:rFonts w:hint="default" w:ascii="Times New Roman" w:hAnsi="Times New Roman" w:cs="Times New Roman" w:eastAsiaTheme="minorEastAsia"/>
                <w:color w:val="auto"/>
                <w:spacing w:val="3"/>
                <w:sz w:val="24"/>
                <w:szCs w:val="24"/>
              </w:rPr>
              <w:t>——点声源声功率级（</w:t>
            </w:r>
            <w:r>
              <w:rPr>
                <w:rFonts w:hint="default" w:ascii="Times New Roman" w:hAnsi="Times New Roman" w:cs="Times New Roman" w:eastAsiaTheme="minorEastAsia"/>
                <w:color w:val="auto"/>
                <w:sz w:val="24"/>
                <w:szCs w:val="24"/>
              </w:rPr>
              <w:t>A</w:t>
            </w:r>
            <w:r>
              <w:rPr>
                <w:rFonts w:hint="default" w:ascii="Times New Roman" w:hAnsi="Times New Roman" w:cs="Times New Roman" w:eastAsiaTheme="minorEastAsia"/>
                <w:color w:val="auto"/>
                <w:spacing w:val="3"/>
                <w:sz w:val="24"/>
                <w:szCs w:val="24"/>
              </w:rPr>
              <w:t>计权或倍频带），</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3"/>
                <w:sz w:val="24"/>
                <w:szCs w:val="24"/>
              </w:rPr>
              <w:t>；</w:t>
            </w:r>
          </w:p>
          <w:p w14:paraId="3BD8782F">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Q ——指向性因数；通常对无指向性声源，当声源放在房间中心时，Q=1；当放在一面墙的中心时，Q=2；当放在两面墙夹角处时，Q=4；当放在三面墙夹角处时，Q=8；</w:t>
            </w:r>
          </w:p>
          <w:p w14:paraId="0C9B4EFB">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R——房间常数；R=Sα/(1-α)，S为房间内表面面积，m</w:t>
            </w:r>
            <w:r>
              <w:rPr>
                <w:rFonts w:hint="default" w:ascii="Times New Roman" w:hAnsi="Times New Roman" w:cs="Times New Roman" w:eastAsiaTheme="minorEastAsia"/>
                <w:color w:val="auto"/>
                <w:sz w:val="24"/>
                <w:szCs w:val="24"/>
                <w:vertAlign w:val="superscript"/>
              </w:rPr>
              <w:t>2</w:t>
            </w:r>
            <w:r>
              <w:rPr>
                <w:rFonts w:hint="default" w:ascii="Times New Roman" w:hAnsi="Times New Roman" w:cs="Times New Roman" w:eastAsiaTheme="minorEastAsia"/>
                <w:color w:val="auto"/>
                <w:sz w:val="24"/>
                <w:szCs w:val="24"/>
              </w:rPr>
              <w:t>；α为平均吸声系数；</w:t>
            </w:r>
          </w:p>
          <w:p w14:paraId="4248A7CE">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r ——声源到靠近围护结构某点处的距离，m。</w:t>
            </w:r>
          </w:p>
          <w:p w14:paraId="00309DEF">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然后按式（B.3）计算出所有室内声源在围护结构处产生的i倍频带叠加声压级：</w:t>
            </w:r>
          </w:p>
          <w:p w14:paraId="52A10AC7">
            <w:pPr>
              <w:spacing w:line="360" w:lineRule="auto"/>
              <w:ind w:firstLine="480" w:firstLineChars="200"/>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drawing>
                <wp:inline distT="0" distB="0" distL="114300" distR="114300">
                  <wp:extent cx="1897380" cy="541020"/>
                  <wp:effectExtent l="0" t="0" r="7620"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1897380" cy="541020"/>
                          </a:xfrm>
                          <a:prstGeom prst="rect">
                            <a:avLst/>
                          </a:prstGeom>
                          <a:noFill/>
                          <a:ln>
                            <a:noFill/>
                          </a:ln>
                        </pic:spPr>
                      </pic:pic>
                    </a:graphicData>
                  </a:graphic>
                </wp:inline>
              </w:drawing>
            </w:r>
            <w:r>
              <w:rPr>
                <w:rFonts w:hint="default" w:ascii="Times New Roman" w:hAnsi="Times New Roman" w:cs="Times New Roman" w:eastAsiaTheme="minorEastAsia"/>
                <w:color w:val="auto"/>
                <w:kern w:val="0"/>
                <w:sz w:val="24"/>
                <w:szCs w:val="24"/>
              </w:rPr>
              <w:t>(B.3)</w:t>
            </w:r>
          </w:p>
          <w:p w14:paraId="0F5C35A5">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式中：Lp1i (T)——靠近围护结构处室内N个声源i倍频带的叠加声压级，dB；</w:t>
            </w:r>
          </w:p>
          <w:p w14:paraId="343B4945">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Lp1ij ——室内j声源i倍频带的声压级，dB；</w:t>
            </w:r>
          </w:p>
          <w:p w14:paraId="432CA913">
            <w:pPr>
              <w:spacing w:line="360" w:lineRule="auto"/>
              <w:ind w:firstLine="476"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1"/>
                <w:sz w:val="24"/>
                <w:szCs w:val="24"/>
              </w:rPr>
              <w:t>N</w:t>
            </w:r>
            <w:r>
              <w:rPr>
                <w:rFonts w:hint="default" w:ascii="Times New Roman" w:hAnsi="Times New Roman" w:cs="Times New Roman" w:eastAsiaTheme="minorEastAsia"/>
                <w:color w:val="auto"/>
                <w:spacing w:val="-2"/>
                <w:sz w:val="24"/>
                <w:szCs w:val="24"/>
              </w:rPr>
              <w:t xml:space="preserve"> ——</w:t>
            </w:r>
            <w:r>
              <w:rPr>
                <w:rFonts w:hint="default" w:ascii="Times New Roman" w:hAnsi="Times New Roman" w:cs="Times New Roman" w:eastAsiaTheme="minorEastAsia"/>
                <w:color w:val="auto"/>
                <w:spacing w:val="-1"/>
                <w:sz w:val="24"/>
                <w:szCs w:val="24"/>
              </w:rPr>
              <w:t>室内声源总数。</w:t>
            </w:r>
          </w:p>
          <w:p w14:paraId="6F29D6BA">
            <w:pPr>
              <w:spacing w:line="360" w:lineRule="auto"/>
              <w:ind w:firstLine="492"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3"/>
                <w:sz w:val="24"/>
                <w:szCs w:val="24"/>
              </w:rPr>
              <w:t>在室内近似为扩散声场时，按式（</w:t>
            </w:r>
            <w:r>
              <w:rPr>
                <w:rFonts w:hint="default" w:ascii="Times New Roman" w:hAnsi="Times New Roman" w:cs="Times New Roman" w:eastAsiaTheme="minorEastAsia"/>
                <w:color w:val="auto"/>
                <w:sz w:val="24"/>
                <w:szCs w:val="24"/>
              </w:rPr>
              <w:t>B</w:t>
            </w:r>
            <w:r>
              <w:rPr>
                <w:rFonts w:hint="default" w:ascii="Times New Roman" w:hAnsi="Times New Roman" w:cs="Times New Roman" w:eastAsiaTheme="minorEastAsia"/>
                <w:color w:val="auto"/>
                <w:spacing w:val="3"/>
                <w:sz w:val="24"/>
                <w:szCs w:val="24"/>
              </w:rPr>
              <w:t>.4）计算出靠近室外围护结构处的声压</w:t>
            </w:r>
            <w:r>
              <w:rPr>
                <w:rFonts w:hint="default" w:ascii="Times New Roman" w:hAnsi="Times New Roman" w:cs="Times New Roman" w:eastAsiaTheme="minorEastAsia"/>
                <w:color w:val="auto"/>
                <w:spacing w:val="1"/>
                <w:sz w:val="24"/>
                <w:szCs w:val="24"/>
              </w:rPr>
              <w:t>级</w:t>
            </w:r>
            <w:r>
              <w:rPr>
                <w:rFonts w:hint="default" w:ascii="Times New Roman" w:hAnsi="Times New Roman" w:cs="Times New Roman" w:eastAsiaTheme="minorEastAsia"/>
                <w:color w:val="auto"/>
                <w:sz w:val="24"/>
                <w:szCs w:val="24"/>
              </w:rPr>
              <w:t>：</w:t>
            </w:r>
          </w:p>
          <w:p w14:paraId="528A4D13">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4"/>
                <w:sz w:val="24"/>
                <w:szCs w:val="24"/>
              </w:rPr>
              <w:t>L</w:t>
            </w:r>
            <w:r>
              <w:rPr>
                <w:rFonts w:hint="default" w:ascii="Times New Roman" w:hAnsi="Times New Roman" w:cs="Times New Roman" w:eastAsiaTheme="minorEastAsia"/>
                <w:i/>
                <w:iCs/>
                <w:color w:val="auto"/>
                <w:spacing w:val="-4"/>
                <w:position w:val="-5"/>
                <w:sz w:val="24"/>
                <w:szCs w:val="24"/>
              </w:rPr>
              <w:t>p</w:t>
            </w:r>
            <w:r>
              <w:rPr>
                <w:rFonts w:hint="default" w:ascii="Times New Roman" w:hAnsi="Times New Roman" w:cs="Times New Roman" w:eastAsiaTheme="minorEastAsia"/>
                <w:color w:val="auto"/>
                <w:spacing w:val="-8"/>
                <w:position w:val="-5"/>
                <w:sz w:val="24"/>
                <w:szCs w:val="24"/>
              </w:rPr>
              <w:t>2</w:t>
            </w:r>
            <w:r>
              <w:rPr>
                <w:rFonts w:hint="default" w:ascii="Times New Roman" w:hAnsi="Times New Roman" w:cs="Times New Roman" w:eastAsiaTheme="minorEastAsia"/>
                <w:i/>
                <w:iCs/>
                <w:color w:val="auto"/>
                <w:spacing w:val="-4"/>
                <w:position w:val="-5"/>
                <w:sz w:val="24"/>
                <w:szCs w:val="24"/>
              </w:rPr>
              <w:t>i</w:t>
            </w:r>
            <w:r>
              <w:rPr>
                <w:rFonts w:hint="default" w:ascii="Times New Roman" w:hAnsi="Times New Roman" w:cs="Times New Roman" w:eastAsiaTheme="minorEastAsia"/>
                <w:color w:val="auto"/>
                <w:spacing w:val="-8"/>
                <w:position w:val="-5"/>
                <w:sz w:val="24"/>
                <w:szCs w:val="24"/>
              </w:rPr>
              <w:t xml:space="preserve"> </w:t>
            </w:r>
            <w:r>
              <w:rPr>
                <w:rFonts w:hint="default" w:ascii="Times New Roman" w:hAnsi="Times New Roman" w:cs="Times New Roman" w:eastAsiaTheme="minorEastAsia"/>
                <w:color w:val="auto"/>
                <w:spacing w:val="-8"/>
                <w:sz w:val="24"/>
                <w:szCs w:val="24"/>
              </w:rPr>
              <w:t>(</w:t>
            </w:r>
            <w:r>
              <w:rPr>
                <w:rFonts w:hint="default" w:ascii="Times New Roman" w:hAnsi="Times New Roman" w:cs="Times New Roman" w:eastAsiaTheme="minorEastAsia"/>
                <w:i/>
                <w:iCs/>
                <w:color w:val="auto"/>
                <w:spacing w:val="-4"/>
                <w:sz w:val="24"/>
                <w:szCs w:val="24"/>
              </w:rPr>
              <w:t>T</w:t>
            </w:r>
            <w:r>
              <w:rPr>
                <w:rFonts w:hint="default" w:ascii="Times New Roman" w:hAnsi="Times New Roman" w:cs="Times New Roman" w:eastAsiaTheme="minorEastAsia"/>
                <w:color w:val="auto"/>
                <w:spacing w:val="-7"/>
                <w:sz w:val="24"/>
                <w:szCs w:val="24"/>
              </w:rPr>
              <w:t>)</w:t>
            </w:r>
            <w:r>
              <w:rPr>
                <w:rFonts w:hint="default" w:ascii="Times New Roman" w:hAnsi="Times New Roman" w:cs="Times New Roman" w:eastAsiaTheme="minorEastAsia"/>
                <w:color w:val="auto"/>
                <w:spacing w:val="-4"/>
                <w:sz w:val="24"/>
                <w:szCs w:val="24"/>
              </w:rPr>
              <w:t>=</w:t>
            </w:r>
            <w:r>
              <w:rPr>
                <w:rFonts w:hint="default" w:ascii="Times New Roman" w:hAnsi="Times New Roman" w:cs="Times New Roman" w:eastAsiaTheme="minorEastAsia"/>
                <w:i/>
                <w:iCs/>
                <w:color w:val="auto"/>
                <w:spacing w:val="-4"/>
                <w:sz w:val="24"/>
                <w:szCs w:val="24"/>
              </w:rPr>
              <w:t>L</w:t>
            </w:r>
            <w:r>
              <w:rPr>
                <w:rFonts w:hint="default" w:ascii="Times New Roman" w:hAnsi="Times New Roman" w:cs="Times New Roman" w:eastAsiaTheme="minorEastAsia"/>
                <w:i/>
                <w:iCs/>
                <w:color w:val="auto"/>
                <w:spacing w:val="-4"/>
                <w:position w:val="-5"/>
                <w:sz w:val="24"/>
                <w:szCs w:val="24"/>
              </w:rPr>
              <w:t>p</w:t>
            </w:r>
            <w:r>
              <w:rPr>
                <w:rFonts w:hint="default" w:ascii="Times New Roman" w:hAnsi="Times New Roman" w:cs="Times New Roman" w:eastAsiaTheme="minorEastAsia"/>
                <w:color w:val="auto"/>
                <w:spacing w:val="-4"/>
                <w:position w:val="-5"/>
                <w:sz w:val="24"/>
                <w:szCs w:val="24"/>
              </w:rPr>
              <w:t>1</w:t>
            </w:r>
            <w:r>
              <w:rPr>
                <w:rFonts w:hint="default" w:ascii="Times New Roman" w:hAnsi="Times New Roman" w:cs="Times New Roman" w:eastAsiaTheme="minorEastAsia"/>
                <w:i/>
                <w:iCs/>
                <w:color w:val="auto"/>
                <w:spacing w:val="-4"/>
                <w:position w:val="-5"/>
                <w:sz w:val="24"/>
                <w:szCs w:val="24"/>
              </w:rPr>
              <w:t>i</w:t>
            </w:r>
            <w:r>
              <w:rPr>
                <w:rFonts w:hint="default" w:ascii="Times New Roman" w:hAnsi="Times New Roman" w:cs="Times New Roman" w:eastAsiaTheme="minorEastAsia"/>
                <w:color w:val="auto"/>
                <w:spacing w:val="-4"/>
                <w:position w:val="-5"/>
                <w:sz w:val="24"/>
                <w:szCs w:val="24"/>
              </w:rPr>
              <w:t xml:space="preserve"> </w:t>
            </w:r>
            <w:r>
              <w:rPr>
                <w:rFonts w:hint="default" w:ascii="Times New Roman" w:hAnsi="Times New Roman" w:cs="Times New Roman" w:eastAsiaTheme="minorEastAsia"/>
                <w:color w:val="auto"/>
                <w:spacing w:val="-4"/>
                <w:sz w:val="24"/>
                <w:szCs w:val="24"/>
              </w:rPr>
              <w:t>(</w:t>
            </w:r>
            <w:r>
              <w:rPr>
                <w:rFonts w:hint="default" w:ascii="Times New Roman" w:hAnsi="Times New Roman" w:cs="Times New Roman" w:eastAsiaTheme="minorEastAsia"/>
                <w:i/>
                <w:iCs/>
                <w:color w:val="auto"/>
                <w:spacing w:val="-4"/>
                <w:sz w:val="24"/>
                <w:szCs w:val="24"/>
              </w:rPr>
              <w:t>T</w:t>
            </w:r>
            <w:r>
              <w:rPr>
                <w:rFonts w:hint="default" w:ascii="Times New Roman" w:hAnsi="Times New Roman" w:cs="Times New Roman" w:eastAsiaTheme="minorEastAsia"/>
                <w:color w:val="auto"/>
                <w:spacing w:val="-4"/>
                <w:sz w:val="24"/>
                <w:szCs w:val="24"/>
              </w:rPr>
              <w:t>)-(</w:t>
            </w:r>
            <w:r>
              <w:rPr>
                <w:rFonts w:hint="default" w:ascii="Times New Roman" w:hAnsi="Times New Roman" w:cs="Times New Roman" w:eastAsiaTheme="minorEastAsia"/>
                <w:i/>
                <w:iCs/>
                <w:color w:val="auto"/>
                <w:spacing w:val="-4"/>
                <w:sz w:val="24"/>
                <w:szCs w:val="24"/>
              </w:rPr>
              <w:t>TL</w:t>
            </w:r>
            <w:r>
              <w:rPr>
                <w:rFonts w:hint="default" w:ascii="Times New Roman" w:hAnsi="Times New Roman" w:cs="Times New Roman" w:eastAsiaTheme="minorEastAsia"/>
                <w:i/>
                <w:iCs/>
                <w:color w:val="auto"/>
                <w:spacing w:val="-4"/>
                <w:position w:val="-5"/>
                <w:sz w:val="24"/>
                <w:szCs w:val="24"/>
              </w:rPr>
              <w:t>i</w:t>
            </w:r>
            <w:r>
              <w:rPr>
                <w:rFonts w:hint="default" w:ascii="Times New Roman" w:hAnsi="Times New Roman" w:cs="Times New Roman" w:eastAsiaTheme="minorEastAsia"/>
                <w:color w:val="auto"/>
                <w:spacing w:val="-4"/>
                <w:sz w:val="24"/>
                <w:szCs w:val="24"/>
              </w:rPr>
              <w:t>+6)     （B.4）</w:t>
            </w:r>
          </w:p>
          <w:p w14:paraId="43800985">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式中：Lp2i (T)——靠近围护结构处室外N个声源i倍频带的叠加声压级，dB；</w:t>
            </w:r>
          </w:p>
          <w:p w14:paraId="4C863E02">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Lp1i (T)——靠近围护结构处室内N个声源i倍频带的叠加声压级，dB；</w:t>
            </w:r>
          </w:p>
          <w:p w14:paraId="35CE35C3">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TLi ——围护结构i倍频带的隔声量，dB。</w:t>
            </w:r>
          </w:p>
          <w:p w14:paraId="6051B5AF">
            <w:pPr>
              <w:spacing w:line="360" w:lineRule="auto"/>
              <w:ind w:firstLine="484"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1"/>
                <w:sz w:val="24"/>
                <w:szCs w:val="24"/>
              </w:rPr>
              <w:t>然后按式（</w:t>
            </w:r>
            <w:r>
              <w:rPr>
                <w:rFonts w:hint="default" w:ascii="Times New Roman" w:hAnsi="Times New Roman" w:cs="Times New Roman" w:eastAsiaTheme="minorEastAsia"/>
                <w:color w:val="auto"/>
                <w:sz w:val="24"/>
                <w:szCs w:val="24"/>
              </w:rPr>
              <w:t>B</w:t>
            </w:r>
            <w:r>
              <w:rPr>
                <w:rFonts w:hint="default" w:ascii="Times New Roman" w:hAnsi="Times New Roman" w:cs="Times New Roman" w:eastAsiaTheme="minorEastAsia"/>
                <w:color w:val="auto"/>
                <w:spacing w:val="1"/>
                <w:sz w:val="24"/>
                <w:szCs w:val="24"/>
              </w:rPr>
              <w:t>.5）将室外声源</w:t>
            </w:r>
            <w:r>
              <w:rPr>
                <w:rFonts w:hint="default" w:ascii="Times New Roman" w:hAnsi="Times New Roman" w:cs="Times New Roman" w:eastAsiaTheme="minorEastAsia"/>
                <w:color w:val="auto"/>
                <w:sz w:val="24"/>
                <w:szCs w:val="24"/>
              </w:rPr>
              <w:t>的声压级和透过面积换算成等效的室外声源，计算出中心位置位于透</w:t>
            </w:r>
            <w:r>
              <w:rPr>
                <w:rFonts w:hint="default" w:ascii="Times New Roman" w:hAnsi="Times New Roman" w:cs="Times New Roman" w:eastAsiaTheme="minorEastAsia"/>
                <w:color w:val="auto"/>
                <w:spacing w:val="14"/>
                <w:sz w:val="24"/>
                <w:szCs w:val="24"/>
              </w:rPr>
              <w:t>声</w:t>
            </w:r>
            <w:r>
              <w:rPr>
                <w:rFonts w:hint="default" w:ascii="Times New Roman" w:hAnsi="Times New Roman" w:cs="Times New Roman" w:eastAsiaTheme="minorEastAsia"/>
                <w:color w:val="auto"/>
                <w:spacing w:val="9"/>
                <w:sz w:val="24"/>
                <w:szCs w:val="24"/>
              </w:rPr>
              <w:t>面积（</w:t>
            </w:r>
            <w:r>
              <w:rPr>
                <w:rFonts w:hint="default" w:ascii="Times New Roman" w:hAnsi="Times New Roman" w:cs="Times New Roman" w:eastAsiaTheme="minorEastAsia"/>
                <w:i/>
                <w:iCs/>
                <w:color w:val="auto"/>
                <w:sz w:val="24"/>
                <w:szCs w:val="24"/>
              </w:rPr>
              <w:t>S）</w:t>
            </w:r>
            <w:r>
              <w:rPr>
                <w:rFonts w:hint="default" w:ascii="Times New Roman" w:hAnsi="Times New Roman" w:cs="Times New Roman" w:eastAsiaTheme="minorEastAsia"/>
                <w:color w:val="auto"/>
                <w:spacing w:val="9"/>
                <w:sz w:val="24"/>
                <w:szCs w:val="24"/>
              </w:rPr>
              <w:t>处的等效声源的倍频带声功率级。</w:t>
            </w:r>
          </w:p>
          <w:p w14:paraId="0C04C880">
            <w:pPr>
              <w:spacing w:line="360" w:lineRule="auto"/>
              <w:jc w:val="cente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position w:val="1"/>
                <w:sz w:val="24"/>
                <w:szCs w:val="24"/>
              </w:rPr>
              <w:t>L</w:t>
            </w:r>
            <w:r>
              <w:rPr>
                <w:rFonts w:hint="default" w:ascii="Times New Roman" w:hAnsi="Times New Roman" w:cs="Times New Roman" w:eastAsiaTheme="minorEastAsia"/>
                <w:i/>
                <w:iCs/>
                <w:color w:val="auto"/>
                <w:position w:val="-3"/>
                <w:sz w:val="24"/>
                <w:szCs w:val="24"/>
              </w:rPr>
              <w:t>w</w:t>
            </w:r>
            <w:r>
              <w:rPr>
                <w:rFonts w:hint="default" w:ascii="Times New Roman" w:hAnsi="Times New Roman" w:cs="Times New Roman" w:eastAsiaTheme="minorEastAsia"/>
                <w:color w:val="auto"/>
                <w:spacing w:val="4"/>
                <w:position w:val="1"/>
                <w:sz w:val="24"/>
                <w:szCs w:val="24"/>
              </w:rPr>
              <w:t xml:space="preserve">= </w:t>
            </w:r>
            <w:r>
              <w:rPr>
                <w:rFonts w:hint="default" w:ascii="Times New Roman" w:hAnsi="Times New Roman" w:cs="Times New Roman" w:eastAsiaTheme="minorEastAsia"/>
                <w:i/>
                <w:iCs/>
                <w:color w:val="auto"/>
                <w:position w:val="1"/>
                <w:sz w:val="24"/>
                <w:szCs w:val="24"/>
              </w:rPr>
              <w:t>L</w:t>
            </w:r>
            <w:r>
              <w:rPr>
                <w:rFonts w:hint="default" w:ascii="Times New Roman" w:hAnsi="Times New Roman" w:cs="Times New Roman" w:eastAsiaTheme="minorEastAsia"/>
                <w:i/>
                <w:iCs/>
                <w:color w:val="auto"/>
                <w:position w:val="-3"/>
                <w:sz w:val="24"/>
                <w:szCs w:val="24"/>
              </w:rPr>
              <w:t>p</w:t>
            </w:r>
            <w:r>
              <w:rPr>
                <w:rFonts w:hint="default" w:ascii="Times New Roman" w:hAnsi="Times New Roman" w:cs="Times New Roman" w:eastAsiaTheme="minorEastAsia"/>
                <w:color w:val="auto"/>
                <w:spacing w:val="4"/>
                <w:position w:val="-3"/>
                <w:sz w:val="24"/>
                <w:szCs w:val="24"/>
              </w:rPr>
              <w:t>2</w:t>
            </w:r>
            <w:r>
              <w:rPr>
                <w:rFonts w:hint="default" w:ascii="Times New Roman" w:hAnsi="Times New Roman" w:cs="Times New Roman" w:eastAsiaTheme="minorEastAsia"/>
                <w:color w:val="auto"/>
                <w:spacing w:val="4"/>
                <w:position w:val="1"/>
                <w:sz w:val="24"/>
                <w:szCs w:val="24"/>
              </w:rPr>
              <w:t>(</w:t>
            </w:r>
            <w:r>
              <w:rPr>
                <w:rFonts w:hint="default" w:ascii="Times New Roman" w:hAnsi="Times New Roman" w:cs="Times New Roman" w:eastAsiaTheme="minorEastAsia"/>
                <w:i/>
                <w:iCs/>
                <w:color w:val="auto"/>
                <w:position w:val="1"/>
                <w:sz w:val="24"/>
                <w:szCs w:val="24"/>
              </w:rPr>
              <w:t>T</w:t>
            </w:r>
            <w:r>
              <w:rPr>
                <w:rFonts w:hint="default" w:ascii="Times New Roman" w:hAnsi="Times New Roman" w:cs="Times New Roman" w:eastAsiaTheme="minorEastAsia"/>
                <w:color w:val="auto"/>
                <w:spacing w:val="4"/>
                <w:position w:val="1"/>
                <w:sz w:val="24"/>
                <w:szCs w:val="24"/>
              </w:rPr>
              <w:t>)+10</w:t>
            </w:r>
            <w:r>
              <w:rPr>
                <w:rFonts w:hint="default" w:ascii="Times New Roman" w:hAnsi="Times New Roman" w:cs="Times New Roman" w:eastAsiaTheme="minorEastAsia"/>
                <w:color w:val="auto"/>
                <w:position w:val="1"/>
                <w:sz w:val="24"/>
                <w:szCs w:val="24"/>
              </w:rPr>
              <w:t>lg</w:t>
            </w:r>
            <w:r>
              <w:rPr>
                <w:rFonts w:hint="default" w:ascii="Times New Roman" w:hAnsi="Times New Roman" w:cs="Times New Roman" w:eastAsiaTheme="minorEastAsia"/>
                <w:i/>
                <w:iCs/>
                <w:color w:val="auto"/>
                <w:position w:val="1"/>
                <w:sz w:val="24"/>
                <w:szCs w:val="24"/>
              </w:rPr>
              <w:t xml:space="preserve">S      </w:t>
            </w:r>
            <w:r>
              <w:rPr>
                <w:rFonts w:hint="default" w:ascii="Times New Roman" w:hAnsi="Times New Roman" w:cs="Times New Roman" w:eastAsiaTheme="minorEastAsia"/>
                <w:color w:val="auto"/>
                <w:position w:val="1"/>
                <w:sz w:val="24"/>
                <w:szCs w:val="24"/>
              </w:rPr>
              <w:t xml:space="preserve"> (B.5)</w:t>
            </w:r>
          </w:p>
          <w:p w14:paraId="4381A140">
            <w:pPr>
              <w:spacing w:line="360" w:lineRule="auto"/>
              <w:ind w:firstLine="488"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2"/>
                <w:sz w:val="24"/>
                <w:szCs w:val="24"/>
              </w:rPr>
              <w:t>式中：</w:t>
            </w:r>
            <w:r>
              <w:rPr>
                <w:rFonts w:hint="default" w:ascii="Times New Roman" w:hAnsi="Times New Roman" w:cs="Times New Roman" w:eastAsiaTheme="minorEastAsia"/>
                <w:i/>
                <w:iCs/>
                <w:color w:val="auto"/>
                <w:sz w:val="24"/>
                <w:szCs w:val="24"/>
              </w:rPr>
              <w:t>L</w:t>
            </w:r>
            <w:r>
              <w:rPr>
                <w:rFonts w:hint="default" w:ascii="Times New Roman" w:hAnsi="Times New Roman" w:cs="Times New Roman" w:eastAsiaTheme="minorEastAsia"/>
                <w:i/>
                <w:iCs/>
                <w:color w:val="auto"/>
                <w:position w:val="-1"/>
                <w:sz w:val="24"/>
                <w:szCs w:val="24"/>
              </w:rPr>
              <w:t>w</w:t>
            </w:r>
            <w:r>
              <w:rPr>
                <w:rFonts w:hint="default" w:ascii="Times New Roman" w:hAnsi="Times New Roman" w:cs="Times New Roman" w:eastAsiaTheme="minorEastAsia"/>
                <w:color w:val="auto"/>
                <w:spacing w:val="2"/>
                <w:position w:val="-1"/>
                <w:sz w:val="24"/>
                <w:szCs w:val="24"/>
              </w:rPr>
              <w:t xml:space="preserve"> </w:t>
            </w:r>
            <w:r>
              <w:rPr>
                <w:rFonts w:hint="default" w:ascii="Times New Roman" w:hAnsi="Times New Roman" w:cs="Times New Roman" w:eastAsiaTheme="minorEastAsia"/>
                <w:color w:val="auto"/>
                <w:spacing w:val="2"/>
                <w:sz w:val="24"/>
                <w:szCs w:val="24"/>
              </w:rPr>
              <w:t>——中心位置位</w:t>
            </w:r>
            <w:r>
              <w:rPr>
                <w:rFonts w:hint="default" w:ascii="Times New Roman" w:hAnsi="Times New Roman" w:cs="Times New Roman" w:eastAsiaTheme="minorEastAsia"/>
                <w:color w:val="auto"/>
                <w:spacing w:val="1"/>
                <w:sz w:val="24"/>
                <w:szCs w:val="24"/>
              </w:rPr>
              <w:t>于透声面积（</w:t>
            </w:r>
            <w:r>
              <w:rPr>
                <w:rFonts w:hint="default" w:ascii="Times New Roman" w:hAnsi="Times New Roman" w:cs="Times New Roman" w:eastAsiaTheme="minorEastAsia"/>
                <w:i/>
                <w:iCs/>
                <w:color w:val="auto"/>
                <w:sz w:val="24"/>
                <w:szCs w:val="24"/>
              </w:rPr>
              <w:t>S）</w:t>
            </w:r>
            <w:r>
              <w:rPr>
                <w:rFonts w:hint="default" w:ascii="Times New Roman" w:hAnsi="Times New Roman" w:cs="Times New Roman" w:eastAsiaTheme="minorEastAsia"/>
                <w:color w:val="auto"/>
                <w:spacing w:val="1"/>
                <w:sz w:val="24"/>
                <w:szCs w:val="24"/>
              </w:rPr>
              <w:t>处的等效声源的倍频带声功率级，</w:t>
            </w:r>
            <w:r>
              <w:rPr>
                <w:rFonts w:hint="default" w:ascii="Times New Roman" w:hAnsi="Times New Roman" w:cs="Times New Roman" w:eastAsiaTheme="minorEastAsia"/>
                <w:color w:val="auto"/>
                <w:sz w:val="24"/>
                <w:szCs w:val="24"/>
              </w:rPr>
              <w:t>dB</w:t>
            </w:r>
            <w:r>
              <w:rPr>
                <w:rFonts w:hint="default" w:ascii="Times New Roman" w:hAnsi="Times New Roman" w:cs="Times New Roman" w:eastAsiaTheme="minorEastAsia"/>
                <w:color w:val="auto"/>
                <w:spacing w:val="1"/>
                <w:sz w:val="24"/>
                <w:szCs w:val="24"/>
              </w:rPr>
              <w:t>；</w:t>
            </w:r>
          </w:p>
          <w:p w14:paraId="0DE252E4">
            <w:pPr>
              <w:spacing w:line="360" w:lineRule="auto"/>
              <w:ind w:firstLine="468"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pacing w:val="-3"/>
                <w:sz w:val="24"/>
                <w:szCs w:val="24"/>
              </w:rPr>
              <w:t>L</w:t>
            </w:r>
            <w:r>
              <w:rPr>
                <w:rFonts w:hint="default" w:ascii="Times New Roman" w:hAnsi="Times New Roman" w:cs="Times New Roman" w:eastAsiaTheme="minorEastAsia"/>
                <w:i/>
                <w:iCs/>
                <w:color w:val="auto"/>
                <w:spacing w:val="-3"/>
                <w:position w:val="-2"/>
                <w:sz w:val="24"/>
                <w:szCs w:val="24"/>
              </w:rPr>
              <w:t>p</w:t>
            </w:r>
            <w:r>
              <w:rPr>
                <w:rFonts w:hint="default" w:ascii="Times New Roman" w:hAnsi="Times New Roman" w:cs="Times New Roman" w:eastAsiaTheme="minorEastAsia"/>
                <w:color w:val="auto"/>
                <w:spacing w:val="-3"/>
                <w:position w:val="-2"/>
                <w:sz w:val="24"/>
                <w:szCs w:val="24"/>
              </w:rPr>
              <w:t>2</w:t>
            </w:r>
            <w:r>
              <w:rPr>
                <w:rFonts w:hint="default" w:ascii="Times New Roman" w:hAnsi="Times New Roman" w:cs="Times New Roman" w:eastAsiaTheme="minorEastAsia"/>
                <w:color w:val="auto"/>
                <w:spacing w:val="-3"/>
                <w:sz w:val="24"/>
                <w:szCs w:val="24"/>
              </w:rPr>
              <w:t>(</w:t>
            </w:r>
            <w:r>
              <w:rPr>
                <w:rFonts w:hint="default" w:ascii="Times New Roman" w:hAnsi="Times New Roman" w:cs="Times New Roman" w:eastAsiaTheme="minorEastAsia"/>
                <w:i/>
                <w:iCs/>
                <w:color w:val="auto"/>
                <w:spacing w:val="-3"/>
                <w:sz w:val="24"/>
                <w:szCs w:val="24"/>
              </w:rPr>
              <w:t>T</w:t>
            </w:r>
            <w:r>
              <w:rPr>
                <w:rFonts w:hint="default" w:ascii="Times New Roman" w:hAnsi="Times New Roman" w:cs="Times New Roman" w:eastAsiaTheme="minorEastAsia"/>
                <w:color w:val="auto"/>
                <w:spacing w:val="-3"/>
                <w:sz w:val="24"/>
                <w:szCs w:val="24"/>
              </w:rPr>
              <w:t>)——靠近围护结构处室外声源的声压级，dB；</w:t>
            </w:r>
          </w:p>
          <w:p w14:paraId="178F37D7">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i/>
                <w:iCs/>
                <w:color w:val="auto"/>
                <w:sz w:val="24"/>
                <w:szCs w:val="24"/>
              </w:rPr>
              <w:t>S</w:t>
            </w:r>
            <w:r>
              <w:rPr>
                <w:rFonts w:hint="default" w:ascii="Times New Roman" w:hAnsi="Times New Roman" w:cs="Times New Roman" w:eastAsiaTheme="minorEastAsia"/>
                <w:color w:val="auto"/>
                <w:spacing w:val="1"/>
                <w:sz w:val="24"/>
                <w:szCs w:val="24"/>
              </w:rPr>
              <w:t>——</w:t>
            </w:r>
            <w:r>
              <w:rPr>
                <w:rFonts w:hint="default" w:ascii="Times New Roman" w:hAnsi="Times New Roman" w:cs="Times New Roman" w:eastAsiaTheme="minorEastAsia"/>
                <w:color w:val="auto"/>
                <w:sz w:val="24"/>
                <w:szCs w:val="24"/>
              </w:rPr>
              <w:t>透声面积，m</w:t>
            </w:r>
            <w:r>
              <w:rPr>
                <w:rFonts w:hint="eastAsia"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rPr>
              <w:t>。</w:t>
            </w:r>
          </w:p>
          <w:p w14:paraId="0DEB7374">
            <w:pPr>
              <w:pStyle w:val="12"/>
              <w:spacing w:before="0" w:after="0" w:line="360" w:lineRule="auto"/>
              <w:ind w:right="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然后按室外声源预测方法计算预测点处的A声级。</w:t>
            </w:r>
          </w:p>
          <w:p w14:paraId="3AAA2CB5">
            <w:pPr>
              <w:spacing w:line="360" w:lineRule="auto"/>
              <w:ind w:left="420" w:leftChars="200"/>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（3）声环境预测结果及评价</w:t>
            </w:r>
          </w:p>
          <w:p w14:paraId="7A4C5D0A">
            <w:pPr>
              <w:pStyle w:val="12"/>
              <w:spacing w:before="0" w:after="0" w:line="360" w:lineRule="auto"/>
              <w:ind w:right="0" w:firstLine="480" w:firstLineChars="200"/>
              <w:rPr>
                <w:rFonts w:hint="eastAsia" w:asciiTheme="minorEastAsia" w:hAnsiTheme="minorEastAsia" w:eastAsiaTheme="minorEastAsia" w:cstheme="minorEastAsia"/>
                <w:color w:val="auto"/>
                <w:sz w:val="24"/>
                <w:szCs w:val="24"/>
              </w:rPr>
            </w:pPr>
            <w:r>
              <w:rPr>
                <w:rFonts w:hint="default" w:ascii="Times New Roman" w:hAnsi="Times New Roman" w:cs="Times New Roman" w:eastAsiaTheme="minorEastAsia"/>
                <w:color w:val="auto"/>
                <w:sz w:val="24"/>
                <w:szCs w:val="24"/>
              </w:rPr>
              <w:t>通过预测模型计算，项目厂界噪声预测结果与达</w:t>
            </w:r>
            <w:r>
              <w:rPr>
                <w:rFonts w:hint="eastAsia" w:asciiTheme="minorEastAsia" w:hAnsiTheme="minorEastAsia" w:eastAsiaTheme="minorEastAsia" w:cstheme="minorEastAsia"/>
                <w:color w:val="auto"/>
                <w:sz w:val="24"/>
                <w:szCs w:val="24"/>
              </w:rPr>
              <w:t>标分析见表</w:t>
            </w:r>
            <w:r>
              <w:rPr>
                <w:rFonts w:hint="eastAsia" w:asciiTheme="minorEastAsia" w:hAnsiTheme="minorEastAsia" w:eastAsiaTheme="minorEastAsia" w:cstheme="minorEastAsia"/>
                <w:color w:val="auto"/>
                <w:sz w:val="24"/>
                <w:szCs w:val="24"/>
                <w:lang w:val="en-US" w:eastAsia="zh-CN"/>
              </w:rPr>
              <w:t>4-8</w:t>
            </w:r>
            <w:r>
              <w:rPr>
                <w:rFonts w:hint="eastAsia" w:asciiTheme="minorEastAsia" w:hAnsiTheme="minorEastAsia" w:eastAsiaTheme="minorEastAsia" w:cstheme="minorEastAsia"/>
                <w:color w:val="auto"/>
                <w:sz w:val="24"/>
                <w:szCs w:val="24"/>
              </w:rPr>
              <w:t>。</w:t>
            </w:r>
          </w:p>
          <w:p w14:paraId="0C6EBF2D">
            <w:pPr>
              <w:pStyle w:val="85"/>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 xml:space="preserve"> 项目厂界环境噪声预测结果   单位：dB(A)</w:t>
            </w:r>
          </w:p>
          <w:tbl>
            <w:tblPr>
              <w:tblStyle w:val="36"/>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337"/>
              <w:gridCol w:w="1337"/>
              <w:gridCol w:w="1465"/>
              <w:gridCol w:w="1453"/>
              <w:gridCol w:w="1455"/>
              <w:gridCol w:w="15"/>
              <w:gridCol w:w="1442"/>
            </w:tblGrid>
            <w:tr w14:paraId="442001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2" w:type="pct"/>
                  <w:gridSpan w:val="2"/>
                  <w:tcBorders>
                    <w:tl2br w:val="nil"/>
                    <w:tr2bl w:val="nil"/>
                  </w:tcBorders>
                  <w:noWrap w:val="0"/>
                  <w:tcMar>
                    <w:top w:w="15" w:type="dxa"/>
                    <w:left w:w="15" w:type="dxa"/>
                    <w:bottom w:w="0" w:type="dxa"/>
                    <w:right w:w="15" w:type="dxa"/>
                  </w:tcMar>
                  <w:vAlign w:val="center"/>
                </w:tcPr>
                <w:p w14:paraId="7B1878D6">
                  <w:pPr>
                    <w:jc w:val="center"/>
                    <w:rPr>
                      <w:b/>
                      <w:bCs w:val="0"/>
                      <w:snapToGrid w:val="0"/>
                      <w:color w:val="auto"/>
                      <w:kern w:val="0"/>
                      <w:szCs w:val="21"/>
                      <w:highlight w:val="none"/>
                    </w:rPr>
                  </w:pPr>
                  <w:r>
                    <w:rPr>
                      <w:b/>
                      <w:bCs w:val="0"/>
                      <w:snapToGrid w:val="0"/>
                      <w:color w:val="auto"/>
                      <w:kern w:val="0"/>
                      <w:szCs w:val="21"/>
                      <w:highlight w:val="none"/>
                    </w:rPr>
                    <w:t>点位</w:t>
                  </w:r>
                </w:p>
              </w:tc>
              <w:tc>
                <w:tcPr>
                  <w:tcW w:w="861" w:type="pct"/>
                  <w:tcBorders>
                    <w:tl2br w:val="nil"/>
                    <w:tr2bl w:val="nil"/>
                  </w:tcBorders>
                  <w:noWrap w:val="0"/>
                  <w:tcMar>
                    <w:top w:w="15" w:type="dxa"/>
                    <w:left w:w="15" w:type="dxa"/>
                    <w:bottom w:w="0" w:type="dxa"/>
                    <w:right w:w="15" w:type="dxa"/>
                  </w:tcMar>
                  <w:vAlign w:val="center"/>
                </w:tcPr>
                <w:p w14:paraId="0FCC709A">
                  <w:pPr>
                    <w:jc w:val="center"/>
                    <w:rPr>
                      <w:b/>
                      <w:bCs w:val="0"/>
                      <w:snapToGrid w:val="0"/>
                      <w:color w:val="auto"/>
                      <w:kern w:val="0"/>
                      <w:szCs w:val="21"/>
                      <w:highlight w:val="none"/>
                    </w:rPr>
                  </w:pPr>
                  <w:r>
                    <w:rPr>
                      <w:b/>
                      <w:bCs w:val="0"/>
                      <w:snapToGrid w:val="0"/>
                      <w:color w:val="auto"/>
                      <w:kern w:val="0"/>
                      <w:szCs w:val="21"/>
                      <w:highlight w:val="none"/>
                    </w:rPr>
                    <w:t>厂界东</w:t>
                  </w:r>
                </w:p>
              </w:tc>
              <w:tc>
                <w:tcPr>
                  <w:tcW w:w="854" w:type="pct"/>
                  <w:tcBorders>
                    <w:tl2br w:val="nil"/>
                    <w:tr2bl w:val="nil"/>
                  </w:tcBorders>
                  <w:noWrap w:val="0"/>
                  <w:tcMar>
                    <w:top w:w="15" w:type="dxa"/>
                    <w:left w:w="15" w:type="dxa"/>
                    <w:bottom w:w="0" w:type="dxa"/>
                    <w:right w:w="15" w:type="dxa"/>
                  </w:tcMar>
                  <w:vAlign w:val="center"/>
                </w:tcPr>
                <w:p w14:paraId="0FF54DC4">
                  <w:pPr>
                    <w:jc w:val="center"/>
                    <w:rPr>
                      <w:b/>
                      <w:bCs w:val="0"/>
                      <w:snapToGrid w:val="0"/>
                      <w:color w:val="auto"/>
                      <w:kern w:val="0"/>
                      <w:szCs w:val="21"/>
                      <w:highlight w:val="none"/>
                    </w:rPr>
                  </w:pPr>
                  <w:r>
                    <w:rPr>
                      <w:b/>
                      <w:bCs w:val="0"/>
                      <w:snapToGrid w:val="0"/>
                      <w:color w:val="auto"/>
                      <w:kern w:val="0"/>
                      <w:szCs w:val="21"/>
                      <w:highlight w:val="none"/>
                    </w:rPr>
                    <w:t>厂界南</w:t>
                  </w:r>
                </w:p>
              </w:tc>
              <w:tc>
                <w:tcPr>
                  <w:tcW w:w="855" w:type="pct"/>
                  <w:tcBorders>
                    <w:tl2br w:val="nil"/>
                    <w:tr2bl w:val="nil"/>
                  </w:tcBorders>
                  <w:noWrap w:val="0"/>
                  <w:tcMar>
                    <w:top w:w="15" w:type="dxa"/>
                    <w:left w:w="15" w:type="dxa"/>
                    <w:bottom w:w="0" w:type="dxa"/>
                    <w:right w:w="15" w:type="dxa"/>
                  </w:tcMar>
                  <w:vAlign w:val="center"/>
                </w:tcPr>
                <w:p w14:paraId="04FC2BF5">
                  <w:pPr>
                    <w:jc w:val="center"/>
                    <w:rPr>
                      <w:b/>
                      <w:bCs w:val="0"/>
                      <w:snapToGrid w:val="0"/>
                      <w:color w:val="auto"/>
                      <w:kern w:val="0"/>
                      <w:szCs w:val="21"/>
                      <w:highlight w:val="none"/>
                    </w:rPr>
                  </w:pPr>
                  <w:r>
                    <w:rPr>
                      <w:b/>
                      <w:bCs w:val="0"/>
                      <w:snapToGrid w:val="0"/>
                      <w:color w:val="auto"/>
                      <w:kern w:val="0"/>
                      <w:szCs w:val="21"/>
                      <w:highlight w:val="none"/>
                    </w:rPr>
                    <w:t>厂界西</w:t>
                  </w:r>
                </w:p>
              </w:tc>
              <w:tc>
                <w:tcPr>
                  <w:tcW w:w="856" w:type="pct"/>
                  <w:gridSpan w:val="2"/>
                  <w:tcBorders>
                    <w:tl2br w:val="nil"/>
                    <w:tr2bl w:val="nil"/>
                  </w:tcBorders>
                  <w:noWrap w:val="0"/>
                  <w:vAlign w:val="center"/>
                </w:tcPr>
                <w:p w14:paraId="06AFB316">
                  <w:pPr>
                    <w:jc w:val="center"/>
                    <w:rPr>
                      <w:b/>
                      <w:bCs w:val="0"/>
                      <w:snapToGrid w:val="0"/>
                      <w:color w:val="auto"/>
                      <w:kern w:val="0"/>
                      <w:szCs w:val="21"/>
                      <w:highlight w:val="none"/>
                    </w:rPr>
                  </w:pPr>
                  <w:r>
                    <w:rPr>
                      <w:b/>
                      <w:bCs w:val="0"/>
                      <w:snapToGrid w:val="0"/>
                      <w:color w:val="auto"/>
                      <w:kern w:val="0"/>
                      <w:szCs w:val="21"/>
                      <w:highlight w:val="none"/>
                    </w:rPr>
                    <w:t>厂界北</w:t>
                  </w:r>
                </w:p>
              </w:tc>
            </w:tr>
            <w:tr w14:paraId="49C13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72" w:type="pct"/>
                  <w:gridSpan w:val="2"/>
                  <w:tcBorders>
                    <w:tl2br w:val="nil"/>
                    <w:tr2bl w:val="nil"/>
                  </w:tcBorders>
                  <w:noWrap w:val="0"/>
                  <w:tcMar>
                    <w:top w:w="15" w:type="dxa"/>
                    <w:left w:w="15" w:type="dxa"/>
                    <w:bottom w:w="0" w:type="dxa"/>
                    <w:right w:w="15" w:type="dxa"/>
                  </w:tcMar>
                  <w:vAlign w:val="center"/>
                </w:tcPr>
                <w:p w14:paraId="2862D538">
                  <w:pPr>
                    <w:jc w:val="center"/>
                    <w:textAlignment w:val="center"/>
                    <w:rPr>
                      <w:rFonts w:hint="default" w:eastAsia="宋体"/>
                      <w:bCs/>
                      <w:snapToGrid w:val="0"/>
                      <w:color w:val="auto"/>
                      <w:kern w:val="0"/>
                      <w:szCs w:val="21"/>
                      <w:highlight w:val="none"/>
                      <w:lang w:val="en-US" w:eastAsia="zh-CN"/>
                    </w:rPr>
                  </w:pPr>
                  <w:r>
                    <w:rPr>
                      <w:rFonts w:hint="eastAsia"/>
                      <w:color w:val="auto"/>
                      <w:sz w:val="21"/>
                      <w:szCs w:val="21"/>
                      <w:highlight w:val="none"/>
                      <w:lang w:val="en-US" w:eastAsia="zh-CN"/>
                    </w:rPr>
                    <w:t>厂区-昼</w:t>
                  </w:r>
                </w:p>
              </w:tc>
              <w:tc>
                <w:tcPr>
                  <w:tcW w:w="861" w:type="pct"/>
                  <w:tcBorders>
                    <w:right w:val="single" w:color="auto" w:sz="4" w:space="0"/>
                    <w:tl2br w:val="nil"/>
                    <w:tr2bl w:val="nil"/>
                  </w:tcBorders>
                  <w:noWrap w:val="0"/>
                  <w:tcMar>
                    <w:top w:w="15" w:type="dxa"/>
                    <w:left w:w="15" w:type="dxa"/>
                    <w:bottom w:w="0" w:type="dxa"/>
                    <w:right w:w="15" w:type="dxa"/>
                  </w:tcMar>
                  <w:vAlign w:val="center"/>
                </w:tcPr>
                <w:p w14:paraId="0641AC25">
                  <w:pPr>
                    <w:keepNext w:val="0"/>
                    <w:keepLines w:val="0"/>
                    <w:widowControl/>
                    <w:suppressLineNumbers w:val="0"/>
                    <w:jc w:val="center"/>
                    <w:textAlignment w:val="center"/>
                    <w:rPr>
                      <w:rFonts w:hint="default" w:eastAsia="宋体"/>
                      <w:snapToGrid w:val="0"/>
                      <w:color w:val="auto"/>
                      <w:kern w:val="0"/>
                      <w:szCs w:val="21"/>
                      <w:highlight w:val="none"/>
                      <w:lang w:val="en-US" w:eastAsia="zh-CN"/>
                    </w:rPr>
                  </w:pPr>
                  <w:r>
                    <w:rPr>
                      <w:rFonts w:hint="eastAsia"/>
                      <w:snapToGrid w:val="0"/>
                      <w:color w:val="auto"/>
                      <w:kern w:val="0"/>
                      <w:szCs w:val="21"/>
                      <w:highlight w:val="none"/>
                      <w:lang w:val="en-US" w:eastAsia="zh-CN"/>
                    </w:rPr>
                    <w:t>23.51</w:t>
                  </w:r>
                </w:p>
              </w:tc>
              <w:tc>
                <w:tcPr>
                  <w:tcW w:w="854" w:type="pct"/>
                  <w:tcBorders>
                    <w:left w:val="single" w:color="auto" w:sz="4" w:space="0"/>
                    <w:right w:val="single" w:color="auto" w:sz="4" w:space="0"/>
                    <w:tl2br w:val="nil"/>
                    <w:tr2bl w:val="nil"/>
                  </w:tcBorders>
                  <w:noWrap w:val="0"/>
                  <w:tcMar>
                    <w:top w:w="15" w:type="dxa"/>
                    <w:left w:w="15" w:type="dxa"/>
                    <w:bottom w:w="0" w:type="dxa"/>
                    <w:right w:w="15" w:type="dxa"/>
                  </w:tcMar>
                  <w:vAlign w:val="center"/>
                </w:tcPr>
                <w:p w14:paraId="4D03D65A">
                  <w:pPr>
                    <w:keepNext w:val="0"/>
                    <w:keepLines w:val="0"/>
                    <w:widowControl/>
                    <w:suppressLineNumbers w:val="0"/>
                    <w:jc w:val="center"/>
                    <w:textAlignment w:val="center"/>
                    <w:rPr>
                      <w:rFonts w:hint="default" w:eastAsia="宋体"/>
                      <w:color w:val="auto"/>
                      <w:szCs w:val="20"/>
                      <w:highlight w:val="none"/>
                      <w:lang w:val="en-US" w:eastAsia="zh-CN"/>
                    </w:rPr>
                  </w:pPr>
                  <w:r>
                    <w:rPr>
                      <w:rFonts w:hint="eastAsia"/>
                      <w:color w:val="auto"/>
                      <w:szCs w:val="20"/>
                      <w:highlight w:val="none"/>
                      <w:lang w:val="en-US" w:eastAsia="zh-CN"/>
                    </w:rPr>
                    <w:t>40.05</w:t>
                  </w:r>
                </w:p>
              </w:tc>
              <w:tc>
                <w:tcPr>
                  <w:tcW w:w="855" w:type="pct"/>
                  <w:tcBorders>
                    <w:left w:val="single" w:color="auto" w:sz="4" w:space="0"/>
                    <w:tl2br w:val="nil"/>
                    <w:tr2bl w:val="nil"/>
                  </w:tcBorders>
                  <w:noWrap w:val="0"/>
                  <w:tcMar>
                    <w:top w:w="15" w:type="dxa"/>
                    <w:left w:w="15" w:type="dxa"/>
                    <w:bottom w:w="0" w:type="dxa"/>
                    <w:right w:w="15" w:type="dxa"/>
                  </w:tcMar>
                  <w:vAlign w:val="center"/>
                </w:tcPr>
                <w:p w14:paraId="057913F1">
                  <w:pPr>
                    <w:jc w:val="center"/>
                    <w:rPr>
                      <w:rFonts w:hint="default" w:eastAsia="宋体"/>
                      <w:color w:val="auto"/>
                      <w:szCs w:val="20"/>
                      <w:highlight w:val="none"/>
                      <w:lang w:val="en-US" w:eastAsia="zh-CN"/>
                    </w:rPr>
                  </w:pPr>
                  <w:r>
                    <w:rPr>
                      <w:rFonts w:hint="eastAsia"/>
                      <w:color w:val="auto"/>
                      <w:szCs w:val="20"/>
                      <w:highlight w:val="none"/>
                      <w:lang w:val="en-US" w:eastAsia="zh-CN"/>
                    </w:rPr>
                    <w:t>27.76</w:t>
                  </w:r>
                </w:p>
              </w:tc>
              <w:tc>
                <w:tcPr>
                  <w:tcW w:w="856" w:type="pct"/>
                  <w:gridSpan w:val="2"/>
                  <w:tcBorders>
                    <w:tl2br w:val="nil"/>
                    <w:tr2bl w:val="nil"/>
                  </w:tcBorders>
                  <w:noWrap w:val="0"/>
                  <w:tcMar>
                    <w:top w:w="15" w:type="dxa"/>
                    <w:left w:w="15" w:type="dxa"/>
                    <w:bottom w:w="0" w:type="dxa"/>
                    <w:right w:w="15" w:type="dxa"/>
                  </w:tcMar>
                  <w:vAlign w:val="center"/>
                </w:tcPr>
                <w:p w14:paraId="6BAA6072">
                  <w:pPr>
                    <w:jc w:val="center"/>
                    <w:rPr>
                      <w:rFonts w:hint="default" w:eastAsia="宋体"/>
                      <w:color w:val="auto"/>
                      <w:szCs w:val="20"/>
                      <w:highlight w:val="none"/>
                      <w:lang w:val="en-US" w:eastAsia="zh-CN"/>
                    </w:rPr>
                  </w:pPr>
                  <w:r>
                    <w:rPr>
                      <w:rFonts w:hint="eastAsia"/>
                      <w:color w:val="auto"/>
                      <w:szCs w:val="20"/>
                      <w:highlight w:val="none"/>
                      <w:lang w:val="en-US" w:eastAsia="zh-CN"/>
                    </w:rPr>
                    <w:t>49.60</w:t>
                  </w:r>
                </w:p>
              </w:tc>
            </w:tr>
            <w:tr w14:paraId="1AEAF9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6" w:type="pct"/>
                  <w:vMerge w:val="restart"/>
                  <w:tcBorders>
                    <w:tl2br w:val="nil"/>
                    <w:tr2bl w:val="nil"/>
                  </w:tcBorders>
                  <w:noWrap w:val="0"/>
                  <w:tcMar>
                    <w:top w:w="15" w:type="dxa"/>
                    <w:left w:w="15" w:type="dxa"/>
                    <w:bottom w:w="0" w:type="dxa"/>
                    <w:right w:w="15" w:type="dxa"/>
                  </w:tcMar>
                  <w:vAlign w:val="center"/>
                </w:tcPr>
                <w:p w14:paraId="4A15798A">
                  <w:pPr>
                    <w:jc w:val="center"/>
                    <w:rPr>
                      <w:rFonts w:hint="eastAsia"/>
                      <w:bCs/>
                      <w:snapToGrid w:val="0"/>
                      <w:color w:val="auto"/>
                      <w:kern w:val="0"/>
                      <w:szCs w:val="21"/>
                      <w:highlight w:val="none"/>
                    </w:rPr>
                  </w:pPr>
                  <w:r>
                    <w:rPr>
                      <w:rFonts w:hint="eastAsia"/>
                      <w:bCs/>
                      <w:snapToGrid w:val="0"/>
                      <w:color w:val="auto"/>
                      <w:kern w:val="0"/>
                      <w:szCs w:val="21"/>
                      <w:highlight w:val="none"/>
                      <w:lang w:val="en-US" w:eastAsia="zh-CN"/>
                    </w:rPr>
                    <w:t>标准值</w:t>
                  </w:r>
                </w:p>
              </w:tc>
              <w:tc>
                <w:tcPr>
                  <w:tcW w:w="786" w:type="pct"/>
                  <w:tcBorders>
                    <w:tl2br w:val="nil"/>
                    <w:tr2bl w:val="nil"/>
                  </w:tcBorders>
                  <w:noWrap w:val="0"/>
                  <w:tcMar>
                    <w:top w:w="15" w:type="dxa"/>
                    <w:left w:w="15" w:type="dxa"/>
                    <w:bottom w:w="0" w:type="dxa"/>
                    <w:right w:w="15" w:type="dxa"/>
                  </w:tcMar>
                  <w:vAlign w:val="center"/>
                </w:tcPr>
                <w:p w14:paraId="4CA7CB45">
                  <w:pPr>
                    <w:jc w:val="center"/>
                    <w:rPr>
                      <w:rFonts w:hint="eastAsia"/>
                      <w:bCs/>
                      <w:snapToGrid w:val="0"/>
                      <w:color w:val="auto"/>
                      <w:kern w:val="0"/>
                      <w:szCs w:val="21"/>
                      <w:highlight w:val="none"/>
                    </w:rPr>
                  </w:pPr>
                  <w:r>
                    <w:rPr>
                      <w:bCs/>
                      <w:snapToGrid w:val="0"/>
                      <w:color w:val="auto"/>
                      <w:kern w:val="0"/>
                      <w:szCs w:val="21"/>
                      <w:highlight w:val="none"/>
                    </w:rPr>
                    <w:t>昼间</w:t>
                  </w:r>
                </w:p>
              </w:tc>
              <w:tc>
                <w:tcPr>
                  <w:tcW w:w="861" w:type="pct"/>
                  <w:tcBorders>
                    <w:right w:val="single" w:color="auto" w:sz="4" w:space="0"/>
                    <w:tl2br w:val="nil"/>
                    <w:tr2bl w:val="nil"/>
                  </w:tcBorders>
                  <w:noWrap w:val="0"/>
                  <w:tcMar>
                    <w:top w:w="15" w:type="dxa"/>
                    <w:left w:w="15" w:type="dxa"/>
                    <w:bottom w:w="0" w:type="dxa"/>
                    <w:right w:w="15" w:type="dxa"/>
                  </w:tcMar>
                  <w:vAlign w:val="center"/>
                </w:tcPr>
                <w:p w14:paraId="4A683CFF">
                  <w:pPr>
                    <w:jc w:val="center"/>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70</w:t>
                  </w:r>
                </w:p>
              </w:tc>
              <w:tc>
                <w:tcPr>
                  <w:tcW w:w="1453" w:type="dxa"/>
                  <w:tcBorders>
                    <w:left w:val="single" w:color="auto" w:sz="4" w:space="0"/>
                    <w:right w:val="single" w:color="auto" w:sz="4" w:space="0"/>
                    <w:tl2br w:val="nil"/>
                    <w:tr2bl w:val="nil"/>
                  </w:tcBorders>
                  <w:noWrap w:val="0"/>
                  <w:tcMar>
                    <w:top w:w="15" w:type="dxa"/>
                    <w:left w:w="15" w:type="dxa"/>
                    <w:bottom w:w="0" w:type="dxa"/>
                    <w:right w:w="15" w:type="dxa"/>
                  </w:tcMar>
                  <w:vAlign w:val="center"/>
                </w:tcPr>
                <w:p w14:paraId="30F74AED">
                  <w:pPr>
                    <w:pStyle w:val="11"/>
                    <w:jc w:val="center"/>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lang w:val="en-US" w:eastAsia="zh-CN"/>
                    </w:rPr>
                    <w:t>60</w:t>
                  </w:r>
                </w:p>
              </w:tc>
              <w:tc>
                <w:tcPr>
                  <w:tcW w:w="1470" w:type="dxa"/>
                  <w:gridSpan w:val="2"/>
                  <w:tcBorders>
                    <w:left w:val="single" w:color="auto" w:sz="4" w:space="0"/>
                    <w:right w:val="single" w:color="auto" w:sz="4" w:space="0"/>
                    <w:tl2br w:val="nil"/>
                    <w:tr2bl w:val="nil"/>
                  </w:tcBorders>
                  <w:noWrap w:val="0"/>
                  <w:tcMar>
                    <w:top w:w="15" w:type="dxa"/>
                    <w:left w:w="15" w:type="dxa"/>
                    <w:bottom w:w="0" w:type="dxa"/>
                    <w:right w:w="15" w:type="dxa"/>
                  </w:tcMar>
                  <w:vAlign w:val="center"/>
                </w:tcPr>
                <w:p w14:paraId="0FDF72DE">
                  <w:pPr>
                    <w:pStyle w:val="11"/>
                    <w:jc w:val="center"/>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lang w:val="en-US" w:eastAsia="zh-CN"/>
                    </w:rPr>
                    <w:t>60</w:t>
                  </w:r>
                </w:p>
              </w:tc>
              <w:tc>
                <w:tcPr>
                  <w:tcW w:w="1442" w:type="dxa"/>
                  <w:tcBorders>
                    <w:left w:val="single" w:color="auto" w:sz="4" w:space="0"/>
                    <w:tl2br w:val="nil"/>
                    <w:tr2bl w:val="nil"/>
                  </w:tcBorders>
                  <w:noWrap w:val="0"/>
                  <w:tcMar>
                    <w:top w:w="15" w:type="dxa"/>
                    <w:left w:w="15" w:type="dxa"/>
                    <w:bottom w:w="0" w:type="dxa"/>
                    <w:right w:w="15" w:type="dxa"/>
                  </w:tcMar>
                  <w:vAlign w:val="center"/>
                </w:tcPr>
                <w:p w14:paraId="7F55B728">
                  <w:pPr>
                    <w:pStyle w:val="11"/>
                    <w:jc w:val="center"/>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lang w:val="en-US" w:eastAsia="zh-CN"/>
                    </w:rPr>
                    <w:t>60</w:t>
                  </w:r>
                </w:p>
              </w:tc>
            </w:tr>
            <w:tr w14:paraId="08425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786" w:type="pct"/>
                  <w:vMerge w:val="continue"/>
                  <w:tcBorders>
                    <w:tl2br w:val="nil"/>
                    <w:tr2bl w:val="nil"/>
                  </w:tcBorders>
                  <w:noWrap w:val="0"/>
                  <w:tcMar>
                    <w:top w:w="15" w:type="dxa"/>
                    <w:left w:w="15" w:type="dxa"/>
                    <w:bottom w:w="0" w:type="dxa"/>
                    <w:right w:w="15" w:type="dxa"/>
                  </w:tcMar>
                  <w:vAlign w:val="center"/>
                </w:tcPr>
                <w:p w14:paraId="7135C879">
                  <w:pPr>
                    <w:jc w:val="center"/>
                    <w:rPr>
                      <w:rFonts w:hint="eastAsia"/>
                      <w:bCs/>
                      <w:snapToGrid w:val="0"/>
                      <w:color w:val="auto"/>
                      <w:kern w:val="0"/>
                      <w:szCs w:val="21"/>
                      <w:highlight w:val="none"/>
                      <w:lang w:val="en-US" w:eastAsia="zh-CN"/>
                    </w:rPr>
                  </w:pPr>
                </w:p>
              </w:tc>
              <w:tc>
                <w:tcPr>
                  <w:tcW w:w="786" w:type="pct"/>
                  <w:tcBorders>
                    <w:tl2br w:val="nil"/>
                    <w:tr2bl w:val="nil"/>
                  </w:tcBorders>
                  <w:noWrap w:val="0"/>
                  <w:tcMar>
                    <w:top w:w="15" w:type="dxa"/>
                    <w:left w:w="15" w:type="dxa"/>
                    <w:bottom w:w="0" w:type="dxa"/>
                    <w:right w:w="15" w:type="dxa"/>
                  </w:tcMar>
                  <w:vAlign w:val="center"/>
                </w:tcPr>
                <w:p w14:paraId="291A8C14">
                  <w:pPr>
                    <w:jc w:val="center"/>
                    <w:rPr>
                      <w:rFonts w:hint="eastAsia" w:eastAsia="宋体"/>
                      <w:bCs/>
                      <w:snapToGrid w:val="0"/>
                      <w:color w:val="auto"/>
                      <w:kern w:val="0"/>
                      <w:szCs w:val="21"/>
                      <w:highlight w:val="none"/>
                      <w:lang w:val="en-US" w:eastAsia="zh-CN"/>
                    </w:rPr>
                  </w:pPr>
                  <w:r>
                    <w:rPr>
                      <w:rFonts w:hint="eastAsia"/>
                      <w:bCs/>
                      <w:snapToGrid w:val="0"/>
                      <w:color w:val="auto"/>
                      <w:kern w:val="0"/>
                      <w:szCs w:val="21"/>
                      <w:highlight w:val="none"/>
                      <w:lang w:val="en-US" w:eastAsia="zh-CN"/>
                    </w:rPr>
                    <w:t>夜间</w:t>
                  </w:r>
                </w:p>
              </w:tc>
              <w:tc>
                <w:tcPr>
                  <w:tcW w:w="861" w:type="pct"/>
                  <w:tcBorders>
                    <w:right w:val="single" w:color="auto" w:sz="4" w:space="0"/>
                    <w:tl2br w:val="nil"/>
                    <w:tr2bl w:val="nil"/>
                  </w:tcBorders>
                  <w:noWrap w:val="0"/>
                  <w:tcMar>
                    <w:top w:w="15" w:type="dxa"/>
                    <w:left w:w="15" w:type="dxa"/>
                    <w:bottom w:w="0" w:type="dxa"/>
                    <w:right w:w="15" w:type="dxa"/>
                  </w:tcMar>
                  <w:vAlign w:val="center"/>
                </w:tcPr>
                <w:p w14:paraId="4BA97004">
                  <w:pPr>
                    <w:jc w:val="center"/>
                    <w:rPr>
                      <w:rFonts w:hint="default" w:ascii="Times New Roman" w:hAnsi="Times New Roman" w:eastAsia="宋体" w:cs="Times New Roman"/>
                      <w:color w:val="auto"/>
                      <w:kern w:val="2"/>
                      <w:sz w:val="21"/>
                      <w:szCs w:val="20"/>
                      <w:highlight w:val="none"/>
                      <w:lang w:val="en-US" w:eastAsia="zh-CN" w:bidi="ar-SA"/>
                    </w:rPr>
                  </w:pPr>
                  <w:r>
                    <w:rPr>
                      <w:rFonts w:hint="eastAsia" w:ascii="Times New Roman" w:hAnsi="Times New Roman" w:eastAsia="宋体" w:cs="Times New Roman"/>
                      <w:color w:val="auto"/>
                      <w:kern w:val="2"/>
                      <w:sz w:val="21"/>
                      <w:szCs w:val="20"/>
                      <w:highlight w:val="none"/>
                      <w:lang w:val="en-US" w:eastAsia="zh-CN" w:bidi="ar-SA"/>
                    </w:rPr>
                    <w:t>5</w:t>
                  </w:r>
                  <w:r>
                    <w:rPr>
                      <w:rFonts w:hint="eastAsia" w:cs="Times New Roman"/>
                      <w:color w:val="auto"/>
                      <w:kern w:val="2"/>
                      <w:sz w:val="21"/>
                      <w:szCs w:val="20"/>
                      <w:highlight w:val="none"/>
                      <w:lang w:val="en-US" w:eastAsia="zh-CN" w:bidi="ar-SA"/>
                    </w:rPr>
                    <w:t>5</w:t>
                  </w:r>
                </w:p>
              </w:tc>
              <w:tc>
                <w:tcPr>
                  <w:tcW w:w="1453" w:type="dxa"/>
                  <w:tcBorders>
                    <w:left w:val="single" w:color="auto" w:sz="4" w:space="0"/>
                    <w:right w:val="single" w:color="auto" w:sz="4" w:space="0"/>
                    <w:tl2br w:val="nil"/>
                    <w:tr2bl w:val="nil"/>
                  </w:tcBorders>
                  <w:noWrap w:val="0"/>
                  <w:tcMar>
                    <w:top w:w="15" w:type="dxa"/>
                    <w:left w:w="15" w:type="dxa"/>
                    <w:bottom w:w="0" w:type="dxa"/>
                    <w:right w:w="15" w:type="dxa"/>
                  </w:tcMar>
                  <w:vAlign w:val="center"/>
                </w:tcPr>
                <w:p w14:paraId="593CD6E0">
                  <w:pPr>
                    <w:pStyle w:val="11"/>
                    <w:jc w:val="center"/>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lang w:val="en-US" w:eastAsia="zh-CN"/>
                    </w:rPr>
                    <w:t>50</w:t>
                  </w:r>
                </w:p>
              </w:tc>
              <w:tc>
                <w:tcPr>
                  <w:tcW w:w="1470" w:type="dxa"/>
                  <w:gridSpan w:val="2"/>
                  <w:tcBorders>
                    <w:left w:val="single" w:color="auto" w:sz="4" w:space="0"/>
                    <w:right w:val="single" w:color="auto" w:sz="4" w:space="0"/>
                    <w:tl2br w:val="nil"/>
                    <w:tr2bl w:val="nil"/>
                  </w:tcBorders>
                  <w:noWrap w:val="0"/>
                  <w:tcMar>
                    <w:top w:w="15" w:type="dxa"/>
                    <w:left w:w="15" w:type="dxa"/>
                    <w:bottom w:w="0" w:type="dxa"/>
                    <w:right w:w="15" w:type="dxa"/>
                  </w:tcMar>
                  <w:vAlign w:val="center"/>
                </w:tcPr>
                <w:p w14:paraId="615FA58A">
                  <w:pPr>
                    <w:pStyle w:val="11"/>
                    <w:jc w:val="center"/>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lang w:val="en-US" w:eastAsia="zh-CN"/>
                    </w:rPr>
                    <w:t>50</w:t>
                  </w:r>
                </w:p>
              </w:tc>
              <w:tc>
                <w:tcPr>
                  <w:tcW w:w="1442" w:type="dxa"/>
                  <w:tcBorders>
                    <w:left w:val="single" w:color="auto" w:sz="4" w:space="0"/>
                    <w:tl2br w:val="nil"/>
                    <w:tr2bl w:val="nil"/>
                  </w:tcBorders>
                  <w:noWrap w:val="0"/>
                  <w:tcMar>
                    <w:top w:w="15" w:type="dxa"/>
                    <w:left w:w="15" w:type="dxa"/>
                    <w:bottom w:w="0" w:type="dxa"/>
                    <w:right w:w="15" w:type="dxa"/>
                  </w:tcMar>
                  <w:vAlign w:val="center"/>
                </w:tcPr>
                <w:p w14:paraId="1DA45E64">
                  <w:pPr>
                    <w:pStyle w:val="11"/>
                    <w:jc w:val="center"/>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lang w:val="en-US" w:eastAsia="zh-CN"/>
                    </w:rPr>
                    <w:t>50</w:t>
                  </w:r>
                </w:p>
              </w:tc>
            </w:tr>
            <w:tr w14:paraId="6AA8FC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3" w:hRule="atLeast"/>
                <w:jc w:val="center"/>
              </w:trPr>
              <w:tc>
                <w:tcPr>
                  <w:tcW w:w="786" w:type="pct"/>
                  <w:tcBorders>
                    <w:tl2br w:val="nil"/>
                    <w:tr2bl w:val="nil"/>
                  </w:tcBorders>
                  <w:noWrap w:val="0"/>
                  <w:tcMar>
                    <w:top w:w="15" w:type="dxa"/>
                    <w:left w:w="15" w:type="dxa"/>
                    <w:bottom w:w="0" w:type="dxa"/>
                    <w:right w:w="15" w:type="dxa"/>
                  </w:tcMar>
                  <w:vAlign w:val="center"/>
                </w:tcPr>
                <w:p w14:paraId="39791FBC">
                  <w:pPr>
                    <w:jc w:val="center"/>
                    <w:rPr>
                      <w:rFonts w:hint="eastAsia"/>
                      <w:bCs/>
                      <w:snapToGrid w:val="0"/>
                      <w:color w:val="auto"/>
                      <w:kern w:val="0"/>
                      <w:szCs w:val="21"/>
                      <w:highlight w:val="none"/>
                    </w:rPr>
                  </w:pPr>
                  <w:r>
                    <w:rPr>
                      <w:rFonts w:hint="eastAsia"/>
                      <w:bCs/>
                      <w:snapToGrid w:val="0"/>
                      <w:color w:val="auto"/>
                      <w:kern w:val="0"/>
                      <w:szCs w:val="21"/>
                      <w:highlight w:val="none"/>
                      <w:lang w:val="en-US" w:eastAsia="zh-CN"/>
                    </w:rPr>
                    <w:t>是否达标</w:t>
                  </w:r>
                </w:p>
              </w:tc>
              <w:tc>
                <w:tcPr>
                  <w:tcW w:w="786" w:type="pct"/>
                  <w:tcBorders>
                    <w:tl2br w:val="nil"/>
                    <w:tr2bl w:val="nil"/>
                  </w:tcBorders>
                  <w:noWrap w:val="0"/>
                  <w:tcMar>
                    <w:top w:w="15" w:type="dxa"/>
                    <w:left w:w="15" w:type="dxa"/>
                    <w:bottom w:w="0" w:type="dxa"/>
                    <w:right w:w="15" w:type="dxa"/>
                  </w:tcMar>
                  <w:vAlign w:val="center"/>
                </w:tcPr>
                <w:p w14:paraId="0BD289B1">
                  <w:pPr>
                    <w:jc w:val="center"/>
                    <w:rPr>
                      <w:bCs/>
                      <w:snapToGrid w:val="0"/>
                      <w:color w:val="auto"/>
                      <w:kern w:val="0"/>
                      <w:szCs w:val="21"/>
                      <w:highlight w:val="none"/>
                    </w:rPr>
                  </w:pPr>
                  <w:r>
                    <w:rPr>
                      <w:bCs/>
                      <w:snapToGrid w:val="0"/>
                      <w:color w:val="auto"/>
                      <w:kern w:val="0"/>
                      <w:szCs w:val="21"/>
                      <w:highlight w:val="none"/>
                    </w:rPr>
                    <w:t>昼</w:t>
                  </w:r>
                  <w:r>
                    <w:rPr>
                      <w:rFonts w:hint="eastAsia"/>
                      <w:bCs/>
                      <w:snapToGrid w:val="0"/>
                      <w:color w:val="auto"/>
                      <w:kern w:val="0"/>
                      <w:szCs w:val="21"/>
                      <w:highlight w:val="none"/>
                      <w:lang w:val="en-US" w:eastAsia="zh-CN"/>
                    </w:rPr>
                    <w:t>间</w:t>
                  </w:r>
                </w:p>
              </w:tc>
              <w:tc>
                <w:tcPr>
                  <w:tcW w:w="3427" w:type="pct"/>
                  <w:gridSpan w:val="5"/>
                  <w:tcBorders>
                    <w:tl2br w:val="nil"/>
                    <w:tr2bl w:val="nil"/>
                  </w:tcBorders>
                  <w:noWrap w:val="0"/>
                  <w:tcMar>
                    <w:top w:w="15" w:type="dxa"/>
                    <w:left w:w="15" w:type="dxa"/>
                    <w:bottom w:w="0" w:type="dxa"/>
                    <w:right w:w="15" w:type="dxa"/>
                  </w:tcMar>
                  <w:vAlign w:val="center"/>
                </w:tcPr>
                <w:p w14:paraId="40AB7494">
                  <w:pPr>
                    <w:jc w:val="center"/>
                    <w:rPr>
                      <w:rFonts w:hint="eastAsia"/>
                      <w:bCs/>
                      <w:snapToGrid w:val="0"/>
                      <w:color w:val="auto"/>
                      <w:kern w:val="0"/>
                      <w:szCs w:val="21"/>
                      <w:highlight w:val="none"/>
                      <w:lang w:val="en-US" w:eastAsia="zh-CN"/>
                    </w:rPr>
                  </w:pPr>
                  <w:r>
                    <w:rPr>
                      <w:rFonts w:hint="eastAsia"/>
                      <w:bCs/>
                      <w:snapToGrid w:val="0"/>
                      <w:color w:val="auto"/>
                      <w:kern w:val="0"/>
                      <w:szCs w:val="21"/>
                      <w:highlight w:val="none"/>
                      <w:lang w:val="en-US" w:eastAsia="zh-CN"/>
                    </w:rPr>
                    <w:t>达标</w:t>
                  </w:r>
                </w:p>
              </w:tc>
            </w:tr>
          </w:tbl>
          <w:p w14:paraId="4D9A4BE4">
            <w:pPr>
              <w:pStyle w:val="12"/>
              <w:keepNext w:val="0"/>
              <w:keepLines w:val="0"/>
              <w:pageBreakBefore w:val="0"/>
              <w:widowControl/>
              <w:kinsoku/>
              <w:wordWrap/>
              <w:overflowPunct/>
              <w:topLinePunct w:val="0"/>
              <w:autoSpaceDE/>
              <w:autoSpaceDN/>
              <w:bidi w:val="0"/>
              <w:adjustRightInd/>
              <w:snapToGrid w:val="0"/>
              <w:spacing w:before="157" w:beforeLines="50" w:after="0" w:line="360" w:lineRule="auto"/>
              <w:ind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由上表可</w:t>
            </w:r>
            <w:r>
              <w:rPr>
                <w:rFonts w:hint="default" w:ascii="Times New Roman" w:hAnsi="Times New Roman" w:cs="Times New Roman" w:eastAsiaTheme="minorEastAsia"/>
                <w:color w:val="auto"/>
                <w:sz w:val="24"/>
                <w:szCs w:val="24"/>
              </w:rPr>
              <w:t>知，正常工况下，项目厂界噪声满足《工业企业厂界环境噪声排放标准》(GB12348.2008)2类</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4</w:t>
            </w:r>
            <w:r>
              <w:rPr>
                <w:rFonts w:hint="eastAsia" w:asciiTheme="minorEastAsia" w:hAnsiTheme="minorEastAsia" w:eastAsiaTheme="minorEastAsia" w:cstheme="minorEastAsia"/>
                <w:color w:val="auto"/>
                <w:sz w:val="24"/>
                <w:szCs w:val="24"/>
                <w:lang w:val="en-US" w:eastAsia="zh-CN"/>
              </w:rPr>
              <w:t>类</w:t>
            </w:r>
            <w:r>
              <w:rPr>
                <w:rFonts w:hint="eastAsia" w:asciiTheme="minorEastAsia" w:hAnsiTheme="minorEastAsia" w:eastAsiaTheme="minorEastAsia" w:cstheme="minorEastAsia"/>
                <w:color w:val="auto"/>
                <w:sz w:val="24"/>
                <w:szCs w:val="24"/>
              </w:rPr>
              <w:t>标准。</w:t>
            </w:r>
          </w:p>
          <w:p w14:paraId="08612F96">
            <w:pPr>
              <w:spacing w:line="360" w:lineRule="auto"/>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为保证厂界噪声</w:t>
            </w:r>
            <w:r>
              <w:rPr>
                <w:rFonts w:hint="eastAsia" w:asciiTheme="minorEastAsia" w:hAnsiTheme="minorEastAsia" w:eastAsiaTheme="minorEastAsia" w:cstheme="minorEastAsia"/>
                <w:bCs/>
                <w:color w:val="auto"/>
                <w:sz w:val="24"/>
                <w:szCs w:val="24"/>
                <w:lang w:val="en-US" w:eastAsia="zh-CN"/>
              </w:rPr>
              <w:t>环境</w:t>
            </w:r>
            <w:r>
              <w:rPr>
                <w:rFonts w:hint="eastAsia" w:asciiTheme="minorEastAsia" w:hAnsiTheme="minorEastAsia" w:eastAsiaTheme="minorEastAsia" w:cstheme="minorEastAsia"/>
                <w:bCs/>
                <w:color w:val="auto"/>
                <w:sz w:val="24"/>
                <w:szCs w:val="24"/>
              </w:rPr>
              <w:t>，保护厂界外居民点声环境质量，本环评提出以下噪声防治措施。噪声防治措施要求：</w:t>
            </w:r>
          </w:p>
          <w:p w14:paraId="2E5A82FC">
            <w:pPr>
              <w:spacing w:line="360" w:lineRule="auto"/>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工程噪声控制拟在满足工艺生产条件前提下，尽可能选用低噪声设备，对高噪声等动力噪声源设置隔声罩、进气口加装消声器；生产车间采用封闭式厂房或隔音室，同时，对噪声设备基础进行隔振、减震处理。工程还应从在平面布局考虑，强噪设备布置时应充分考虑强噪设备与厂界的距离及厂界噪声限值，布置位置尽可能远离厂界。采用以下噪声防治措施：</w:t>
            </w:r>
          </w:p>
          <w:p w14:paraId="6B9704A2">
            <w:pPr>
              <w:spacing w:line="360" w:lineRule="auto"/>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①在设备选型注意选择低噪声设备。在设备布局中除了满足工艺要求，考虑利用地形建筑物等障碍物降低噪声；</w:t>
            </w:r>
          </w:p>
          <w:p w14:paraId="747E0673">
            <w:pPr>
              <w:spacing w:line="360" w:lineRule="auto"/>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②设备的安装采用减振处理，风机可以安装消声器，风管连接采用软接；管道的固定要防止共振；</w:t>
            </w:r>
          </w:p>
          <w:p w14:paraId="4303805A">
            <w:pPr>
              <w:spacing w:line="360" w:lineRule="auto"/>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③维护好设备，使之保持良好的工作状态、加强设备润滑等措施降低生产设备噪声；</w:t>
            </w:r>
          </w:p>
          <w:p w14:paraId="6B7C40E8">
            <w:pPr>
              <w:spacing w:line="360" w:lineRule="auto"/>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④注意关好门窗，是有效的降噪办法。</w:t>
            </w:r>
          </w:p>
          <w:p w14:paraId="449368B5">
            <w:pPr>
              <w:spacing w:line="360" w:lineRule="auto"/>
              <w:ind w:firstLine="480" w:firstLineChars="200"/>
              <w:jc w:val="left"/>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经以上隔音降噪处理后，项目生产过程中所产生的噪声能达到《工业企业厂界环境噪声排放标准》(GB12348-2008)</w:t>
            </w:r>
            <w:r>
              <w:rPr>
                <w:rFonts w:hint="default" w:ascii="Times New Roman" w:hAnsi="Times New Roman" w:cs="Times New Roman" w:eastAsiaTheme="minorEastAsia"/>
                <w:bCs/>
                <w:color w:val="auto"/>
                <w:sz w:val="24"/>
                <w:szCs w:val="24"/>
              </w:rPr>
              <w:t>2 类</w:t>
            </w:r>
            <w:r>
              <w:rPr>
                <w:rFonts w:hint="eastAsia" w:ascii="Times New Roman" w:hAnsi="Times New Roman" w:cs="Times New Roman" w:eastAsiaTheme="minorEastAsia"/>
                <w:bCs/>
                <w:color w:val="auto"/>
                <w:sz w:val="24"/>
                <w:szCs w:val="24"/>
                <w:lang w:val="en-US" w:eastAsia="zh-CN"/>
              </w:rPr>
              <w:t>和4类</w:t>
            </w:r>
            <w:r>
              <w:rPr>
                <w:rFonts w:hint="default" w:ascii="Times New Roman" w:hAnsi="Times New Roman" w:cs="Times New Roman" w:eastAsiaTheme="minorEastAsia"/>
                <w:bCs/>
                <w:color w:val="auto"/>
                <w:sz w:val="24"/>
                <w:szCs w:val="24"/>
              </w:rPr>
              <w:t>标准要求。</w:t>
            </w:r>
          </w:p>
          <w:p w14:paraId="04AE619D">
            <w:pPr>
              <w:widowControl w:val="0"/>
              <w:bidi w:val="0"/>
              <w:spacing w:line="360" w:lineRule="auto"/>
              <w:ind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3、监测计划</w:t>
            </w:r>
          </w:p>
          <w:p w14:paraId="5BB2F7B0">
            <w:pPr>
              <w:widowControl/>
              <w:bidi w:val="0"/>
              <w:spacing w:line="360" w:lineRule="auto"/>
              <w:ind w:firstLine="480" w:firstLineChars="200"/>
              <w:jc w:val="left"/>
              <w:rPr>
                <w:rFonts w:hint="default" w:ascii="Times New Roman" w:hAnsi="Times New Roman" w:cs="Times New Roman" w:eastAsiaTheme="minorEastAsia"/>
                <w:bCs/>
                <w:color w:val="auto"/>
                <w:sz w:val="24"/>
                <w:szCs w:val="24"/>
                <w:lang w:eastAsia="zh-CN"/>
              </w:rPr>
            </w:pPr>
            <w:r>
              <w:rPr>
                <w:rFonts w:hint="default" w:ascii="Times New Roman" w:hAnsi="Times New Roman" w:cs="Times New Roman" w:eastAsiaTheme="minorEastAsia"/>
                <w:bCs/>
                <w:color w:val="auto"/>
                <w:sz w:val="24"/>
                <w:szCs w:val="24"/>
                <w:lang w:val="en-US" w:eastAsia="zh-CN"/>
              </w:rPr>
              <w:t>根据</w:t>
            </w:r>
            <w:r>
              <w:rPr>
                <w:rFonts w:hint="default" w:ascii="Times New Roman" w:hAnsi="Times New Roman" w:cs="Times New Roman" w:eastAsiaTheme="minorEastAsia"/>
                <w:bCs/>
                <w:color w:val="auto"/>
                <w:sz w:val="24"/>
                <w:szCs w:val="24"/>
              </w:rPr>
              <w:t>《排污许可证申请与核发技术规范总则》（HJ942-2018）</w:t>
            </w:r>
            <w:r>
              <w:rPr>
                <w:rFonts w:hint="default" w:ascii="Times New Roman" w:hAnsi="Times New Roman" w:cs="Times New Roman" w:eastAsiaTheme="minorEastAsia"/>
                <w:bCs/>
                <w:color w:val="auto"/>
                <w:sz w:val="24"/>
                <w:lang w:eastAsia="zh-CN"/>
              </w:rPr>
              <w:t>、</w:t>
            </w:r>
            <w:r>
              <w:rPr>
                <w:rFonts w:hint="default" w:ascii="Times New Roman" w:hAnsi="Times New Roman" w:cs="Times New Roman" w:eastAsiaTheme="minorEastAsia"/>
                <w:bCs/>
                <w:color w:val="auto"/>
                <w:sz w:val="24"/>
                <w:lang w:val="en-US" w:eastAsia="zh-CN"/>
              </w:rPr>
              <w:fldChar w:fldCharType="begin"/>
            </w:r>
            <w:r>
              <w:rPr>
                <w:rFonts w:hint="default" w:ascii="Times New Roman" w:hAnsi="Times New Roman" w:cs="Times New Roman" w:eastAsiaTheme="minorEastAsia"/>
                <w:bCs/>
                <w:color w:val="auto"/>
                <w:sz w:val="24"/>
                <w:lang w:val="en-US" w:eastAsia="zh-CN"/>
              </w:rPr>
              <w:instrText xml:space="preserve"> HYPERLINK "http://www.baidu.com/link?url=Jyo-cYxFSG-ilDfNq1jAY96Bfmz_qjL0G6ZK0GAtV24YnHRMOvhhmp0tBXGCMJty4JvnJV5k6tt9lqNm8waMwS6E_Ar_4m81RQKv7Pw6r_O" \t "https://www.baidu.com/_blank" </w:instrText>
            </w:r>
            <w:r>
              <w:rPr>
                <w:rFonts w:hint="default" w:ascii="Times New Roman" w:hAnsi="Times New Roman" w:cs="Times New Roman" w:eastAsiaTheme="minorEastAsia"/>
                <w:bCs/>
                <w:color w:val="auto"/>
                <w:sz w:val="24"/>
                <w:lang w:val="en-US" w:eastAsia="zh-CN"/>
              </w:rPr>
              <w:fldChar w:fldCharType="separate"/>
            </w:r>
            <w:r>
              <w:rPr>
                <w:rFonts w:hint="default" w:ascii="Times New Roman" w:hAnsi="Times New Roman" w:cs="Times New Roman" w:eastAsiaTheme="minorEastAsia"/>
                <w:bCs/>
                <w:color w:val="auto"/>
                <w:sz w:val="24"/>
                <w:lang w:val="en-US" w:eastAsia="zh-CN"/>
              </w:rPr>
              <w:t>《排污单位自行监测技术指南 总则》</w:t>
            </w:r>
            <w:r>
              <w:rPr>
                <w:rFonts w:hint="default" w:ascii="Times New Roman" w:hAnsi="Times New Roman" w:cs="Times New Roman" w:eastAsiaTheme="minorEastAsia"/>
                <w:bCs/>
                <w:color w:val="auto"/>
                <w:sz w:val="24"/>
                <w:lang w:val="en-US" w:eastAsia="zh-CN"/>
              </w:rPr>
              <w:fldChar w:fldCharType="end"/>
            </w:r>
            <w:r>
              <w:rPr>
                <w:rFonts w:hint="default" w:ascii="Times New Roman" w:hAnsi="Times New Roman" w:cs="Times New Roman" w:eastAsiaTheme="minorEastAsia"/>
                <w:bCs/>
                <w:color w:val="auto"/>
                <w:sz w:val="24"/>
                <w:szCs w:val="24"/>
              </w:rPr>
              <w:t>进行</w:t>
            </w:r>
            <w:r>
              <w:rPr>
                <w:rFonts w:hint="default" w:ascii="Times New Roman" w:hAnsi="Times New Roman" w:cs="Times New Roman" w:eastAsiaTheme="minorEastAsia"/>
                <w:bCs/>
                <w:color w:val="auto"/>
                <w:sz w:val="24"/>
                <w:szCs w:val="24"/>
                <w:lang w:eastAsia="zh-CN"/>
              </w:rPr>
              <w:t>，</w:t>
            </w:r>
            <w:r>
              <w:rPr>
                <w:rFonts w:hint="default" w:ascii="Times New Roman" w:hAnsi="Times New Roman" w:eastAsia="宋体" w:cs="Times New Roman"/>
                <w:color w:val="auto"/>
                <w:sz w:val="24"/>
                <w:szCs w:val="24"/>
                <w:highlight w:val="none"/>
              </w:rPr>
              <w:t>本项目废气污染物监测方案见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p>
          <w:p w14:paraId="2ECF31A5">
            <w:pPr>
              <w:widowControl w:val="0"/>
              <w:bidi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表4-</w:t>
            </w:r>
            <w:r>
              <w:rPr>
                <w:rFonts w:hint="eastAsia" w:cs="Times New Roman"/>
                <w:b/>
                <w:color w:val="auto"/>
                <w:kern w:val="2"/>
                <w:sz w:val="21"/>
                <w:szCs w:val="24"/>
                <w:lang w:val="en-US" w:eastAsia="zh-CN" w:bidi="ar-SA"/>
              </w:rPr>
              <w:t>9</w:t>
            </w:r>
            <w:r>
              <w:rPr>
                <w:rFonts w:hint="default" w:ascii="Times New Roman" w:hAnsi="Times New Roman" w:eastAsia="宋体" w:cs="Times New Roman"/>
                <w:b/>
                <w:color w:val="auto"/>
                <w:kern w:val="2"/>
                <w:sz w:val="21"/>
                <w:szCs w:val="24"/>
                <w:lang w:val="en-US" w:eastAsia="zh-CN" w:bidi="ar-SA"/>
              </w:rPr>
              <w:t>厂界环境噪声监测计划表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140"/>
              <w:gridCol w:w="1426"/>
              <w:gridCol w:w="3536"/>
            </w:tblGrid>
            <w:tr w14:paraId="14714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 w:type="pct"/>
                  <w:tcBorders>
                    <w:tl2br w:val="nil"/>
                    <w:tr2bl w:val="nil"/>
                  </w:tcBorders>
                  <w:noWrap w:val="0"/>
                  <w:vAlign w:val="center"/>
                </w:tcPr>
                <w:p w14:paraId="65B4440B">
                  <w:pPr>
                    <w:widowControl w:val="0"/>
                    <w:bidi w:val="0"/>
                    <w:snapToGrid/>
                    <w:spacing w:line="264" w:lineRule="auto"/>
                    <w:ind w:left="18" w:leftChars="9" w:right="18" w:rightChars="9"/>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监测项目</w:t>
                  </w:r>
                </w:p>
              </w:tc>
              <w:tc>
                <w:tcPr>
                  <w:tcW w:w="1233" w:type="pct"/>
                  <w:tcBorders>
                    <w:tl2br w:val="nil"/>
                    <w:tr2bl w:val="nil"/>
                  </w:tcBorders>
                  <w:noWrap w:val="0"/>
                  <w:vAlign w:val="center"/>
                </w:tcPr>
                <w:p w14:paraId="2BE0B642">
                  <w:pPr>
                    <w:widowControl w:val="0"/>
                    <w:bidi w:val="0"/>
                    <w:snapToGrid/>
                    <w:spacing w:line="264" w:lineRule="auto"/>
                    <w:ind w:left="18" w:leftChars="9" w:right="18" w:rightChars="9"/>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监测指标</w:t>
                  </w:r>
                </w:p>
              </w:tc>
              <w:tc>
                <w:tcPr>
                  <w:tcW w:w="822" w:type="pct"/>
                  <w:tcBorders>
                    <w:tl2br w:val="nil"/>
                    <w:tr2bl w:val="nil"/>
                  </w:tcBorders>
                  <w:noWrap w:val="0"/>
                  <w:vAlign w:val="center"/>
                </w:tcPr>
                <w:p w14:paraId="6DC1680C">
                  <w:pPr>
                    <w:widowControl w:val="0"/>
                    <w:bidi w:val="0"/>
                    <w:snapToGrid/>
                    <w:spacing w:line="264" w:lineRule="auto"/>
                    <w:ind w:left="18" w:leftChars="9" w:right="18" w:rightChars="9"/>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监测频率</w:t>
                  </w:r>
                </w:p>
              </w:tc>
              <w:tc>
                <w:tcPr>
                  <w:tcW w:w="2038" w:type="pct"/>
                  <w:tcBorders>
                    <w:tl2br w:val="nil"/>
                    <w:tr2bl w:val="nil"/>
                  </w:tcBorders>
                  <w:noWrap w:val="0"/>
                  <w:vAlign w:val="center"/>
                </w:tcPr>
                <w:p w14:paraId="7E52C2CF">
                  <w:pPr>
                    <w:widowControl w:val="0"/>
                    <w:bidi w:val="0"/>
                    <w:snapToGrid/>
                    <w:spacing w:line="264" w:lineRule="auto"/>
                    <w:ind w:left="18" w:leftChars="9" w:right="18" w:rightChars="9"/>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执行标准</w:t>
                  </w:r>
                </w:p>
              </w:tc>
            </w:tr>
            <w:tr w14:paraId="03E3F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6" w:type="pct"/>
                  <w:tcBorders>
                    <w:tl2br w:val="nil"/>
                    <w:tr2bl w:val="nil"/>
                  </w:tcBorders>
                  <w:noWrap w:val="0"/>
                  <w:vAlign w:val="center"/>
                </w:tcPr>
                <w:p w14:paraId="23B8EA36">
                  <w:pPr>
                    <w:widowControl w:val="0"/>
                    <w:bidi w:val="0"/>
                    <w:snapToGrid/>
                    <w:spacing w:line="264" w:lineRule="auto"/>
                    <w:ind w:left="18" w:leftChars="9" w:right="18"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厂界噪声</w:t>
                  </w:r>
                </w:p>
              </w:tc>
              <w:tc>
                <w:tcPr>
                  <w:tcW w:w="1233" w:type="pct"/>
                  <w:tcBorders>
                    <w:tl2br w:val="nil"/>
                    <w:tr2bl w:val="nil"/>
                  </w:tcBorders>
                  <w:noWrap w:val="0"/>
                  <w:vAlign w:val="center"/>
                </w:tcPr>
                <w:p w14:paraId="1AAFE2F7">
                  <w:pPr>
                    <w:widowControl w:val="0"/>
                    <w:bidi w:val="0"/>
                    <w:snapToGrid/>
                    <w:spacing w:line="264" w:lineRule="auto"/>
                    <w:ind w:left="18" w:leftChars="9" w:right="18"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等效连续A声级</w:t>
                  </w:r>
                </w:p>
              </w:tc>
              <w:tc>
                <w:tcPr>
                  <w:tcW w:w="822" w:type="pct"/>
                  <w:tcBorders>
                    <w:tl2br w:val="nil"/>
                    <w:tr2bl w:val="nil"/>
                  </w:tcBorders>
                  <w:noWrap w:val="0"/>
                  <w:vAlign w:val="center"/>
                </w:tcPr>
                <w:p w14:paraId="1F139DCD">
                  <w:pPr>
                    <w:widowControl w:val="0"/>
                    <w:bidi w:val="0"/>
                    <w:snapToGrid/>
                    <w:spacing w:line="264" w:lineRule="auto"/>
                    <w:ind w:left="18" w:leftChars="9" w:right="18"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1次/季度</w:t>
                  </w:r>
                </w:p>
              </w:tc>
              <w:tc>
                <w:tcPr>
                  <w:tcW w:w="2038" w:type="pct"/>
                  <w:tcBorders>
                    <w:tl2br w:val="nil"/>
                    <w:tr2bl w:val="nil"/>
                  </w:tcBorders>
                  <w:noWrap w:val="0"/>
                  <w:vAlign w:val="center"/>
                </w:tcPr>
                <w:p w14:paraId="3B0C8FCA">
                  <w:pPr>
                    <w:widowControl w:val="0"/>
                    <w:bidi w:val="0"/>
                    <w:snapToGrid/>
                    <w:spacing w:line="264" w:lineRule="auto"/>
                    <w:ind w:left="18" w:leftChars="9" w:right="18" w:rightChars="9"/>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《工业企业厂界环境噪声排放标准》</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 12348-2008</w:t>
                  </w:r>
                  <w:r>
                    <w:rPr>
                      <w:rFonts w:hint="eastAsia" w:ascii="Times New Roman" w:hAnsi="Times New Roman" w:eastAsia="宋体" w:cs="Times New Roman"/>
                      <w:color w:val="auto"/>
                      <w:kern w:val="2"/>
                      <w:sz w:val="21"/>
                      <w:szCs w:val="21"/>
                      <w:lang w:val="en-US" w:eastAsia="zh-CN" w:bidi="ar-SA"/>
                    </w:rPr>
                    <w:t>）</w:t>
                  </w:r>
                </w:p>
              </w:tc>
            </w:tr>
          </w:tbl>
          <w:p w14:paraId="29CBC5B3">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（四）固体废物</w:t>
            </w:r>
          </w:p>
          <w:p w14:paraId="755524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一般固废</w:t>
            </w:r>
          </w:p>
          <w:p w14:paraId="7C9A7D69">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sz w:val="24"/>
                <w:szCs w:val="24"/>
                <w:highlight w:val="none"/>
                <w:lang w:val="en-US" w:eastAsia="zh-CN"/>
              </w:rPr>
            </w:pPr>
            <w:r>
              <w:rPr>
                <w:rFonts w:hint="default"/>
                <w:color w:val="auto"/>
                <w:sz w:val="24"/>
                <w:szCs w:val="24"/>
                <w:highlight w:val="none"/>
              </w:rPr>
              <w:t>①</w:t>
            </w:r>
            <w:r>
              <w:rPr>
                <w:rFonts w:hint="eastAsia"/>
                <w:color w:val="auto"/>
                <w:sz w:val="24"/>
                <w:szCs w:val="24"/>
                <w:highlight w:val="none"/>
                <w:lang w:val="en-US" w:eastAsia="zh-CN"/>
              </w:rPr>
              <w:t>不合格钢瓶</w:t>
            </w:r>
          </w:p>
          <w:p w14:paraId="513FEF2A">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eastAsia="宋体"/>
                <w:color w:val="auto"/>
                <w:sz w:val="24"/>
                <w:szCs w:val="24"/>
                <w:highlight w:val="none"/>
                <w:lang w:eastAsia="zh-CN"/>
              </w:rPr>
            </w:pPr>
            <w:r>
              <w:rPr>
                <w:color w:val="auto"/>
                <w:sz w:val="24"/>
                <w:szCs w:val="24"/>
                <w:highlight w:val="none"/>
              </w:rPr>
              <w:t>本项目在对液化气罐瓶进行抽残、灌装前需对钢瓶进行初步检查。根据项目销售规格，不合格钢瓶以灌装罐瓶数的0.5%计，项目评价每天罐瓶</w:t>
            </w:r>
            <w:r>
              <w:rPr>
                <w:rFonts w:hint="eastAsia"/>
                <w:color w:val="auto"/>
                <w:sz w:val="24"/>
                <w:szCs w:val="24"/>
                <w:highlight w:val="none"/>
                <w:lang w:val="en-US" w:eastAsia="zh-CN"/>
              </w:rPr>
              <w:t>700</w:t>
            </w:r>
            <w:r>
              <w:rPr>
                <w:color w:val="auto"/>
                <w:sz w:val="24"/>
                <w:szCs w:val="24"/>
                <w:highlight w:val="none"/>
              </w:rPr>
              <w:t>瓶/天，则产生量约为</w:t>
            </w:r>
            <w:r>
              <w:rPr>
                <w:rFonts w:hint="eastAsia"/>
                <w:color w:val="auto"/>
                <w:sz w:val="24"/>
                <w:szCs w:val="24"/>
                <w:highlight w:val="none"/>
                <w:lang w:val="en-US" w:eastAsia="zh-CN"/>
              </w:rPr>
              <w:t>1205</w:t>
            </w:r>
            <w:r>
              <w:rPr>
                <w:color w:val="auto"/>
                <w:sz w:val="24"/>
                <w:szCs w:val="24"/>
                <w:highlight w:val="none"/>
              </w:rPr>
              <w:t>个/年，为一般固废。对</w:t>
            </w:r>
            <w:r>
              <w:rPr>
                <w:rFonts w:ascii="Times New Roman" w:hAnsi="Times New Roman" w:eastAsia="宋体" w:cs="Times New Roman"/>
                <w:color w:val="auto"/>
                <w:sz w:val="24"/>
                <w:szCs w:val="24"/>
                <w:highlight w:val="none"/>
              </w:rPr>
              <w:t>不合格钢瓶抽出残液后，收集后由钢瓶检测中心回收，由检测中心处理后外售给废钢</w:t>
            </w:r>
            <w:r>
              <w:rPr>
                <w:rFonts w:hint="eastAsia" w:ascii="Times New Roman" w:hAnsi="Times New Roman" w:eastAsia="宋体" w:cs="Times New Roman"/>
                <w:color w:val="auto"/>
                <w:sz w:val="24"/>
                <w:szCs w:val="24"/>
                <w:highlight w:val="none"/>
                <w:lang w:eastAsia="zh-CN"/>
              </w:rPr>
              <w:t>。</w:t>
            </w:r>
          </w:p>
          <w:p w14:paraId="384549BB">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sz w:val="24"/>
                <w:szCs w:val="24"/>
                <w:highlight w:val="none"/>
                <w:lang w:val="en-US" w:eastAsia="zh-CN"/>
              </w:rPr>
            </w:pPr>
            <w:r>
              <w:rPr>
                <w:rFonts w:hint="default"/>
                <w:color w:val="auto"/>
                <w:sz w:val="24"/>
                <w:szCs w:val="24"/>
                <w:highlight w:val="none"/>
              </w:rPr>
              <w:t>②</w:t>
            </w:r>
            <w:r>
              <w:rPr>
                <w:rFonts w:hint="eastAsia"/>
                <w:color w:val="auto"/>
                <w:sz w:val="24"/>
                <w:szCs w:val="24"/>
                <w:highlight w:val="none"/>
                <w:lang w:val="en-US" w:eastAsia="zh-CN"/>
              </w:rPr>
              <w:t>生活垃圾、废油脂</w:t>
            </w:r>
          </w:p>
          <w:p w14:paraId="2CFB1A16">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sz w:val="24"/>
                <w:szCs w:val="24"/>
                <w:highlight w:val="none"/>
              </w:rPr>
            </w:pPr>
            <w:r>
              <w:rPr>
                <w:rFonts w:hint="default"/>
                <w:color w:val="auto"/>
                <w:sz w:val="24"/>
                <w:szCs w:val="24"/>
                <w:highlight w:val="none"/>
              </w:rPr>
              <w:t>本项目项目职工定员</w:t>
            </w:r>
            <w:r>
              <w:rPr>
                <w:rFonts w:hint="eastAsia"/>
                <w:color w:val="auto"/>
                <w:sz w:val="24"/>
                <w:szCs w:val="24"/>
                <w:highlight w:val="none"/>
                <w:lang w:val="en-US" w:eastAsia="zh-CN"/>
              </w:rPr>
              <w:t>25</w:t>
            </w:r>
            <w:r>
              <w:rPr>
                <w:rFonts w:hint="default"/>
                <w:color w:val="auto"/>
                <w:sz w:val="24"/>
                <w:szCs w:val="24"/>
                <w:highlight w:val="none"/>
              </w:rPr>
              <w:t>人，生活垃圾产生量按1kg/d计，则本项目生活垃圾的产生量为</w:t>
            </w:r>
            <w:r>
              <w:rPr>
                <w:rFonts w:hint="eastAsia"/>
                <w:color w:val="auto"/>
                <w:sz w:val="24"/>
                <w:szCs w:val="24"/>
                <w:highlight w:val="none"/>
                <w:lang w:val="en-US" w:eastAsia="zh-CN"/>
              </w:rPr>
              <w:t>25</w:t>
            </w:r>
            <w:r>
              <w:rPr>
                <w:rFonts w:hint="default"/>
                <w:color w:val="auto"/>
                <w:sz w:val="24"/>
                <w:szCs w:val="24"/>
                <w:highlight w:val="none"/>
              </w:rPr>
              <w:t>kg/d（约</w:t>
            </w:r>
            <w:r>
              <w:rPr>
                <w:rFonts w:hint="eastAsia"/>
                <w:color w:val="auto"/>
                <w:sz w:val="24"/>
                <w:szCs w:val="24"/>
                <w:highlight w:val="none"/>
                <w:lang w:val="en-US" w:eastAsia="zh-CN"/>
              </w:rPr>
              <w:t>9.125</w:t>
            </w:r>
            <w:r>
              <w:rPr>
                <w:rFonts w:hint="default"/>
                <w:color w:val="auto"/>
                <w:sz w:val="24"/>
                <w:szCs w:val="24"/>
                <w:highlight w:val="none"/>
              </w:rPr>
              <w:t>t/a）。项目生活垃圾统一收集后由环卫部门进行无害化处理。</w:t>
            </w:r>
          </w:p>
          <w:p w14:paraId="2CE0FA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食堂废油脂:食堂设置隔油设施和油烟净化设施，隔油设施和油烟净化设施定期清理产生废油脂，根据油烟核算可知油烟净化设施收集废油脂约</w:t>
            </w:r>
            <w:r>
              <w:rPr>
                <w:rFonts w:hint="eastAsia" w:ascii="Times New Roman" w:hAnsi="Times New Roman" w:cs="Times New Roman"/>
                <w:color w:val="auto"/>
                <w:sz w:val="24"/>
                <w:lang w:val="en-US" w:eastAsia="zh-CN"/>
              </w:rPr>
              <w:t>0.0058t</w:t>
            </w:r>
            <w:r>
              <w:rPr>
                <w:rFonts w:hint="eastAsia" w:ascii="Times New Roman" w:hAnsi="Times New Roman" w:eastAsia="宋体" w:cs="Times New Roman"/>
                <w:color w:val="auto"/>
                <w:sz w:val="24"/>
                <w:lang w:val="en-US" w:eastAsia="zh-CN"/>
              </w:rPr>
              <w:t>/a</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隔油设施对食堂废水进行油水分离，运营期项目用油量为</w:t>
            </w:r>
            <w:r>
              <w:rPr>
                <w:rFonts w:hint="eastAsia" w:ascii="Times New Roman" w:hAnsi="Times New Roman" w:cs="Times New Roman"/>
                <w:color w:val="auto"/>
                <w:sz w:val="24"/>
                <w:lang w:val="en-US" w:eastAsia="zh-CN"/>
              </w:rPr>
              <w:t>0.27</w:t>
            </w:r>
            <w:r>
              <w:rPr>
                <w:rFonts w:hint="eastAsia" w:ascii="Times New Roman" w:hAnsi="Times New Roman" w:eastAsia="宋体" w:cs="Times New Roman"/>
                <w:color w:val="auto"/>
                <w:sz w:val="24"/>
                <w:lang w:val="en-US" w:eastAsia="zh-CN"/>
              </w:rPr>
              <w:t>t/a，按照食用油量的 10%进入食堂废水中，隔油设施除油大约50%，则油水分离设施可产生废油脂约0.</w:t>
            </w:r>
            <w:r>
              <w:rPr>
                <w:rFonts w:hint="eastAsia" w:ascii="Times New Roman" w:hAnsi="Times New Roman" w:cs="Times New Roman"/>
                <w:color w:val="auto"/>
                <w:sz w:val="24"/>
                <w:lang w:val="en-US" w:eastAsia="zh-CN"/>
              </w:rPr>
              <w:t>0</w:t>
            </w:r>
            <w:r>
              <w:rPr>
                <w:rFonts w:hint="eastAsia" w:ascii="Times New Roman" w:hAnsi="Times New Roman" w:eastAsia="宋体" w:cs="Times New Roman"/>
                <w:color w:val="auto"/>
                <w:sz w:val="24"/>
                <w:lang w:val="en-US" w:eastAsia="zh-CN"/>
              </w:rPr>
              <w:t>135t/a，则项目完成后废油脂产生量为0.</w:t>
            </w:r>
            <w:r>
              <w:rPr>
                <w:rFonts w:hint="eastAsia" w:ascii="Times New Roman" w:hAnsi="Times New Roman" w:cs="Times New Roman"/>
                <w:color w:val="auto"/>
                <w:sz w:val="24"/>
                <w:lang w:val="en-US" w:eastAsia="zh-CN"/>
              </w:rPr>
              <w:t>0</w:t>
            </w:r>
            <w:r>
              <w:rPr>
                <w:rFonts w:hint="eastAsia" w:ascii="Times New Roman" w:hAnsi="Times New Roman" w:eastAsia="宋体" w:cs="Times New Roman"/>
                <w:color w:val="auto"/>
                <w:sz w:val="24"/>
                <w:lang w:val="en-US" w:eastAsia="zh-CN"/>
              </w:rPr>
              <w:t>1</w:t>
            </w:r>
            <w:r>
              <w:rPr>
                <w:rFonts w:hint="eastAsia" w:ascii="Times New Roman" w:hAnsi="Times New Roman" w:cs="Times New Roman"/>
                <w:color w:val="auto"/>
                <w:sz w:val="24"/>
                <w:lang w:val="en-US" w:eastAsia="zh-CN"/>
              </w:rPr>
              <w:t>93</w:t>
            </w:r>
            <w:r>
              <w:rPr>
                <w:rFonts w:hint="eastAsia" w:ascii="Times New Roman" w:hAnsi="Times New Roman" w:eastAsia="宋体" w:cs="Times New Roman"/>
                <w:color w:val="auto"/>
                <w:sz w:val="24"/>
                <w:lang w:val="en-US" w:eastAsia="zh-CN"/>
              </w:rPr>
              <w:t>t/a。废油脂采用容器盛装暂存后委托相关单位妥善处置</w:t>
            </w:r>
            <w:r>
              <w:rPr>
                <w:rFonts w:hint="eastAsia" w:ascii="Times New Roman" w:hAnsi="Times New Roman" w:cs="Times New Roman"/>
                <w:color w:val="auto"/>
                <w:sz w:val="24"/>
                <w:lang w:val="en-US" w:eastAsia="zh-CN"/>
              </w:rPr>
              <w:t>。</w:t>
            </w:r>
          </w:p>
          <w:p w14:paraId="3679DB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（2）危险废物</w:t>
            </w:r>
          </w:p>
          <w:p w14:paraId="0AB33520">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auto"/>
                <w:sz w:val="24"/>
                <w:szCs w:val="24"/>
                <w:highlight w:val="none"/>
                <w:lang w:val="en-US" w:eastAsia="zh-CN"/>
              </w:rPr>
            </w:pPr>
            <w:r>
              <w:rPr>
                <w:rFonts w:hint="default"/>
                <w:color w:val="auto"/>
                <w:sz w:val="24"/>
                <w:szCs w:val="24"/>
                <w:highlight w:val="none"/>
              </w:rPr>
              <w:t>①</w:t>
            </w:r>
            <w:r>
              <w:rPr>
                <w:rFonts w:hint="eastAsia"/>
                <w:color w:val="auto"/>
                <w:sz w:val="24"/>
                <w:szCs w:val="24"/>
                <w:highlight w:val="none"/>
                <w:lang w:val="en-US" w:eastAsia="zh-CN"/>
              </w:rPr>
              <w:t>残液</w:t>
            </w:r>
          </w:p>
          <w:p w14:paraId="372D3BC0">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rPr>
            </w:pPr>
            <w:r>
              <w:rPr>
                <w:color w:val="auto"/>
                <w:sz w:val="24"/>
                <w:szCs w:val="24"/>
                <w:highlight w:val="none"/>
              </w:rPr>
              <w:t>本项目液化石油气储罐、钢瓶回收会产生液化残液，产生的残液通过管道连接利用压力排至</w:t>
            </w:r>
            <w:r>
              <w:rPr>
                <w:rFonts w:hint="eastAsia"/>
                <w:color w:val="auto"/>
                <w:sz w:val="24"/>
                <w:szCs w:val="24"/>
                <w:highlight w:val="none"/>
                <w:lang w:val="en-US" w:eastAsia="zh-CN"/>
              </w:rPr>
              <w:t>50</w:t>
            </w:r>
            <w:r>
              <w:rPr>
                <w:color w:val="auto"/>
                <w:sz w:val="24"/>
                <w:szCs w:val="24"/>
                <w:highlight w:val="none"/>
              </w:rPr>
              <w:t>m</w:t>
            </w:r>
            <w:r>
              <w:rPr>
                <w:color w:val="auto"/>
                <w:sz w:val="24"/>
                <w:szCs w:val="24"/>
                <w:highlight w:val="none"/>
                <w:vertAlign w:val="superscript"/>
              </w:rPr>
              <w:t>3</w:t>
            </w:r>
            <w:r>
              <w:rPr>
                <w:color w:val="auto"/>
                <w:sz w:val="24"/>
                <w:szCs w:val="24"/>
                <w:highlight w:val="none"/>
              </w:rPr>
              <w:t>的残液罐回收，液化气残液产生量按年销售量的</w:t>
            </w:r>
            <w:r>
              <w:rPr>
                <w:rFonts w:hint="eastAsia"/>
                <w:color w:val="auto"/>
                <w:sz w:val="24"/>
                <w:szCs w:val="24"/>
                <w:highlight w:val="none"/>
                <w:lang w:val="en-US" w:eastAsia="zh-CN"/>
              </w:rPr>
              <w:t>1</w:t>
            </w:r>
            <w:r>
              <w:rPr>
                <w:color w:val="auto"/>
                <w:sz w:val="24"/>
                <w:szCs w:val="24"/>
                <w:highlight w:val="none"/>
              </w:rPr>
              <w:t>%计，约为</w:t>
            </w:r>
            <w:r>
              <w:rPr>
                <w:rFonts w:hint="eastAsia"/>
                <w:color w:val="auto"/>
                <w:sz w:val="24"/>
                <w:szCs w:val="24"/>
                <w:highlight w:val="none"/>
                <w:lang w:val="en-US" w:eastAsia="zh-CN"/>
              </w:rPr>
              <w:t>43.20</w:t>
            </w:r>
            <w:r>
              <w:rPr>
                <w:color w:val="auto"/>
                <w:sz w:val="24"/>
                <w:szCs w:val="24"/>
                <w:highlight w:val="none"/>
              </w:rPr>
              <w:t>t/a</w:t>
            </w:r>
            <w:r>
              <w:rPr>
                <w:color w:val="auto"/>
                <w:sz w:val="24"/>
                <w:szCs w:val="24"/>
                <w:highlight w:val="none"/>
              </w:rPr>
              <w:t>，每年清理2次，此部分残液主要为液态石油气，残液属于《国家危险废物管理名录》中HW09烃水混合物900-0</w:t>
            </w:r>
            <w:r>
              <w:rPr>
                <w:rFonts w:hint="eastAsia"/>
                <w:color w:val="auto"/>
                <w:sz w:val="24"/>
                <w:szCs w:val="24"/>
                <w:highlight w:val="none"/>
                <w:lang w:val="en-US" w:eastAsia="zh-CN"/>
              </w:rPr>
              <w:t>0</w:t>
            </w:r>
            <w:r>
              <w:rPr>
                <w:color w:val="auto"/>
                <w:sz w:val="24"/>
                <w:szCs w:val="24"/>
                <w:highlight w:val="none"/>
              </w:rPr>
              <w:t>7-09。本项目设1个</w:t>
            </w:r>
            <w:r>
              <w:rPr>
                <w:rFonts w:hint="eastAsia"/>
                <w:color w:val="auto"/>
                <w:sz w:val="24"/>
                <w:szCs w:val="24"/>
                <w:highlight w:val="none"/>
                <w:lang w:val="en-US" w:eastAsia="zh-CN"/>
              </w:rPr>
              <w:t>50</w:t>
            </w:r>
            <w:r>
              <w:rPr>
                <w:color w:val="auto"/>
                <w:sz w:val="24"/>
                <w:szCs w:val="24"/>
                <w:highlight w:val="none"/>
              </w:rPr>
              <w:t>m</w:t>
            </w:r>
            <w:r>
              <w:rPr>
                <w:color w:val="auto"/>
                <w:sz w:val="24"/>
                <w:szCs w:val="24"/>
                <w:highlight w:val="none"/>
                <w:vertAlign w:val="superscript"/>
              </w:rPr>
              <w:t>3</w:t>
            </w:r>
            <w:r>
              <w:rPr>
                <w:color w:val="auto"/>
                <w:sz w:val="24"/>
                <w:szCs w:val="24"/>
                <w:highlight w:val="none"/>
              </w:rPr>
              <w:t>残液罐对液化气残余物和残液进行收集，经收</w:t>
            </w:r>
            <w:r>
              <w:rPr>
                <w:rFonts w:hint="default" w:ascii="Times New Roman" w:hAnsi="Times New Roman" w:eastAsia="宋体" w:cs="Times New Roman"/>
                <w:color w:val="auto"/>
                <w:sz w:val="24"/>
                <w:szCs w:val="24"/>
                <w:highlight w:val="none"/>
              </w:rPr>
              <w:t>集后</w:t>
            </w:r>
            <w:r>
              <w:rPr>
                <w:rFonts w:hint="eastAsia" w:cs="Times New Roman"/>
                <w:color w:val="auto"/>
                <w:sz w:val="24"/>
                <w:szCs w:val="24"/>
                <w:lang w:val="en-US" w:eastAsia="zh-CN"/>
              </w:rPr>
              <w:t>定期交由有资质单位处理</w:t>
            </w:r>
            <w:r>
              <w:rPr>
                <w:rFonts w:hint="default" w:ascii="Times New Roman" w:hAnsi="Times New Roman" w:eastAsia="宋体" w:cs="Times New Roman"/>
                <w:color w:val="auto"/>
                <w:sz w:val="24"/>
                <w:szCs w:val="24"/>
                <w:highlight w:val="none"/>
              </w:rPr>
              <w:t>。</w:t>
            </w:r>
          </w:p>
          <w:p w14:paraId="29AA93A9">
            <w:pPr>
              <w:pStyle w:val="90"/>
              <w:bidi w:val="0"/>
              <w:rPr>
                <w:rFonts w:hint="default" w:ascii="Times New Roman" w:hAnsi="Times New Roman" w:cs="Times New Roman"/>
                <w:color w:val="auto"/>
                <w:spacing w:val="0"/>
                <w:lang w:val="zh-CN"/>
              </w:rPr>
            </w:pPr>
            <w:r>
              <w:rPr>
                <w:rFonts w:hint="eastAsia" w:ascii="Times New Roman" w:hAnsi="Times New Roman" w:cs="Times New Roman"/>
                <w:color w:val="auto"/>
                <w:spacing w:val="0"/>
                <w:sz w:val="24"/>
                <w:lang w:val="en-US" w:eastAsia="zh-CN"/>
              </w:rPr>
              <w:t>②</w:t>
            </w:r>
            <w:r>
              <w:rPr>
                <w:rFonts w:hint="default" w:ascii="Times New Roman" w:hAnsi="Times New Roman" w:cs="Times New Roman"/>
                <w:color w:val="auto"/>
                <w:spacing w:val="0"/>
                <w:sz w:val="24"/>
                <w:lang w:val="en-US" w:eastAsia="zh-CN"/>
              </w:rPr>
              <w:t>废机油</w:t>
            </w:r>
          </w:p>
          <w:p w14:paraId="1F6AF048">
            <w:pPr>
              <w:pStyle w:val="90"/>
              <w:bidi w:val="0"/>
              <w:rPr>
                <w:rFonts w:hint="default" w:ascii="Times New Roman" w:hAnsi="Times New Roman" w:eastAsia="宋体" w:cs="Times New Roman"/>
                <w:color w:val="auto"/>
                <w:spacing w:val="0"/>
                <w:sz w:val="24"/>
                <w:szCs w:val="24"/>
                <w:lang w:val="zh-CN" w:eastAsia="zh-CN"/>
              </w:rPr>
            </w:pPr>
            <w:r>
              <w:rPr>
                <w:rFonts w:hint="default" w:ascii="Times New Roman" w:hAnsi="Times New Roman" w:cs="Times New Roman"/>
                <w:color w:val="auto"/>
                <w:spacing w:val="0"/>
                <w:sz w:val="24"/>
                <w:szCs w:val="24"/>
              </w:rPr>
              <w:t>项目</w:t>
            </w:r>
            <w:r>
              <w:rPr>
                <w:rFonts w:hint="default" w:ascii="Times New Roman" w:hAnsi="Times New Roman" w:cs="Times New Roman"/>
                <w:color w:val="auto"/>
                <w:spacing w:val="0"/>
                <w:lang w:val="en-US" w:eastAsia="zh-CN"/>
              </w:rPr>
              <w:t>设备维修为委托外来专业维修工程师处理，维修工序会产生废机油，根据企业经验数据与台账资料，本项目废机油产生量为0.1t/a。</w:t>
            </w:r>
            <w:r>
              <w:rPr>
                <w:rFonts w:hint="default" w:ascii="Times New Roman" w:hAnsi="Times New Roman" w:eastAsia="宋体" w:cs="Times New Roman"/>
                <w:color w:val="auto"/>
                <w:spacing w:val="0"/>
                <w:sz w:val="24"/>
                <w:szCs w:val="24"/>
                <w:lang w:val="en-US" w:eastAsia="zh-CN"/>
              </w:rPr>
              <w:t>根据《国家危险废物名录》（2021年版），</w:t>
            </w:r>
            <w:r>
              <w:rPr>
                <w:rFonts w:hint="default" w:ascii="Times New Roman" w:hAnsi="Times New Roman" w:cs="Times New Roman"/>
                <w:color w:val="auto"/>
                <w:spacing w:val="0"/>
                <w:lang w:val="en-US" w:eastAsia="zh-CN"/>
              </w:rPr>
              <w:t>废机油</w:t>
            </w:r>
            <w:r>
              <w:rPr>
                <w:rFonts w:hint="default" w:ascii="Times New Roman" w:hAnsi="Times New Roman" w:cs="Times New Roman"/>
                <w:color w:val="auto"/>
                <w:spacing w:val="0"/>
              </w:rPr>
              <w:t>属于HW08危险废物</w:t>
            </w:r>
            <w:r>
              <w:rPr>
                <w:rFonts w:hint="default" w:ascii="Times New Roman" w:hAnsi="Times New Roman" w:eastAsia="宋体" w:cs="Times New Roman"/>
                <w:color w:val="auto"/>
                <w:spacing w:val="0"/>
                <w:sz w:val="24"/>
                <w:szCs w:val="24"/>
                <w:lang w:val="en-US" w:eastAsia="zh-CN"/>
              </w:rPr>
              <w:t>（废物代码900-214-08）</w:t>
            </w:r>
            <w:r>
              <w:rPr>
                <w:rFonts w:hint="default" w:ascii="Times New Roman" w:hAnsi="Times New Roman" w:cs="Times New Roman"/>
                <w:color w:val="auto"/>
                <w:spacing w:val="0"/>
              </w:rPr>
              <w:t>，定期交由有危险废物处理资质的单位处理</w:t>
            </w:r>
            <w:r>
              <w:rPr>
                <w:rFonts w:hint="default" w:ascii="Times New Roman" w:hAnsi="Times New Roman" w:eastAsia="宋体" w:cs="Times New Roman"/>
                <w:color w:val="auto"/>
                <w:spacing w:val="0"/>
                <w:sz w:val="24"/>
                <w:szCs w:val="24"/>
                <w:lang w:val="zh-CN" w:eastAsia="zh-CN"/>
              </w:rPr>
              <w:t>。</w:t>
            </w:r>
          </w:p>
          <w:p w14:paraId="7DACD514">
            <w:pPr>
              <w:pStyle w:val="90"/>
              <w:bidi w:val="0"/>
              <w:rPr>
                <w:rFonts w:hint="default" w:ascii="Times New Roman" w:hAnsi="Times New Roman" w:cs="Times New Roman"/>
                <w:color w:val="auto"/>
                <w:spacing w:val="0"/>
                <w:lang w:val="zh-CN"/>
              </w:rPr>
            </w:pPr>
            <w:r>
              <w:rPr>
                <w:rFonts w:hint="eastAsia" w:ascii="Times New Roman" w:hAnsi="Times New Roman" w:cs="Times New Roman"/>
                <w:color w:val="auto"/>
                <w:spacing w:val="0"/>
                <w:sz w:val="24"/>
                <w:lang w:val="en-US" w:eastAsia="zh-CN"/>
              </w:rPr>
              <w:t>③</w:t>
            </w:r>
            <w:r>
              <w:rPr>
                <w:rFonts w:hint="default" w:ascii="Times New Roman" w:hAnsi="Times New Roman" w:cs="Times New Roman"/>
                <w:color w:val="auto"/>
                <w:spacing w:val="0"/>
                <w:sz w:val="24"/>
                <w:lang w:val="en-US" w:eastAsia="zh-CN"/>
              </w:rPr>
              <w:t>废含油抹布</w:t>
            </w:r>
          </w:p>
          <w:p w14:paraId="3F84309E">
            <w:pPr>
              <w:pStyle w:val="90"/>
              <w:bidi w:val="0"/>
              <w:rPr>
                <w:rFonts w:hint="default" w:ascii="Times New Roman" w:hAnsi="Times New Roman" w:eastAsia="宋体" w:cs="Times New Roman"/>
                <w:color w:val="auto"/>
                <w:spacing w:val="0"/>
                <w:sz w:val="24"/>
                <w:szCs w:val="24"/>
                <w:lang w:val="zh-CN" w:eastAsia="zh-CN"/>
              </w:rPr>
            </w:pPr>
            <w:r>
              <w:rPr>
                <w:rFonts w:hint="default" w:ascii="Times New Roman" w:hAnsi="Times New Roman" w:cs="Times New Roman"/>
                <w:color w:val="auto"/>
                <w:spacing w:val="0"/>
                <w:sz w:val="24"/>
                <w:szCs w:val="24"/>
                <w:lang w:eastAsia="zh-CN"/>
              </w:rPr>
              <w:t>本项目</w:t>
            </w:r>
            <w:r>
              <w:rPr>
                <w:rFonts w:hint="default" w:ascii="Times New Roman" w:hAnsi="Times New Roman" w:cs="Times New Roman"/>
                <w:color w:val="auto"/>
                <w:spacing w:val="0"/>
                <w:sz w:val="24"/>
                <w:szCs w:val="24"/>
                <w:lang w:val="en-US" w:eastAsia="zh-CN"/>
              </w:rPr>
              <w:t>设备保修</w:t>
            </w:r>
            <w:r>
              <w:rPr>
                <w:rFonts w:hint="default" w:ascii="Times New Roman" w:hAnsi="Times New Roman" w:cs="Times New Roman"/>
                <w:color w:val="auto"/>
                <w:spacing w:val="0"/>
                <w:sz w:val="24"/>
                <w:szCs w:val="24"/>
                <w:lang w:eastAsia="zh-CN"/>
              </w:rPr>
              <w:t>时，设备需使用</w:t>
            </w:r>
            <w:r>
              <w:rPr>
                <w:rFonts w:hint="default" w:ascii="Times New Roman" w:hAnsi="Times New Roman" w:cs="Times New Roman"/>
                <w:color w:val="auto"/>
                <w:spacing w:val="0"/>
                <w:sz w:val="24"/>
                <w:szCs w:val="24"/>
                <w:lang w:val="en-US" w:eastAsia="zh-CN"/>
              </w:rPr>
              <w:t>抹布</w:t>
            </w:r>
            <w:r>
              <w:rPr>
                <w:rFonts w:hint="default" w:ascii="Times New Roman" w:hAnsi="Times New Roman" w:cs="Times New Roman"/>
                <w:color w:val="auto"/>
                <w:spacing w:val="0"/>
                <w:sz w:val="24"/>
                <w:szCs w:val="24"/>
                <w:lang w:eastAsia="zh-CN"/>
              </w:rPr>
              <w:t>擦拭，会产生沾有油的废布，产生量约0.</w:t>
            </w:r>
            <w:r>
              <w:rPr>
                <w:rFonts w:hint="default" w:ascii="Times New Roman" w:hAnsi="Times New Roman" w:cs="Times New Roman"/>
                <w:color w:val="auto"/>
                <w:spacing w:val="0"/>
                <w:sz w:val="24"/>
                <w:szCs w:val="24"/>
                <w:lang w:val="en-US" w:eastAsia="zh-CN"/>
              </w:rPr>
              <w:t>0</w:t>
            </w:r>
            <w:r>
              <w:rPr>
                <w:rFonts w:hint="default" w:ascii="Times New Roman" w:hAnsi="Times New Roman" w:cs="Times New Roman"/>
                <w:color w:val="auto"/>
                <w:spacing w:val="0"/>
                <w:sz w:val="24"/>
                <w:szCs w:val="24"/>
                <w:lang w:eastAsia="zh-CN"/>
              </w:rPr>
              <w:t>1t/a，废含油抹布属于危险废物，危废类别HW</w:t>
            </w:r>
            <w:r>
              <w:rPr>
                <w:rFonts w:hint="default" w:ascii="Times New Roman" w:hAnsi="Times New Roman" w:cs="Times New Roman"/>
                <w:color w:val="auto"/>
                <w:spacing w:val="0"/>
                <w:sz w:val="24"/>
                <w:szCs w:val="24"/>
                <w:lang w:val="en-US" w:eastAsia="zh-CN"/>
              </w:rPr>
              <w:t>49</w:t>
            </w:r>
            <w:r>
              <w:rPr>
                <w:rFonts w:hint="default" w:ascii="Times New Roman" w:hAnsi="Times New Roman" w:cs="Times New Roman"/>
                <w:color w:val="auto"/>
                <w:spacing w:val="0"/>
                <w:sz w:val="24"/>
                <w:szCs w:val="24"/>
                <w:lang w:eastAsia="zh-CN"/>
              </w:rPr>
              <w:t>，废物代码为</w:t>
            </w:r>
            <w:r>
              <w:rPr>
                <w:rFonts w:hint="default" w:ascii="Times New Roman" w:hAnsi="Times New Roman" w:cs="Times New Roman"/>
                <w:color w:val="auto"/>
                <w:spacing w:val="0"/>
                <w:sz w:val="24"/>
                <w:szCs w:val="24"/>
                <w:lang w:val="en-US" w:eastAsia="zh-CN"/>
              </w:rPr>
              <w:t>900-041-49</w:t>
            </w:r>
            <w:r>
              <w:rPr>
                <w:rFonts w:hint="default" w:ascii="Times New Roman" w:hAnsi="Times New Roman" w:cs="Times New Roman"/>
                <w:color w:val="auto"/>
                <w:spacing w:val="0"/>
                <w:sz w:val="24"/>
                <w:szCs w:val="24"/>
                <w:lang w:eastAsia="zh-CN"/>
              </w:rPr>
              <w:t>，暂存于危废间，定期交由资质单位处理</w:t>
            </w:r>
            <w:r>
              <w:rPr>
                <w:rFonts w:hint="default" w:ascii="Times New Roman" w:hAnsi="Times New Roman" w:eastAsia="宋体" w:cs="Times New Roman"/>
                <w:color w:val="auto"/>
                <w:spacing w:val="0"/>
                <w:sz w:val="24"/>
                <w:szCs w:val="24"/>
                <w:lang w:val="zh-CN" w:eastAsia="zh-CN"/>
              </w:rPr>
              <w:t>。</w:t>
            </w:r>
          </w:p>
          <w:p w14:paraId="0376008B">
            <w:pPr>
              <w:spacing w:line="360" w:lineRule="auto"/>
              <w:ind w:firstLine="480" w:firstLineChars="200"/>
              <w:rPr>
                <w:color w:val="auto"/>
                <w:sz w:val="24"/>
              </w:rPr>
            </w:pPr>
            <w:r>
              <w:rPr>
                <w:rFonts w:hint="eastAsia"/>
                <w:color w:val="auto"/>
                <w:sz w:val="24"/>
                <w:lang w:val="en-US" w:eastAsia="zh-CN"/>
              </w:rPr>
              <w:t>④</w:t>
            </w:r>
            <w:r>
              <w:rPr>
                <w:rFonts w:hint="eastAsia"/>
                <w:color w:val="auto"/>
                <w:sz w:val="24"/>
              </w:rPr>
              <w:t>废</w:t>
            </w:r>
            <w:r>
              <w:rPr>
                <w:rFonts w:hint="eastAsia"/>
                <w:color w:val="auto"/>
                <w:sz w:val="24"/>
                <w:lang w:eastAsia="zh-CN"/>
              </w:rPr>
              <w:t>机油桶</w:t>
            </w:r>
          </w:p>
          <w:p w14:paraId="4140370F">
            <w:pPr>
              <w:spacing w:line="360" w:lineRule="auto"/>
              <w:ind w:firstLine="480" w:firstLineChars="200"/>
              <w:rPr>
                <w:color w:val="auto"/>
                <w:sz w:val="24"/>
              </w:rPr>
            </w:pPr>
            <w:r>
              <w:rPr>
                <w:rFonts w:hint="eastAsia" w:hAnsi="宋体"/>
                <w:color w:val="auto"/>
                <w:sz w:val="24"/>
              </w:rPr>
              <w:t>项目</w:t>
            </w:r>
            <w:r>
              <w:rPr>
                <w:rFonts w:hint="eastAsia" w:hAnsi="宋体"/>
                <w:color w:val="auto"/>
                <w:sz w:val="24"/>
                <w:lang w:eastAsia="zh-CN"/>
              </w:rPr>
              <w:t>废机油</w:t>
            </w:r>
            <w:r>
              <w:rPr>
                <w:rFonts w:hint="eastAsia" w:hAnsi="宋体"/>
                <w:color w:val="auto"/>
                <w:sz w:val="24"/>
              </w:rPr>
              <w:t>使用过程中会产生</w:t>
            </w:r>
            <w:r>
              <w:rPr>
                <w:rFonts w:hint="eastAsia" w:hAnsi="宋体"/>
                <w:color w:val="auto"/>
                <w:sz w:val="24"/>
                <w:lang w:eastAsia="zh-CN"/>
              </w:rPr>
              <w:t>废机油</w:t>
            </w:r>
            <w:r>
              <w:rPr>
                <w:rFonts w:hint="eastAsia" w:hAnsi="宋体"/>
                <w:color w:val="auto"/>
                <w:sz w:val="24"/>
              </w:rPr>
              <w:t>盛装桶，根据建设单位提供资料，</w:t>
            </w:r>
            <w:r>
              <w:rPr>
                <w:rFonts w:hint="eastAsia" w:hAnsi="宋体"/>
                <w:color w:val="auto"/>
                <w:sz w:val="24"/>
                <w:lang w:eastAsia="zh-CN"/>
              </w:rPr>
              <w:t>废机油</w:t>
            </w:r>
            <w:r>
              <w:rPr>
                <w:rFonts w:hint="eastAsia" w:hAnsi="宋体"/>
                <w:color w:val="auto"/>
                <w:sz w:val="24"/>
              </w:rPr>
              <w:t>桶产生量约为0.</w:t>
            </w:r>
            <w:r>
              <w:rPr>
                <w:rFonts w:hint="eastAsia" w:hAnsi="宋体"/>
                <w:color w:val="auto"/>
                <w:sz w:val="24"/>
                <w:lang w:val="en-US" w:eastAsia="zh-CN"/>
              </w:rPr>
              <w:t>0</w:t>
            </w:r>
            <w:r>
              <w:rPr>
                <w:rFonts w:hint="eastAsia" w:hAnsi="宋体"/>
                <w:color w:val="auto"/>
                <w:sz w:val="24"/>
              </w:rPr>
              <w:t>5t/a，废</w:t>
            </w:r>
            <w:r>
              <w:rPr>
                <w:rFonts w:hint="eastAsia" w:hAnsi="宋体"/>
                <w:color w:val="auto"/>
                <w:sz w:val="24"/>
                <w:lang w:eastAsia="zh-CN"/>
              </w:rPr>
              <w:t>机油桶属于</w:t>
            </w:r>
            <w:r>
              <w:rPr>
                <w:rFonts w:hint="eastAsia" w:hAnsi="宋体"/>
                <w:color w:val="auto"/>
                <w:sz w:val="24"/>
                <w:lang w:val="en-US" w:eastAsia="zh-CN"/>
              </w:rPr>
              <w:t>HW49危险废物，</w:t>
            </w:r>
            <w:r>
              <w:rPr>
                <w:rFonts w:hint="eastAsia" w:hAnsi="宋体"/>
                <w:color w:val="auto"/>
                <w:sz w:val="24"/>
              </w:rPr>
              <w:t>废物代码为900-</w:t>
            </w:r>
            <w:r>
              <w:rPr>
                <w:rFonts w:hint="eastAsia" w:hAnsi="宋体"/>
                <w:color w:val="auto"/>
                <w:sz w:val="24"/>
                <w:lang w:val="en-US" w:eastAsia="zh-CN"/>
              </w:rPr>
              <w:t>041</w:t>
            </w:r>
            <w:r>
              <w:rPr>
                <w:rFonts w:hint="eastAsia" w:hAnsi="宋体"/>
                <w:color w:val="auto"/>
                <w:sz w:val="24"/>
              </w:rPr>
              <w:t>-</w:t>
            </w:r>
            <w:r>
              <w:rPr>
                <w:rFonts w:hint="eastAsia" w:hAnsi="宋体"/>
                <w:color w:val="auto"/>
                <w:sz w:val="24"/>
                <w:lang w:val="en-US" w:eastAsia="zh-CN"/>
              </w:rPr>
              <w:t>49</w:t>
            </w:r>
            <w:r>
              <w:rPr>
                <w:rFonts w:hint="eastAsia" w:hAnsi="宋体"/>
                <w:color w:val="auto"/>
                <w:sz w:val="24"/>
              </w:rPr>
              <w:t>的危险废物，</w:t>
            </w:r>
            <w:r>
              <w:rPr>
                <w:rFonts w:hint="eastAsia" w:hAnsi="宋体"/>
                <w:color w:val="auto"/>
                <w:sz w:val="24"/>
                <w:lang w:eastAsia="zh-CN"/>
              </w:rPr>
              <w:t>废机油</w:t>
            </w:r>
            <w:r>
              <w:rPr>
                <w:rFonts w:hint="eastAsia" w:hAnsi="宋体"/>
                <w:color w:val="auto"/>
                <w:sz w:val="24"/>
              </w:rPr>
              <w:t>桶经收集厂内暂存后交有危废处理资质单位处理。</w:t>
            </w:r>
          </w:p>
          <w:p w14:paraId="071A9BEC">
            <w:pPr>
              <w:spacing w:line="240" w:lineRule="auto"/>
              <w:jc w:val="center"/>
              <w:rPr>
                <w:rFonts w:eastAsiaTheme="minorEastAsia"/>
                <w:b/>
                <w:color w:val="auto"/>
                <w:szCs w:val="21"/>
              </w:rPr>
            </w:pPr>
            <w:r>
              <w:rPr>
                <w:rFonts w:hint="eastAsia" w:eastAsiaTheme="minorEastAsia"/>
                <w:b/>
                <w:color w:val="auto"/>
                <w:szCs w:val="21"/>
              </w:rPr>
              <w:t>表4-</w:t>
            </w:r>
            <w:r>
              <w:rPr>
                <w:rFonts w:hint="eastAsia" w:eastAsiaTheme="minorEastAsia"/>
                <w:b/>
                <w:color w:val="auto"/>
                <w:szCs w:val="21"/>
                <w:lang w:val="en-US" w:eastAsia="zh-CN"/>
              </w:rPr>
              <w:t>10</w:t>
            </w:r>
            <w:r>
              <w:rPr>
                <w:rFonts w:hint="eastAsia" w:eastAsiaTheme="minorEastAsia"/>
                <w:b/>
                <w:color w:val="auto"/>
                <w:szCs w:val="21"/>
              </w:rPr>
              <w:t xml:space="preserve"> 项目一般固体废物产生及处置情况一览表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46"/>
              <w:gridCol w:w="1217"/>
              <w:gridCol w:w="1188"/>
              <w:gridCol w:w="1217"/>
              <w:gridCol w:w="3177"/>
            </w:tblGrid>
            <w:tr w14:paraId="7279A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top w:val="single" w:color="auto" w:sz="12" w:space="0"/>
                  </w:tcBorders>
                  <w:vAlign w:val="center"/>
                </w:tcPr>
                <w:p w14:paraId="0D08FAC9">
                  <w:pPr>
                    <w:pStyle w:val="2"/>
                    <w:adjustRightInd/>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序号</w:t>
                  </w:r>
                </w:p>
              </w:tc>
              <w:tc>
                <w:tcPr>
                  <w:tcW w:w="718" w:type="pct"/>
                  <w:tcBorders>
                    <w:top w:val="single" w:color="auto" w:sz="12" w:space="0"/>
                  </w:tcBorders>
                  <w:vAlign w:val="center"/>
                </w:tcPr>
                <w:p w14:paraId="5930E7C0">
                  <w:pPr>
                    <w:pStyle w:val="2"/>
                    <w:adjustRightInd/>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废物名称</w:t>
                  </w:r>
                </w:p>
              </w:tc>
              <w:tc>
                <w:tcPr>
                  <w:tcW w:w="702" w:type="pct"/>
                  <w:tcBorders>
                    <w:top w:val="single" w:color="auto" w:sz="12" w:space="0"/>
                  </w:tcBorders>
                  <w:vAlign w:val="center"/>
                </w:tcPr>
                <w:p w14:paraId="4F65FC3B">
                  <w:pPr>
                    <w:pStyle w:val="2"/>
                    <w:adjustRightInd/>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产生工序</w:t>
                  </w:r>
                </w:p>
              </w:tc>
              <w:tc>
                <w:tcPr>
                  <w:tcW w:w="685" w:type="pct"/>
                  <w:tcBorders>
                    <w:top w:val="single" w:color="auto" w:sz="12" w:space="0"/>
                  </w:tcBorders>
                  <w:vAlign w:val="center"/>
                </w:tcPr>
                <w:p w14:paraId="6C64798C">
                  <w:pPr>
                    <w:pStyle w:val="2"/>
                    <w:adjustRightInd/>
                    <w:spacing w:line="240" w:lineRule="auto"/>
                    <w:jc w:val="center"/>
                    <w:rPr>
                      <w:rFonts w:ascii="Times New Roman" w:hAnsi="Times New Roman" w:cs="Times New Roman" w:eastAsiaTheme="minorEastAsia"/>
                      <w:b/>
                      <w:bCs/>
                      <w:color w:val="auto"/>
                      <w:sz w:val="21"/>
                      <w:szCs w:val="21"/>
                    </w:rPr>
                  </w:pPr>
                  <w:r>
                    <w:rPr>
                      <w:rFonts w:ascii="Times New Roman" w:hAnsi="Times New Roman" w:cs="Times New Roman" w:eastAsiaTheme="minorEastAsia"/>
                      <w:b/>
                      <w:bCs/>
                      <w:color w:val="auto"/>
                      <w:sz w:val="21"/>
                      <w:szCs w:val="21"/>
                    </w:rPr>
                    <w:t>废物性质</w:t>
                  </w:r>
                </w:p>
              </w:tc>
              <w:tc>
                <w:tcPr>
                  <w:tcW w:w="702" w:type="pct"/>
                  <w:tcBorders>
                    <w:top w:val="single" w:color="auto" w:sz="12" w:space="0"/>
                  </w:tcBorders>
                  <w:vAlign w:val="center"/>
                </w:tcPr>
                <w:p w14:paraId="57572283">
                  <w:pPr>
                    <w:pStyle w:val="109"/>
                    <w:adjustRightInd/>
                    <w:spacing w:before="0" w:line="240" w:lineRule="auto"/>
                    <w:rPr>
                      <w:rFonts w:cs="Times New Roman" w:eastAsiaTheme="minorEastAsia"/>
                      <w:b/>
                      <w:bCs/>
                      <w:color w:val="auto"/>
                    </w:rPr>
                  </w:pPr>
                  <w:r>
                    <w:rPr>
                      <w:rFonts w:cs="Times New Roman" w:eastAsiaTheme="minorEastAsia"/>
                      <w:b/>
                      <w:bCs/>
                      <w:color w:val="auto"/>
                    </w:rPr>
                    <w:t>产生量</w:t>
                  </w:r>
                </w:p>
              </w:tc>
              <w:tc>
                <w:tcPr>
                  <w:tcW w:w="1832" w:type="pct"/>
                  <w:tcBorders>
                    <w:top w:val="single" w:color="auto" w:sz="12" w:space="0"/>
                    <w:right w:val="nil"/>
                  </w:tcBorders>
                  <w:vAlign w:val="center"/>
                </w:tcPr>
                <w:p w14:paraId="37510690">
                  <w:pPr>
                    <w:pStyle w:val="109"/>
                    <w:adjustRightInd/>
                    <w:spacing w:before="0" w:line="240" w:lineRule="auto"/>
                    <w:rPr>
                      <w:rFonts w:cs="Times New Roman" w:eastAsiaTheme="minorEastAsia"/>
                      <w:b/>
                      <w:bCs/>
                      <w:color w:val="auto"/>
                    </w:rPr>
                  </w:pPr>
                  <w:r>
                    <w:rPr>
                      <w:rFonts w:cs="Times New Roman" w:eastAsiaTheme="minorEastAsia"/>
                      <w:b/>
                      <w:bCs/>
                      <w:color w:val="auto"/>
                    </w:rPr>
                    <w:t>去向</w:t>
                  </w:r>
                </w:p>
              </w:tc>
            </w:tr>
            <w:tr w14:paraId="658D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tcBorders>
                  <w:vAlign w:val="center"/>
                </w:tcPr>
                <w:p w14:paraId="283FAD70">
                  <w:pPr>
                    <w:pStyle w:val="109"/>
                    <w:adjustRightInd/>
                    <w:spacing w:before="0" w:line="240" w:lineRule="auto"/>
                    <w:rPr>
                      <w:rFonts w:cs="Times New Roman" w:eastAsiaTheme="minorEastAsia"/>
                      <w:color w:val="auto"/>
                    </w:rPr>
                  </w:pPr>
                  <w:r>
                    <w:rPr>
                      <w:rFonts w:cs="Times New Roman" w:eastAsiaTheme="minorEastAsia"/>
                      <w:color w:val="auto"/>
                    </w:rPr>
                    <w:t>1</w:t>
                  </w:r>
                </w:p>
              </w:tc>
              <w:tc>
                <w:tcPr>
                  <w:tcW w:w="718" w:type="pct"/>
                  <w:vAlign w:val="center"/>
                </w:tcPr>
                <w:p w14:paraId="2428A6E2">
                  <w:pPr>
                    <w:spacing w:line="240" w:lineRule="auto"/>
                    <w:jc w:val="center"/>
                    <w:rPr>
                      <w:rFonts w:eastAsiaTheme="minorEastAsia"/>
                      <w:color w:val="auto"/>
                      <w:szCs w:val="21"/>
                    </w:rPr>
                  </w:pPr>
                  <w:r>
                    <w:rPr>
                      <w:rFonts w:eastAsiaTheme="minorEastAsia"/>
                      <w:color w:val="auto"/>
                      <w:szCs w:val="21"/>
                    </w:rPr>
                    <w:t>生活垃圾</w:t>
                  </w:r>
                </w:p>
              </w:tc>
              <w:tc>
                <w:tcPr>
                  <w:tcW w:w="702" w:type="pct"/>
                  <w:vAlign w:val="center"/>
                </w:tcPr>
                <w:p w14:paraId="7DF1F859">
                  <w:pPr>
                    <w:pStyle w:val="109"/>
                    <w:adjustRightInd/>
                    <w:spacing w:before="0" w:line="240" w:lineRule="auto"/>
                    <w:rPr>
                      <w:rFonts w:cs="Times New Roman" w:eastAsiaTheme="minorEastAsia"/>
                      <w:color w:val="auto"/>
                    </w:rPr>
                  </w:pPr>
                  <w:r>
                    <w:rPr>
                      <w:rFonts w:cs="Times New Roman" w:eastAsiaTheme="minorEastAsia"/>
                      <w:bCs/>
                      <w:color w:val="auto"/>
                    </w:rPr>
                    <w:t>员工生活</w:t>
                  </w:r>
                </w:p>
              </w:tc>
              <w:tc>
                <w:tcPr>
                  <w:tcW w:w="685" w:type="pct"/>
                  <w:vAlign w:val="center"/>
                </w:tcPr>
                <w:p w14:paraId="45E377C6">
                  <w:pPr>
                    <w:spacing w:line="240" w:lineRule="auto"/>
                    <w:jc w:val="center"/>
                    <w:rPr>
                      <w:rFonts w:eastAsiaTheme="minorEastAsia"/>
                      <w:color w:val="auto"/>
                      <w:szCs w:val="21"/>
                    </w:rPr>
                  </w:pPr>
                  <w:r>
                    <w:rPr>
                      <w:rFonts w:eastAsiaTheme="minorEastAsia"/>
                      <w:bCs/>
                      <w:color w:val="auto"/>
                      <w:szCs w:val="21"/>
                    </w:rPr>
                    <w:t>生活垃圾</w:t>
                  </w:r>
                </w:p>
              </w:tc>
              <w:tc>
                <w:tcPr>
                  <w:tcW w:w="702" w:type="pct"/>
                  <w:vAlign w:val="center"/>
                </w:tcPr>
                <w:p w14:paraId="64185691">
                  <w:pPr>
                    <w:autoSpaceDE w:val="0"/>
                    <w:autoSpaceDN w:val="0"/>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9.125t/a</w:t>
                  </w:r>
                </w:p>
              </w:tc>
              <w:tc>
                <w:tcPr>
                  <w:tcW w:w="1832" w:type="pct"/>
                  <w:tcBorders>
                    <w:right w:val="nil"/>
                  </w:tcBorders>
                  <w:vAlign w:val="center"/>
                </w:tcPr>
                <w:p w14:paraId="50F0DFE4">
                  <w:pPr>
                    <w:autoSpaceDE w:val="0"/>
                    <w:autoSpaceDN w:val="0"/>
                    <w:spacing w:line="240" w:lineRule="auto"/>
                    <w:jc w:val="center"/>
                    <w:rPr>
                      <w:rFonts w:eastAsiaTheme="minorEastAsia"/>
                      <w:color w:val="auto"/>
                      <w:szCs w:val="21"/>
                    </w:rPr>
                  </w:pPr>
                  <w:r>
                    <w:rPr>
                      <w:rFonts w:eastAsiaTheme="minorEastAsia"/>
                      <w:color w:val="auto"/>
                      <w:szCs w:val="21"/>
                    </w:rPr>
                    <w:t>环卫部门清运</w:t>
                  </w:r>
                </w:p>
              </w:tc>
            </w:tr>
            <w:tr w14:paraId="7DBD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tcBorders>
                  <w:vAlign w:val="center"/>
                </w:tcPr>
                <w:p w14:paraId="21C54117">
                  <w:pPr>
                    <w:pStyle w:val="109"/>
                    <w:adjustRightInd/>
                    <w:spacing w:before="0" w:line="240" w:lineRule="auto"/>
                    <w:rPr>
                      <w:rFonts w:cs="Times New Roman" w:eastAsiaTheme="minorEastAsia"/>
                      <w:color w:val="auto"/>
                    </w:rPr>
                  </w:pPr>
                  <w:r>
                    <w:rPr>
                      <w:rFonts w:cs="Times New Roman" w:eastAsiaTheme="minorEastAsia"/>
                      <w:color w:val="auto"/>
                    </w:rPr>
                    <w:t>2</w:t>
                  </w:r>
                </w:p>
              </w:tc>
              <w:tc>
                <w:tcPr>
                  <w:tcW w:w="718" w:type="pct"/>
                  <w:vAlign w:val="center"/>
                </w:tcPr>
                <w:p w14:paraId="71085087">
                  <w:pPr>
                    <w:spacing w:line="240" w:lineRule="auto"/>
                    <w:jc w:val="center"/>
                    <w:rPr>
                      <w:rFonts w:eastAsiaTheme="minorEastAsia"/>
                      <w:color w:val="auto"/>
                      <w:szCs w:val="21"/>
                    </w:rPr>
                  </w:pPr>
                  <w:r>
                    <w:rPr>
                      <w:rFonts w:hint="eastAsia" w:ascii="宋体" w:hAnsi="宋体" w:cs="宋体" w:eastAsiaTheme="minorEastAsia"/>
                      <w:color w:val="auto"/>
                      <w:szCs w:val="21"/>
                    </w:rPr>
                    <w:t>不合格钢瓶</w:t>
                  </w:r>
                </w:p>
              </w:tc>
              <w:tc>
                <w:tcPr>
                  <w:tcW w:w="702" w:type="pct"/>
                  <w:vAlign w:val="center"/>
                </w:tcPr>
                <w:p w14:paraId="6653BCE9">
                  <w:pPr>
                    <w:pStyle w:val="109"/>
                    <w:adjustRightInd/>
                    <w:spacing w:before="0" w:line="240" w:lineRule="auto"/>
                    <w:rPr>
                      <w:rFonts w:cs="Times New Roman" w:eastAsiaTheme="minorEastAsia"/>
                      <w:color w:val="auto"/>
                    </w:rPr>
                  </w:pPr>
                  <w:r>
                    <w:rPr>
                      <w:rFonts w:hint="eastAsia" w:cs="Times New Roman" w:eastAsiaTheme="minorEastAsia"/>
                      <w:color w:val="auto"/>
                    </w:rPr>
                    <w:t>钢瓶检测</w:t>
                  </w:r>
                </w:p>
              </w:tc>
              <w:tc>
                <w:tcPr>
                  <w:tcW w:w="685" w:type="pct"/>
                  <w:vAlign w:val="center"/>
                </w:tcPr>
                <w:p w14:paraId="09DF5414">
                  <w:pPr>
                    <w:spacing w:line="240" w:lineRule="auto"/>
                    <w:jc w:val="center"/>
                    <w:rPr>
                      <w:rFonts w:eastAsiaTheme="minorEastAsia"/>
                      <w:color w:val="auto"/>
                      <w:szCs w:val="21"/>
                    </w:rPr>
                  </w:pPr>
                  <w:r>
                    <w:rPr>
                      <w:rFonts w:eastAsiaTheme="minorEastAsia"/>
                      <w:color w:val="auto"/>
                      <w:szCs w:val="21"/>
                    </w:rPr>
                    <w:t>一般固废</w:t>
                  </w:r>
                </w:p>
              </w:tc>
              <w:tc>
                <w:tcPr>
                  <w:tcW w:w="702" w:type="pct"/>
                  <w:vAlign w:val="center"/>
                </w:tcPr>
                <w:p w14:paraId="04DF9E7F">
                  <w:pPr>
                    <w:autoSpaceDE w:val="0"/>
                    <w:autoSpaceDN w:val="0"/>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1205个/a</w:t>
                  </w:r>
                </w:p>
              </w:tc>
              <w:tc>
                <w:tcPr>
                  <w:tcW w:w="1832" w:type="pct"/>
                  <w:tcBorders>
                    <w:right w:val="nil"/>
                  </w:tcBorders>
                  <w:vAlign w:val="center"/>
                </w:tcPr>
                <w:p w14:paraId="06EE5257">
                  <w:pPr>
                    <w:autoSpaceDE w:val="0"/>
                    <w:autoSpaceDN w:val="0"/>
                    <w:spacing w:line="240" w:lineRule="auto"/>
                    <w:jc w:val="center"/>
                    <w:rPr>
                      <w:rFonts w:eastAsiaTheme="minorEastAsia"/>
                      <w:color w:val="auto"/>
                      <w:szCs w:val="21"/>
                    </w:rPr>
                  </w:pPr>
                  <w:r>
                    <w:rPr>
                      <w:rFonts w:hint="eastAsia"/>
                      <w:color w:val="auto"/>
                      <w:lang w:val="en-US" w:eastAsia="zh-CN"/>
                    </w:rPr>
                    <w:t>暂</w:t>
                  </w:r>
                  <w:r>
                    <w:rPr>
                      <w:rFonts w:hint="eastAsia"/>
                      <w:color w:val="auto"/>
                    </w:rPr>
                    <w:t>存放在</w:t>
                  </w:r>
                  <w:r>
                    <w:rPr>
                      <w:rFonts w:hint="eastAsia"/>
                      <w:color w:val="auto"/>
                      <w:lang w:val="en-US" w:eastAsia="zh-CN"/>
                    </w:rPr>
                    <w:t>机泵</w:t>
                  </w:r>
                  <w:r>
                    <w:rPr>
                      <w:rFonts w:hint="eastAsia"/>
                      <w:color w:val="auto"/>
                    </w:rPr>
                    <w:t>房单独分区内</w:t>
                  </w:r>
                  <w:r>
                    <w:rPr>
                      <w:rFonts w:hint="eastAsia"/>
                      <w:color w:val="auto"/>
                      <w:lang w:eastAsia="zh-CN"/>
                    </w:rPr>
                    <w:t>，</w:t>
                  </w:r>
                  <w:r>
                    <w:rPr>
                      <w:rFonts w:hint="eastAsia" w:eastAsiaTheme="minorEastAsia"/>
                      <w:bCs/>
                      <w:color w:val="auto"/>
                      <w:szCs w:val="21"/>
                    </w:rPr>
                    <w:t>钢瓶检测站回收处置</w:t>
                  </w:r>
                </w:p>
              </w:tc>
            </w:tr>
            <w:tr w14:paraId="435F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tcBorders>
                  <w:vAlign w:val="center"/>
                </w:tcPr>
                <w:p w14:paraId="5D53F1E3">
                  <w:pPr>
                    <w:pStyle w:val="109"/>
                    <w:adjustRightInd/>
                    <w:spacing w:before="0" w:line="240" w:lineRule="auto"/>
                    <w:rPr>
                      <w:rFonts w:hint="eastAsia" w:cs="Times New Roman" w:eastAsiaTheme="minorEastAsia"/>
                      <w:color w:val="auto"/>
                      <w:lang w:val="en-US" w:eastAsia="zh-CN"/>
                    </w:rPr>
                  </w:pPr>
                  <w:r>
                    <w:rPr>
                      <w:rFonts w:hint="eastAsia" w:cs="Times New Roman" w:eastAsiaTheme="minorEastAsia"/>
                      <w:color w:val="auto"/>
                      <w:lang w:val="en-US" w:eastAsia="zh-CN"/>
                    </w:rPr>
                    <w:t>3</w:t>
                  </w:r>
                </w:p>
              </w:tc>
              <w:tc>
                <w:tcPr>
                  <w:tcW w:w="718" w:type="pct"/>
                  <w:vAlign w:val="center"/>
                </w:tcPr>
                <w:p w14:paraId="03F5976C">
                  <w:pPr>
                    <w:spacing w:line="240" w:lineRule="auto"/>
                    <w:jc w:val="center"/>
                    <w:rPr>
                      <w:rFonts w:hint="default" w:ascii="宋体" w:hAnsi="宋体" w:cs="宋体" w:eastAsiaTheme="minorEastAsia"/>
                      <w:color w:val="auto"/>
                      <w:szCs w:val="21"/>
                      <w:lang w:val="en-US" w:eastAsia="zh-CN"/>
                    </w:rPr>
                  </w:pPr>
                  <w:r>
                    <w:rPr>
                      <w:rFonts w:hint="eastAsia" w:ascii="宋体" w:hAnsi="宋体" w:cs="宋体" w:eastAsiaTheme="minorEastAsia"/>
                      <w:color w:val="auto"/>
                      <w:szCs w:val="21"/>
                      <w:lang w:val="en-US" w:eastAsia="zh-CN"/>
                    </w:rPr>
                    <w:t>液化石油气残液</w:t>
                  </w:r>
                </w:p>
              </w:tc>
              <w:tc>
                <w:tcPr>
                  <w:tcW w:w="702" w:type="pct"/>
                  <w:vAlign w:val="center"/>
                </w:tcPr>
                <w:p w14:paraId="00554943">
                  <w:pPr>
                    <w:pStyle w:val="109"/>
                    <w:adjustRightInd/>
                    <w:spacing w:before="0" w:line="240" w:lineRule="auto"/>
                    <w:rPr>
                      <w:rFonts w:hint="default" w:cs="Times New Roman" w:eastAsiaTheme="minorEastAsia"/>
                      <w:color w:val="auto"/>
                      <w:lang w:val="en-US" w:eastAsia="zh-CN"/>
                    </w:rPr>
                  </w:pPr>
                  <w:r>
                    <w:rPr>
                      <w:rFonts w:hint="eastAsia" w:cs="Times New Roman" w:eastAsiaTheme="minorEastAsia"/>
                      <w:color w:val="auto"/>
                      <w:lang w:val="en-US" w:eastAsia="zh-CN"/>
                    </w:rPr>
                    <w:t>营运过程</w:t>
                  </w:r>
                </w:p>
              </w:tc>
              <w:tc>
                <w:tcPr>
                  <w:tcW w:w="685" w:type="pct"/>
                  <w:vAlign w:val="center"/>
                </w:tcPr>
                <w:p w14:paraId="4E3D095F">
                  <w:pPr>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危险废物</w:t>
                  </w:r>
                </w:p>
              </w:tc>
              <w:tc>
                <w:tcPr>
                  <w:tcW w:w="702" w:type="pct"/>
                  <w:vAlign w:val="center"/>
                </w:tcPr>
                <w:p w14:paraId="521B1359">
                  <w:pPr>
                    <w:autoSpaceDE w:val="0"/>
                    <w:autoSpaceDN w:val="0"/>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43.20t/a</w:t>
                  </w:r>
                </w:p>
              </w:tc>
              <w:tc>
                <w:tcPr>
                  <w:tcW w:w="1832" w:type="pct"/>
                  <w:tcBorders>
                    <w:right w:val="nil"/>
                  </w:tcBorders>
                  <w:vAlign w:val="center"/>
                </w:tcPr>
                <w:p w14:paraId="442036FF">
                  <w:pPr>
                    <w:autoSpaceDE w:val="0"/>
                    <w:autoSpaceDN w:val="0"/>
                    <w:spacing w:line="240" w:lineRule="auto"/>
                    <w:jc w:val="center"/>
                    <w:rPr>
                      <w:rFonts w:hint="eastAsia" w:eastAsiaTheme="minorEastAsia"/>
                      <w:bCs/>
                      <w:color w:val="auto"/>
                      <w:szCs w:val="21"/>
                    </w:rPr>
                  </w:pPr>
                  <w:r>
                    <w:rPr>
                      <w:color w:val="auto"/>
                      <w:kern w:val="0"/>
                      <w:szCs w:val="21"/>
                    </w:rPr>
                    <w:t>残液罐暂存，定期</w:t>
                  </w:r>
                  <w:r>
                    <w:rPr>
                      <w:rFonts w:hint="eastAsia"/>
                      <w:color w:val="auto"/>
                      <w:kern w:val="0"/>
                      <w:szCs w:val="21"/>
                      <w:lang w:val="en-US" w:eastAsia="zh-CN"/>
                    </w:rPr>
                    <w:t>交由有资质单位</w:t>
                  </w:r>
                  <w:r>
                    <w:rPr>
                      <w:color w:val="auto"/>
                      <w:kern w:val="0"/>
                      <w:szCs w:val="21"/>
                    </w:rPr>
                    <w:t>处理</w:t>
                  </w:r>
                </w:p>
              </w:tc>
            </w:tr>
            <w:tr w14:paraId="1A51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tcBorders>
                  <w:vAlign w:val="center"/>
                </w:tcPr>
                <w:p w14:paraId="4999E1F5">
                  <w:pPr>
                    <w:pStyle w:val="109"/>
                    <w:adjustRightInd/>
                    <w:spacing w:before="0" w:line="240" w:lineRule="auto"/>
                    <w:rPr>
                      <w:rFonts w:hint="eastAsia" w:cs="Times New Roman" w:eastAsiaTheme="minorEastAsia"/>
                      <w:color w:val="auto"/>
                      <w:lang w:val="en-US" w:eastAsia="zh-CN"/>
                    </w:rPr>
                  </w:pPr>
                  <w:r>
                    <w:rPr>
                      <w:rFonts w:hint="eastAsia" w:cs="Times New Roman" w:eastAsiaTheme="minorEastAsia"/>
                      <w:color w:val="auto"/>
                      <w:lang w:val="en-US" w:eastAsia="zh-CN"/>
                    </w:rPr>
                    <w:t>4</w:t>
                  </w:r>
                </w:p>
              </w:tc>
              <w:tc>
                <w:tcPr>
                  <w:tcW w:w="718" w:type="pct"/>
                  <w:shd w:val="clear" w:color="auto" w:fill="auto"/>
                  <w:vAlign w:val="center"/>
                </w:tcPr>
                <w:p w14:paraId="0F519C99">
                  <w:pPr>
                    <w:bidi w:val="0"/>
                    <w:spacing w:line="240" w:lineRule="auto"/>
                    <w:ind w:left="0" w:lef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lang w:val="en-US" w:eastAsia="zh-CN"/>
                    </w:rPr>
                    <w:t>废机油</w:t>
                  </w:r>
                </w:p>
              </w:tc>
              <w:tc>
                <w:tcPr>
                  <w:tcW w:w="702" w:type="pct"/>
                  <w:shd w:val="clear" w:color="auto" w:fill="auto"/>
                  <w:vAlign w:val="center"/>
                </w:tcPr>
                <w:p w14:paraId="2A50B6C9">
                  <w:pPr>
                    <w:pStyle w:val="66"/>
                    <w:bidi w:val="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0"/>
                      <w:sz w:val="21"/>
                      <w:szCs w:val="21"/>
                      <w:lang w:eastAsia="zh-CN"/>
                    </w:rPr>
                    <w:t>设备维修</w:t>
                  </w:r>
                </w:p>
              </w:tc>
              <w:tc>
                <w:tcPr>
                  <w:tcW w:w="685" w:type="pct"/>
                  <w:shd w:val="clear" w:color="auto" w:fill="auto"/>
                  <w:vAlign w:val="center"/>
                </w:tcPr>
                <w:p w14:paraId="3ADC7592">
                  <w:pPr>
                    <w:pStyle w:val="66"/>
                    <w:bidi w:val="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eastAsiaTheme="minorEastAsia"/>
                      <w:color w:val="auto"/>
                      <w:szCs w:val="21"/>
                      <w:lang w:val="en-US" w:eastAsia="zh-CN"/>
                    </w:rPr>
                    <w:t>危险废物</w:t>
                  </w:r>
                </w:p>
              </w:tc>
              <w:tc>
                <w:tcPr>
                  <w:tcW w:w="702" w:type="pct"/>
                  <w:vAlign w:val="center"/>
                </w:tcPr>
                <w:p w14:paraId="1CF88CB4">
                  <w:pPr>
                    <w:pStyle w:val="66"/>
                    <w:bidi w:val="0"/>
                    <w:ind w:left="18" w:leftChars="9" w:right="18" w:rightChars="9"/>
                    <w:rPr>
                      <w:rFonts w:hint="eastAsia" w:eastAsiaTheme="minorEastAsia"/>
                      <w:color w:val="auto"/>
                      <w:szCs w:val="21"/>
                      <w:lang w:val="en-US" w:eastAsia="zh-CN"/>
                    </w:rPr>
                  </w:pPr>
                  <w:r>
                    <w:rPr>
                      <w:rFonts w:hint="eastAsia" w:cs="Times New Roman"/>
                      <w:color w:val="auto"/>
                      <w:highlight w:val="none"/>
                      <w:lang w:val="en-US" w:eastAsia="zh-CN"/>
                    </w:rPr>
                    <w:t>0.1</w:t>
                  </w:r>
                </w:p>
              </w:tc>
              <w:tc>
                <w:tcPr>
                  <w:tcW w:w="1832" w:type="pct"/>
                  <w:tcBorders>
                    <w:right w:val="nil"/>
                  </w:tcBorders>
                  <w:vAlign w:val="center"/>
                </w:tcPr>
                <w:p w14:paraId="2052A4F4">
                  <w:pPr>
                    <w:autoSpaceDE w:val="0"/>
                    <w:autoSpaceDN w:val="0"/>
                    <w:spacing w:line="240" w:lineRule="auto"/>
                    <w:jc w:val="center"/>
                    <w:rPr>
                      <w:color w:val="auto"/>
                      <w:kern w:val="0"/>
                      <w:szCs w:val="21"/>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r>
            <w:tr w14:paraId="3FB2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tcBorders>
                  <w:vAlign w:val="center"/>
                </w:tcPr>
                <w:p w14:paraId="7D01C886">
                  <w:pPr>
                    <w:pStyle w:val="109"/>
                    <w:adjustRightInd/>
                    <w:spacing w:before="0" w:line="240" w:lineRule="auto"/>
                    <w:rPr>
                      <w:rFonts w:hint="default" w:cs="Times New Roman" w:eastAsiaTheme="minorEastAsia"/>
                      <w:color w:val="auto"/>
                      <w:lang w:val="en-US" w:eastAsia="zh-CN"/>
                    </w:rPr>
                  </w:pPr>
                  <w:r>
                    <w:rPr>
                      <w:rFonts w:hint="eastAsia" w:cs="Times New Roman" w:eastAsiaTheme="minorEastAsia"/>
                      <w:color w:val="auto"/>
                      <w:lang w:val="en-US" w:eastAsia="zh-CN"/>
                    </w:rPr>
                    <w:t>5</w:t>
                  </w:r>
                </w:p>
              </w:tc>
              <w:tc>
                <w:tcPr>
                  <w:tcW w:w="718" w:type="pct"/>
                  <w:shd w:val="clear" w:color="auto" w:fill="auto"/>
                  <w:vAlign w:val="center"/>
                </w:tcPr>
                <w:p w14:paraId="7918687B">
                  <w:pPr>
                    <w:bidi w:val="0"/>
                    <w:spacing w:line="240" w:lineRule="auto"/>
                    <w:ind w:left="0" w:lef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lang w:val="en-US" w:eastAsia="zh-CN"/>
                    </w:rPr>
                    <w:t>废含油抹布</w:t>
                  </w:r>
                </w:p>
              </w:tc>
              <w:tc>
                <w:tcPr>
                  <w:tcW w:w="702" w:type="pct"/>
                  <w:shd w:val="clear" w:color="auto" w:fill="auto"/>
                  <w:vAlign w:val="center"/>
                </w:tcPr>
                <w:p w14:paraId="6F9693F5">
                  <w:pPr>
                    <w:pStyle w:val="66"/>
                    <w:bidi w:val="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pacing w:val="0"/>
                      <w:sz w:val="21"/>
                      <w:szCs w:val="21"/>
                      <w:lang w:eastAsia="zh-CN"/>
                    </w:rPr>
                    <w:t>设备维修</w:t>
                  </w:r>
                </w:p>
              </w:tc>
              <w:tc>
                <w:tcPr>
                  <w:tcW w:w="685" w:type="pct"/>
                  <w:shd w:val="clear" w:color="auto" w:fill="auto"/>
                  <w:vAlign w:val="center"/>
                </w:tcPr>
                <w:p w14:paraId="511BD892">
                  <w:pPr>
                    <w:pStyle w:val="66"/>
                    <w:bidi w:val="0"/>
                    <w:ind w:left="0" w:leftChars="0" w:right="0" w:rightChars="0"/>
                    <w:rPr>
                      <w:rFonts w:hint="eastAsia" w:ascii="Times New Roman" w:hAnsi="Times New Roman" w:eastAsia="宋体" w:cs="Times New Roman"/>
                      <w:color w:val="auto"/>
                      <w:kern w:val="2"/>
                      <w:sz w:val="21"/>
                      <w:szCs w:val="21"/>
                      <w:highlight w:val="none"/>
                      <w:lang w:val="en-US" w:eastAsia="zh-CN" w:bidi="ar-SA"/>
                    </w:rPr>
                  </w:pPr>
                  <w:r>
                    <w:rPr>
                      <w:rFonts w:hint="eastAsia" w:eastAsiaTheme="minorEastAsia"/>
                      <w:color w:val="auto"/>
                      <w:szCs w:val="21"/>
                      <w:lang w:val="en-US" w:eastAsia="zh-CN"/>
                    </w:rPr>
                    <w:t>危险废物</w:t>
                  </w:r>
                </w:p>
              </w:tc>
              <w:tc>
                <w:tcPr>
                  <w:tcW w:w="702" w:type="pct"/>
                  <w:vAlign w:val="center"/>
                </w:tcPr>
                <w:p w14:paraId="29BE3C68">
                  <w:pPr>
                    <w:pStyle w:val="66"/>
                    <w:bidi w:val="0"/>
                    <w:ind w:left="18" w:leftChars="9" w:right="18" w:rightChars="9"/>
                    <w:rPr>
                      <w:rFonts w:hint="eastAsia" w:eastAsiaTheme="minorEastAsia"/>
                      <w:color w:val="auto"/>
                      <w:szCs w:val="21"/>
                      <w:lang w:val="en-US" w:eastAsia="zh-CN"/>
                    </w:rPr>
                  </w:pPr>
                  <w:r>
                    <w:rPr>
                      <w:rFonts w:hint="eastAsia" w:cs="Times New Roman"/>
                      <w:color w:val="auto"/>
                      <w:highlight w:val="none"/>
                      <w:lang w:val="en-US" w:eastAsia="zh-CN"/>
                    </w:rPr>
                    <w:t>0.01</w:t>
                  </w:r>
                </w:p>
              </w:tc>
              <w:tc>
                <w:tcPr>
                  <w:tcW w:w="1832" w:type="pct"/>
                  <w:tcBorders>
                    <w:right w:val="nil"/>
                  </w:tcBorders>
                  <w:vAlign w:val="center"/>
                </w:tcPr>
                <w:p w14:paraId="294FBC0E">
                  <w:pPr>
                    <w:autoSpaceDE w:val="0"/>
                    <w:autoSpaceDN w:val="0"/>
                    <w:spacing w:line="240" w:lineRule="auto"/>
                    <w:jc w:val="center"/>
                    <w:rPr>
                      <w:color w:val="auto"/>
                      <w:kern w:val="0"/>
                      <w:szCs w:val="21"/>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r>
            <w:tr w14:paraId="7DA9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tcBorders>
                  <w:vAlign w:val="center"/>
                </w:tcPr>
                <w:p w14:paraId="4793046E">
                  <w:pPr>
                    <w:pStyle w:val="109"/>
                    <w:adjustRightInd/>
                    <w:spacing w:before="0" w:line="240" w:lineRule="auto"/>
                    <w:rPr>
                      <w:rFonts w:hint="default" w:cs="Times New Roman" w:eastAsiaTheme="minorEastAsia"/>
                      <w:color w:val="auto"/>
                      <w:lang w:val="en-US" w:eastAsia="zh-CN"/>
                    </w:rPr>
                  </w:pPr>
                  <w:r>
                    <w:rPr>
                      <w:rFonts w:hint="eastAsia" w:cs="Times New Roman" w:eastAsiaTheme="minorEastAsia"/>
                      <w:color w:val="auto"/>
                      <w:lang w:val="en-US" w:eastAsia="zh-CN"/>
                    </w:rPr>
                    <w:t>6</w:t>
                  </w:r>
                </w:p>
              </w:tc>
              <w:tc>
                <w:tcPr>
                  <w:tcW w:w="718" w:type="pct"/>
                  <w:vAlign w:val="center"/>
                </w:tcPr>
                <w:p w14:paraId="5051D75F">
                  <w:pPr>
                    <w:spacing w:line="240" w:lineRule="auto"/>
                    <w:jc w:val="center"/>
                    <w:rPr>
                      <w:rFonts w:hint="default" w:ascii="宋体" w:hAnsi="宋体" w:cs="宋体" w:eastAsiaTheme="minorEastAsia"/>
                      <w:color w:val="auto"/>
                      <w:szCs w:val="21"/>
                      <w:lang w:val="en-US" w:eastAsia="zh-CN"/>
                    </w:rPr>
                  </w:pPr>
                  <w:r>
                    <w:rPr>
                      <w:rFonts w:hint="eastAsia" w:ascii="宋体" w:hAnsi="宋体" w:cs="宋体" w:eastAsiaTheme="minorEastAsia"/>
                      <w:color w:val="auto"/>
                      <w:szCs w:val="21"/>
                      <w:lang w:val="en-US" w:eastAsia="zh-CN"/>
                    </w:rPr>
                    <w:t>废油脂</w:t>
                  </w:r>
                </w:p>
              </w:tc>
              <w:tc>
                <w:tcPr>
                  <w:tcW w:w="702" w:type="pct"/>
                  <w:vAlign w:val="center"/>
                </w:tcPr>
                <w:p w14:paraId="0690C69C">
                  <w:pPr>
                    <w:pStyle w:val="109"/>
                    <w:adjustRightInd/>
                    <w:spacing w:before="0" w:line="240" w:lineRule="auto"/>
                    <w:rPr>
                      <w:rFonts w:hint="eastAsia" w:cs="Times New Roman" w:eastAsiaTheme="minorEastAsia"/>
                      <w:color w:val="auto"/>
                      <w:lang w:val="en-US" w:eastAsia="zh-CN"/>
                    </w:rPr>
                  </w:pPr>
                  <w:r>
                    <w:rPr>
                      <w:rFonts w:hint="eastAsia" w:cs="Times New Roman"/>
                      <w:color w:val="auto"/>
                      <w:highlight w:val="none"/>
                      <w:lang w:val="en-US" w:eastAsia="zh-CN"/>
                    </w:rPr>
                    <w:t>工作生活</w:t>
                  </w:r>
                </w:p>
              </w:tc>
              <w:tc>
                <w:tcPr>
                  <w:tcW w:w="685" w:type="pct"/>
                  <w:vAlign w:val="center"/>
                </w:tcPr>
                <w:p w14:paraId="6C2B0420">
                  <w:pPr>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厨余垃圾</w:t>
                  </w:r>
                </w:p>
              </w:tc>
              <w:tc>
                <w:tcPr>
                  <w:tcW w:w="702" w:type="pct"/>
                  <w:vAlign w:val="center"/>
                </w:tcPr>
                <w:p w14:paraId="6F94C851">
                  <w:pPr>
                    <w:autoSpaceDE w:val="0"/>
                    <w:autoSpaceDN w:val="0"/>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0.0193t/a</w:t>
                  </w:r>
                </w:p>
              </w:tc>
              <w:tc>
                <w:tcPr>
                  <w:tcW w:w="1832" w:type="pct"/>
                  <w:tcBorders>
                    <w:right w:val="nil"/>
                  </w:tcBorders>
                  <w:vAlign w:val="center"/>
                </w:tcPr>
                <w:p w14:paraId="7ABC8886">
                  <w:pPr>
                    <w:autoSpaceDE w:val="0"/>
                    <w:autoSpaceDN w:val="0"/>
                    <w:spacing w:line="240" w:lineRule="auto"/>
                    <w:jc w:val="center"/>
                    <w:rPr>
                      <w:color w:val="auto"/>
                      <w:kern w:val="0"/>
                      <w:szCs w:val="21"/>
                    </w:rPr>
                  </w:pPr>
                  <w:r>
                    <w:rPr>
                      <w:rFonts w:eastAsiaTheme="minorEastAsia"/>
                      <w:color w:val="auto"/>
                      <w:szCs w:val="21"/>
                    </w:rPr>
                    <w:t>环卫部门清运</w:t>
                  </w:r>
                </w:p>
              </w:tc>
            </w:tr>
            <w:tr w14:paraId="7566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 w:type="pct"/>
                  <w:tcBorders>
                    <w:left w:val="nil"/>
                    <w:bottom w:val="single" w:color="auto" w:sz="12" w:space="0"/>
                  </w:tcBorders>
                  <w:vAlign w:val="center"/>
                </w:tcPr>
                <w:p w14:paraId="70D01839">
                  <w:pPr>
                    <w:pStyle w:val="109"/>
                    <w:adjustRightInd/>
                    <w:spacing w:before="0" w:line="240" w:lineRule="auto"/>
                    <w:rPr>
                      <w:rFonts w:hint="default" w:cs="Times New Roman" w:eastAsiaTheme="minorEastAsia"/>
                      <w:color w:val="auto"/>
                      <w:lang w:val="en-US" w:eastAsia="zh-CN"/>
                    </w:rPr>
                  </w:pPr>
                  <w:r>
                    <w:rPr>
                      <w:rFonts w:hint="eastAsia" w:cs="Times New Roman" w:eastAsiaTheme="minorEastAsia"/>
                      <w:color w:val="auto"/>
                      <w:lang w:val="en-US" w:eastAsia="zh-CN"/>
                    </w:rPr>
                    <w:t>7</w:t>
                  </w:r>
                </w:p>
              </w:tc>
              <w:tc>
                <w:tcPr>
                  <w:tcW w:w="718" w:type="pct"/>
                  <w:tcBorders>
                    <w:bottom w:val="single" w:color="auto" w:sz="12" w:space="0"/>
                  </w:tcBorders>
                  <w:shd w:val="clear" w:color="auto" w:fill="auto"/>
                  <w:vAlign w:val="center"/>
                </w:tcPr>
                <w:p w14:paraId="7D9A7F89">
                  <w:pPr>
                    <w:spacing w:line="192"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rPr>
                    <w:t>废</w:t>
                  </w:r>
                  <w:r>
                    <w:rPr>
                      <w:rFonts w:hint="eastAsia"/>
                      <w:color w:val="auto"/>
                      <w:sz w:val="21"/>
                      <w:szCs w:val="21"/>
                      <w:lang w:eastAsia="zh-CN"/>
                    </w:rPr>
                    <w:t>机油桶</w:t>
                  </w:r>
                </w:p>
              </w:tc>
              <w:tc>
                <w:tcPr>
                  <w:tcW w:w="702" w:type="pct"/>
                  <w:tcBorders>
                    <w:bottom w:val="single" w:color="auto" w:sz="12" w:space="0"/>
                  </w:tcBorders>
                  <w:shd w:val="clear" w:color="auto" w:fill="auto"/>
                  <w:vAlign w:val="center"/>
                </w:tcPr>
                <w:p w14:paraId="2CC49103">
                  <w:pPr>
                    <w:jc w:val="center"/>
                    <w:rPr>
                      <w:rFonts w:hint="eastAsia" w:ascii="Times New Roman" w:hAnsi="Times New Roman" w:eastAsia="宋体" w:cs="Times New Roman"/>
                      <w:color w:val="auto"/>
                      <w:spacing w:val="4"/>
                      <w:kern w:val="21"/>
                      <w:sz w:val="21"/>
                      <w:szCs w:val="21"/>
                      <w:lang w:val="en-US" w:eastAsia="zh-CN" w:bidi="ar-SA"/>
                    </w:rPr>
                  </w:pPr>
                  <w:r>
                    <w:rPr>
                      <w:rFonts w:hint="eastAsia" w:cs="Times New Roman"/>
                      <w:color w:val="auto"/>
                      <w:spacing w:val="4"/>
                      <w:kern w:val="21"/>
                      <w:sz w:val="21"/>
                      <w:szCs w:val="21"/>
                      <w:lang w:val="en-US" w:eastAsia="zh-CN"/>
                    </w:rPr>
                    <w:t>危险废物</w:t>
                  </w:r>
                </w:p>
              </w:tc>
              <w:tc>
                <w:tcPr>
                  <w:tcW w:w="685" w:type="pct"/>
                  <w:tcBorders>
                    <w:bottom w:val="single" w:color="auto" w:sz="12" w:space="0"/>
                  </w:tcBorders>
                  <w:vAlign w:val="center"/>
                </w:tcPr>
                <w:p w14:paraId="33DC3B00">
                  <w:pPr>
                    <w:spacing w:line="240" w:lineRule="auto"/>
                    <w:jc w:val="center"/>
                    <w:rPr>
                      <w:rFonts w:hint="eastAsia" w:eastAsiaTheme="minorEastAsia"/>
                      <w:color w:val="auto"/>
                      <w:szCs w:val="21"/>
                      <w:lang w:val="en-US" w:eastAsia="zh-CN"/>
                    </w:rPr>
                  </w:pPr>
                  <w:r>
                    <w:rPr>
                      <w:rFonts w:hint="eastAsia"/>
                      <w:color w:val="auto"/>
                      <w:sz w:val="21"/>
                      <w:szCs w:val="21"/>
                    </w:rPr>
                    <w:t>废油</w:t>
                  </w:r>
                </w:p>
              </w:tc>
              <w:tc>
                <w:tcPr>
                  <w:tcW w:w="702" w:type="pct"/>
                  <w:tcBorders>
                    <w:bottom w:val="single" w:color="auto" w:sz="12" w:space="0"/>
                  </w:tcBorders>
                  <w:vAlign w:val="center"/>
                </w:tcPr>
                <w:p w14:paraId="24AE5891">
                  <w:pPr>
                    <w:autoSpaceDE w:val="0"/>
                    <w:autoSpaceDN w:val="0"/>
                    <w:spacing w:line="240" w:lineRule="auto"/>
                    <w:jc w:val="center"/>
                    <w:rPr>
                      <w:rFonts w:hint="default" w:eastAsiaTheme="minorEastAsia"/>
                      <w:color w:val="auto"/>
                      <w:szCs w:val="21"/>
                      <w:lang w:val="en-US" w:eastAsia="zh-CN"/>
                    </w:rPr>
                  </w:pPr>
                  <w:r>
                    <w:rPr>
                      <w:rFonts w:hint="eastAsia" w:eastAsiaTheme="minorEastAsia"/>
                      <w:color w:val="auto"/>
                      <w:szCs w:val="21"/>
                      <w:lang w:val="en-US" w:eastAsia="zh-CN"/>
                    </w:rPr>
                    <w:t>0.05</w:t>
                  </w:r>
                </w:p>
              </w:tc>
              <w:tc>
                <w:tcPr>
                  <w:tcW w:w="1832" w:type="pct"/>
                  <w:tcBorders>
                    <w:bottom w:val="single" w:color="auto" w:sz="12" w:space="0"/>
                    <w:right w:val="nil"/>
                  </w:tcBorders>
                  <w:vAlign w:val="center"/>
                </w:tcPr>
                <w:p w14:paraId="3D787EC7">
                  <w:pPr>
                    <w:autoSpaceDE w:val="0"/>
                    <w:autoSpaceDN w:val="0"/>
                    <w:spacing w:line="240" w:lineRule="auto"/>
                    <w:jc w:val="center"/>
                    <w:rPr>
                      <w:rFonts w:eastAsiaTheme="minorEastAsia"/>
                      <w:color w:val="auto"/>
                      <w:szCs w:val="21"/>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r>
          </w:tbl>
          <w:p w14:paraId="0AA2E989">
            <w:pPr>
              <w:widowControl/>
              <w:spacing w:before="120" w:beforeLines="50"/>
              <w:jc w:val="center"/>
              <w:rPr>
                <w:color w:val="auto"/>
                <w:kern w:val="0"/>
                <w:szCs w:val="21"/>
              </w:rPr>
            </w:pPr>
            <w:r>
              <w:rPr>
                <w:rStyle w:val="110"/>
                <w:rFonts w:hint="default" w:ascii="Times New Roman" w:hAnsi="Times New Roman"/>
                <w:b/>
                <w:bCs/>
                <w:color w:val="auto"/>
                <w:kern w:val="21"/>
                <w:sz w:val="21"/>
                <w:szCs w:val="21"/>
              </w:rPr>
              <w:t>表4-</w:t>
            </w:r>
            <w:r>
              <w:rPr>
                <w:rStyle w:val="110"/>
                <w:rFonts w:hint="eastAsia"/>
                <w:b/>
                <w:bCs/>
                <w:color w:val="auto"/>
                <w:kern w:val="21"/>
                <w:sz w:val="21"/>
                <w:szCs w:val="21"/>
                <w:lang w:val="en-US" w:eastAsia="zh-CN"/>
              </w:rPr>
              <w:t>11</w:t>
            </w:r>
            <w:r>
              <w:rPr>
                <w:rFonts w:hint="eastAsia" w:ascii="宋体" w:hAnsi="宋体" w:cs="宋体"/>
                <w:b/>
                <w:bCs/>
                <w:color w:val="auto"/>
                <w:kern w:val="0"/>
                <w:szCs w:val="21"/>
                <w:lang w:bidi="ar"/>
              </w:rPr>
              <w:t>危险废物污染防治措施一览表</w:t>
            </w:r>
          </w:p>
          <w:tbl>
            <w:tblPr>
              <w:tblStyle w:val="36"/>
              <w:tblW w:w="8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
              <w:gridCol w:w="679"/>
              <w:gridCol w:w="675"/>
              <w:gridCol w:w="780"/>
              <w:gridCol w:w="405"/>
              <w:gridCol w:w="705"/>
              <w:gridCol w:w="660"/>
              <w:gridCol w:w="690"/>
              <w:gridCol w:w="660"/>
              <w:gridCol w:w="795"/>
              <w:gridCol w:w="2321"/>
            </w:tblGrid>
            <w:tr w14:paraId="65290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tcBorders>
                    <w:tl2br w:val="nil"/>
                    <w:tr2bl w:val="nil"/>
                  </w:tcBorders>
                  <w:vAlign w:val="center"/>
                </w:tcPr>
                <w:p w14:paraId="0DC85E90">
                  <w:pPr>
                    <w:pStyle w:val="2"/>
                    <w:adjustRightInd/>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679" w:type="dxa"/>
                  <w:tcBorders>
                    <w:tl2br w:val="nil"/>
                    <w:tr2bl w:val="nil"/>
                  </w:tcBorders>
                  <w:vAlign w:val="center"/>
                </w:tcPr>
                <w:p w14:paraId="5B6A41CB">
                  <w:pPr>
                    <w:pStyle w:val="2"/>
                    <w:adjustRightInd/>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危险废物名称</w:t>
                  </w:r>
                </w:p>
              </w:tc>
              <w:tc>
                <w:tcPr>
                  <w:tcW w:w="675" w:type="dxa"/>
                  <w:tcBorders>
                    <w:tl2br w:val="nil"/>
                    <w:tr2bl w:val="nil"/>
                  </w:tcBorders>
                  <w:vAlign w:val="center"/>
                </w:tcPr>
                <w:p w14:paraId="38E138C0">
                  <w:pPr>
                    <w:pStyle w:val="2"/>
                    <w:adjustRightInd/>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危险废物类别</w:t>
                  </w:r>
                </w:p>
              </w:tc>
              <w:tc>
                <w:tcPr>
                  <w:tcW w:w="780" w:type="dxa"/>
                  <w:tcBorders>
                    <w:tl2br w:val="nil"/>
                    <w:tr2bl w:val="nil"/>
                  </w:tcBorders>
                  <w:vAlign w:val="center"/>
                </w:tcPr>
                <w:p w14:paraId="4C99AFDC">
                  <w:pPr>
                    <w:widowControl/>
                    <w:jc w:val="center"/>
                    <w:rPr>
                      <w:b/>
                      <w:bCs/>
                      <w:color w:val="auto"/>
                      <w:szCs w:val="21"/>
                    </w:rPr>
                  </w:pPr>
                  <w:r>
                    <w:rPr>
                      <w:b/>
                      <w:bCs/>
                      <w:color w:val="auto"/>
                      <w:szCs w:val="21"/>
                    </w:rPr>
                    <w:t>危险废物代码</w:t>
                  </w:r>
                </w:p>
              </w:tc>
              <w:tc>
                <w:tcPr>
                  <w:tcW w:w="405" w:type="dxa"/>
                  <w:tcBorders>
                    <w:tl2br w:val="nil"/>
                    <w:tr2bl w:val="nil"/>
                  </w:tcBorders>
                  <w:vAlign w:val="center"/>
                </w:tcPr>
                <w:p w14:paraId="26C17961">
                  <w:pPr>
                    <w:pStyle w:val="2"/>
                    <w:adjustRightInd/>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形态</w:t>
                  </w:r>
                </w:p>
              </w:tc>
              <w:tc>
                <w:tcPr>
                  <w:tcW w:w="705" w:type="dxa"/>
                  <w:tcBorders>
                    <w:tl2br w:val="nil"/>
                    <w:tr2bl w:val="nil"/>
                  </w:tcBorders>
                  <w:vAlign w:val="center"/>
                </w:tcPr>
                <w:p w14:paraId="20CBF730">
                  <w:pPr>
                    <w:pStyle w:val="109"/>
                    <w:adjustRightInd/>
                    <w:spacing w:before="0"/>
                    <w:rPr>
                      <w:rFonts w:cs="Times New Roman"/>
                      <w:b/>
                      <w:bCs/>
                      <w:color w:val="auto"/>
                    </w:rPr>
                  </w:pPr>
                  <w:r>
                    <w:rPr>
                      <w:rFonts w:cs="Times New Roman"/>
                      <w:b/>
                      <w:bCs/>
                      <w:color w:val="auto"/>
                    </w:rPr>
                    <w:t>主要成分</w:t>
                  </w:r>
                </w:p>
              </w:tc>
              <w:tc>
                <w:tcPr>
                  <w:tcW w:w="660" w:type="dxa"/>
                  <w:tcBorders>
                    <w:tl2br w:val="nil"/>
                    <w:tr2bl w:val="nil"/>
                  </w:tcBorders>
                  <w:vAlign w:val="center"/>
                </w:tcPr>
                <w:p w14:paraId="02FB1402">
                  <w:pPr>
                    <w:pStyle w:val="109"/>
                    <w:adjustRightInd/>
                    <w:spacing w:before="0"/>
                    <w:rPr>
                      <w:rFonts w:cs="Times New Roman"/>
                      <w:b/>
                      <w:bCs/>
                      <w:color w:val="auto"/>
                    </w:rPr>
                  </w:pPr>
                  <w:r>
                    <w:rPr>
                      <w:rFonts w:cs="Times New Roman"/>
                      <w:b/>
                      <w:bCs/>
                      <w:color w:val="auto"/>
                    </w:rPr>
                    <w:t>有害成分</w:t>
                  </w:r>
                </w:p>
              </w:tc>
              <w:tc>
                <w:tcPr>
                  <w:tcW w:w="690" w:type="dxa"/>
                  <w:tcBorders>
                    <w:tl2br w:val="nil"/>
                    <w:tr2bl w:val="nil"/>
                  </w:tcBorders>
                  <w:vAlign w:val="center"/>
                </w:tcPr>
                <w:p w14:paraId="671D8AD7">
                  <w:pPr>
                    <w:pStyle w:val="109"/>
                    <w:adjustRightInd/>
                    <w:spacing w:before="0"/>
                    <w:rPr>
                      <w:rFonts w:cs="Times New Roman"/>
                      <w:b/>
                      <w:bCs/>
                      <w:color w:val="auto"/>
                    </w:rPr>
                  </w:pPr>
                  <w:r>
                    <w:rPr>
                      <w:rFonts w:cs="Times New Roman"/>
                      <w:b/>
                      <w:bCs/>
                      <w:color w:val="auto"/>
                    </w:rPr>
                    <w:t>产废周期</w:t>
                  </w:r>
                </w:p>
              </w:tc>
              <w:tc>
                <w:tcPr>
                  <w:tcW w:w="660" w:type="dxa"/>
                  <w:tcBorders>
                    <w:tl2br w:val="nil"/>
                    <w:tr2bl w:val="nil"/>
                  </w:tcBorders>
                  <w:vAlign w:val="center"/>
                </w:tcPr>
                <w:p w14:paraId="6E1B01ED">
                  <w:pPr>
                    <w:pStyle w:val="109"/>
                    <w:adjustRightInd/>
                    <w:spacing w:before="0"/>
                    <w:rPr>
                      <w:rFonts w:cs="Times New Roman"/>
                      <w:b/>
                      <w:bCs/>
                      <w:color w:val="auto"/>
                    </w:rPr>
                  </w:pPr>
                  <w:r>
                    <w:rPr>
                      <w:rFonts w:cs="Times New Roman"/>
                      <w:b/>
                      <w:bCs/>
                      <w:color w:val="auto"/>
                    </w:rPr>
                    <w:t>危险特性</w:t>
                  </w:r>
                </w:p>
              </w:tc>
              <w:tc>
                <w:tcPr>
                  <w:tcW w:w="795" w:type="dxa"/>
                  <w:tcBorders>
                    <w:tl2br w:val="nil"/>
                    <w:tr2bl w:val="nil"/>
                  </w:tcBorders>
                  <w:vAlign w:val="center"/>
                </w:tcPr>
                <w:p w14:paraId="4BA902AF">
                  <w:pPr>
                    <w:pStyle w:val="109"/>
                    <w:adjustRightInd/>
                    <w:spacing w:before="0"/>
                    <w:rPr>
                      <w:rFonts w:cs="Times New Roman"/>
                      <w:b/>
                      <w:bCs/>
                      <w:color w:val="auto"/>
                    </w:rPr>
                  </w:pPr>
                  <w:r>
                    <w:rPr>
                      <w:rFonts w:cs="Times New Roman"/>
                      <w:b/>
                      <w:bCs/>
                      <w:color w:val="auto"/>
                    </w:rPr>
                    <w:t>产生量t/a</w:t>
                  </w:r>
                </w:p>
              </w:tc>
              <w:tc>
                <w:tcPr>
                  <w:tcW w:w="2321" w:type="dxa"/>
                  <w:tcBorders>
                    <w:tl2br w:val="nil"/>
                    <w:tr2bl w:val="nil"/>
                  </w:tcBorders>
                  <w:vAlign w:val="center"/>
                </w:tcPr>
                <w:p w14:paraId="1398C5A2">
                  <w:pPr>
                    <w:pStyle w:val="109"/>
                    <w:adjustRightInd/>
                    <w:spacing w:before="0"/>
                    <w:rPr>
                      <w:rFonts w:cs="Times New Roman"/>
                      <w:b/>
                      <w:bCs/>
                      <w:color w:val="auto"/>
                    </w:rPr>
                  </w:pPr>
                  <w:r>
                    <w:rPr>
                      <w:rFonts w:cs="Times New Roman"/>
                      <w:b/>
                      <w:bCs/>
                      <w:color w:val="auto"/>
                    </w:rPr>
                    <w:t>污染防治措施</w:t>
                  </w:r>
                </w:p>
              </w:tc>
            </w:tr>
            <w:tr w14:paraId="6BA0C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tcBorders>
                    <w:tl2br w:val="nil"/>
                    <w:tr2bl w:val="nil"/>
                  </w:tcBorders>
                  <w:vAlign w:val="center"/>
                </w:tcPr>
                <w:p w14:paraId="4FF0B979">
                  <w:pPr>
                    <w:pStyle w:val="109"/>
                    <w:adjustRightInd/>
                    <w:spacing w:before="0"/>
                    <w:rPr>
                      <w:rFonts w:cs="Times New Roman"/>
                      <w:color w:val="auto"/>
                    </w:rPr>
                  </w:pPr>
                  <w:r>
                    <w:rPr>
                      <w:rFonts w:cs="Times New Roman"/>
                      <w:color w:val="auto"/>
                    </w:rPr>
                    <w:t>1</w:t>
                  </w:r>
                </w:p>
              </w:tc>
              <w:tc>
                <w:tcPr>
                  <w:tcW w:w="679" w:type="dxa"/>
                  <w:tcBorders>
                    <w:tl2br w:val="nil"/>
                    <w:tr2bl w:val="nil"/>
                  </w:tcBorders>
                  <w:vAlign w:val="center"/>
                </w:tcPr>
                <w:p w14:paraId="2E19C82A">
                  <w:pPr>
                    <w:jc w:val="center"/>
                    <w:rPr>
                      <w:color w:val="auto"/>
                      <w:szCs w:val="21"/>
                    </w:rPr>
                  </w:pPr>
                  <w:r>
                    <w:rPr>
                      <w:color w:val="auto"/>
                      <w:szCs w:val="21"/>
                    </w:rPr>
                    <w:t>残液</w:t>
                  </w:r>
                </w:p>
              </w:tc>
              <w:tc>
                <w:tcPr>
                  <w:tcW w:w="675" w:type="dxa"/>
                  <w:tcBorders>
                    <w:tl2br w:val="nil"/>
                    <w:tr2bl w:val="nil"/>
                  </w:tcBorders>
                  <w:vAlign w:val="center"/>
                </w:tcPr>
                <w:p w14:paraId="218AF3FF">
                  <w:pPr>
                    <w:widowControl/>
                    <w:jc w:val="center"/>
                    <w:rPr>
                      <w:color w:val="auto"/>
                      <w:szCs w:val="21"/>
                    </w:rPr>
                  </w:pPr>
                  <w:r>
                    <w:rPr>
                      <w:color w:val="auto"/>
                      <w:kern w:val="0"/>
                      <w:szCs w:val="21"/>
                      <w:lang w:bidi="ar"/>
                    </w:rPr>
                    <w:t>HW09</w:t>
                  </w:r>
                </w:p>
              </w:tc>
              <w:tc>
                <w:tcPr>
                  <w:tcW w:w="780" w:type="dxa"/>
                  <w:tcBorders>
                    <w:tl2br w:val="nil"/>
                    <w:tr2bl w:val="nil"/>
                  </w:tcBorders>
                  <w:vAlign w:val="center"/>
                </w:tcPr>
                <w:p w14:paraId="58C1855B">
                  <w:pPr>
                    <w:widowControl/>
                    <w:jc w:val="center"/>
                    <w:rPr>
                      <w:color w:val="auto"/>
                      <w:szCs w:val="21"/>
                    </w:rPr>
                  </w:pPr>
                  <w:r>
                    <w:rPr>
                      <w:color w:val="auto"/>
                      <w:szCs w:val="21"/>
                    </w:rPr>
                    <w:t>900-07-09</w:t>
                  </w:r>
                </w:p>
              </w:tc>
              <w:tc>
                <w:tcPr>
                  <w:tcW w:w="405" w:type="dxa"/>
                  <w:tcBorders>
                    <w:tl2br w:val="nil"/>
                    <w:tr2bl w:val="nil"/>
                  </w:tcBorders>
                  <w:vAlign w:val="center"/>
                </w:tcPr>
                <w:p w14:paraId="26099F48">
                  <w:pPr>
                    <w:jc w:val="center"/>
                    <w:rPr>
                      <w:color w:val="auto"/>
                      <w:szCs w:val="21"/>
                    </w:rPr>
                  </w:pPr>
                  <w:r>
                    <w:rPr>
                      <w:color w:val="auto"/>
                      <w:szCs w:val="21"/>
                    </w:rPr>
                    <w:t>液态</w:t>
                  </w:r>
                </w:p>
              </w:tc>
              <w:tc>
                <w:tcPr>
                  <w:tcW w:w="705" w:type="dxa"/>
                  <w:tcBorders>
                    <w:tl2br w:val="nil"/>
                    <w:tr2bl w:val="nil"/>
                  </w:tcBorders>
                  <w:vAlign w:val="center"/>
                </w:tcPr>
                <w:p w14:paraId="2ABF783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液态石油气</w:t>
                  </w:r>
                </w:p>
              </w:tc>
              <w:tc>
                <w:tcPr>
                  <w:tcW w:w="660" w:type="dxa"/>
                  <w:tcBorders>
                    <w:tl2br w:val="nil"/>
                    <w:tr2bl w:val="nil"/>
                  </w:tcBorders>
                  <w:vAlign w:val="center"/>
                </w:tcPr>
                <w:p w14:paraId="00346F7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液态石油气</w:t>
                  </w:r>
                </w:p>
              </w:tc>
              <w:tc>
                <w:tcPr>
                  <w:tcW w:w="690" w:type="dxa"/>
                  <w:tcBorders>
                    <w:tl2br w:val="nil"/>
                    <w:tr2bl w:val="nil"/>
                  </w:tcBorders>
                  <w:vAlign w:val="center"/>
                </w:tcPr>
                <w:p w14:paraId="581EA50F">
                  <w:pPr>
                    <w:widowControl/>
                    <w:jc w:val="center"/>
                    <w:rPr>
                      <w:color w:val="auto"/>
                      <w:kern w:val="0"/>
                      <w:szCs w:val="21"/>
                    </w:rPr>
                  </w:pPr>
                  <w:r>
                    <w:rPr>
                      <w:color w:val="auto"/>
                      <w:kern w:val="0"/>
                      <w:szCs w:val="21"/>
                    </w:rPr>
                    <w:t>每月</w:t>
                  </w:r>
                </w:p>
              </w:tc>
              <w:tc>
                <w:tcPr>
                  <w:tcW w:w="660" w:type="dxa"/>
                  <w:tcBorders>
                    <w:tl2br w:val="nil"/>
                    <w:tr2bl w:val="nil"/>
                  </w:tcBorders>
                  <w:vAlign w:val="center"/>
                </w:tcPr>
                <w:p w14:paraId="64D49ACF">
                  <w:pPr>
                    <w:autoSpaceDE w:val="0"/>
                    <w:autoSpaceDN w:val="0"/>
                    <w:jc w:val="center"/>
                    <w:rPr>
                      <w:color w:val="auto"/>
                      <w:kern w:val="0"/>
                      <w:szCs w:val="21"/>
                    </w:rPr>
                  </w:pPr>
                  <w:r>
                    <w:rPr>
                      <w:rFonts w:hint="default" w:ascii="Times New Roman" w:hAnsi="Times New Roman" w:eastAsia="宋体" w:cs="Times New Roman"/>
                      <w:color w:val="auto"/>
                      <w:spacing w:val="0"/>
                      <w:sz w:val="21"/>
                      <w:szCs w:val="21"/>
                      <w:lang w:val="en-US" w:eastAsia="zh-CN"/>
                    </w:rPr>
                    <w:t>T</w:t>
                  </w:r>
                </w:p>
              </w:tc>
              <w:tc>
                <w:tcPr>
                  <w:tcW w:w="795" w:type="dxa"/>
                  <w:tcBorders>
                    <w:tl2br w:val="nil"/>
                    <w:tr2bl w:val="nil"/>
                  </w:tcBorders>
                  <w:vAlign w:val="center"/>
                </w:tcPr>
                <w:p w14:paraId="702CBBD5">
                  <w:pPr>
                    <w:autoSpaceDE w:val="0"/>
                    <w:autoSpaceDN w:val="0"/>
                    <w:jc w:val="center"/>
                    <w:rPr>
                      <w:rFonts w:hint="default" w:eastAsia="宋体"/>
                      <w:color w:val="auto"/>
                      <w:kern w:val="0"/>
                      <w:szCs w:val="21"/>
                      <w:lang w:val="en-US" w:eastAsia="zh-CN"/>
                    </w:rPr>
                  </w:pPr>
                  <w:r>
                    <w:rPr>
                      <w:rFonts w:hint="eastAsia"/>
                      <w:color w:val="auto"/>
                      <w:kern w:val="0"/>
                      <w:szCs w:val="21"/>
                      <w:lang w:val="en-US" w:eastAsia="zh-CN"/>
                    </w:rPr>
                    <w:t>43.20</w:t>
                  </w:r>
                </w:p>
              </w:tc>
              <w:tc>
                <w:tcPr>
                  <w:tcW w:w="2321" w:type="dxa"/>
                  <w:tcBorders>
                    <w:tl2br w:val="nil"/>
                    <w:tr2bl w:val="nil"/>
                  </w:tcBorders>
                  <w:vAlign w:val="center"/>
                </w:tcPr>
                <w:p w14:paraId="071AF0B3">
                  <w:pPr>
                    <w:autoSpaceDE w:val="0"/>
                    <w:autoSpaceDN w:val="0"/>
                    <w:jc w:val="center"/>
                    <w:rPr>
                      <w:rFonts w:hint="default" w:eastAsia="宋体"/>
                      <w:color w:val="auto"/>
                      <w:kern w:val="0"/>
                      <w:szCs w:val="21"/>
                      <w:lang w:val="en-US" w:eastAsia="zh-CN"/>
                    </w:rPr>
                  </w:pPr>
                  <w:r>
                    <w:rPr>
                      <w:rFonts w:hint="eastAsia"/>
                      <w:color w:val="auto"/>
                      <w:kern w:val="0"/>
                      <w:szCs w:val="21"/>
                      <w:lang w:val="en-US" w:eastAsia="zh-CN"/>
                    </w:rPr>
                    <w:t>储存于残液罐，定期倒出，定期交</w:t>
                  </w:r>
                  <w:r>
                    <w:rPr>
                      <w:rFonts w:hint="eastAsia" w:eastAsiaTheme="minorEastAsia"/>
                      <w:bCs/>
                      <w:color w:val="auto"/>
                      <w:szCs w:val="21"/>
                    </w:rPr>
                    <w:t>由</w:t>
                  </w:r>
                  <w:bookmarkStart w:id="12" w:name="OLE_LINK12"/>
                  <w:r>
                    <w:rPr>
                      <w:rFonts w:hint="eastAsia" w:eastAsiaTheme="minorEastAsia"/>
                      <w:bCs/>
                      <w:color w:val="auto"/>
                      <w:szCs w:val="21"/>
                      <w:lang w:val="en-US" w:eastAsia="zh-CN"/>
                    </w:rPr>
                    <w:t>有资质单位</w:t>
                  </w:r>
                  <w:bookmarkEnd w:id="12"/>
                  <w:r>
                    <w:rPr>
                      <w:rFonts w:hint="eastAsia" w:eastAsiaTheme="minorEastAsia"/>
                      <w:bCs/>
                      <w:color w:val="auto"/>
                      <w:szCs w:val="21"/>
                    </w:rPr>
                    <w:t>处理</w:t>
                  </w:r>
                </w:p>
              </w:tc>
            </w:tr>
            <w:tr w14:paraId="6D672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tcBorders>
                    <w:tl2br w:val="nil"/>
                    <w:tr2bl w:val="nil"/>
                  </w:tcBorders>
                  <w:vAlign w:val="center"/>
                </w:tcPr>
                <w:p w14:paraId="5E113F60">
                  <w:pPr>
                    <w:pStyle w:val="109"/>
                    <w:adjustRightInd/>
                    <w:spacing w:before="0"/>
                    <w:rPr>
                      <w:rFonts w:hint="eastAsia" w:eastAsia="宋体" w:cs="Times New Roman"/>
                      <w:color w:val="auto"/>
                      <w:lang w:val="en-US" w:eastAsia="zh-CN"/>
                    </w:rPr>
                  </w:pPr>
                  <w:r>
                    <w:rPr>
                      <w:rFonts w:hint="eastAsia" w:cs="Times New Roman"/>
                      <w:color w:val="auto"/>
                      <w:lang w:val="en-US" w:eastAsia="zh-CN"/>
                    </w:rPr>
                    <w:t>2</w:t>
                  </w:r>
                </w:p>
              </w:tc>
              <w:tc>
                <w:tcPr>
                  <w:tcW w:w="679" w:type="dxa"/>
                  <w:tcBorders>
                    <w:tl2br w:val="nil"/>
                    <w:tr2bl w:val="nil"/>
                  </w:tcBorders>
                  <w:shd w:val="clear" w:color="auto" w:fill="auto"/>
                  <w:vAlign w:val="center"/>
                </w:tcPr>
                <w:p w14:paraId="14C09A10">
                  <w:pPr>
                    <w:bidi w:val="0"/>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废机油</w:t>
                  </w:r>
                </w:p>
              </w:tc>
              <w:tc>
                <w:tcPr>
                  <w:tcW w:w="675" w:type="dxa"/>
                  <w:tcBorders>
                    <w:tl2br w:val="nil"/>
                    <w:tr2bl w:val="nil"/>
                  </w:tcBorders>
                  <w:shd w:val="clear" w:color="auto" w:fill="auto"/>
                  <w:vAlign w:val="center"/>
                </w:tcPr>
                <w:p w14:paraId="32F6E60C">
                  <w:pPr>
                    <w:rPr>
                      <w:color w:val="auto"/>
                    </w:rPr>
                  </w:pPr>
                  <w:r>
                    <w:rPr>
                      <w:rFonts w:hint="default" w:ascii="Times New Roman" w:hAnsi="Times New Roman" w:eastAsia="宋体" w:cs="Times New Roman"/>
                      <w:color w:val="auto"/>
                      <w:highlight w:val="none"/>
                      <w:lang w:val="en-US" w:eastAsia="zh-CN"/>
                    </w:rPr>
                    <w:t>HW</w:t>
                  </w:r>
                  <w:r>
                    <w:rPr>
                      <w:rFonts w:hint="eastAsia" w:ascii="Times New Roman" w:hAnsi="Times New Roman" w:eastAsia="宋体" w:cs="Times New Roman"/>
                      <w:color w:val="auto"/>
                      <w:highlight w:val="none"/>
                      <w:lang w:val="en-US" w:eastAsia="zh-CN"/>
                    </w:rPr>
                    <w:t>08</w:t>
                  </w:r>
                </w:p>
                <w:p w14:paraId="735F740C">
                  <w:pPr>
                    <w:pStyle w:val="66"/>
                    <w:bidi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p>
              </w:tc>
              <w:tc>
                <w:tcPr>
                  <w:tcW w:w="780" w:type="dxa"/>
                  <w:tcBorders>
                    <w:tl2br w:val="nil"/>
                    <w:tr2bl w:val="nil"/>
                  </w:tcBorders>
                  <w:shd w:val="clear" w:color="auto" w:fill="auto"/>
                  <w:vAlign w:val="center"/>
                </w:tcPr>
                <w:p w14:paraId="130663B0">
                  <w:pPr>
                    <w:rPr>
                      <w:color w:val="auto"/>
                    </w:rPr>
                  </w:pPr>
                </w:p>
                <w:p w14:paraId="021F8CAF">
                  <w:pPr>
                    <w:pStyle w:val="66"/>
                    <w:bidi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pacing w:val="0"/>
                      <w:sz w:val="21"/>
                      <w:szCs w:val="21"/>
                      <w:lang w:val="en-US" w:eastAsia="zh-CN"/>
                    </w:rPr>
                    <w:t>900-214-08</w:t>
                  </w:r>
                </w:p>
              </w:tc>
              <w:tc>
                <w:tcPr>
                  <w:tcW w:w="405" w:type="dxa"/>
                  <w:tcBorders>
                    <w:tl2br w:val="nil"/>
                    <w:tr2bl w:val="nil"/>
                  </w:tcBorders>
                  <w:vAlign w:val="center"/>
                </w:tcPr>
                <w:p w14:paraId="40504603">
                  <w:pPr>
                    <w:pStyle w:val="66"/>
                    <w:ind w:left="0" w:leftChars="0" w:right="0" w:rightChars="0"/>
                    <w:rPr>
                      <w:color w:val="auto"/>
                      <w:szCs w:val="21"/>
                    </w:rPr>
                  </w:pPr>
                  <w:r>
                    <w:rPr>
                      <w:rFonts w:hint="default" w:ascii="Times New Roman" w:hAnsi="Times New Roman" w:cs="Times New Roman"/>
                      <w:color w:val="auto"/>
                      <w:spacing w:val="0"/>
                      <w:sz w:val="21"/>
                      <w:szCs w:val="21"/>
                      <w:lang w:eastAsia="zh-CN"/>
                    </w:rPr>
                    <w:t>液态</w:t>
                  </w:r>
                </w:p>
              </w:tc>
              <w:tc>
                <w:tcPr>
                  <w:tcW w:w="705" w:type="dxa"/>
                  <w:tcBorders>
                    <w:tl2br w:val="nil"/>
                    <w:tr2bl w:val="nil"/>
                  </w:tcBorders>
                  <w:vAlign w:val="center"/>
                </w:tcPr>
                <w:p w14:paraId="2A5E4E66">
                  <w:pPr>
                    <w:pStyle w:val="44"/>
                    <w:bidi w:val="0"/>
                    <w:spacing w:line="240" w:lineRule="auto"/>
                    <w:ind w:left="0" w:leftChars="0" w:right="0" w:rightChars="0"/>
                    <w:rPr>
                      <w:rFonts w:ascii="Times New Roman" w:hAnsi="Times New Roman" w:eastAsia="宋体" w:cs="Times New Roman"/>
                      <w:color w:val="auto"/>
                      <w:szCs w:val="21"/>
                    </w:rPr>
                  </w:pPr>
                  <w:r>
                    <w:rPr>
                      <w:rFonts w:hint="default" w:ascii="Times New Roman" w:hAnsi="Times New Roman" w:cs="Times New Roman"/>
                      <w:color w:val="auto"/>
                      <w:spacing w:val="0"/>
                      <w:sz w:val="21"/>
                      <w:szCs w:val="21"/>
                      <w:lang w:val="en-US" w:eastAsia="zh-CN"/>
                    </w:rPr>
                    <w:t>油类物质</w:t>
                  </w:r>
                </w:p>
              </w:tc>
              <w:tc>
                <w:tcPr>
                  <w:tcW w:w="660" w:type="dxa"/>
                  <w:tcBorders>
                    <w:tl2br w:val="nil"/>
                    <w:tr2bl w:val="nil"/>
                  </w:tcBorders>
                  <w:vAlign w:val="center"/>
                </w:tcPr>
                <w:p w14:paraId="3A530CE3">
                  <w:pPr>
                    <w:pStyle w:val="44"/>
                    <w:bidi w:val="0"/>
                    <w:spacing w:line="240" w:lineRule="auto"/>
                    <w:ind w:left="0" w:leftChars="0" w:right="0" w:rightChars="0"/>
                    <w:rPr>
                      <w:rFonts w:ascii="Times New Roman" w:hAnsi="Times New Roman" w:eastAsia="宋体" w:cs="Times New Roman"/>
                      <w:color w:val="auto"/>
                      <w:szCs w:val="21"/>
                    </w:rPr>
                  </w:pPr>
                  <w:r>
                    <w:rPr>
                      <w:rFonts w:hint="default" w:ascii="Times New Roman" w:hAnsi="Times New Roman" w:cs="Times New Roman"/>
                      <w:color w:val="auto"/>
                      <w:spacing w:val="0"/>
                      <w:sz w:val="21"/>
                      <w:szCs w:val="21"/>
                      <w:lang w:val="en-US" w:eastAsia="zh-CN"/>
                    </w:rPr>
                    <w:t>油类物质</w:t>
                  </w:r>
                </w:p>
              </w:tc>
              <w:tc>
                <w:tcPr>
                  <w:tcW w:w="690" w:type="dxa"/>
                  <w:tcBorders>
                    <w:tl2br w:val="nil"/>
                    <w:tr2bl w:val="nil"/>
                  </w:tcBorders>
                  <w:vAlign w:val="center"/>
                </w:tcPr>
                <w:p w14:paraId="124068C7">
                  <w:pPr>
                    <w:widowControl/>
                    <w:jc w:val="center"/>
                    <w:rPr>
                      <w:color w:val="auto"/>
                      <w:kern w:val="0"/>
                      <w:szCs w:val="21"/>
                    </w:rPr>
                  </w:pPr>
                  <w:r>
                    <w:rPr>
                      <w:rFonts w:hint="eastAsia"/>
                      <w:color w:val="auto"/>
                      <w:sz w:val="21"/>
                      <w:szCs w:val="21"/>
                      <w:lang w:val="en-US" w:eastAsia="zh-CN"/>
                    </w:rPr>
                    <w:t>季度</w:t>
                  </w:r>
                </w:p>
              </w:tc>
              <w:tc>
                <w:tcPr>
                  <w:tcW w:w="660" w:type="dxa"/>
                  <w:tcBorders>
                    <w:tl2br w:val="nil"/>
                    <w:tr2bl w:val="nil"/>
                  </w:tcBorders>
                  <w:vAlign w:val="center"/>
                </w:tcPr>
                <w:p w14:paraId="00EB21D0">
                  <w:pPr>
                    <w:pStyle w:val="66"/>
                    <w:ind w:left="0" w:leftChars="0" w:right="0" w:rightChars="0"/>
                    <w:rPr>
                      <w:color w:val="auto"/>
                      <w:kern w:val="0"/>
                      <w:szCs w:val="21"/>
                    </w:rPr>
                  </w:pPr>
                  <w:r>
                    <w:rPr>
                      <w:rFonts w:hint="default" w:ascii="Times New Roman" w:hAnsi="Times New Roman" w:eastAsia="宋体" w:cs="Times New Roman"/>
                      <w:color w:val="auto"/>
                      <w:spacing w:val="0"/>
                      <w:sz w:val="21"/>
                      <w:szCs w:val="21"/>
                      <w:lang w:val="en-US" w:eastAsia="zh-CN"/>
                    </w:rPr>
                    <w:t>T/I</w:t>
                  </w:r>
                </w:p>
              </w:tc>
              <w:tc>
                <w:tcPr>
                  <w:tcW w:w="795" w:type="dxa"/>
                  <w:tcBorders>
                    <w:tl2br w:val="nil"/>
                    <w:tr2bl w:val="nil"/>
                  </w:tcBorders>
                  <w:vAlign w:val="center"/>
                </w:tcPr>
                <w:p w14:paraId="6D384873">
                  <w:pPr>
                    <w:autoSpaceDE w:val="0"/>
                    <w:autoSpaceDN w:val="0"/>
                    <w:jc w:val="center"/>
                    <w:rPr>
                      <w:rFonts w:hint="default"/>
                      <w:color w:val="auto"/>
                      <w:kern w:val="0"/>
                      <w:szCs w:val="21"/>
                      <w:lang w:val="en-US" w:eastAsia="zh-CN"/>
                    </w:rPr>
                  </w:pPr>
                  <w:r>
                    <w:rPr>
                      <w:rFonts w:hint="eastAsia"/>
                      <w:color w:val="auto"/>
                      <w:kern w:val="0"/>
                      <w:szCs w:val="21"/>
                      <w:lang w:val="en-US" w:eastAsia="zh-CN"/>
                    </w:rPr>
                    <w:t>0.1</w:t>
                  </w:r>
                </w:p>
              </w:tc>
              <w:tc>
                <w:tcPr>
                  <w:tcW w:w="2321" w:type="dxa"/>
                  <w:tcBorders>
                    <w:tl2br w:val="nil"/>
                    <w:tr2bl w:val="nil"/>
                  </w:tcBorders>
                  <w:vAlign w:val="center"/>
                </w:tcPr>
                <w:p w14:paraId="76D9FBE4">
                  <w:pPr>
                    <w:autoSpaceDE w:val="0"/>
                    <w:autoSpaceDN w:val="0"/>
                    <w:jc w:val="center"/>
                    <w:rPr>
                      <w:rFonts w:hint="eastAsia"/>
                      <w:color w:val="auto"/>
                      <w:kern w:val="0"/>
                      <w:szCs w:val="21"/>
                      <w:lang w:val="en-US" w:eastAsia="zh-CN"/>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r>
            <w:tr w14:paraId="35760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tcBorders>
                    <w:tl2br w:val="nil"/>
                    <w:tr2bl w:val="nil"/>
                  </w:tcBorders>
                  <w:vAlign w:val="center"/>
                </w:tcPr>
                <w:p w14:paraId="02D4EA44">
                  <w:pPr>
                    <w:pStyle w:val="109"/>
                    <w:adjustRightInd/>
                    <w:spacing w:before="0"/>
                    <w:rPr>
                      <w:rFonts w:hint="eastAsia" w:eastAsia="宋体" w:cs="Times New Roman"/>
                      <w:color w:val="auto"/>
                      <w:lang w:val="en-US" w:eastAsia="zh-CN"/>
                    </w:rPr>
                  </w:pPr>
                  <w:r>
                    <w:rPr>
                      <w:rFonts w:hint="eastAsia" w:cs="Times New Roman"/>
                      <w:color w:val="auto"/>
                      <w:lang w:val="en-US" w:eastAsia="zh-CN"/>
                    </w:rPr>
                    <w:t>3</w:t>
                  </w:r>
                </w:p>
              </w:tc>
              <w:tc>
                <w:tcPr>
                  <w:tcW w:w="679" w:type="dxa"/>
                  <w:tcBorders>
                    <w:tl2br w:val="nil"/>
                    <w:tr2bl w:val="nil"/>
                  </w:tcBorders>
                  <w:shd w:val="clear" w:color="auto" w:fill="auto"/>
                  <w:vAlign w:val="center"/>
                </w:tcPr>
                <w:p w14:paraId="77D7C700">
                  <w:pPr>
                    <w:bidi w:val="0"/>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废含油抹布</w:t>
                  </w:r>
                </w:p>
              </w:tc>
              <w:tc>
                <w:tcPr>
                  <w:tcW w:w="675" w:type="dxa"/>
                  <w:tcBorders>
                    <w:tl2br w:val="nil"/>
                    <w:tr2bl w:val="nil"/>
                  </w:tcBorders>
                  <w:shd w:val="clear" w:color="auto" w:fill="auto"/>
                  <w:vAlign w:val="center"/>
                </w:tcPr>
                <w:p w14:paraId="0CBC1EED">
                  <w:pPr>
                    <w:rPr>
                      <w:color w:val="auto"/>
                    </w:rPr>
                  </w:pPr>
                  <w:r>
                    <w:rPr>
                      <w:rFonts w:hint="default" w:ascii="Times New Roman" w:hAnsi="Times New Roman" w:cs="Times New Roman"/>
                      <w:color w:val="auto"/>
                      <w:spacing w:val="0"/>
                      <w:sz w:val="21"/>
                      <w:szCs w:val="21"/>
                    </w:rPr>
                    <w:t>HW</w:t>
                  </w:r>
                  <w:r>
                    <w:rPr>
                      <w:rFonts w:hint="default" w:ascii="Times New Roman" w:hAnsi="Times New Roman" w:cs="Times New Roman"/>
                      <w:color w:val="auto"/>
                      <w:spacing w:val="0"/>
                      <w:sz w:val="21"/>
                      <w:szCs w:val="21"/>
                      <w:lang w:val="en-US" w:eastAsia="zh-CN"/>
                    </w:rPr>
                    <w:t>49</w:t>
                  </w:r>
                </w:p>
                <w:p w14:paraId="2E2EDD24">
                  <w:pPr>
                    <w:pStyle w:val="66"/>
                    <w:bidi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p>
              </w:tc>
              <w:tc>
                <w:tcPr>
                  <w:tcW w:w="780" w:type="dxa"/>
                  <w:tcBorders>
                    <w:tl2br w:val="nil"/>
                    <w:tr2bl w:val="nil"/>
                  </w:tcBorders>
                  <w:shd w:val="clear" w:color="auto" w:fill="auto"/>
                  <w:vAlign w:val="center"/>
                </w:tcPr>
                <w:p w14:paraId="19F0776E">
                  <w:pPr>
                    <w:rPr>
                      <w:color w:val="auto"/>
                    </w:rPr>
                  </w:pPr>
                </w:p>
                <w:p w14:paraId="51C363D0">
                  <w:pPr>
                    <w:pStyle w:val="66"/>
                    <w:bidi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pacing w:val="0"/>
                      <w:sz w:val="21"/>
                      <w:szCs w:val="21"/>
                      <w:lang w:val="en-US" w:eastAsia="zh-CN"/>
                    </w:rPr>
                    <w:t>900-041-49</w:t>
                  </w:r>
                </w:p>
              </w:tc>
              <w:tc>
                <w:tcPr>
                  <w:tcW w:w="405" w:type="dxa"/>
                  <w:tcBorders>
                    <w:tl2br w:val="nil"/>
                    <w:tr2bl w:val="nil"/>
                  </w:tcBorders>
                  <w:vAlign w:val="center"/>
                </w:tcPr>
                <w:p w14:paraId="7867AEAF">
                  <w:pPr>
                    <w:pStyle w:val="66"/>
                    <w:ind w:left="0" w:leftChars="0" w:right="0" w:rightChars="0"/>
                    <w:rPr>
                      <w:color w:val="auto"/>
                      <w:szCs w:val="21"/>
                    </w:rPr>
                  </w:pPr>
                  <w:r>
                    <w:rPr>
                      <w:rFonts w:hint="eastAsia" w:cs="Times New Roman"/>
                      <w:color w:val="auto"/>
                      <w:highlight w:val="none"/>
                      <w:lang w:val="en-US" w:eastAsia="zh-CN"/>
                    </w:rPr>
                    <w:t>固态</w:t>
                  </w:r>
                </w:p>
              </w:tc>
              <w:tc>
                <w:tcPr>
                  <w:tcW w:w="705" w:type="dxa"/>
                  <w:tcBorders>
                    <w:tl2br w:val="nil"/>
                    <w:tr2bl w:val="nil"/>
                  </w:tcBorders>
                  <w:vAlign w:val="center"/>
                </w:tcPr>
                <w:p w14:paraId="0701E834">
                  <w:pPr>
                    <w:pStyle w:val="44"/>
                    <w:bidi w:val="0"/>
                    <w:spacing w:line="240" w:lineRule="auto"/>
                    <w:ind w:left="0" w:leftChars="0" w:right="0" w:rightChars="0"/>
                    <w:rPr>
                      <w:rFonts w:ascii="Times New Roman" w:hAnsi="Times New Roman" w:eastAsia="宋体" w:cs="Times New Roman"/>
                      <w:color w:val="auto"/>
                      <w:szCs w:val="21"/>
                    </w:rPr>
                  </w:pPr>
                  <w:r>
                    <w:rPr>
                      <w:rFonts w:hint="default" w:ascii="Times New Roman" w:hAnsi="Times New Roman" w:cs="Times New Roman"/>
                      <w:color w:val="auto"/>
                      <w:spacing w:val="0"/>
                      <w:sz w:val="21"/>
                      <w:szCs w:val="21"/>
                      <w:lang w:val="en-US" w:eastAsia="zh-CN"/>
                    </w:rPr>
                    <w:t>油类物质</w:t>
                  </w:r>
                </w:p>
              </w:tc>
              <w:tc>
                <w:tcPr>
                  <w:tcW w:w="660" w:type="dxa"/>
                  <w:tcBorders>
                    <w:tl2br w:val="nil"/>
                    <w:tr2bl w:val="nil"/>
                  </w:tcBorders>
                  <w:vAlign w:val="center"/>
                </w:tcPr>
                <w:p w14:paraId="1174120F">
                  <w:pPr>
                    <w:pStyle w:val="44"/>
                    <w:bidi w:val="0"/>
                    <w:spacing w:line="240" w:lineRule="auto"/>
                    <w:ind w:left="0" w:leftChars="0" w:right="0" w:rightChars="0"/>
                    <w:rPr>
                      <w:rFonts w:ascii="Times New Roman" w:hAnsi="Times New Roman" w:eastAsia="宋体" w:cs="Times New Roman"/>
                      <w:color w:val="auto"/>
                      <w:szCs w:val="21"/>
                    </w:rPr>
                  </w:pPr>
                  <w:r>
                    <w:rPr>
                      <w:rFonts w:hint="default" w:ascii="Times New Roman" w:hAnsi="Times New Roman" w:cs="Times New Roman"/>
                      <w:color w:val="auto"/>
                      <w:spacing w:val="0"/>
                      <w:sz w:val="21"/>
                      <w:szCs w:val="21"/>
                      <w:lang w:val="en-US" w:eastAsia="zh-CN"/>
                    </w:rPr>
                    <w:t>油类物质</w:t>
                  </w:r>
                </w:p>
              </w:tc>
              <w:tc>
                <w:tcPr>
                  <w:tcW w:w="690" w:type="dxa"/>
                  <w:tcBorders>
                    <w:tl2br w:val="nil"/>
                    <w:tr2bl w:val="nil"/>
                  </w:tcBorders>
                  <w:vAlign w:val="center"/>
                </w:tcPr>
                <w:p w14:paraId="03711F97">
                  <w:pPr>
                    <w:widowControl/>
                    <w:jc w:val="center"/>
                    <w:rPr>
                      <w:color w:val="auto"/>
                      <w:kern w:val="0"/>
                      <w:szCs w:val="21"/>
                    </w:rPr>
                  </w:pPr>
                  <w:r>
                    <w:rPr>
                      <w:rFonts w:hint="eastAsia"/>
                      <w:color w:val="auto"/>
                      <w:sz w:val="21"/>
                      <w:szCs w:val="21"/>
                      <w:lang w:val="en-US" w:eastAsia="zh-CN"/>
                    </w:rPr>
                    <w:t>季度</w:t>
                  </w:r>
                </w:p>
              </w:tc>
              <w:tc>
                <w:tcPr>
                  <w:tcW w:w="660" w:type="dxa"/>
                  <w:tcBorders>
                    <w:tl2br w:val="nil"/>
                    <w:tr2bl w:val="nil"/>
                  </w:tcBorders>
                  <w:vAlign w:val="center"/>
                </w:tcPr>
                <w:p w14:paraId="54888B60">
                  <w:pPr>
                    <w:pStyle w:val="66"/>
                    <w:ind w:left="0" w:leftChars="0" w:right="0" w:rightChars="0"/>
                    <w:rPr>
                      <w:color w:val="auto"/>
                      <w:kern w:val="0"/>
                      <w:szCs w:val="21"/>
                    </w:rPr>
                  </w:pPr>
                  <w:r>
                    <w:rPr>
                      <w:rFonts w:hint="default" w:ascii="Times New Roman" w:hAnsi="Times New Roman" w:eastAsia="宋体" w:cs="Times New Roman"/>
                      <w:color w:val="auto"/>
                      <w:kern w:val="0"/>
                      <w:sz w:val="21"/>
                      <w:szCs w:val="21"/>
                      <w:highlight w:val="none"/>
                      <w:lang w:val="en-US" w:eastAsia="zh-CN"/>
                    </w:rPr>
                    <w:t>T</w:t>
                  </w:r>
                </w:p>
              </w:tc>
              <w:tc>
                <w:tcPr>
                  <w:tcW w:w="795" w:type="dxa"/>
                  <w:tcBorders>
                    <w:tl2br w:val="nil"/>
                    <w:tr2bl w:val="nil"/>
                  </w:tcBorders>
                  <w:vAlign w:val="center"/>
                </w:tcPr>
                <w:p w14:paraId="06503BB7">
                  <w:pPr>
                    <w:autoSpaceDE w:val="0"/>
                    <w:autoSpaceDN w:val="0"/>
                    <w:jc w:val="center"/>
                    <w:rPr>
                      <w:rFonts w:hint="default"/>
                      <w:color w:val="auto"/>
                      <w:kern w:val="0"/>
                      <w:szCs w:val="21"/>
                      <w:lang w:val="en-US" w:eastAsia="zh-CN"/>
                    </w:rPr>
                  </w:pPr>
                  <w:r>
                    <w:rPr>
                      <w:rFonts w:hint="eastAsia"/>
                      <w:color w:val="auto"/>
                      <w:kern w:val="0"/>
                      <w:szCs w:val="21"/>
                      <w:lang w:val="en-US" w:eastAsia="zh-CN"/>
                    </w:rPr>
                    <w:t>0.01</w:t>
                  </w:r>
                </w:p>
              </w:tc>
              <w:tc>
                <w:tcPr>
                  <w:tcW w:w="2321" w:type="dxa"/>
                  <w:tcBorders>
                    <w:tl2br w:val="nil"/>
                    <w:tr2bl w:val="nil"/>
                  </w:tcBorders>
                  <w:vAlign w:val="center"/>
                </w:tcPr>
                <w:p w14:paraId="075F29E3">
                  <w:pPr>
                    <w:autoSpaceDE w:val="0"/>
                    <w:autoSpaceDN w:val="0"/>
                    <w:jc w:val="center"/>
                    <w:rPr>
                      <w:rFonts w:hint="eastAsia"/>
                      <w:color w:val="auto"/>
                      <w:kern w:val="0"/>
                      <w:szCs w:val="21"/>
                      <w:lang w:val="en-US" w:eastAsia="zh-CN"/>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r>
            <w:tr w14:paraId="407D9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dxa"/>
                  <w:tcBorders>
                    <w:tl2br w:val="nil"/>
                    <w:tr2bl w:val="nil"/>
                  </w:tcBorders>
                  <w:vAlign w:val="center"/>
                </w:tcPr>
                <w:p w14:paraId="6670B1AC">
                  <w:pPr>
                    <w:pStyle w:val="109"/>
                    <w:adjustRightInd/>
                    <w:spacing w:before="0"/>
                    <w:rPr>
                      <w:rFonts w:hint="default" w:cs="Times New Roman"/>
                      <w:color w:val="auto"/>
                      <w:lang w:val="en-US" w:eastAsia="zh-CN"/>
                    </w:rPr>
                  </w:pPr>
                  <w:r>
                    <w:rPr>
                      <w:rFonts w:hint="eastAsia" w:cs="Times New Roman"/>
                      <w:color w:val="auto"/>
                      <w:lang w:val="en-US" w:eastAsia="zh-CN"/>
                    </w:rPr>
                    <w:t>4</w:t>
                  </w:r>
                </w:p>
              </w:tc>
              <w:tc>
                <w:tcPr>
                  <w:tcW w:w="679" w:type="dxa"/>
                  <w:tcBorders>
                    <w:tl2br w:val="nil"/>
                    <w:tr2bl w:val="nil"/>
                  </w:tcBorders>
                  <w:shd w:val="clear" w:color="auto" w:fill="auto"/>
                  <w:vAlign w:val="center"/>
                </w:tcPr>
                <w:p w14:paraId="7B05C237">
                  <w:pPr>
                    <w:spacing w:line="192"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废</w:t>
                  </w:r>
                  <w:r>
                    <w:rPr>
                      <w:rFonts w:hint="eastAsia"/>
                      <w:color w:val="auto"/>
                      <w:sz w:val="21"/>
                      <w:szCs w:val="21"/>
                      <w:lang w:eastAsia="zh-CN"/>
                    </w:rPr>
                    <w:t>机油桶</w:t>
                  </w:r>
                </w:p>
              </w:tc>
              <w:tc>
                <w:tcPr>
                  <w:tcW w:w="675" w:type="dxa"/>
                  <w:tcBorders>
                    <w:tl2br w:val="nil"/>
                    <w:tr2bl w:val="nil"/>
                  </w:tcBorders>
                  <w:shd w:val="clear" w:color="auto" w:fill="auto"/>
                  <w:vAlign w:val="center"/>
                </w:tcPr>
                <w:p w14:paraId="49FFB88E">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HW</w:t>
                  </w:r>
                  <w:r>
                    <w:rPr>
                      <w:rFonts w:hint="eastAsia"/>
                      <w:color w:val="auto"/>
                      <w:sz w:val="21"/>
                      <w:szCs w:val="21"/>
                      <w:lang w:val="en-US" w:eastAsia="zh-CN"/>
                    </w:rPr>
                    <w:t>49</w:t>
                  </w:r>
                </w:p>
              </w:tc>
              <w:tc>
                <w:tcPr>
                  <w:tcW w:w="780" w:type="dxa"/>
                  <w:tcBorders>
                    <w:tl2br w:val="nil"/>
                    <w:tr2bl w:val="nil"/>
                  </w:tcBorders>
                  <w:shd w:val="clear" w:color="auto" w:fill="auto"/>
                  <w:vAlign w:val="center"/>
                </w:tcPr>
                <w:p w14:paraId="3AF2C2B2">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hAnsi="宋体"/>
                      <w:color w:val="auto"/>
                      <w:sz w:val="21"/>
                      <w:szCs w:val="21"/>
                    </w:rPr>
                    <w:t>900-</w:t>
                  </w:r>
                  <w:r>
                    <w:rPr>
                      <w:rFonts w:hint="eastAsia" w:hAnsi="宋体"/>
                      <w:color w:val="auto"/>
                      <w:sz w:val="21"/>
                      <w:szCs w:val="21"/>
                      <w:lang w:val="en-US" w:eastAsia="zh-CN"/>
                    </w:rPr>
                    <w:t>041</w:t>
                  </w:r>
                  <w:r>
                    <w:rPr>
                      <w:rFonts w:hint="eastAsia" w:hAnsi="宋体"/>
                      <w:color w:val="auto"/>
                      <w:sz w:val="21"/>
                      <w:szCs w:val="21"/>
                    </w:rPr>
                    <w:t>-</w:t>
                  </w:r>
                  <w:r>
                    <w:rPr>
                      <w:rFonts w:hint="eastAsia" w:hAnsi="宋体"/>
                      <w:color w:val="auto"/>
                      <w:sz w:val="21"/>
                      <w:szCs w:val="21"/>
                      <w:lang w:val="en-US" w:eastAsia="zh-CN"/>
                    </w:rPr>
                    <w:t>49</w:t>
                  </w:r>
                </w:p>
              </w:tc>
              <w:tc>
                <w:tcPr>
                  <w:tcW w:w="405" w:type="dxa"/>
                  <w:tcBorders>
                    <w:tl2br w:val="nil"/>
                    <w:tr2bl w:val="nil"/>
                  </w:tcBorders>
                  <w:shd w:val="clear" w:color="auto" w:fill="auto"/>
                  <w:vAlign w:val="center"/>
                </w:tcPr>
                <w:p w14:paraId="363D9F4E">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固</w:t>
                  </w:r>
                  <w:r>
                    <w:rPr>
                      <w:rFonts w:hint="eastAsia"/>
                      <w:color w:val="auto"/>
                      <w:kern w:val="0"/>
                      <w:sz w:val="21"/>
                      <w:szCs w:val="21"/>
                    </w:rPr>
                    <w:t>态</w:t>
                  </w:r>
                </w:p>
              </w:tc>
              <w:tc>
                <w:tcPr>
                  <w:tcW w:w="705" w:type="dxa"/>
                  <w:tcBorders>
                    <w:tl2br w:val="nil"/>
                    <w:tr2bl w:val="nil"/>
                  </w:tcBorders>
                  <w:shd w:val="clear" w:color="auto" w:fill="auto"/>
                  <w:vAlign w:val="center"/>
                </w:tcPr>
                <w:p w14:paraId="1225A60A">
                  <w:pPr>
                    <w:autoSpaceDE w:val="0"/>
                    <w:autoSpaceDN w:val="0"/>
                    <w:contextualSpacing/>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废油</w:t>
                  </w:r>
                </w:p>
              </w:tc>
              <w:tc>
                <w:tcPr>
                  <w:tcW w:w="660" w:type="dxa"/>
                  <w:tcBorders>
                    <w:tl2br w:val="nil"/>
                    <w:tr2bl w:val="nil"/>
                  </w:tcBorders>
                  <w:vAlign w:val="center"/>
                </w:tcPr>
                <w:p w14:paraId="32712AF3">
                  <w:pPr>
                    <w:autoSpaceDE w:val="0"/>
                    <w:autoSpaceDN w:val="0"/>
                    <w:contextualSpacing/>
                    <w:jc w:val="center"/>
                    <w:rPr>
                      <w:rFonts w:hint="default" w:ascii="Times New Roman" w:hAnsi="Times New Roman" w:cs="Times New Roman"/>
                      <w:color w:val="auto"/>
                      <w:spacing w:val="0"/>
                      <w:sz w:val="21"/>
                      <w:szCs w:val="21"/>
                      <w:lang w:val="en-US" w:eastAsia="zh-CN"/>
                    </w:rPr>
                  </w:pPr>
                  <w:r>
                    <w:rPr>
                      <w:rFonts w:hint="eastAsia"/>
                      <w:color w:val="auto"/>
                      <w:sz w:val="21"/>
                      <w:szCs w:val="21"/>
                    </w:rPr>
                    <w:t>废油</w:t>
                  </w:r>
                </w:p>
              </w:tc>
              <w:tc>
                <w:tcPr>
                  <w:tcW w:w="690" w:type="dxa"/>
                  <w:tcBorders>
                    <w:tl2br w:val="nil"/>
                    <w:tr2bl w:val="nil"/>
                  </w:tcBorders>
                  <w:vAlign w:val="center"/>
                </w:tcPr>
                <w:p w14:paraId="4C139BEA">
                  <w:pPr>
                    <w:autoSpaceDE w:val="0"/>
                    <w:autoSpaceDN w:val="0"/>
                    <w:contextualSpacing/>
                    <w:jc w:val="center"/>
                    <w:rPr>
                      <w:color w:val="auto"/>
                      <w:kern w:val="0"/>
                      <w:szCs w:val="21"/>
                    </w:rPr>
                  </w:pPr>
                  <w:r>
                    <w:rPr>
                      <w:rFonts w:hint="eastAsia"/>
                      <w:color w:val="auto"/>
                      <w:sz w:val="21"/>
                      <w:szCs w:val="21"/>
                      <w:lang w:val="en-US" w:eastAsia="zh-CN"/>
                    </w:rPr>
                    <w:t>季度</w:t>
                  </w:r>
                </w:p>
              </w:tc>
              <w:tc>
                <w:tcPr>
                  <w:tcW w:w="660" w:type="dxa"/>
                  <w:tcBorders>
                    <w:tl2br w:val="nil"/>
                    <w:tr2bl w:val="nil"/>
                  </w:tcBorders>
                  <w:vAlign w:val="center"/>
                </w:tcPr>
                <w:p w14:paraId="059873A5">
                  <w:pPr>
                    <w:pStyle w:val="66"/>
                    <w:ind w:left="0" w:leftChars="0" w:right="0" w:rightChars="0"/>
                    <w:rPr>
                      <w:rFonts w:hint="default" w:ascii="Times New Roman" w:hAnsi="Times New Roman" w:eastAsia="宋体" w:cs="Times New Roman"/>
                      <w:color w:val="auto"/>
                      <w:kern w:val="0"/>
                      <w:sz w:val="21"/>
                      <w:szCs w:val="21"/>
                      <w:highlight w:val="none"/>
                      <w:lang w:val="en-US" w:eastAsia="zh-CN"/>
                    </w:rPr>
                  </w:pPr>
                  <w:r>
                    <w:rPr>
                      <w:color w:val="auto"/>
                      <w:sz w:val="21"/>
                      <w:szCs w:val="21"/>
                    </w:rPr>
                    <w:t>T</w:t>
                  </w:r>
                </w:p>
              </w:tc>
              <w:tc>
                <w:tcPr>
                  <w:tcW w:w="795" w:type="dxa"/>
                  <w:tcBorders>
                    <w:tl2br w:val="nil"/>
                    <w:tr2bl w:val="nil"/>
                  </w:tcBorders>
                  <w:vAlign w:val="center"/>
                </w:tcPr>
                <w:p w14:paraId="77AA4A25">
                  <w:pPr>
                    <w:autoSpaceDE w:val="0"/>
                    <w:autoSpaceDN w:val="0"/>
                    <w:jc w:val="center"/>
                    <w:rPr>
                      <w:rFonts w:hint="default"/>
                      <w:color w:val="auto"/>
                      <w:kern w:val="0"/>
                      <w:szCs w:val="21"/>
                      <w:lang w:val="en-US" w:eastAsia="zh-CN"/>
                    </w:rPr>
                  </w:pPr>
                  <w:r>
                    <w:rPr>
                      <w:rFonts w:hint="eastAsia"/>
                      <w:color w:val="auto"/>
                      <w:kern w:val="0"/>
                      <w:szCs w:val="21"/>
                      <w:lang w:val="en-US" w:eastAsia="zh-CN"/>
                    </w:rPr>
                    <w:t>0.05</w:t>
                  </w:r>
                </w:p>
              </w:tc>
              <w:tc>
                <w:tcPr>
                  <w:tcW w:w="2321" w:type="dxa"/>
                  <w:tcBorders>
                    <w:tl2br w:val="nil"/>
                    <w:tr2bl w:val="nil"/>
                  </w:tcBorders>
                  <w:vAlign w:val="center"/>
                </w:tcPr>
                <w:p w14:paraId="599CF468">
                  <w:pPr>
                    <w:autoSpaceDE w:val="0"/>
                    <w:autoSpaceDN w:val="0"/>
                    <w:jc w:val="center"/>
                    <w:rPr>
                      <w:rFonts w:hint="eastAsia"/>
                      <w:color w:val="auto"/>
                      <w:kern w:val="0"/>
                      <w:szCs w:val="21"/>
                      <w:lang w:val="en-US" w:eastAsia="zh-CN"/>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r>
          </w:tbl>
          <w:p w14:paraId="5DFCBBFA">
            <w:pPr>
              <w:widowControl w:val="0"/>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、环境管理要求</w:t>
            </w:r>
          </w:p>
          <w:p w14:paraId="73612181">
            <w:pPr>
              <w:pStyle w:val="90"/>
              <w:bidi w:val="0"/>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（1）一般固废</w:t>
            </w:r>
          </w:p>
          <w:p w14:paraId="60202F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企业需自觉履行固体废物申报登记制度。一般工业固体申报管理应认真落实《中华人民共和国固体废物污染环境防治法》第三十六条和第三十七条规定；第三十六条：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第三十七条：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14:paraId="32F4E9E2">
            <w:pPr>
              <w:adjustRightInd w:val="0"/>
              <w:spacing w:line="360" w:lineRule="auto"/>
              <w:ind w:firstLine="480"/>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pacing w:val="0"/>
                <w:sz w:val="24"/>
                <w:szCs w:val="24"/>
                <w:lang w:val="en-US" w:eastAsia="zh-CN"/>
              </w:rPr>
              <w:t>危险废物</w:t>
            </w:r>
          </w:p>
          <w:p w14:paraId="38732BBD">
            <w:pPr>
              <w:pStyle w:val="90"/>
              <w:bidi w:val="0"/>
              <w:rPr>
                <w:rFonts w:hint="default" w:ascii="Times New Roman" w:hAnsi="Times New Roman" w:eastAsia="宋体" w:cs="Times New Roman"/>
                <w:color w:val="auto"/>
                <w:spacing w:val="0"/>
                <w:sz w:val="24"/>
                <w:szCs w:val="24"/>
                <w:highlight w:val="none"/>
                <w:lang w:val="zh-CN" w:eastAsia="zh-CN"/>
              </w:rPr>
            </w:pPr>
            <w:r>
              <w:rPr>
                <w:rFonts w:hint="default" w:ascii="Times New Roman" w:hAnsi="Times New Roman" w:eastAsia="宋体" w:cs="Times New Roman"/>
                <w:color w:val="auto"/>
                <w:spacing w:val="0"/>
                <w:sz w:val="24"/>
                <w:szCs w:val="24"/>
                <w:highlight w:val="none"/>
                <w:lang w:val="zh-CN" w:eastAsia="zh-CN"/>
              </w:rPr>
              <w:t>危废暂存间按《危险废物贮存污染控制标准》（GB18597-2023）的要求设计、建造和管理，采用封闭厂房，地面用混凝土硬化，在硬化后的混凝土表面和墙裙涂覆环氧树脂等进行防腐、防渗，确保防渗层渗透系数小于10</w:t>
            </w:r>
            <w:r>
              <w:rPr>
                <w:rFonts w:hint="default" w:ascii="Times New Roman" w:hAnsi="Times New Roman" w:eastAsia="宋体" w:cs="Times New Roman"/>
                <w:color w:val="auto"/>
                <w:spacing w:val="0"/>
                <w:sz w:val="24"/>
                <w:szCs w:val="24"/>
                <w:highlight w:val="none"/>
                <w:vertAlign w:val="superscript"/>
                <w:lang w:val="zh-CN" w:eastAsia="zh-CN"/>
              </w:rPr>
              <w:t>-</w:t>
            </w:r>
            <w:r>
              <w:rPr>
                <w:rFonts w:hint="eastAsia" w:cs="Times New Roman"/>
                <w:color w:val="auto"/>
                <w:spacing w:val="0"/>
                <w:sz w:val="24"/>
                <w:szCs w:val="24"/>
                <w:highlight w:val="none"/>
                <w:vertAlign w:val="superscript"/>
                <w:lang w:val="en-US" w:eastAsia="zh-CN"/>
              </w:rPr>
              <w:t>10</w:t>
            </w:r>
            <w:r>
              <w:rPr>
                <w:rFonts w:hint="default" w:ascii="Times New Roman" w:hAnsi="Times New Roman" w:eastAsia="宋体" w:cs="Times New Roman"/>
                <w:color w:val="auto"/>
                <w:spacing w:val="0"/>
                <w:sz w:val="24"/>
                <w:szCs w:val="24"/>
                <w:highlight w:val="none"/>
                <w:lang w:val="zh-CN" w:eastAsia="zh-CN"/>
              </w:rPr>
              <w:t>cm/s。</w:t>
            </w:r>
          </w:p>
          <w:p w14:paraId="67C2E6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pacing w:val="0"/>
                <w:sz w:val="24"/>
                <w:highlight w:val="none"/>
              </w:rPr>
            </w:pPr>
            <w:r>
              <w:rPr>
                <w:rFonts w:hint="default" w:ascii="Times New Roman" w:hAnsi="Times New Roman" w:eastAsia="宋体" w:cs="Times New Roman"/>
                <w:color w:val="auto"/>
                <w:kern w:val="2"/>
                <w:sz w:val="24"/>
                <w:szCs w:val="24"/>
                <w:highlight w:val="none"/>
                <w:lang w:val="en-US" w:eastAsia="zh-CN" w:bidi="ar-SA"/>
              </w:rPr>
              <w:t>本项目</w:t>
            </w:r>
            <w:r>
              <w:rPr>
                <w:rFonts w:hint="default" w:ascii="Times New Roman" w:hAnsi="Times New Roman" w:cs="Times New Roman"/>
                <w:color w:val="auto"/>
                <w:spacing w:val="0"/>
                <w:sz w:val="24"/>
                <w:highlight w:val="none"/>
              </w:rPr>
              <w:t>危废暂存间</w:t>
            </w:r>
            <w:r>
              <w:rPr>
                <w:rFonts w:hint="default" w:ascii="Times New Roman" w:hAnsi="Times New Roman" w:eastAsia="宋体" w:cs="Times New Roman"/>
                <w:color w:val="auto"/>
                <w:kern w:val="2"/>
                <w:sz w:val="24"/>
                <w:szCs w:val="24"/>
                <w:highlight w:val="none"/>
                <w:lang w:val="en-US" w:eastAsia="zh-CN" w:bidi="ar-SA"/>
              </w:rPr>
              <w:t>位于</w:t>
            </w:r>
            <w:r>
              <w:rPr>
                <w:rFonts w:hint="eastAsia" w:ascii="Times New Roman" w:hAnsi="Times New Roman" w:eastAsia="宋体" w:cs="Times New Roman"/>
                <w:color w:val="auto"/>
                <w:kern w:val="2"/>
                <w:sz w:val="24"/>
                <w:szCs w:val="24"/>
                <w:highlight w:val="none"/>
                <w:lang w:val="en-US" w:eastAsia="zh-CN" w:bidi="ar-SA"/>
              </w:rPr>
              <w:t>厂区机泵房西侧</w:t>
            </w:r>
            <w:r>
              <w:rPr>
                <w:rFonts w:hint="default" w:ascii="Times New Roman" w:hAnsi="Times New Roman" w:eastAsia="宋体" w:cs="Times New Roman"/>
                <w:color w:val="auto"/>
                <w:kern w:val="2"/>
                <w:sz w:val="24"/>
                <w:szCs w:val="24"/>
                <w:highlight w:val="none"/>
                <w:lang w:val="en-US" w:eastAsia="zh-CN" w:bidi="ar-SA"/>
              </w:rPr>
              <w:t>，占地面积</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。本项目危险废物产生量为</w:t>
            </w:r>
            <w:r>
              <w:rPr>
                <w:rFonts w:hint="eastAsia" w:cs="Times New Roman"/>
                <w:color w:val="auto"/>
                <w:kern w:val="2"/>
                <w:sz w:val="24"/>
                <w:szCs w:val="24"/>
                <w:highlight w:val="none"/>
                <w:lang w:val="en-US" w:eastAsia="zh-CN" w:bidi="ar-SA"/>
              </w:rPr>
              <w:t>0.16</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cs="Times New Roman"/>
                <w:color w:val="auto"/>
                <w:spacing w:val="0"/>
                <w:sz w:val="24"/>
                <w:highlight w:val="none"/>
              </w:rPr>
              <w:t>危废暂存间</w:t>
            </w:r>
            <w:r>
              <w:rPr>
                <w:rFonts w:hint="default" w:ascii="Times New Roman" w:hAnsi="Times New Roman" w:cs="Times New Roman"/>
                <w:color w:val="auto"/>
                <w:spacing w:val="0"/>
                <w:sz w:val="24"/>
                <w:highlight w:val="none"/>
                <w:lang w:val="en-US" w:eastAsia="zh-CN"/>
              </w:rPr>
              <w:t>有效高度为0.8m</w:t>
            </w:r>
            <w:r>
              <w:rPr>
                <w:rFonts w:hint="default" w:ascii="Times New Roman" w:hAnsi="Times New Roman" w:cs="Times New Roman"/>
                <w:color w:val="auto"/>
                <w:spacing w:val="0"/>
                <w:sz w:val="24"/>
                <w:highlight w:val="none"/>
              </w:rPr>
              <w:t>。</w:t>
            </w:r>
          </w:p>
          <w:p w14:paraId="0FA346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表4-2</w:t>
            </w:r>
            <w:r>
              <w:rPr>
                <w:rFonts w:hint="eastAsia" w:ascii="Times New Roman" w:hAnsi="Times New Roman" w:eastAsia="宋体" w:cs="Times New Roman"/>
                <w:b/>
                <w:color w:val="auto"/>
                <w:kern w:val="2"/>
                <w:sz w:val="21"/>
                <w:szCs w:val="24"/>
                <w:highlight w:val="none"/>
                <w:lang w:val="en-US" w:eastAsia="zh-CN" w:bidi="ar-SA"/>
              </w:rPr>
              <w:t>6</w:t>
            </w:r>
            <w:r>
              <w:rPr>
                <w:rFonts w:hint="default" w:ascii="Times New Roman" w:hAnsi="Times New Roman" w:eastAsia="宋体" w:cs="Times New Roman"/>
                <w:b/>
                <w:color w:val="auto"/>
                <w:kern w:val="2"/>
                <w:sz w:val="21"/>
                <w:szCs w:val="24"/>
                <w:highlight w:val="none"/>
                <w:lang w:val="en-US" w:eastAsia="zh-CN" w:bidi="ar-SA"/>
              </w:rPr>
              <w:t xml:space="preserve"> 项目危险废物贮存场所基本情况表</w:t>
            </w:r>
          </w:p>
          <w:tbl>
            <w:tblPr>
              <w:tblStyle w:val="36"/>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55"/>
              <w:gridCol w:w="1018"/>
              <w:gridCol w:w="947"/>
              <w:gridCol w:w="908"/>
              <w:gridCol w:w="779"/>
              <w:gridCol w:w="1134"/>
              <w:gridCol w:w="1212"/>
              <w:gridCol w:w="928"/>
            </w:tblGrid>
            <w:tr w14:paraId="2FA6C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11" w:type="pct"/>
                  <w:tcBorders>
                    <w:tl2br w:val="nil"/>
                    <w:tr2bl w:val="nil"/>
                  </w:tcBorders>
                  <w:noWrap w:val="0"/>
                  <w:vAlign w:val="center"/>
                </w:tcPr>
                <w:p w14:paraId="165C2A70">
                  <w:pPr>
                    <w:adjustRightInd w:val="0"/>
                    <w:snapToGrid w:val="0"/>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位置</w:t>
                  </w:r>
                </w:p>
              </w:tc>
              <w:tc>
                <w:tcPr>
                  <w:tcW w:w="493" w:type="pct"/>
                  <w:tcBorders>
                    <w:tl2br w:val="nil"/>
                    <w:tr2bl w:val="nil"/>
                  </w:tcBorders>
                  <w:noWrap w:val="0"/>
                  <w:vAlign w:val="center"/>
                </w:tcPr>
                <w:p w14:paraId="492ABE72">
                  <w:pPr>
                    <w:adjustRightInd w:val="0"/>
                    <w:snapToGrid w:val="0"/>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名称</w:t>
                  </w:r>
                </w:p>
              </w:tc>
              <w:tc>
                <w:tcPr>
                  <w:tcW w:w="587" w:type="pct"/>
                  <w:tcBorders>
                    <w:tl2br w:val="nil"/>
                    <w:tr2bl w:val="nil"/>
                  </w:tcBorders>
                  <w:noWrap w:val="0"/>
                  <w:vAlign w:val="center"/>
                </w:tcPr>
                <w:p w14:paraId="38AF4BAF">
                  <w:pPr>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产生量t/a</w:t>
                  </w:r>
                </w:p>
              </w:tc>
              <w:tc>
                <w:tcPr>
                  <w:tcW w:w="546" w:type="pct"/>
                  <w:tcBorders>
                    <w:tl2br w:val="nil"/>
                    <w:tr2bl w:val="nil"/>
                  </w:tcBorders>
                  <w:noWrap w:val="0"/>
                  <w:vAlign w:val="center"/>
                </w:tcPr>
                <w:p w14:paraId="19D77178">
                  <w:pPr>
                    <w:pStyle w:val="60"/>
                    <w:jc w:val="center"/>
                    <w:rPr>
                      <w:rFonts w:hint="default" w:ascii="Times New Roman" w:hAnsi="Times New Roman" w:cs="Times New Roman"/>
                      <w:b/>
                      <w:color w:val="auto"/>
                      <w:spacing w:val="0"/>
                      <w:kern w:val="2"/>
                      <w:sz w:val="21"/>
                      <w:szCs w:val="21"/>
                    </w:rPr>
                  </w:pPr>
                  <w:r>
                    <w:rPr>
                      <w:rFonts w:hint="default" w:ascii="Times New Roman" w:hAnsi="Times New Roman" w:cs="Times New Roman"/>
                      <w:b/>
                      <w:color w:val="auto"/>
                      <w:spacing w:val="0"/>
                      <w:sz w:val="21"/>
                      <w:szCs w:val="21"/>
                    </w:rPr>
                    <w:t>产废周期</w:t>
                  </w:r>
                </w:p>
              </w:tc>
              <w:tc>
                <w:tcPr>
                  <w:tcW w:w="523" w:type="pct"/>
                  <w:tcBorders>
                    <w:tl2br w:val="nil"/>
                    <w:tr2bl w:val="nil"/>
                  </w:tcBorders>
                  <w:noWrap w:val="0"/>
                  <w:vAlign w:val="center"/>
                </w:tcPr>
                <w:p w14:paraId="70B027BE">
                  <w:pPr>
                    <w:pStyle w:val="60"/>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贮存周期</w:t>
                  </w:r>
                </w:p>
              </w:tc>
              <w:tc>
                <w:tcPr>
                  <w:tcW w:w="449" w:type="pct"/>
                  <w:tcBorders>
                    <w:tl2br w:val="nil"/>
                    <w:tr2bl w:val="nil"/>
                  </w:tcBorders>
                  <w:noWrap w:val="0"/>
                  <w:vAlign w:val="center"/>
                </w:tcPr>
                <w:p w14:paraId="6BBEC7AC">
                  <w:pPr>
                    <w:pStyle w:val="60"/>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贮存方式</w:t>
                  </w:r>
                </w:p>
              </w:tc>
              <w:tc>
                <w:tcPr>
                  <w:tcW w:w="654" w:type="pct"/>
                  <w:tcBorders>
                    <w:tl2br w:val="nil"/>
                    <w:tr2bl w:val="nil"/>
                  </w:tcBorders>
                  <w:noWrap w:val="0"/>
                  <w:vAlign w:val="center"/>
                </w:tcPr>
                <w:p w14:paraId="59902969">
                  <w:pPr>
                    <w:pStyle w:val="60"/>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所需危废贮存规模</w:t>
                  </w:r>
                </w:p>
              </w:tc>
              <w:tc>
                <w:tcPr>
                  <w:tcW w:w="699" w:type="pct"/>
                  <w:tcBorders>
                    <w:tl2br w:val="nil"/>
                    <w:tr2bl w:val="nil"/>
                  </w:tcBorders>
                  <w:noWrap w:val="0"/>
                  <w:vAlign w:val="center"/>
                </w:tcPr>
                <w:p w14:paraId="06E62EA9">
                  <w:pPr>
                    <w:adjustRightInd w:val="0"/>
                    <w:snapToGrid w:val="0"/>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危废间贮存能力</w:t>
                  </w:r>
                </w:p>
              </w:tc>
              <w:tc>
                <w:tcPr>
                  <w:tcW w:w="535" w:type="pct"/>
                  <w:tcBorders>
                    <w:tl2br w:val="nil"/>
                    <w:tr2bl w:val="nil"/>
                  </w:tcBorders>
                  <w:noWrap w:val="0"/>
                  <w:vAlign w:val="center"/>
                </w:tcPr>
                <w:p w14:paraId="7DD85DB1">
                  <w:pPr>
                    <w:jc w:val="center"/>
                    <w:rPr>
                      <w:rFonts w:hint="default" w:ascii="Times New Roman" w:hAnsi="Times New Roman" w:cs="Times New Roman"/>
                      <w:b/>
                      <w:color w:val="auto"/>
                      <w:spacing w:val="0"/>
                      <w:sz w:val="21"/>
                      <w:szCs w:val="21"/>
                    </w:rPr>
                  </w:pPr>
                  <w:r>
                    <w:rPr>
                      <w:rFonts w:hint="default" w:ascii="Times New Roman" w:hAnsi="Times New Roman" w:cs="Times New Roman"/>
                      <w:b/>
                      <w:color w:val="auto"/>
                      <w:spacing w:val="0"/>
                      <w:sz w:val="21"/>
                      <w:szCs w:val="21"/>
                    </w:rPr>
                    <w:t>是否满足要求</w:t>
                  </w:r>
                </w:p>
              </w:tc>
            </w:tr>
            <w:tr w14:paraId="1FF8F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11" w:type="pct"/>
                  <w:tcBorders>
                    <w:tl2br w:val="nil"/>
                    <w:tr2bl w:val="nil"/>
                  </w:tcBorders>
                  <w:noWrap w:val="0"/>
                  <w:vAlign w:val="center"/>
                </w:tcPr>
                <w:p w14:paraId="5BA5FBCE">
                  <w:pPr>
                    <w:adjustRightInd w:val="0"/>
                    <w:snapToGrid w:val="0"/>
                    <w:jc w:val="center"/>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危废暂存间</w:t>
                  </w:r>
                </w:p>
              </w:tc>
              <w:tc>
                <w:tcPr>
                  <w:tcW w:w="493" w:type="pct"/>
                  <w:tcBorders>
                    <w:tl2br w:val="nil"/>
                    <w:tr2bl w:val="nil"/>
                  </w:tcBorders>
                  <w:noWrap w:val="0"/>
                  <w:vAlign w:val="center"/>
                </w:tcPr>
                <w:p w14:paraId="4CB4C369">
                  <w:pPr>
                    <w:jc w:val="center"/>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val="en-US" w:eastAsia="zh-CN"/>
                    </w:rPr>
                    <w:t>危险废物</w:t>
                  </w:r>
                </w:p>
              </w:tc>
              <w:tc>
                <w:tcPr>
                  <w:tcW w:w="587" w:type="pct"/>
                  <w:tcBorders>
                    <w:tl2br w:val="nil"/>
                    <w:tr2bl w:val="nil"/>
                  </w:tcBorders>
                  <w:noWrap w:val="0"/>
                  <w:vAlign w:val="center"/>
                </w:tcPr>
                <w:p w14:paraId="28B13669">
                  <w:pPr>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0.16</w:t>
                  </w:r>
                </w:p>
              </w:tc>
              <w:tc>
                <w:tcPr>
                  <w:tcW w:w="546" w:type="pct"/>
                  <w:tcBorders>
                    <w:tl2br w:val="nil"/>
                    <w:tr2bl w:val="nil"/>
                  </w:tcBorders>
                  <w:noWrap w:val="0"/>
                  <w:vAlign w:val="center"/>
                </w:tcPr>
                <w:p w14:paraId="32463F78">
                  <w:pPr>
                    <w:jc w:val="center"/>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eastAsia="zh-CN"/>
                    </w:rPr>
                    <w:t>一季度</w:t>
                  </w:r>
                </w:p>
              </w:tc>
              <w:tc>
                <w:tcPr>
                  <w:tcW w:w="523" w:type="pct"/>
                  <w:tcBorders>
                    <w:tl2br w:val="nil"/>
                    <w:tr2bl w:val="nil"/>
                  </w:tcBorders>
                  <w:noWrap w:val="0"/>
                  <w:vAlign w:val="center"/>
                </w:tcPr>
                <w:p w14:paraId="4067DA88">
                  <w:pPr>
                    <w:jc w:val="center"/>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eastAsia="zh-CN"/>
                    </w:rPr>
                    <w:t>一季度</w:t>
                  </w:r>
                </w:p>
              </w:tc>
              <w:tc>
                <w:tcPr>
                  <w:tcW w:w="449" w:type="pct"/>
                  <w:tcBorders>
                    <w:tl2br w:val="nil"/>
                    <w:tr2bl w:val="nil"/>
                  </w:tcBorders>
                  <w:noWrap w:val="0"/>
                  <w:vAlign w:val="center"/>
                </w:tcPr>
                <w:p w14:paraId="04044BCC">
                  <w:pPr>
                    <w:jc w:val="center"/>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密封桶装</w:t>
                  </w:r>
                </w:p>
              </w:tc>
              <w:tc>
                <w:tcPr>
                  <w:tcW w:w="654" w:type="pct"/>
                  <w:tcBorders>
                    <w:tl2br w:val="nil"/>
                    <w:tr2bl w:val="nil"/>
                  </w:tcBorders>
                  <w:noWrap w:val="0"/>
                  <w:vAlign w:val="center"/>
                </w:tcPr>
                <w:p w14:paraId="005080A7">
                  <w:pPr>
                    <w:jc w:val="center"/>
                    <w:rPr>
                      <w:rFonts w:hint="default" w:ascii="Times New Roman" w:hAnsi="Times New Roman" w:cs="Times New Roman"/>
                      <w:color w:val="auto"/>
                      <w:spacing w:val="0"/>
                      <w:sz w:val="21"/>
                      <w:szCs w:val="21"/>
                    </w:rPr>
                  </w:pPr>
                  <w:r>
                    <w:rPr>
                      <w:rFonts w:hint="eastAsia" w:ascii="Times New Roman" w:hAnsi="Times New Roman" w:cs="Times New Roman"/>
                      <w:color w:val="auto"/>
                      <w:spacing w:val="0"/>
                      <w:sz w:val="21"/>
                      <w:szCs w:val="21"/>
                      <w:lang w:val="en-US" w:eastAsia="zh-CN"/>
                    </w:rPr>
                    <w:t>0.</w:t>
                  </w:r>
                  <w:r>
                    <w:rPr>
                      <w:rFonts w:hint="eastAsia" w:cs="Times New Roman"/>
                      <w:color w:val="auto"/>
                      <w:spacing w:val="0"/>
                      <w:sz w:val="21"/>
                      <w:szCs w:val="21"/>
                      <w:lang w:val="en-US" w:eastAsia="zh-CN"/>
                    </w:rPr>
                    <w:t>04</w:t>
                  </w:r>
                  <w:r>
                    <w:rPr>
                      <w:rFonts w:hint="default" w:ascii="Times New Roman" w:hAnsi="Times New Roman" w:cs="Times New Roman"/>
                      <w:color w:val="auto"/>
                      <w:spacing w:val="0"/>
                      <w:sz w:val="21"/>
                      <w:szCs w:val="21"/>
                    </w:rPr>
                    <w:t>m</w:t>
                  </w:r>
                  <w:r>
                    <w:rPr>
                      <w:rFonts w:hint="default" w:ascii="Times New Roman" w:hAnsi="Times New Roman" w:cs="Times New Roman"/>
                      <w:color w:val="auto"/>
                      <w:spacing w:val="0"/>
                      <w:sz w:val="21"/>
                      <w:szCs w:val="21"/>
                      <w:vertAlign w:val="superscript"/>
                    </w:rPr>
                    <w:t>2</w:t>
                  </w:r>
                </w:p>
              </w:tc>
              <w:tc>
                <w:tcPr>
                  <w:tcW w:w="699" w:type="pct"/>
                  <w:tcBorders>
                    <w:tl2br w:val="nil"/>
                    <w:tr2bl w:val="nil"/>
                  </w:tcBorders>
                  <w:noWrap w:val="0"/>
                  <w:vAlign w:val="center"/>
                </w:tcPr>
                <w:p w14:paraId="1F35D888">
                  <w:pPr>
                    <w:adjustRightInd w:val="0"/>
                    <w:snapToGrid w:val="0"/>
                    <w:jc w:val="center"/>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占地面积约</w:t>
                  </w:r>
                  <w:r>
                    <w:rPr>
                      <w:rFonts w:hint="default" w:ascii="Times New Roman" w:hAnsi="Times New Roman" w:cs="Times New Roman"/>
                      <w:color w:val="auto"/>
                      <w:spacing w:val="0"/>
                      <w:sz w:val="21"/>
                      <w:szCs w:val="21"/>
                      <w:lang w:val="en-US" w:eastAsia="zh-CN"/>
                    </w:rPr>
                    <w:t>5</w:t>
                  </w:r>
                  <w:r>
                    <w:rPr>
                      <w:rFonts w:hint="default" w:ascii="Times New Roman" w:hAnsi="Times New Roman" w:cs="Times New Roman"/>
                      <w:color w:val="auto"/>
                      <w:spacing w:val="0"/>
                      <w:sz w:val="21"/>
                      <w:szCs w:val="21"/>
                    </w:rPr>
                    <w:t>m</w:t>
                  </w:r>
                  <w:r>
                    <w:rPr>
                      <w:rFonts w:hint="default" w:ascii="Times New Roman" w:hAnsi="Times New Roman" w:cs="Times New Roman"/>
                      <w:color w:val="auto"/>
                      <w:spacing w:val="0"/>
                      <w:sz w:val="21"/>
                      <w:szCs w:val="21"/>
                      <w:vertAlign w:val="superscript"/>
                    </w:rPr>
                    <w:t>2</w:t>
                  </w:r>
                  <w:r>
                    <w:rPr>
                      <w:rFonts w:hint="default" w:ascii="Times New Roman" w:hAnsi="Times New Roman" w:cs="Times New Roman"/>
                      <w:color w:val="auto"/>
                      <w:spacing w:val="0"/>
                      <w:sz w:val="21"/>
                      <w:szCs w:val="21"/>
                    </w:rPr>
                    <w:t>，有效容积约</w:t>
                  </w:r>
                  <w:r>
                    <w:rPr>
                      <w:rFonts w:hint="default" w:ascii="Times New Roman" w:hAnsi="Times New Roman" w:cs="Times New Roman"/>
                      <w:color w:val="auto"/>
                      <w:spacing w:val="0"/>
                      <w:sz w:val="21"/>
                      <w:szCs w:val="21"/>
                      <w:lang w:val="en-US" w:eastAsia="zh-CN"/>
                    </w:rPr>
                    <w:t>4</w:t>
                  </w:r>
                  <w:r>
                    <w:rPr>
                      <w:rFonts w:hint="default" w:ascii="Times New Roman" w:hAnsi="Times New Roman" w:cs="Times New Roman"/>
                      <w:color w:val="auto"/>
                      <w:spacing w:val="0"/>
                      <w:sz w:val="21"/>
                      <w:szCs w:val="21"/>
                    </w:rPr>
                    <w:t>m</w:t>
                  </w:r>
                  <w:r>
                    <w:rPr>
                      <w:rFonts w:hint="default" w:ascii="Times New Roman" w:hAnsi="Times New Roman" w:cs="Times New Roman"/>
                      <w:color w:val="auto"/>
                      <w:spacing w:val="0"/>
                      <w:sz w:val="21"/>
                      <w:szCs w:val="21"/>
                      <w:vertAlign w:val="superscript"/>
                    </w:rPr>
                    <w:t>3</w:t>
                  </w:r>
                </w:p>
              </w:tc>
              <w:tc>
                <w:tcPr>
                  <w:tcW w:w="535" w:type="pct"/>
                  <w:tcBorders>
                    <w:tl2br w:val="nil"/>
                    <w:tr2bl w:val="nil"/>
                  </w:tcBorders>
                  <w:noWrap w:val="0"/>
                  <w:vAlign w:val="center"/>
                </w:tcPr>
                <w:p w14:paraId="303EBA28">
                  <w:pPr>
                    <w:adjustRightInd w:val="0"/>
                    <w:snapToGrid w:val="0"/>
                    <w:jc w:val="center"/>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rPr>
                    <w:t>满足</w:t>
                  </w:r>
                </w:p>
              </w:tc>
            </w:tr>
          </w:tbl>
          <w:p w14:paraId="20A4A229">
            <w:pPr>
              <w:spacing w:line="360" w:lineRule="auto"/>
              <w:ind w:firstLine="420"/>
              <w:rPr>
                <w:rFonts w:hint="default" w:ascii="Times New Roman" w:hAnsi="Times New Roman" w:eastAsia="宋体" w:cs="Times New Roman"/>
                <w:color w:val="auto"/>
                <w:spacing w:val="0"/>
                <w:sz w:val="24"/>
                <w:highlight w:val="none"/>
                <w:lang w:eastAsia="zh-CN"/>
              </w:rPr>
            </w:pPr>
            <w:r>
              <w:rPr>
                <w:rFonts w:hint="default" w:ascii="Times New Roman" w:hAnsi="Times New Roman" w:cs="Times New Roman"/>
                <w:color w:val="auto"/>
                <w:spacing w:val="0"/>
                <w:sz w:val="24"/>
                <w:highlight w:val="none"/>
              </w:rPr>
              <w:t>危废暂存间按《危险废物贮存污染控制标准》（GB18597-20</w:t>
            </w:r>
            <w:r>
              <w:rPr>
                <w:rFonts w:hint="default" w:ascii="Times New Roman" w:hAnsi="Times New Roman" w:cs="Times New Roman"/>
                <w:color w:val="auto"/>
                <w:spacing w:val="0"/>
                <w:sz w:val="24"/>
                <w:highlight w:val="none"/>
                <w:lang w:val="en-US" w:eastAsia="zh-CN"/>
              </w:rPr>
              <w:t>23</w:t>
            </w:r>
            <w:r>
              <w:rPr>
                <w:rFonts w:hint="default" w:ascii="Times New Roman" w:hAnsi="Times New Roman" w:cs="Times New Roman"/>
                <w:color w:val="auto"/>
                <w:spacing w:val="0"/>
                <w:sz w:val="24"/>
                <w:highlight w:val="none"/>
              </w:rPr>
              <w:t>）的要求设计、建造和管理，采用封闭厂房，地面用混凝土硬化，在硬化后的混凝土表面和墙裙涂覆环氧树脂等进行防腐、防渗，确保防渗层渗透系数小于10</w:t>
            </w:r>
            <w:r>
              <w:rPr>
                <w:rFonts w:hint="default" w:ascii="Times New Roman" w:hAnsi="Times New Roman" w:cs="Times New Roman"/>
                <w:color w:val="auto"/>
                <w:spacing w:val="0"/>
                <w:sz w:val="24"/>
                <w:highlight w:val="none"/>
                <w:vertAlign w:val="superscript"/>
              </w:rPr>
              <w:t>-</w:t>
            </w:r>
            <w:r>
              <w:rPr>
                <w:rFonts w:hint="eastAsia" w:cs="Times New Roman"/>
                <w:color w:val="auto"/>
                <w:spacing w:val="0"/>
                <w:sz w:val="24"/>
                <w:highlight w:val="none"/>
                <w:vertAlign w:val="superscript"/>
                <w:lang w:val="en-US" w:eastAsia="zh-CN"/>
              </w:rPr>
              <w:t>10</w:t>
            </w:r>
            <w:r>
              <w:rPr>
                <w:rFonts w:hint="default" w:ascii="Times New Roman" w:hAnsi="Times New Roman" w:cs="Times New Roman"/>
                <w:color w:val="auto"/>
                <w:spacing w:val="0"/>
                <w:sz w:val="24"/>
                <w:highlight w:val="none"/>
              </w:rPr>
              <w:t>cm/s。</w:t>
            </w:r>
          </w:p>
          <w:p w14:paraId="595A3A73">
            <w:pPr>
              <w:spacing w:line="360" w:lineRule="auto"/>
              <w:ind w:firstLine="480" w:firstLineChars="200"/>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highlight w:val="none"/>
              </w:rPr>
              <w:t>项目委托具有危险废物运输资质的单位进行运输，运往具有相关资质的危险废物处理单位回收处置。危险废物的移交执行危险废物转移联单制度，登记危险废物的转出单位、接收单位、危险废物的数量、类型、最终处置单位等</w:t>
            </w:r>
            <w:r>
              <w:rPr>
                <w:rFonts w:hint="default" w:ascii="Times New Roman" w:hAnsi="Times New Roman" w:cs="Times New Roman"/>
                <w:color w:val="auto"/>
                <w:spacing w:val="0"/>
                <w:highlight w:val="none"/>
              </w:rPr>
              <w:t>。</w:t>
            </w:r>
          </w:p>
          <w:p w14:paraId="41212DD7">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危险废物防治措施如下：</w:t>
            </w:r>
          </w:p>
          <w:p w14:paraId="72FDE84A">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b/>
                <w:bCs/>
                <w:color w:val="auto"/>
                <w:sz w:val="24"/>
                <w:szCs w:val="28"/>
                <w:highlight w:val="none"/>
              </w:rPr>
            </w:pPr>
            <w:r>
              <w:rPr>
                <w:b/>
                <w:bCs/>
                <w:color w:val="auto"/>
                <w:sz w:val="24"/>
                <w:szCs w:val="28"/>
                <w:highlight w:val="none"/>
              </w:rPr>
              <w:t>残液罐区设计应采取以下措施：</w:t>
            </w:r>
          </w:p>
          <w:p w14:paraId="5317FB75">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①</w:t>
            </w:r>
            <w:r>
              <w:rPr>
                <w:rFonts w:hint="eastAsia"/>
                <w:color w:val="auto"/>
                <w:sz w:val="24"/>
                <w:szCs w:val="28"/>
                <w:highlight w:val="none"/>
                <w:lang w:eastAsia="zh-CN"/>
              </w:rPr>
              <w:t>残液</w:t>
            </w:r>
            <w:r>
              <w:rPr>
                <w:color w:val="auto"/>
                <w:sz w:val="24"/>
                <w:szCs w:val="28"/>
                <w:highlight w:val="none"/>
              </w:rPr>
              <w:t>罐地面与裙脚要用坚固、防渗的材料建造，建筑材料必须与危险废物相容。</w:t>
            </w:r>
          </w:p>
          <w:p w14:paraId="46E0A08F">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②必须有泄漏液体收集装置、气体导出口及气体净化装置。</w:t>
            </w:r>
          </w:p>
          <w:p w14:paraId="3AB8BBA2">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③设施内要有安全照明设施和观察窗口。</w:t>
            </w:r>
          </w:p>
          <w:p w14:paraId="4E09C50B">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④用以存放装载液体、半固体危险废物容器的地方，必须有耐腐蚀的硬化地面，且表面无裂隙。</w:t>
            </w:r>
          </w:p>
          <w:p w14:paraId="75112A8C">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⑤应设计堵截泄漏的裙脚，地面与裙脚所围建的容积不低于堵截最大容器的最大储量或总储量的五分之一。</w:t>
            </w:r>
          </w:p>
          <w:p w14:paraId="30A8C255">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⑥不相容的危险废物必须分开存放，并设有隔离间隔断。</w:t>
            </w:r>
          </w:p>
          <w:p w14:paraId="6B5DE85F">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b/>
                <w:bCs/>
                <w:color w:val="auto"/>
                <w:sz w:val="24"/>
                <w:szCs w:val="28"/>
                <w:highlight w:val="none"/>
              </w:rPr>
            </w:pPr>
            <w:r>
              <w:rPr>
                <w:b/>
                <w:bCs/>
                <w:color w:val="auto"/>
                <w:sz w:val="24"/>
                <w:szCs w:val="28"/>
                <w:highlight w:val="none"/>
              </w:rPr>
              <w:t>同时应对危险废物存放设施实施严格的管理措施：</w:t>
            </w:r>
          </w:p>
          <w:p w14:paraId="1C994F15">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①</w:t>
            </w:r>
            <w:r>
              <w:rPr>
                <w:rFonts w:hint="eastAsia"/>
                <w:color w:val="auto"/>
                <w:sz w:val="24"/>
                <w:szCs w:val="28"/>
                <w:highlight w:val="none"/>
                <w:lang w:eastAsia="zh-CN"/>
              </w:rPr>
              <w:t>残液</w:t>
            </w:r>
            <w:r>
              <w:rPr>
                <w:color w:val="auto"/>
                <w:sz w:val="24"/>
                <w:szCs w:val="28"/>
                <w:highlight w:val="none"/>
              </w:rPr>
              <w:t>罐必须按GB15562.2的规定设置警示标志。</w:t>
            </w:r>
          </w:p>
          <w:p w14:paraId="3C951637">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②罐区周围应设置围墙或其它防护栅栏。</w:t>
            </w:r>
          </w:p>
          <w:p w14:paraId="3B4593C4">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③危险废物贮存设施应配备通讯设备、照明设施、安全防护服装及工具，并设有应急防护设施。</w:t>
            </w:r>
          </w:p>
          <w:p w14:paraId="1DE164CF">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④必须与生活垃圾存放地分开，并有防扬散措施，同时符合消防安全要求；</w:t>
            </w:r>
          </w:p>
          <w:p w14:paraId="79EFB51A">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⑤残液罐应密闭并采取安全措施，如加锁和固定装置，做到无关人员不可移动，外部应设置警示标识；</w:t>
            </w:r>
          </w:p>
          <w:p w14:paraId="16F46CE0">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⑥残液罐应具有一定的强度，防腐蚀，防渗漏。</w:t>
            </w:r>
          </w:p>
          <w:p w14:paraId="1307F524">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8"/>
                <w:highlight w:val="none"/>
              </w:rPr>
            </w:pPr>
            <w:r>
              <w:rPr>
                <w:color w:val="auto"/>
                <w:sz w:val="24"/>
                <w:szCs w:val="28"/>
                <w:highlight w:val="none"/>
              </w:rPr>
              <w:t>综合以上分析，经以上措施设计处理后，本项目钢瓶残液贮存能满足</w:t>
            </w:r>
            <w:r>
              <w:rPr>
                <w:rFonts w:hint="eastAsia"/>
                <w:color w:val="auto"/>
                <w:sz w:val="24"/>
                <w:szCs w:val="28"/>
                <w:highlight w:val="none"/>
                <w:lang w:eastAsia="zh-CN"/>
              </w:rPr>
              <w:t>《</w:t>
            </w:r>
            <w:r>
              <w:rPr>
                <w:color w:val="auto"/>
                <w:sz w:val="24"/>
                <w:szCs w:val="28"/>
                <w:highlight w:val="none"/>
              </w:rPr>
              <w:t>危险废物贮存污染控制标准》（GB18597-20</w:t>
            </w:r>
            <w:r>
              <w:rPr>
                <w:rFonts w:hint="eastAsia"/>
                <w:color w:val="auto"/>
                <w:sz w:val="24"/>
                <w:szCs w:val="28"/>
                <w:highlight w:val="none"/>
                <w:lang w:val="en-US" w:eastAsia="zh-CN"/>
              </w:rPr>
              <w:t>23</w:t>
            </w:r>
            <w:r>
              <w:rPr>
                <w:color w:val="auto"/>
                <w:sz w:val="24"/>
                <w:szCs w:val="28"/>
                <w:highlight w:val="none"/>
              </w:rPr>
              <w:t>）</w:t>
            </w:r>
            <w:r>
              <w:rPr>
                <w:rFonts w:hint="eastAsia"/>
                <w:color w:val="auto"/>
                <w:sz w:val="24"/>
                <w:szCs w:val="28"/>
                <w:highlight w:val="none"/>
                <w:lang w:val="en-US" w:eastAsia="zh-CN"/>
              </w:rPr>
              <w:t>中</w:t>
            </w:r>
            <w:r>
              <w:rPr>
                <w:color w:val="auto"/>
                <w:sz w:val="24"/>
                <w:szCs w:val="28"/>
                <w:highlight w:val="none"/>
              </w:rPr>
              <w:t>要求，对周边环境影响较小。</w:t>
            </w:r>
          </w:p>
          <w:p w14:paraId="31FB48C7">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危险废物贮存场所环境影响分析：</w:t>
            </w:r>
          </w:p>
          <w:p w14:paraId="4FE3D45C">
            <w:pPr>
              <w:keepNext w:val="0"/>
              <w:keepLines w:val="0"/>
              <w:pageBreakBefore w:val="0"/>
              <w:widowControl/>
              <w:numPr>
                <w:ilvl w:val="0"/>
                <w:numId w:val="7"/>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选址可行性分析</w:t>
            </w:r>
          </w:p>
          <w:p w14:paraId="340D8282">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项目拟建设</w:t>
            </w:r>
            <w:r>
              <w:rPr>
                <w:rFonts w:hint="eastAsia" w:ascii="Times New Roman" w:hAnsi="Times New Roman" w:eastAsia="宋体" w:cs="Times New Roman"/>
                <w:color w:val="auto"/>
                <w:sz w:val="24"/>
                <w:szCs w:val="24"/>
                <w:highlight w:val="none"/>
                <w:lang w:val="en-US" w:eastAsia="zh-CN"/>
              </w:rPr>
              <w:t>一个</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vertAlign w:val="baseline"/>
                <w:lang w:val="en-US" w:eastAsia="zh-CN"/>
              </w:rPr>
              <w:t>的残液罐用于暂存残液，位于储罐区</w:t>
            </w:r>
            <w:r>
              <w:rPr>
                <w:rFonts w:hint="default" w:ascii="Times New Roman" w:hAnsi="Times New Roman" w:eastAsia="宋体" w:cs="Times New Roman"/>
                <w:color w:val="auto"/>
                <w:sz w:val="24"/>
                <w:szCs w:val="24"/>
                <w:highlight w:val="none"/>
              </w:rPr>
              <w:t>，危险废物贮存库按《危险废物贮存污染控制标准》（GB18597-20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）的要求建设。</w:t>
            </w:r>
          </w:p>
          <w:p w14:paraId="30BB0FE0">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②危险废物处置环境影响分析</w:t>
            </w:r>
          </w:p>
          <w:p w14:paraId="48A1AEC2">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color w:val="auto"/>
                <w:spacing w:val="0"/>
                <w:w w:val="100"/>
                <w:position w:val="0"/>
                <w:sz w:val="24"/>
                <w:szCs w:val="24"/>
                <w:highlight w:val="none"/>
              </w:rPr>
              <w:t>危险废物收集后贮存于危险废物临时存放场所残液罐内，并定期由液化气供应商回收</w:t>
            </w:r>
            <w:r>
              <w:rPr>
                <w:rFonts w:hint="default" w:ascii="Times New Roman" w:hAnsi="Times New Roman" w:eastAsia="宋体" w:cs="Times New Roman"/>
                <w:color w:val="auto"/>
                <w:sz w:val="24"/>
                <w:szCs w:val="24"/>
                <w:highlight w:val="none"/>
              </w:rPr>
              <w:t>。</w:t>
            </w:r>
          </w:p>
          <w:p w14:paraId="24048CD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综上所述，本项目的固体废物能够实现资源化、无害化和减量化，对周围环境不产生影响，也不会产生二次污染。</w:t>
            </w:r>
          </w:p>
          <w:p w14:paraId="6850912F">
            <w:pPr>
              <w:pStyle w:val="90"/>
              <w:bidi w:val="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（3）管理要求</w:t>
            </w:r>
          </w:p>
          <w:p w14:paraId="677EDE56">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①建设单位必须按照国家有关规定制定危险废物管理计划，并向所在地县级以上地方人民政府环境保护行政主管部门申报危险废物的种类、产生量、流向、贮存、处置等有关资料。</w:t>
            </w:r>
          </w:p>
          <w:p w14:paraId="35226B62">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②建设单位必须按照国家有关规定处置危险废物，不得擅自倾倒、堆放。</w:t>
            </w:r>
          </w:p>
          <w:p w14:paraId="79A0986B">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③禁止将危险废物提供或者委托给无经营许可证的单位从事收集、贮存、利用、处置的经营活动。应和有资质单位签定合同。</w:t>
            </w:r>
          </w:p>
          <w:p w14:paraId="5163F551">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④危险废物的容器和包装物以及收集、贮存、运输、处置危险废物的设施、场所，必须设置危险废物识别标志。</w:t>
            </w:r>
          </w:p>
          <w:p w14:paraId="220AB5A4">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⑤危废暂存库由专人管理；管理人员必须对入库和出库的危废种类、数量造册登记，并填写交接记录，由入库人、管理人、出库人签字，防止危废流失。根据危废性质确定危废暂存时间。</w:t>
            </w:r>
          </w:p>
          <w:p w14:paraId="28BD8B6C">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⑥转移危险废物，必须按照国家有关规定填写危险废物转移联单。</w:t>
            </w:r>
          </w:p>
          <w:p w14:paraId="326D1B61">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⑦运输危险废物，必须采取防止污染环境的措施，并遵守国家有关危险货物运输管理的规定。</w:t>
            </w:r>
          </w:p>
          <w:p w14:paraId="5913A525">
            <w:pPr>
              <w:pStyle w:val="9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本</w:t>
            </w:r>
            <w:r>
              <w:rPr>
                <w:rFonts w:hint="default" w:ascii="Times New Roman" w:hAnsi="Times New Roman" w:eastAsia="宋体" w:cs="Times New Roman"/>
                <w:color w:val="auto"/>
                <w:spacing w:val="0"/>
                <w:sz w:val="24"/>
                <w:szCs w:val="24"/>
                <w:highlight w:val="none"/>
                <w:lang w:val="en-US" w:eastAsia="zh-CN"/>
              </w:rPr>
              <w:t>项目运营期固体废物在落实上述处理处置措施的基础上，不会排入外环境，对外环境基本没有影响。固废治理措施可行。</w:t>
            </w:r>
          </w:p>
          <w:p w14:paraId="6B853C1A">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（五）地下水、土壤</w:t>
            </w:r>
          </w:p>
          <w:p w14:paraId="73FFE7BF">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sz w:val="24"/>
                <w:szCs w:val="24"/>
                <w:highlight w:val="none"/>
                <w:lang w:val="en-US" w:eastAsia="zh-CN"/>
              </w:rPr>
            </w:pPr>
            <w:bookmarkStart w:id="13" w:name="bookmark346"/>
            <w:bookmarkStart w:id="14" w:name="bookmark348"/>
            <w:bookmarkStart w:id="15" w:name="bookmark347"/>
            <w:r>
              <w:rPr>
                <w:rFonts w:hint="eastAsia"/>
                <w:color w:val="auto"/>
                <w:sz w:val="24"/>
                <w:szCs w:val="24"/>
                <w:highlight w:val="none"/>
                <w:lang w:val="en-US" w:eastAsia="zh-CN"/>
              </w:rPr>
              <w:t>本项日运营期废气污染物主要为有机废气，主要污染物为非甲烷总烃，随着有机废气沉降对土壤造成一定影响。本项目的非甲烷总烃主要来白于储罐的大小呼吸充装时产生的充装废气、逸散废气等，经前文计算本项日排放的非甲烷总烃量较小项目所在的位置大气扩散程度较好，厂区设置有绿化区域进一步净化后非甲烷总烃对周边环境的影响较小，不会引发土壤盐化、碱化及酸化等生态影响，大气沉降对土壤环境影响较小。</w:t>
            </w:r>
          </w:p>
          <w:bookmarkEnd w:id="13"/>
          <w:bookmarkEnd w:id="14"/>
          <w:bookmarkEnd w:id="15"/>
          <w:p w14:paraId="76A79EFD">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eastAsia="宋体"/>
                <w:b/>
                <w:bCs/>
                <w:color w:val="auto"/>
                <w:sz w:val="24"/>
                <w:szCs w:val="24"/>
                <w:highlight w:val="none"/>
                <w:lang w:val="en-US" w:eastAsia="zh-CN"/>
              </w:rPr>
            </w:pPr>
            <w:r>
              <w:rPr>
                <w:rFonts w:hint="eastAsia"/>
                <w:color w:val="auto"/>
                <w:sz w:val="24"/>
                <w:szCs w:val="24"/>
                <w:highlight w:val="none"/>
                <w:lang w:val="en-US" w:eastAsia="zh-CN"/>
              </w:rPr>
              <w:t>本项目生产过程无生产废水外排，产生的生活污水经化粪池预处理后用于周边早地施肥;在做好危险废物暂存问地面防渗的措施下不会对地表水、地下水产生影响。项目若发生爆炸火灾等事故，火灾发生后的废水暂存在储罐区围堰内，一般情况下不会对周围环境产生影响。但消防废水中的 COD、石油类、悬浮物等污染物浓度较高，若围堰底壁发生破裂消防废水重直入渗会污染区域土壤环境和地下水环境。因此建设单位应按照《环境影响评价技术导则 地下水环境》(HJ610-2016)中的要求，将厂区划分为重点防渗区、一般防渗区和简单防渗区，并分区进行防渗措施。</w:t>
            </w:r>
          </w:p>
          <w:p w14:paraId="1E4F4DF0">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eastAsia="宋体"/>
                <w:b/>
                <w:bCs/>
                <w:color w:val="auto"/>
                <w:sz w:val="24"/>
                <w:szCs w:val="24"/>
                <w:highlight w:val="none"/>
                <w:lang w:val="en-US" w:eastAsia="zh-CN"/>
              </w:rPr>
            </w:pPr>
            <w:r>
              <w:rPr>
                <w:rFonts w:hint="eastAsia"/>
                <w:b/>
                <w:bCs/>
                <w:color w:val="auto"/>
                <w:sz w:val="24"/>
                <w:szCs w:val="24"/>
                <w:highlight w:val="none"/>
                <w:lang w:val="en-US" w:eastAsia="zh-CN"/>
              </w:rPr>
              <w:t>防治措施如下：</w:t>
            </w:r>
          </w:p>
          <w:p w14:paraId="012F88A9">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highlight w:val="none"/>
              </w:rPr>
            </w:pPr>
            <w:r>
              <w:rPr>
                <w:color w:val="auto"/>
                <w:sz w:val="24"/>
                <w:szCs w:val="24"/>
                <w:highlight w:val="none"/>
              </w:rPr>
              <w:t>为防止项目建设对地下水环境造成污染，建设单位应坚持</w:t>
            </w:r>
            <w:r>
              <w:rPr>
                <w:rFonts w:hint="eastAsia"/>
                <w:color w:val="auto"/>
                <w:sz w:val="24"/>
                <w:szCs w:val="24"/>
                <w:highlight w:val="none"/>
                <w:lang w:eastAsia="zh-CN"/>
              </w:rPr>
              <w:t>“</w:t>
            </w:r>
            <w:r>
              <w:rPr>
                <w:color w:val="auto"/>
                <w:sz w:val="24"/>
                <w:szCs w:val="24"/>
                <w:highlight w:val="none"/>
              </w:rPr>
              <w:t>源头控制、分区防治、污染监控、应急响应</w:t>
            </w:r>
            <w:r>
              <w:rPr>
                <w:rFonts w:hint="eastAsia"/>
                <w:color w:val="auto"/>
                <w:sz w:val="24"/>
                <w:szCs w:val="24"/>
                <w:highlight w:val="none"/>
                <w:lang w:eastAsia="zh-CN"/>
              </w:rPr>
              <w:t>”</w:t>
            </w:r>
            <w:r>
              <w:rPr>
                <w:color w:val="auto"/>
                <w:sz w:val="24"/>
                <w:szCs w:val="24"/>
                <w:highlight w:val="none"/>
              </w:rPr>
              <w:t>的原则，在项目的建设及运营过程中采取以下地下水与土壤防治措施：</w:t>
            </w:r>
          </w:p>
          <w:p w14:paraId="7E9FABE3">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源头控制措施</w:t>
            </w:r>
          </w:p>
          <w:p w14:paraId="43555EEF">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highlight w:val="none"/>
              </w:rPr>
            </w:pPr>
            <w:r>
              <w:rPr>
                <w:color w:val="auto"/>
                <w:sz w:val="24"/>
                <w:szCs w:val="24"/>
                <w:highlight w:val="none"/>
              </w:rPr>
              <w:t>①积极推行实施清洁生产，实现废水的循环利用，减少污染物的排放量；</w:t>
            </w:r>
          </w:p>
          <w:p w14:paraId="1B5AED71">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highlight w:val="none"/>
              </w:rPr>
            </w:pPr>
            <w:r>
              <w:rPr>
                <w:color w:val="auto"/>
                <w:sz w:val="24"/>
                <w:szCs w:val="24"/>
                <w:highlight w:val="none"/>
              </w:rPr>
              <w:t>②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14:paraId="69B0488B">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highlight w:val="none"/>
              </w:rPr>
            </w:pPr>
            <w:r>
              <w:rPr>
                <w:color w:val="auto"/>
                <w:sz w:val="24"/>
                <w:szCs w:val="24"/>
                <w:highlight w:val="none"/>
              </w:rPr>
              <w:t>③对工艺、管道、设备、污水储存及处理构筑物采取控制措施，防止污染物的跑、冒、滴、漏，将污染物泄漏的环境风险事故降到最低限度。</w:t>
            </w:r>
          </w:p>
          <w:p w14:paraId="3E92EE17">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color w:val="auto"/>
                <w:sz w:val="24"/>
                <w:szCs w:val="24"/>
                <w:highlight w:val="none"/>
              </w:rPr>
              <w:t>分区防治措施</w:t>
            </w:r>
          </w:p>
          <w:p w14:paraId="3AD90124">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pacing w:val="5"/>
                <w:sz w:val="21"/>
                <w:szCs w:val="21"/>
                <w:highlight w:val="none"/>
                <w:lang w:val="en-US" w:eastAsia="zh-CN"/>
              </w:rPr>
              <w:t>4</w:t>
            </w:r>
            <w:r>
              <w:rPr>
                <w:rFonts w:hint="default" w:ascii="Times New Roman" w:hAnsi="Times New Roman" w:eastAsia="宋体" w:cs="Times New Roman"/>
                <w:b/>
                <w:color w:val="auto"/>
                <w:spacing w:val="5"/>
                <w:sz w:val="21"/>
                <w:szCs w:val="21"/>
                <w:highlight w:val="none"/>
              </w:rPr>
              <w:t>-</w:t>
            </w:r>
            <w:r>
              <w:rPr>
                <w:rFonts w:hint="default" w:ascii="Times New Roman" w:hAnsi="Times New Roman" w:eastAsia="宋体" w:cs="Times New Roman"/>
                <w:b/>
                <w:color w:val="auto"/>
                <w:spacing w:val="5"/>
                <w:sz w:val="21"/>
                <w:szCs w:val="21"/>
                <w:highlight w:val="none"/>
                <w:lang w:val="en-US" w:eastAsia="zh-CN"/>
              </w:rPr>
              <w:t>1</w:t>
            </w:r>
            <w:r>
              <w:rPr>
                <w:rFonts w:hint="eastAsia" w:ascii="Times New Roman" w:hAnsi="Times New Roman" w:eastAsia="宋体" w:cs="Times New Roman"/>
                <w:b/>
                <w:color w:val="auto"/>
                <w:spacing w:val="5"/>
                <w:sz w:val="21"/>
                <w:szCs w:val="21"/>
                <w:highlight w:val="none"/>
                <w:lang w:val="en-US" w:eastAsia="zh-CN"/>
              </w:rPr>
              <w:t>2</w:t>
            </w:r>
            <w:r>
              <w:rPr>
                <w:rFonts w:hint="default" w:ascii="Times New Roman" w:hAnsi="Times New Roman" w:eastAsia="宋体" w:cs="Times New Roman"/>
                <w:b/>
                <w:color w:val="auto"/>
                <w:spacing w:val="16"/>
                <w:sz w:val="21"/>
                <w:szCs w:val="21"/>
                <w:highlight w:val="none"/>
              </w:rPr>
              <w:t>厂区各工作区防腐</w:t>
            </w:r>
            <w:r>
              <w:rPr>
                <w:rFonts w:hint="default" w:ascii="Times New Roman" w:hAnsi="Times New Roman" w:eastAsia="宋体" w:cs="Times New Roman"/>
                <w:b/>
                <w:color w:val="auto"/>
                <w:spacing w:val="19"/>
                <w:sz w:val="21"/>
                <w:szCs w:val="21"/>
                <w:highlight w:val="none"/>
              </w:rPr>
              <w:t>防</w:t>
            </w:r>
            <w:r>
              <w:rPr>
                <w:rFonts w:hint="default" w:ascii="Times New Roman" w:hAnsi="Times New Roman" w:eastAsia="宋体" w:cs="Times New Roman"/>
                <w:b/>
                <w:color w:val="auto"/>
                <w:spacing w:val="16"/>
                <w:sz w:val="21"/>
                <w:szCs w:val="21"/>
                <w:highlight w:val="none"/>
              </w:rPr>
              <w:t>渗要</w:t>
            </w:r>
            <w:r>
              <w:rPr>
                <w:rFonts w:hint="default" w:ascii="Times New Roman" w:hAnsi="Times New Roman" w:eastAsia="宋体" w:cs="Times New Roman"/>
                <w:b/>
                <w:color w:val="auto"/>
                <w:sz w:val="21"/>
                <w:szCs w:val="21"/>
                <w:highlight w:val="none"/>
              </w:rPr>
              <w:t>求</w:t>
            </w:r>
          </w:p>
          <w:tbl>
            <w:tblPr>
              <w:tblStyle w:val="37"/>
              <w:tblW w:w="48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585"/>
              <w:gridCol w:w="2860"/>
              <w:gridCol w:w="2473"/>
            </w:tblGrid>
            <w:tr w14:paraId="37826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5" w:type="dxa"/>
                  <w:tcBorders>
                    <w:tl2br w:val="nil"/>
                    <w:tr2bl w:val="nil"/>
                  </w:tcBorders>
                  <w:noWrap w:val="0"/>
                  <w:vAlign w:val="center"/>
                </w:tcPr>
                <w:p w14:paraId="6DA93BB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防渗级别</w:t>
                  </w:r>
                </w:p>
              </w:tc>
              <w:tc>
                <w:tcPr>
                  <w:tcW w:w="1496" w:type="dxa"/>
                  <w:tcBorders>
                    <w:tl2br w:val="nil"/>
                    <w:tr2bl w:val="nil"/>
                  </w:tcBorders>
                  <w:noWrap w:val="0"/>
                  <w:vAlign w:val="center"/>
                </w:tcPr>
                <w:p w14:paraId="3FD9B6D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工作区</w:t>
                  </w:r>
                </w:p>
              </w:tc>
              <w:tc>
                <w:tcPr>
                  <w:tcW w:w="2700" w:type="dxa"/>
                  <w:tcBorders>
                    <w:tl2br w:val="nil"/>
                    <w:tr2bl w:val="nil"/>
                  </w:tcBorders>
                  <w:noWrap w:val="0"/>
                  <w:vAlign w:val="center"/>
                </w:tcPr>
                <w:p w14:paraId="2F11F2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防渗要求</w:t>
                  </w:r>
                </w:p>
              </w:tc>
              <w:tc>
                <w:tcPr>
                  <w:tcW w:w="2334" w:type="dxa"/>
                  <w:tcBorders>
                    <w:tl2br w:val="nil"/>
                    <w:tr2bl w:val="nil"/>
                  </w:tcBorders>
                  <w:noWrap w:val="0"/>
                  <w:vAlign w:val="center"/>
                </w:tcPr>
                <w:p w14:paraId="370916C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rPr>
                    <w:t>防腐防渗措施</w:t>
                  </w:r>
                </w:p>
              </w:tc>
            </w:tr>
            <w:tr w14:paraId="4189A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5" w:type="dxa"/>
                  <w:tcBorders>
                    <w:tl2br w:val="nil"/>
                    <w:tr2bl w:val="nil"/>
                  </w:tcBorders>
                  <w:noWrap w:val="0"/>
                  <w:vAlign w:val="center"/>
                </w:tcPr>
                <w:p w14:paraId="4E661D6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重点防渗区</w:t>
                  </w:r>
                </w:p>
              </w:tc>
              <w:tc>
                <w:tcPr>
                  <w:tcW w:w="1496" w:type="dxa"/>
                  <w:tcBorders>
                    <w:tl2br w:val="nil"/>
                    <w:tr2bl w:val="nil"/>
                  </w:tcBorders>
                  <w:noWrap w:val="0"/>
                  <w:vAlign w:val="center"/>
                </w:tcPr>
                <w:p w14:paraId="69821EA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eastAsia"/>
                      <w:color w:val="auto"/>
                      <w:lang w:val="en-US" w:eastAsia="zh-CN"/>
                    </w:rPr>
                    <w:t>隔油池、化粪池、</w:t>
                  </w:r>
                  <w:r>
                    <w:rPr>
                      <w:rFonts w:hint="default" w:ascii="Times New Roman" w:hAnsi="Times New Roman" w:eastAsia="宋体" w:cs="Times New Roman"/>
                      <w:color w:val="auto"/>
                      <w:highlight w:val="none"/>
                    </w:rPr>
                    <w:t>储罐区</w:t>
                  </w:r>
                </w:p>
              </w:tc>
              <w:tc>
                <w:tcPr>
                  <w:tcW w:w="2700" w:type="dxa"/>
                  <w:tcBorders>
                    <w:tl2br w:val="nil"/>
                    <w:tr2bl w:val="nil"/>
                  </w:tcBorders>
                  <w:noWrap w:val="0"/>
                  <w:vAlign w:val="center"/>
                </w:tcPr>
                <w:p w14:paraId="4D7C955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等效黏土防渗层Mb≥6.0，K≤1×10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cm/s，或参照GB16889执行</w:t>
                  </w:r>
                </w:p>
              </w:tc>
              <w:tc>
                <w:tcPr>
                  <w:tcW w:w="2334" w:type="dxa"/>
                  <w:tcBorders>
                    <w:tl2br w:val="nil"/>
                    <w:tr2bl w:val="nil"/>
                  </w:tcBorders>
                  <w:noWrap w:val="0"/>
                  <w:vAlign w:val="center"/>
                </w:tcPr>
                <w:p w14:paraId="2F48261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水泥硬化，铺设环氧树脂涂层防渗防腐</w:t>
                  </w:r>
                </w:p>
              </w:tc>
            </w:tr>
            <w:tr w14:paraId="1A737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495" w:type="dxa"/>
                  <w:vMerge w:val="restart"/>
                  <w:tcBorders>
                    <w:tl2br w:val="nil"/>
                    <w:tr2bl w:val="nil"/>
                  </w:tcBorders>
                  <w:noWrap w:val="0"/>
                  <w:vAlign w:val="center"/>
                </w:tcPr>
                <w:p w14:paraId="2E19AA2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一般防渗区</w:t>
                  </w:r>
                </w:p>
              </w:tc>
              <w:tc>
                <w:tcPr>
                  <w:tcW w:w="1496" w:type="dxa"/>
                  <w:tcBorders>
                    <w:tl2br w:val="nil"/>
                    <w:tr2bl w:val="nil"/>
                  </w:tcBorders>
                  <w:noWrap w:val="0"/>
                  <w:vAlign w:val="center"/>
                </w:tcPr>
                <w:p w14:paraId="4BB862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灌装</w:t>
                  </w:r>
                  <w:r>
                    <w:rPr>
                      <w:rFonts w:hint="default" w:ascii="Times New Roman" w:hAnsi="Times New Roman" w:eastAsia="宋体" w:cs="Times New Roman"/>
                      <w:color w:val="auto"/>
                      <w:highlight w:val="none"/>
                    </w:rPr>
                    <w:t>区</w:t>
                  </w:r>
                </w:p>
              </w:tc>
              <w:tc>
                <w:tcPr>
                  <w:tcW w:w="2700" w:type="dxa"/>
                  <w:vMerge w:val="restart"/>
                  <w:tcBorders>
                    <w:tl2br w:val="nil"/>
                    <w:tr2bl w:val="nil"/>
                  </w:tcBorders>
                  <w:noWrap w:val="0"/>
                  <w:vAlign w:val="center"/>
                </w:tcPr>
                <w:p w14:paraId="2D531DE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等效黏土防渗层Mb≥1.5m，K≤1×10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cm/s，或参照GB16889执行</w:t>
                  </w:r>
                </w:p>
              </w:tc>
              <w:tc>
                <w:tcPr>
                  <w:tcW w:w="2334" w:type="dxa"/>
                  <w:vMerge w:val="restart"/>
                  <w:tcBorders>
                    <w:tl2br w:val="nil"/>
                    <w:tr2bl w:val="nil"/>
                  </w:tcBorders>
                  <w:noWrap w:val="0"/>
                  <w:vAlign w:val="center"/>
                </w:tcPr>
                <w:p w14:paraId="3F2DCCA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水泥硬化，铺设环氧树脂涂层防渗防腐</w:t>
                  </w:r>
                </w:p>
              </w:tc>
            </w:tr>
            <w:tr w14:paraId="5B9D8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495" w:type="dxa"/>
                  <w:vMerge w:val="continue"/>
                  <w:tcBorders>
                    <w:tl2br w:val="nil"/>
                    <w:tr2bl w:val="nil"/>
                  </w:tcBorders>
                  <w:noWrap w:val="0"/>
                  <w:vAlign w:val="center"/>
                </w:tcPr>
                <w:p w14:paraId="690698A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496" w:type="dxa"/>
                  <w:tcBorders>
                    <w:tl2br w:val="nil"/>
                    <w:tr2bl w:val="nil"/>
                  </w:tcBorders>
                  <w:noWrap w:val="0"/>
                  <w:vAlign w:val="center"/>
                </w:tcPr>
                <w:p w14:paraId="125A464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压缩机房</w:t>
                  </w:r>
                </w:p>
              </w:tc>
              <w:tc>
                <w:tcPr>
                  <w:tcW w:w="2700" w:type="dxa"/>
                  <w:vMerge w:val="continue"/>
                  <w:tcBorders>
                    <w:tl2br w:val="nil"/>
                    <w:tr2bl w:val="nil"/>
                  </w:tcBorders>
                  <w:noWrap w:val="0"/>
                  <w:vAlign w:val="center"/>
                </w:tcPr>
                <w:p w14:paraId="73E61F5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334" w:type="dxa"/>
                  <w:vMerge w:val="continue"/>
                  <w:tcBorders>
                    <w:tl2br w:val="nil"/>
                    <w:tr2bl w:val="nil"/>
                  </w:tcBorders>
                  <w:noWrap w:val="0"/>
                  <w:vAlign w:val="center"/>
                </w:tcPr>
                <w:p w14:paraId="33EA6E5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r>
            <w:tr w14:paraId="47C86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95" w:type="dxa"/>
                  <w:vMerge w:val="continue"/>
                  <w:tcBorders>
                    <w:tl2br w:val="nil"/>
                    <w:tr2bl w:val="nil"/>
                  </w:tcBorders>
                  <w:noWrap w:val="0"/>
                  <w:vAlign w:val="center"/>
                </w:tcPr>
                <w:p w14:paraId="61E57C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496" w:type="dxa"/>
                  <w:tcBorders>
                    <w:tl2br w:val="nil"/>
                    <w:tr2bl w:val="nil"/>
                  </w:tcBorders>
                  <w:noWrap w:val="0"/>
                  <w:vAlign w:val="center"/>
                </w:tcPr>
                <w:p w14:paraId="27B2DBF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消防水池</w:t>
                  </w:r>
                </w:p>
              </w:tc>
              <w:tc>
                <w:tcPr>
                  <w:tcW w:w="2700" w:type="dxa"/>
                  <w:vMerge w:val="continue"/>
                  <w:tcBorders>
                    <w:tl2br w:val="nil"/>
                    <w:tr2bl w:val="nil"/>
                  </w:tcBorders>
                  <w:noWrap w:val="0"/>
                  <w:vAlign w:val="center"/>
                </w:tcPr>
                <w:p w14:paraId="15330F9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334" w:type="dxa"/>
                  <w:vMerge w:val="continue"/>
                  <w:tcBorders>
                    <w:tl2br w:val="nil"/>
                    <w:tr2bl w:val="nil"/>
                  </w:tcBorders>
                  <w:noWrap w:val="0"/>
                  <w:vAlign w:val="center"/>
                </w:tcPr>
                <w:p w14:paraId="652D3E2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r>
            <w:tr w14:paraId="7C233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5" w:type="dxa"/>
                  <w:vMerge w:val="restart"/>
                  <w:tcBorders>
                    <w:tl2br w:val="nil"/>
                    <w:tr2bl w:val="nil"/>
                  </w:tcBorders>
                  <w:noWrap w:val="0"/>
                  <w:vAlign w:val="center"/>
                </w:tcPr>
                <w:p w14:paraId="661434B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简单防渗区</w:t>
                  </w:r>
                </w:p>
              </w:tc>
              <w:tc>
                <w:tcPr>
                  <w:tcW w:w="1496" w:type="dxa"/>
                  <w:tcBorders>
                    <w:tl2br w:val="nil"/>
                    <w:tr2bl w:val="nil"/>
                  </w:tcBorders>
                  <w:noWrap w:val="0"/>
                  <w:vAlign w:val="center"/>
                </w:tcPr>
                <w:p w14:paraId="6AFE17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办公楼</w:t>
                  </w:r>
                </w:p>
              </w:tc>
              <w:tc>
                <w:tcPr>
                  <w:tcW w:w="2700" w:type="dxa"/>
                  <w:vMerge w:val="restart"/>
                  <w:tcBorders>
                    <w:tl2br w:val="nil"/>
                    <w:tr2bl w:val="nil"/>
                  </w:tcBorders>
                  <w:noWrap w:val="0"/>
                  <w:vAlign w:val="center"/>
                </w:tcPr>
                <w:p w14:paraId="292FE4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一般地面硬化</w:t>
                  </w:r>
                </w:p>
              </w:tc>
              <w:tc>
                <w:tcPr>
                  <w:tcW w:w="2334" w:type="dxa"/>
                  <w:vMerge w:val="restart"/>
                  <w:tcBorders>
                    <w:tl2br w:val="nil"/>
                    <w:tr2bl w:val="nil"/>
                  </w:tcBorders>
                  <w:noWrap w:val="0"/>
                  <w:vAlign w:val="center"/>
                </w:tcPr>
                <w:p w14:paraId="5626BBE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水泥硬化</w:t>
                  </w:r>
                </w:p>
              </w:tc>
            </w:tr>
            <w:tr w14:paraId="68840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5" w:type="dxa"/>
                  <w:vMerge w:val="continue"/>
                  <w:tcBorders>
                    <w:tl2br w:val="nil"/>
                    <w:tr2bl w:val="nil"/>
                  </w:tcBorders>
                  <w:noWrap w:val="0"/>
                  <w:vAlign w:val="center"/>
                </w:tcPr>
                <w:p w14:paraId="2C373FF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496" w:type="dxa"/>
                  <w:tcBorders>
                    <w:tl2br w:val="nil"/>
                    <w:tr2bl w:val="nil"/>
                  </w:tcBorders>
                  <w:noWrap w:val="0"/>
                  <w:vAlign w:val="center"/>
                </w:tcPr>
                <w:p w14:paraId="2D4005F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值班</w:t>
                  </w:r>
                  <w:r>
                    <w:rPr>
                      <w:rFonts w:hint="default" w:ascii="Times New Roman" w:hAnsi="Times New Roman" w:eastAsia="宋体" w:cs="Times New Roman"/>
                      <w:color w:val="auto"/>
                      <w:highlight w:val="none"/>
                    </w:rPr>
                    <w:t>室</w:t>
                  </w:r>
                </w:p>
              </w:tc>
              <w:tc>
                <w:tcPr>
                  <w:tcW w:w="2700" w:type="dxa"/>
                  <w:vMerge w:val="continue"/>
                  <w:tcBorders>
                    <w:tl2br w:val="nil"/>
                    <w:tr2bl w:val="nil"/>
                  </w:tcBorders>
                  <w:noWrap w:val="0"/>
                  <w:vAlign w:val="center"/>
                </w:tcPr>
                <w:p w14:paraId="62DAD99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334" w:type="dxa"/>
                  <w:vMerge w:val="continue"/>
                  <w:tcBorders>
                    <w:tl2br w:val="nil"/>
                    <w:tr2bl w:val="nil"/>
                  </w:tcBorders>
                  <w:noWrap w:val="0"/>
                  <w:vAlign w:val="center"/>
                </w:tcPr>
                <w:p w14:paraId="072FBB6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r>
            <w:tr w14:paraId="23B7D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5" w:type="dxa"/>
                  <w:vMerge w:val="continue"/>
                  <w:tcBorders>
                    <w:tl2br w:val="nil"/>
                    <w:tr2bl w:val="nil"/>
                  </w:tcBorders>
                  <w:noWrap w:val="0"/>
                  <w:vAlign w:val="center"/>
                </w:tcPr>
                <w:p w14:paraId="3121508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1496" w:type="dxa"/>
                  <w:tcBorders>
                    <w:tl2br w:val="nil"/>
                    <w:tr2bl w:val="nil"/>
                  </w:tcBorders>
                  <w:noWrap w:val="0"/>
                  <w:vAlign w:val="center"/>
                </w:tcPr>
                <w:p w14:paraId="092AAC4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固废暂存间</w:t>
                  </w:r>
                </w:p>
              </w:tc>
              <w:tc>
                <w:tcPr>
                  <w:tcW w:w="2700" w:type="dxa"/>
                  <w:vMerge w:val="continue"/>
                  <w:tcBorders>
                    <w:tl2br w:val="nil"/>
                    <w:tr2bl w:val="nil"/>
                  </w:tcBorders>
                  <w:noWrap w:val="0"/>
                  <w:vAlign w:val="center"/>
                </w:tcPr>
                <w:p w14:paraId="3D2B11E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c>
                <w:tcPr>
                  <w:tcW w:w="2334" w:type="dxa"/>
                  <w:vMerge w:val="continue"/>
                  <w:tcBorders>
                    <w:tl2br w:val="nil"/>
                    <w:tr2bl w:val="nil"/>
                  </w:tcBorders>
                  <w:noWrap w:val="0"/>
                  <w:vAlign w:val="center"/>
                </w:tcPr>
                <w:p w14:paraId="1A2ECCB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highlight w:val="none"/>
                    </w:rPr>
                  </w:pPr>
                </w:p>
              </w:tc>
            </w:tr>
          </w:tbl>
          <w:p w14:paraId="0C064C8D">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sz w:val="24"/>
                <w:szCs w:val="24"/>
                <w:highlight w:val="none"/>
              </w:rPr>
            </w:pPr>
            <w:r>
              <w:rPr>
                <w:rFonts w:hint="eastAsia"/>
                <w:color w:val="auto"/>
                <w:sz w:val="24"/>
                <w:szCs w:val="24"/>
                <w:highlight w:val="none"/>
              </w:rPr>
              <w:t>综上所述，严格按照污染防治分区及地下水防治措施执行，确保区域地下水不因项目建设而受到影响。</w:t>
            </w:r>
          </w:p>
          <w:p w14:paraId="71C3652D">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Cs/>
                <w:color w:val="auto"/>
                <w:kern w:val="0"/>
                <w:sz w:val="24"/>
                <w:szCs w:val="20"/>
                <w:highlight w:val="none"/>
              </w:rPr>
            </w:pPr>
            <w:r>
              <w:rPr>
                <w:rFonts w:hint="default" w:ascii="Times New Roman" w:hAnsi="Times New Roman" w:eastAsia="宋体" w:cs="Times New Roman"/>
                <w:bCs/>
                <w:color w:val="auto"/>
                <w:kern w:val="0"/>
                <w:sz w:val="24"/>
                <w:szCs w:val="20"/>
                <w:highlight w:val="none"/>
              </w:rPr>
              <w:t>企业排水实行雨污分流，雨水经厂区雨水收集系统收集后纳入雨水管排放；</w:t>
            </w:r>
            <w:r>
              <w:rPr>
                <w:rFonts w:hint="default" w:ascii="Times New Roman" w:hAnsi="Times New Roman" w:eastAsia="宋体" w:cs="Times New Roman"/>
                <w:bCs/>
                <w:color w:val="auto"/>
                <w:kern w:val="0"/>
                <w:sz w:val="24"/>
                <w:szCs w:val="20"/>
                <w:highlight w:val="none"/>
                <w:lang w:val="en-US" w:eastAsia="zh-CN"/>
              </w:rPr>
              <w:t>生活污水</w:t>
            </w:r>
            <w:r>
              <w:rPr>
                <w:rFonts w:hint="default" w:ascii="Times New Roman" w:hAnsi="Times New Roman" w:eastAsia="宋体" w:cs="Times New Roman"/>
                <w:bCs/>
                <w:color w:val="auto"/>
                <w:kern w:val="0"/>
                <w:sz w:val="24"/>
                <w:szCs w:val="20"/>
                <w:highlight w:val="none"/>
              </w:rPr>
              <w:t>经</w:t>
            </w:r>
            <w:r>
              <w:rPr>
                <w:rFonts w:hint="eastAsia" w:ascii="Times New Roman" w:hAnsi="Times New Roman" w:eastAsia="宋体" w:cs="Times New Roman"/>
                <w:bCs/>
                <w:color w:val="auto"/>
                <w:kern w:val="0"/>
                <w:sz w:val="24"/>
                <w:szCs w:val="20"/>
                <w:highlight w:val="none"/>
                <w:lang w:eastAsia="zh-CN"/>
              </w:rPr>
              <w:t>隔油池+三级化粪池</w:t>
            </w:r>
            <w:r>
              <w:rPr>
                <w:rFonts w:hint="default" w:ascii="Times New Roman" w:hAnsi="Times New Roman" w:eastAsia="宋体" w:cs="Times New Roman"/>
                <w:bCs/>
                <w:color w:val="auto"/>
                <w:kern w:val="0"/>
                <w:sz w:val="24"/>
                <w:szCs w:val="20"/>
                <w:highlight w:val="none"/>
              </w:rPr>
              <w:t>预处理</w:t>
            </w:r>
            <w:r>
              <w:rPr>
                <w:rFonts w:hint="default" w:ascii="Times New Roman" w:hAnsi="Times New Roman" w:eastAsia="宋体" w:cs="Times New Roman"/>
                <w:bCs/>
                <w:color w:val="auto"/>
                <w:kern w:val="0"/>
                <w:sz w:val="24"/>
                <w:szCs w:val="20"/>
                <w:highlight w:val="none"/>
                <w:lang w:val="en-US" w:eastAsia="zh-CN"/>
              </w:rPr>
              <w:t>达标</w:t>
            </w:r>
            <w:r>
              <w:rPr>
                <w:rFonts w:hint="default" w:ascii="Times New Roman" w:hAnsi="Times New Roman" w:eastAsia="宋体" w:cs="Times New Roman"/>
                <w:bCs/>
                <w:color w:val="auto"/>
                <w:kern w:val="0"/>
                <w:sz w:val="24"/>
                <w:szCs w:val="20"/>
                <w:highlight w:val="none"/>
              </w:rPr>
              <w:t>后</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《农田灌溉水质标准》（</w:t>
            </w:r>
            <w:r>
              <w:rPr>
                <w:rFonts w:hint="eastAsia" w:ascii="Times New Roman" w:hAnsi="Times New Roman" w:eastAsia="宋体" w:cs="Times New Roman"/>
                <w:color w:val="auto"/>
                <w:sz w:val="24"/>
                <w:highlight w:val="none"/>
                <w:lang w:eastAsia="zh-CN"/>
              </w:rPr>
              <w:t>GB5084-2021</w:t>
            </w:r>
            <w:r>
              <w:rPr>
                <w:rFonts w:hint="default" w:ascii="Times New Roman" w:hAnsi="Times New Roman" w:eastAsia="宋体" w:cs="Times New Roman"/>
                <w:color w:val="auto"/>
                <w:sz w:val="24"/>
                <w:highlight w:val="none"/>
              </w:rPr>
              <w:t>）中的旱作标准</w:t>
            </w:r>
            <w:r>
              <w:rPr>
                <w:rFonts w:hint="default" w:ascii="Times New Roman" w:hAnsi="Times New Roman" w:eastAsia="宋体" w:cs="Times New Roman"/>
                <w:color w:val="auto"/>
                <w:sz w:val="24"/>
                <w:highlight w:val="none"/>
                <w:lang w:val="en-US" w:eastAsia="zh-CN"/>
              </w:rPr>
              <w:t>，回用于厂区绿化。</w:t>
            </w:r>
            <w:r>
              <w:rPr>
                <w:rFonts w:hint="default" w:ascii="Times New Roman" w:hAnsi="Times New Roman" w:eastAsia="宋体" w:cs="Times New Roman"/>
                <w:bCs/>
                <w:color w:val="auto"/>
                <w:kern w:val="0"/>
                <w:sz w:val="24"/>
                <w:szCs w:val="20"/>
                <w:highlight w:val="none"/>
              </w:rPr>
              <w:t>化粪池、</w:t>
            </w:r>
            <w:r>
              <w:rPr>
                <w:rFonts w:hint="eastAsia" w:ascii="Times New Roman" w:hAnsi="Times New Roman" w:eastAsia="宋体" w:cs="Times New Roman"/>
                <w:bCs/>
                <w:color w:val="auto"/>
                <w:kern w:val="0"/>
                <w:sz w:val="24"/>
                <w:szCs w:val="20"/>
                <w:highlight w:val="none"/>
                <w:lang w:val="en-US" w:eastAsia="zh-CN"/>
              </w:rPr>
              <w:t>固</w:t>
            </w:r>
            <w:r>
              <w:rPr>
                <w:rFonts w:hint="default" w:ascii="Times New Roman" w:hAnsi="Times New Roman" w:eastAsia="宋体" w:cs="Times New Roman"/>
                <w:bCs/>
                <w:color w:val="auto"/>
                <w:kern w:val="0"/>
                <w:sz w:val="24"/>
                <w:szCs w:val="20"/>
                <w:highlight w:val="none"/>
              </w:rPr>
              <w:t>废间及相应管道均做好防渗措施，建设项目对土壤、地下水环境基本不存在污染途径，基本不对地下水及土壤产生不良影响。</w:t>
            </w:r>
          </w:p>
          <w:p w14:paraId="4D208972">
            <w:pPr>
              <w:pStyle w:val="7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bCs/>
                <w:color w:val="auto"/>
                <w:lang w:val="en-US" w:eastAsia="zh-CN"/>
              </w:rPr>
            </w:pPr>
            <w:r>
              <w:rPr>
                <w:rFonts w:hint="eastAsia"/>
                <w:b/>
                <w:bCs/>
                <w:color w:val="auto"/>
                <w:lang w:val="en-US" w:eastAsia="zh-CN"/>
              </w:rPr>
              <w:t>（六）环境风险</w:t>
            </w:r>
          </w:p>
          <w:p w14:paraId="24342F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根据《建设项目环境影响报告表编制技术指南（污染影响类）》（试行），经分析，本项目环境风险评价需要设置专项评价，具体见专项评价章节。</w:t>
            </w:r>
          </w:p>
          <w:p w14:paraId="2C3EE933">
            <w:pPr>
              <w:widowControl w:val="0"/>
              <w:bidi w:val="0"/>
              <w:spacing w:line="360" w:lineRule="auto"/>
              <w:ind w:firstLine="480"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（七）环保设施及投资估算</w:t>
            </w:r>
          </w:p>
          <w:p w14:paraId="1FC03889">
            <w:pPr>
              <w:pStyle w:val="86"/>
              <w:bidi w:val="0"/>
              <w:jc w:val="center"/>
              <w:rPr>
                <w:color w:val="auto"/>
              </w:rPr>
            </w:pPr>
            <w:r>
              <w:rPr>
                <w:color w:val="auto"/>
              </w:rPr>
              <w:t>表</w:t>
            </w:r>
            <w:r>
              <w:rPr>
                <w:rFonts w:hint="eastAsia"/>
                <w:color w:val="auto"/>
                <w:lang w:val="en-US" w:eastAsia="zh-CN"/>
              </w:rPr>
              <w:t>4-13</w:t>
            </w:r>
            <w:r>
              <w:rPr>
                <w:color w:val="auto"/>
              </w:rPr>
              <w:t>环保投资估算表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713"/>
              <w:gridCol w:w="2833"/>
              <w:gridCol w:w="1815"/>
              <w:gridCol w:w="1733"/>
            </w:tblGrid>
            <w:tr w14:paraId="3B00F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69" w:type="dxa"/>
                  <w:gridSpan w:val="2"/>
                  <w:tcBorders>
                    <w:tl2br w:val="nil"/>
                    <w:tr2bl w:val="nil"/>
                  </w:tcBorders>
                  <w:noWrap w:val="0"/>
                  <w:vAlign w:val="center"/>
                </w:tcPr>
                <w:p w14:paraId="5F02B2F3">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rPr>
                    <w:t>治理对象</w:t>
                  </w:r>
                </w:p>
              </w:tc>
              <w:tc>
                <w:tcPr>
                  <w:tcW w:w="2833" w:type="dxa"/>
                  <w:tcBorders>
                    <w:tl2br w:val="nil"/>
                    <w:tr2bl w:val="nil"/>
                  </w:tcBorders>
                  <w:noWrap w:val="0"/>
                  <w:vAlign w:val="center"/>
                </w:tcPr>
                <w:p w14:paraId="15DCC158">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rPr>
                    <w:t>环保治理措施</w:t>
                  </w:r>
                </w:p>
              </w:tc>
              <w:tc>
                <w:tcPr>
                  <w:tcW w:w="1815" w:type="dxa"/>
                  <w:tcBorders>
                    <w:tl2br w:val="nil"/>
                    <w:tr2bl w:val="nil"/>
                  </w:tcBorders>
                  <w:noWrap w:val="0"/>
                  <w:vAlign w:val="center"/>
                </w:tcPr>
                <w:p w14:paraId="1AF6B547">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rPr>
                    <w:t>数量</w:t>
                  </w:r>
                </w:p>
              </w:tc>
              <w:tc>
                <w:tcPr>
                  <w:tcW w:w="1733" w:type="dxa"/>
                  <w:tcBorders>
                    <w:tl2br w:val="nil"/>
                    <w:tr2bl w:val="nil"/>
                  </w:tcBorders>
                  <w:noWrap w:val="0"/>
                  <w:vAlign w:val="center"/>
                </w:tcPr>
                <w:p w14:paraId="0757FB49">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rPr>
                    <w:t>环保投资（万元）</w:t>
                  </w:r>
                </w:p>
              </w:tc>
            </w:tr>
            <w:tr w14:paraId="0B5D3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tcBorders>
                    <w:tl2br w:val="nil"/>
                    <w:tr2bl w:val="nil"/>
                  </w:tcBorders>
                  <w:noWrap w:val="0"/>
                  <w:vAlign w:val="center"/>
                </w:tcPr>
                <w:p w14:paraId="418A120A">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default" w:ascii="Times New Roman" w:hAnsi="Times New Roman" w:eastAsia="宋体" w:cs="Times New Roman"/>
                      <w:b w:val="0"/>
                      <w:bCs w:val="0"/>
                      <w:color w:val="auto"/>
                      <w:sz w:val="21"/>
                      <w:szCs w:val="21"/>
                    </w:rPr>
                    <w:t>废水</w:t>
                  </w:r>
                </w:p>
              </w:tc>
              <w:tc>
                <w:tcPr>
                  <w:tcW w:w="1713" w:type="dxa"/>
                  <w:tcBorders>
                    <w:tl2br w:val="nil"/>
                    <w:tr2bl w:val="nil"/>
                  </w:tcBorders>
                  <w:noWrap w:val="0"/>
                  <w:vAlign w:val="center"/>
                </w:tcPr>
                <w:p w14:paraId="66E41C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default" w:ascii="Times New Roman" w:hAnsi="Times New Roman" w:eastAsia="宋体" w:cs="Times New Roman"/>
                      <w:b w:val="0"/>
                      <w:bCs w:val="0"/>
                      <w:color w:val="auto"/>
                      <w:sz w:val="21"/>
                      <w:szCs w:val="21"/>
                    </w:rPr>
                    <w:t>生活污水</w:t>
                  </w:r>
                </w:p>
              </w:tc>
              <w:tc>
                <w:tcPr>
                  <w:tcW w:w="2833" w:type="dxa"/>
                  <w:tcBorders>
                    <w:tl2br w:val="nil"/>
                    <w:tr2bl w:val="nil"/>
                  </w:tcBorders>
                  <w:noWrap w:val="0"/>
                  <w:vAlign w:val="center"/>
                </w:tcPr>
                <w:p w14:paraId="0BD73DBE">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ascii="Times New Roman" w:hAnsi="Times New Roman" w:eastAsia="宋体" w:cs="Times New Roman"/>
                      <w:b w:val="0"/>
                      <w:bCs w:val="0"/>
                      <w:color w:val="auto"/>
                      <w:sz w:val="21"/>
                      <w:szCs w:val="21"/>
                      <w:lang w:val="en-US" w:eastAsia="zh-CN"/>
                    </w:rPr>
                    <w:t>隔油池+</w:t>
                  </w:r>
                  <w:r>
                    <w:rPr>
                      <w:rFonts w:hint="default" w:ascii="Times New Roman" w:hAnsi="Times New Roman" w:eastAsia="宋体" w:cs="Times New Roman"/>
                      <w:b w:val="0"/>
                      <w:bCs w:val="0"/>
                      <w:color w:val="auto"/>
                      <w:sz w:val="21"/>
                      <w:szCs w:val="21"/>
                      <w:lang w:val="en-US" w:eastAsia="zh-CN"/>
                    </w:rPr>
                    <w:t>化粪池</w:t>
                  </w:r>
                </w:p>
              </w:tc>
              <w:tc>
                <w:tcPr>
                  <w:tcW w:w="1815" w:type="dxa"/>
                  <w:tcBorders>
                    <w:tl2br w:val="nil"/>
                    <w:tr2bl w:val="nil"/>
                  </w:tcBorders>
                  <w:noWrap w:val="0"/>
                  <w:vAlign w:val="center"/>
                </w:tcPr>
                <w:p w14:paraId="684B0CAA">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rPr>
                    <w:t>1座</w:t>
                  </w:r>
                </w:p>
              </w:tc>
              <w:tc>
                <w:tcPr>
                  <w:tcW w:w="1733" w:type="dxa"/>
                  <w:tcBorders>
                    <w:tl2br w:val="nil"/>
                    <w:tr2bl w:val="nil"/>
                  </w:tcBorders>
                  <w:noWrap w:val="0"/>
                  <w:vAlign w:val="center"/>
                </w:tcPr>
                <w:p w14:paraId="4E0A4103">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2.5</w:t>
                  </w:r>
                </w:p>
              </w:tc>
            </w:tr>
            <w:tr w14:paraId="419D9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restart"/>
                  <w:tcBorders>
                    <w:tl2br w:val="nil"/>
                    <w:tr2bl w:val="nil"/>
                  </w:tcBorders>
                  <w:noWrap w:val="0"/>
                  <w:vAlign w:val="center"/>
                </w:tcPr>
                <w:p w14:paraId="178B042A">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lang w:eastAsia="zh-CN"/>
                    </w:rPr>
                    <w:t>废气</w:t>
                  </w:r>
                </w:p>
              </w:tc>
              <w:tc>
                <w:tcPr>
                  <w:tcW w:w="1713" w:type="dxa"/>
                  <w:tcBorders>
                    <w:tl2br w:val="nil"/>
                    <w:tr2bl w:val="nil"/>
                  </w:tcBorders>
                  <w:noWrap w:val="0"/>
                  <w:vAlign w:val="center"/>
                </w:tcPr>
                <w:p w14:paraId="369BD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default" w:ascii="Times New Roman" w:hAnsi="Times New Roman" w:eastAsia="宋体" w:cs="Times New Roman"/>
                      <w:b w:val="0"/>
                      <w:bCs w:val="0"/>
                      <w:color w:val="auto"/>
                      <w:sz w:val="21"/>
                      <w:szCs w:val="21"/>
                      <w:lang w:val="en-US" w:eastAsia="zh-CN"/>
                    </w:rPr>
                    <w:t>逸散废气、充装泄露废气</w:t>
                  </w:r>
                </w:p>
              </w:tc>
              <w:tc>
                <w:tcPr>
                  <w:tcW w:w="2833" w:type="dxa"/>
                  <w:vMerge w:val="restart"/>
                  <w:tcBorders>
                    <w:tl2br w:val="nil"/>
                    <w:tr2bl w:val="nil"/>
                  </w:tcBorders>
                  <w:noWrap w:val="0"/>
                  <w:vAlign w:val="center"/>
                </w:tcPr>
                <w:p w14:paraId="7510EE21">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default" w:ascii="Times New Roman" w:hAnsi="Times New Roman" w:cs="Times New Roman"/>
                      <w:color w:val="auto"/>
                      <w:szCs w:val="21"/>
                      <w:lang w:eastAsia="zh-CN"/>
                    </w:rPr>
                    <w:t>设备动静密封点设备密封圈、密封阀门等气密结构、气密措施、加强自然通风</w:t>
                  </w:r>
                </w:p>
              </w:tc>
              <w:tc>
                <w:tcPr>
                  <w:tcW w:w="1815" w:type="dxa"/>
                  <w:vMerge w:val="restart"/>
                  <w:tcBorders>
                    <w:tl2br w:val="nil"/>
                    <w:tr2bl w:val="nil"/>
                  </w:tcBorders>
                  <w:noWrap w:val="0"/>
                  <w:vAlign w:val="center"/>
                </w:tcPr>
                <w:p w14:paraId="4070AE6E">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default" w:ascii="Times New Roman" w:hAnsi="Times New Roman" w:eastAsia="宋体" w:cs="Times New Roman"/>
                      <w:b w:val="0"/>
                      <w:bCs w:val="0"/>
                      <w:color w:val="auto"/>
                      <w:sz w:val="21"/>
                      <w:szCs w:val="21"/>
                      <w:lang w:val="en-US" w:eastAsia="zh-CN"/>
                    </w:rPr>
                    <w:t>若干</w:t>
                  </w:r>
                </w:p>
              </w:tc>
              <w:tc>
                <w:tcPr>
                  <w:tcW w:w="1733" w:type="dxa"/>
                  <w:vMerge w:val="restart"/>
                  <w:tcBorders>
                    <w:tl2br w:val="nil"/>
                    <w:tr2bl w:val="nil"/>
                  </w:tcBorders>
                  <w:noWrap w:val="0"/>
                  <w:vAlign w:val="center"/>
                </w:tcPr>
                <w:p w14:paraId="1BB344EF">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6</w:t>
                  </w:r>
                </w:p>
              </w:tc>
            </w:tr>
            <w:tr w14:paraId="2BCC2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continue"/>
                  <w:tcBorders>
                    <w:tl2br w:val="nil"/>
                    <w:tr2bl w:val="nil"/>
                  </w:tcBorders>
                  <w:noWrap w:val="0"/>
                  <w:vAlign w:val="center"/>
                </w:tcPr>
                <w:p w14:paraId="13EACA59">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p>
              </w:tc>
              <w:tc>
                <w:tcPr>
                  <w:tcW w:w="1713" w:type="dxa"/>
                  <w:tcBorders>
                    <w:tl2br w:val="nil"/>
                    <w:tr2bl w:val="nil"/>
                  </w:tcBorders>
                  <w:noWrap w:val="0"/>
                  <w:vAlign w:val="center"/>
                </w:tcPr>
                <w:p w14:paraId="1DD53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s="Times New Roman"/>
                      <w:b w:val="0"/>
                      <w:bCs w:val="0"/>
                      <w:color w:val="auto"/>
                      <w:sz w:val="21"/>
                      <w:szCs w:val="21"/>
                      <w:lang w:val="en-US" w:eastAsia="zh-CN"/>
                    </w:rPr>
                    <w:t>备用</w:t>
                  </w:r>
                  <w:r>
                    <w:rPr>
                      <w:rFonts w:hint="default" w:ascii="Times New Roman" w:hAnsi="Times New Roman" w:eastAsia="宋体" w:cs="Times New Roman"/>
                      <w:b w:val="0"/>
                      <w:bCs w:val="0"/>
                      <w:color w:val="auto"/>
                      <w:sz w:val="21"/>
                      <w:szCs w:val="21"/>
                      <w:lang w:eastAsia="zh-CN"/>
                    </w:rPr>
                    <w:t>柴油发电机废气</w:t>
                  </w:r>
                </w:p>
              </w:tc>
              <w:tc>
                <w:tcPr>
                  <w:tcW w:w="2833" w:type="dxa"/>
                  <w:vMerge w:val="continue"/>
                  <w:tcBorders>
                    <w:tl2br w:val="nil"/>
                    <w:tr2bl w:val="nil"/>
                  </w:tcBorders>
                  <w:noWrap w:val="0"/>
                  <w:vAlign w:val="center"/>
                </w:tcPr>
                <w:p w14:paraId="18A9D394">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p>
              </w:tc>
              <w:tc>
                <w:tcPr>
                  <w:tcW w:w="1815" w:type="dxa"/>
                  <w:vMerge w:val="continue"/>
                  <w:tcBorders>
                    <w:tl2br w:val="nil"/>
                    <w:tr2bl w:val="nil"/>
                  </w:tcBorders>
                  <w:noWrap w:val="0"/>
                  <w:vAlign w:val="center"/>
                </w:tcPr>
                <w:p w14:paraId="741B0F71">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eastAsia"/>
                      <w:color w:val="auto"/>
                      <w:lang w:val="en-US" w:eastAsia="zh-CN"/>
                    </w:rPr>
                  </w:pPr>
                </w:p>
              </w:tc>
              <w:tc>
                <w:tcPr>
                  <w:tcW w:w="1733" w:type="dxa"/>
                  <w:vMerge w:val="continue"/>
                  <w:tcBorders>
                    <w:tl2br w:val="nil"/>
                    <w:tr2bl w:val="nil"/>
                  </w:tcBorders>
                  <w:noWrap w:val="0"/>
                  <w:vAlign w:val="center"/>
                </w:tcPr>
                <w:p w14:paraId="35A247FD">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p>
              </w:tc>
            </w:tr>
            <w:tr w14:paraId="32A90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continue"/>
                  <w:tcBorders>
                    <w:tl2br w:val="nil"/>
                    <w:tr2bl w:val="nil"/>
                  </w:tcBorders>
                  <w:noWrap w:val="0"/>
                  <w:vAlign w:val="center"/>
                </w:tcPr>
                <w:p w14:paraId="7FB99D02">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p>
              </w:tc>
              <w:tc>
                <w:tcPr>
                  <w:tcW w:w="1713" w:type="dxa"/>
                  <w:tcBorders>
                    <w:tl2br w:val="nil"/>
                    <w:tr2bl w:val="nil"/>
                  </w:tcBorders>
                  <w:noWrap w:val="0"/>
                  <w:vAlign w:val="center"/>
                </w:tcPr>
                <w:p w14:paraId="1887CB5A">
                  <w:pPr>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eastAsia"/>
                      <w:color w:val="auto"/>
                      <w:sz w:val="21"/>
                      <w:szCs w:val="21"/>
                      <w:highlight w:val="none"/>
                      <w:lang w:val="en-US" w:eastAsia="zh-CN"/>
                    </w:rPr>
                    <w:t>食堂油烟</w:t>
                  </w:r>
                </w:p>
              </w:tc>
              <w:tc>
                <w:tcPr>
                  <w:tcW w:w="2833" w:type="dxa"/>
                  <w:tcBorders>
                    <w:tl2br w:val="nil"/>
                    <w:tr2bl w:val="nil"/>
                  </w:tcBorders>
                  <w:noWrap w:val="0"/>
                  <w:vAlign w:val="center"/>
                </w:tcPr>
                <w:p w14:paraId="26C0D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sz w:val="21"/>
                      <w:szCs w:val="21"/>
                      <w:highlight w:val="none"/>
                    </w:rPr>
                    <w:t>项目食堂油烟通过抽油烟机处理后，引至楼顶排放</w:t>
                  </w:r>
                </w:p>
              </w:tc>
              <w:tc>
                <w:tcPr>
                  <w:tcW w:w="1815" w:type="dxa"/>
                  <w:tcBorders>
                    <w:tl2br w:val="nil"/>
                    <w:tr2bl w:val="nil"/>
                  </w:tcBorders>
                  <w:noWrap w:val="0"/>
                  <w:vAlign w:val="center"/>
                </w:tcPr>
                <w:p w14:paraId="5F609CB0">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w:t>
                  </w:r>
                </w:p>
              </w:tc>
              <w:tc>
                <w:tcPr>
                  <w:tcW w:w="1733" w:type="dxa"/>
                  <w:tcBorders>
                    <w:tl2br w:val="nil"/>
                    <w:tr2bl w:val="nil"/>
                  </w:tcBorders>
                  <w:noWrap w:val="0"/>
                  <w:vAlign w:val="center"/>
                </w:tcPr>
                <w:p w14:paraId="42D20F3E">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p>
              </w:tc>
            </w:tr>
            <w:tr w14:paraId="62B54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tcBorders>
                    <w:tl2br w:val="nil"/>
                    <w:tr2bl w:val="nil"/>
                  </w:tcBorders>
                  <w:noWrap w:val="0"/>
                  <w:vAlign w:val="center"/>
                </w:tcPr>
                <w:p w14:paraId="0781154D">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rPr>
                    <w:t>噪声</w:t>
                  </w:r>
                </w:p>
              </w:tc>
              <w:tc>
                <w:tcPr>
                  <w:tcW w:w="1713" w:type="dxa"/>
                  <w:tcBorders>
                    <w:tl2br w:val="nil"/>
                    <w:tr2bl w:val="nil"/>
                  </w:tcBorders>
                  <w:noWrap w:val="0"/>
                  <w:vAlign w:val="center"/>
                </w:tcPr>
                <w:p w14:paraId="3F9CCE35">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default" w:ascii="Times New Roman" w:hAnsi="Times New Roman" w:eastAsia="宋体" w:cs="Times New Roman"/>
                      <w:b w:val="0"/>
                      <w:bCs w:val="0"/>
                      <w:color w:val="auto"/>
                      <w:sz w:val="21"/>
                      <w:szCs w:val="21"/>
                    </w:rPr>
                    <w:t>设备噪声</w:t>
                  </w:r>
                </w:p>
              </w:tc>
              <w:tc>
                <w:tcPr>
                  <w:tcW w:w="2833" w:type="dxa"/>
                  <w:tcBorders>
                    <w:tl2br w:val="nil"/>
                    <w:tr2bl w:val="nil"/>
                  </w:tcBorders>
                  <w:noWrap w:val="0"/>
                  <w:vAlign w:val="center"/>
                </w:tcPr>
                <w:p w14:paraId="066274BD">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default" w:ascii="Times New Roman" w:hAnsi="Times New Roman" w:eastAsia="宋体" w:cs="Times New Roman"/>
                      <w:b w:val="0"/>
                      <w:bCs w:val="0"/>
                      <w:color w:val="auto"/>
                      <w:sz w:val="21"/>
                      <w:szCs w:val="21"/>
                      <w:lang w:val="en-US" w:eastAsia="zh-CN"/>
                    </w:rPr>
                    <w:t>基础减震、</w:t>
                  </w:r>
                  <w:r>
                    <w:rPr>
                      <w:rFonts w:hint="default" w:ascii="Times New Roman" w:hAnsi="Times New Roman" w:eastAsia="宋体" w:cs="Times New Roman"/>
                      <w:b w:val="0"/>
                      <w:bCs w:val="0"/>
                      <w:color w:val="auto"/>
                      <w:sz w:val="21"/>
                      <w:szCs w:val="21"/>
                      <w:lang w:val="zh-CN"/>
                    </w:rPr>
                    <w:t>厂房隔音</w:t>
                  </w:r>
                </w:p>
              </w:tc>
              <w:tc>
                <w:tcPr>
                  <w:tcW w:w="1815" w:type="dxa"/>
                  <w:tcBorders>
                    <w:tl2br w:val="nil"/>
                    <w:tr2bl w:val="nil"/>
                  </w:tcBorders>
                  <w:noWrap w:val="0"/>
                  <w:vAlign w:val="center"/>
                </w:tcPr>
                <w:p w14:paraId="5AD1BBD7">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default" w:ascii="Times New Roman" w:hAnsi="Times New Roman" w:eastAsia="宋体" w:cs="Times New Roman"/>
                      <w:b w:val="0"/>
                      <w:bCs w:val="0"/>
                      <w:color w:val="auto"/>
                      <w:sz w:val="21"/>
                      <w:szCs w:val="21"/>
                    </w:rPr>
                    <w:t>/</w:t>
                  </w:r>
                </w:p>
              </w:tc>
              <w:tc>
                <w:tcPr>
                  <w:tcW w:w="1733" w:type="dxa"/>
                  <w:tcBorders>
                    <w:tl2br w:val="nil"/>
                    <w:tr2bl w:val="nil"/>
                  </w:tcBorders>
                  <w:noWrap w:val="0"/>
                  <w:vAlign w:val="center"/>
                </w:tcPr>
                <w:p w14:paraId="5E258C06">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1</w:t>
                  </w:r>
                </w:p>
              </w:tc>
            </w:tr>
            <w:tr w14:paraId="6B8A7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restart"/>
                  <w:tcBorders>
                    <w:tl2br w:val="nil"/>
                    <w:tr2bl w:val="nil"/>
                  </w:tcBorders>
                  <w:noWrap w:val="0"/>
                  <w:vAlign w:val="center"/>
                </w:tcPr>
                <w:p w14:paraId="63DE60E1">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default" w:ascii="Times New Roman" w:hAnsi="Times New Roman" w:eastAsia="宋体" w:cs="Times New Roman"/>
                      <w:b w:val="0"/>
                      <w:bCs w:val="0"/>
                      <w:color w:val="auto"/>
                      <w:sz w:val="21"/>
                      <w:szCs w:val="21"/>
                    </w:rPr>
                    <w:t>固体废物</w:t>
                  </w:r>
                </w:p>
              </w:tc>
              <w:tc>
                <w:tcPr>
                  <w:tcW w:w="1713" w:type="dxa"/>
                  <w:tcBorders>
                    <w:tl2br w:val="nil"/>
                    <w:tr2bl w:val="nil"/>
                  </w:tcBorders>
                  <w:noWrap w:val="0"/>
                  <w:vAlign w:val="center"/>
                </w:tcPr>
                <w:p w14:paraId="6CE2D522">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生活垃圾</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废油脂</w:t>
                  </w:r>
                </w:p>
              </w:tc>
              <w:tc>
                <w:tcPr>
                  <w:tcW w:w="2833" w:type="dxa"/>
                  <w:tcBorders>
                    <w:tl2br w:val="nil"/>
                    <w:tr2bl w:val="nil"/>
                  </w:tcBorders>
                  <w:noWrap w:val="0"/>
                  <w:vAlign w:val="center"/>
                </w:tcPr>
                <w:p w14:paraId="60772EB5">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2"/>
                      <w:sz w:val="21"/>
                      <w:szCs w:val="21"/>
                      <w:lang w:val="en-US" w:eastAsia="zh-CN" w:bidi="ar-SA"/>
                    </w:rPr>
                  </w:pPr>
                  <w:r>
                    <w:rPr>
                      <w:rFonts w:hint="default" w:ascii="Times New Roman" w:hAnsi="Times New Roman" w:eastAsia="宋体" w:cs="Times New Roman"/>
                      <w:b w:val="0"/>
                      <w:bCs w:val="0"/>
                      <w:color w:val="auto"/>
                      <w:sz w:val="21"/>
                      <w:szCs w:val="21"/>
                    </w:rPr>
                    <w:t>垃圾桶等</w:t>
                  </w:r>
                </w:p>
              </w:tc>
              <w:tc>
                <w:tcPr>
                  <w:tcW w:w="1815" w:type="dxa"/>
                  <w:tcBorders>
                    <w:tl2br w:val="nil"/>
                    <w:tr2bl w:val="nil"/>
                  </w:tcBorders>
                  <w:noWrap w:val="0"/>
                  <w:vAlign w:val="center"/>
                </w:tcPr>
                <w:p w14:paraId="3CDD6399">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若干</w:t>
                  </w:r>
                </w:p>
              </w:tc>
              <w:tc>
                <w:tcPr>
                  <w:tcW w:w="1733" w:type="dxa"/>
                  <w:tcBorders>
                    <w:tl2br w:val="nil"/>
                    <w:tr2bl w:val="nil"/>
                  </w:tcBorders>
                  <w:noWrap w:val="0"/>
                  <w:vAlign w:val="center"/>
                </w:tcPr>
                <w:p w14:paraId="7D55983B">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0.5</w:t>
                  </w:r>
                </w:p>
              </w:tc>
            </w:tr>
            <w:tr w14:paraId="04DC3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continue"/>
                  <w:tcBorders>
                    <w:tl2br w:val="nil"/>
                    <w:tr2bl w:val="nil"/>
                  </w:tcBorders>
                  <w:noWrap w:val="0"/>
                  <w:vAlign w:val="center"/>
                </w:tcPr>
                <w:p w14:paraId="0CF78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1713" w:type="dxa"/>
                  <w:tcBorders>
                    <w:tl2br w:val="nil"/>
                    <w:tr2bl w:val="nil"/>
                  </w:tcBorders>
                  <w:noWrap w:val="0"/>
                  <w:vAlign w:val="center"/>
                </w:tcPr>
                <w:p w14:paraId="0F616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s="Times New Roman"/>
                      <w:b w:val="0"/>
                      <w:bCs w:val="0"/>
                      <w:color w:val="auto"/>
                      <w:sz w:val="21"/>
                      <w:szCs w:val="21"/>
                      <w:lang w:val="en-US" w:eastAsia="zh-CN"/>
                    </w:rPr>
                    <w:t>不合格</w:t>
                  </w:r>
                  <w:r>
                    <w:rPr>
                      <w:rFonts w:hint="default" w:ascii="Times New Roman" w:hAnsi="Times New Roman" w:eastAsia="宋体" w:cs="Times New Roman"/>
                      <w:b w:val="0"/>
                      <w:bCs w:val="0"/>
                      <w:color w:val="auto"/>
                      <w:sz w:val="21"/>
                      <w:szCs w:val="21"/>
                      <w:lang w:val="en-US" w:eastAsia="zh-CN"/>
                    </w:rPr>
                    <w:t>钢瓶</w:t>
                  </w:r>
                </w:p>
              </w:tc>
              <w:tc>
                <w:tcPr>
                  <w:tcW w:w="2833" w:type="dxa"/>
                  <w:tcBorders>
                    <w:tl2br w:val="nil"/>
                    <w:tr2bl w:val="nil"/>
                  </w:tcBorders>
                  <w:noWrap w:val="0"/>
                  <w:vAlign w:val="center"/>
                </w:tcPr>
                <w:p w14:paraId="584AA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lang w:val="en-US" w:eastAsia="zh-CN"/>
                    </w:rPr>
                    <w:t>暂</w:t>
                  </w:r>
                  <w:r>
                    <w:rPr>
                      <w:rFonts w:hint="eastAsia"/>
                      <w:color w:val="auto"/>
                    </w:rPr>
                    <w:t>存放在</w:t>
                  </w:r>
                  <w:r>
                    <w:rPr>
                      <w:rFonts w:hint="eastAsia"/>
                      <w:color w:val="auto"/>
                      <w:lang w:val="en-US" w:eastAsia="zh-CN"/>
                    </w:rPr>
                    <w:t>机泵</w:t>
                  </w:r>
                  <w:r>
                    <w:rPr>
                      <w:rFonts w:hint="eastAsia"/>
                      <w:color w:val="auto"/>
                    </w:rPr>
                    <w:t>房单独分区内</w:t>
                  </w:r>
                </w:p>
              </w:tc>
              <w:tc>
                <w:tcPr>
                  <w:tcW w:w="1815" w:type="dxa"/>
                  <w:tcBorders>
                    <w:tl2br w:val="nil"/>
                    <w:tr2bl w:val="nil"/>
                  </w:tcBorders>
                  <w:noWrap w:val="0"/>
                  <w:vAlign w:val="center"/>
                </w:tcPr>
                <w:p w14:paraId="7664B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lang w:val="en-US" w:eastAsia="zh-CN"/>
                    </w:rPr>
                    <w:t>1</w:t>
                  </w:r>
                </w:p>
              </w:tc>
              <w:tc>
                <w:tcPr>
                  <w:tcW w:w="1733" w:type="dxa"/>
                  <w:tcBorders>
                    <w:tl2br w:val="nil"/>
                    <w:tr2bl w:val="nil"/>
                  </w:tcBorders>
                  <w:noWrap w:val="0"/>
                  <w:vAlign w:val="center"/>
                </w:tcPr>
                <w:p w14:paraId="72BDCF5B">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计入工程投资</w:t>
                  </w:r>
                </w:p>
              </w:tc>
            </w:tr>
            <w:tr w14:paraId="0F6EF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556" w:type="dxa"/>
                  <w:vMerge w:val="continue"/>
                  <w:tcBorders>
                    <w:tl2br w:val="nil"/>
                    <w:tr2bl w:val="nil"/>
                  </w:tcBorders>
                  <w:noWrap w:val="0"/>
                  <w:vAlign w:val="center"/>
                </w:tcPr>
                <w:p w14:paraId="6B123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1713" w:type="dxa"/>
                  <w:tcBorders>
                    <w:tl2br w:val="nil"/>
                    <w:tr2bl w:val="nil"/>
                  </w:tcBorders>
                  <w:noWrap w:val="0"/>
                  <w:vAlign w:val="center"/>
                </w:tcPr>
                <w:p w14:paraId="3C8AB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ascii="Times New Roman" w:hAnsi="Times New Roman" w:eastAsia="宋体" w:cs="Times New Roman"/>
                      <w:b w:val="0"/>
                      <w:bCs w:val="0"/>
                      <w:color w:val="auto"/>
                      <w:sz w:val="21"/>
                      <w:szCs w:val="21"/>
                      <w:vertAlign w:val="baseline"/>
                      <w:lang w:val="en-US" w:eastAsia="zh-CN"/>
                    </w:rPr>
                    <w:t>残液</w:t>
                  </w:r>
                </w:p>
              </w:tc>
              <w:tc>
                <w:tcPr>
                  <w:tcW w:w="2833" w:type="dxa"/>
                  <w:tcBorders>
                    <w:tl2br w:val="nil"/>
                    <w:tr2bl w:val="nil"/>
                  </w:tcBorders>
                  <w:noWrap w:val="0"/>
                  <w:vAlign w:val="center"/>
                </w:tcPr>
                <w:p w14:paraId="021D0A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ascii="Times New Roman" w:hAnsi="Times New Roman" w:eastAsia="宋体" w:cs="Times New Roman"/>
                      <w:b w:val="0"/>
                      <w:bCs w:val="0"/>
                      <w:color w:val="auto"/>
                      <w:sz w:val="21"/>
                      <w:szCs w:val="21"/>
                      <w:lang w:val="en-US" w:eastAsia="zh-CN"/>
                    </w:rPr>
                    <w:t>残液罐暂存</w:t>
                  </w:r>
                </w:p>
              </w:tc>
              <w:tc>
                <w:tcPr>
                  <w:tcW w:w="1815" w:type="dxa"/>
                  <w:tcBorders>
                    <w:tl2br w:val="nil"/>
                    <w:tr2bl w:val="nil"/>
                  </w:tcBorders>
                  <w:noWrap w:val="0"/>
                  <w:vAlign w:val="center"/>
                </w:tcPr>
                <w:p w14:paraId="2980AB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ascii="Times New Roman" w:hAnsi="Times New Roman" w:eastAsia="宋体" w:cs="Times New Roman"/>
                      <w:b w:val="0"/>
                      <w:bCs w:val="0"/>
                      <w:color w:val="auto"/>
                      <w:sz w:val="21"/>
                      <w:szCs w:val="21"/>
                      <w:lang w:val="en-US" w:eastAsia="zh-CN"/>
                    </w:rPr>
                    <w:t>1个，容积</w:t>
                  </w:r>
                  <w:r>
                    <w:rPr>
                      <w:rFonts w:hint="eastAsia" w:cs="Times New Roman"/>
                      <w:b w:val="0"/>
                      <w:bCs w:val="0"/>
                      <w:color w:val="auto"/>
                      <w:sz w:val="21"/>
                      <w:szCs w:val="21"/>
                      <w:lang w:val="en-US" w:eastAsia="zh-CN"/>
                    </w:rPr>
                    <w:t>5</w:t>
                  </w:r>
                  <w:r>
                    <w:rPr>
                      <w:rFonts w:hint="eastAsia" w:ascii="Times New Roman" w:hAnsi="Times New Roman" w:eastAsia="宋体" w:cs="Times New Roman"/>
                      <w:b w:val="0"/>
                      <w:bCs w:val="0"/>
                      <w:color w:val="auto"/>
                      <w:sz w:val="21"/>
                      <w:szCs w:val="21"/>
                      <w:lang w:val="en-US" w:eastAsia="zh-CN"/>
                    </w:rPr>
                    <w:t>0</w:t>
                  </w:r>
                  <w:r>
                    <w:rPr>
                      <w:rFonts w:hint="eastAsia"/>
                      <w:color w:val="auto"/>
                      <w:lang w:val="en-US" w:eastAsia="zh-CN"/>
                    </w:rPr>
                    <w:t>m</w:t>
                  </w:r>
                  <w:r>
                    <w:rPr>
                      <w:rFonts w:hint="eastAsia"/>
                      <w:color w:val="auto"/>
                      <w:vertAlign w:val="superscript"/>
                      <w:lang w:val="en-US" w:eastAsia="zh-CN"/>
                    </w:rPr>
                    <w:t>3</w:t>
                  </w:r>
                </w:p>
              </w:tc>
              <w:tc>
                <w:tcPr>
                  <w:tcW w:w="1733" w:type="dxa"/>
                  <w:tcBorders>
                    <w:tl2br w:val="nil"/>
                    <w:tr2bl w:val="nil"/>
                  </w:tcBorders>
                  <w:noWrap w:val="0"/>
                  <w:vAlign w:val="center"/>
                </w:tcPr>
                <w:p w14:paraId="0FCC6202">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计入工程投资</w:t>
                  </w:r>
                </w:p>
              </w:tc>
            </w:tr>
            <w:tr w14:paraId="1B379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556" w:type="dxa"/>
                  <w:vMerge w:val="continue"/>
                  <w:tcBorders>
                    <w:tl2br w:val="nil"/>
                    <w:tr2bl w:val="nil"/>
                  </w:tcBorders>
                  <w:noWrap w:val="0"/>
                  <w:vAlign w:val="center"/>
                </w:tcPr>
                <w:p w14:paraId="770E7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1713" w:type="dxa"/>
                  <w:tcBorders>
                    <w:tl2br w:val="nil"/>
                    <w:tr2bl w:val="nil"/>
                  </w:tcBorders>
                  <w:noWrap w:val="0"/>
                  <w:vAlign w:val="center"/>
                </w:tcPr>
                <w:p w14:paraId="637D8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olor w:val="auto"/>
                      <w:lang w:val="en-US" w:eastAsia="zh-CN"/>
                    </w:rPr>
                    <w:t>废机油、废含油抹布、</w:t>
                  </w:r>
                  <w:r>
                    <w:rPr>
                      <w:rFonts w:hint="eastAsia"/>
                      <w:color w:val="auto"/>
                      <w:sz w:val="21"/>
                      <w:szCs w:val="21"/>
                    </w:rPr>
                    <w:t>废</w:t>
                  </w:r>
                  <w:r>
                    <w:rPr>
                      <w:rFonts w:hint="eastAsia"/>
                      <w:color w:val="auto"/>
                      <w:sz w:val="21"/>
                      <w:szCs w:val="21"/>
                      <w:lang w:eastAsia="zh-CN"/>
                    </w:rPr>
                    <w:t>机油桶</w:t>
                  </w:r>
                </w:p>
              </w:tc>
              <w:tc>
                <w:tcPr>
                  <w:tcW w:w="2833" w:type="dxa"/>
                  <w:tcBorders>
                    <w:tl2br w:val="nil"/>
                    <w:tr2bl w:val="nil"/>
                  </w:tcBorders>
                  <w:noWrap w:val="0"/>
                  <w:vAlign w:val="center"/>
                </w:tcPr>
                <w:p w14:paraId="0237EC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color w:val="auto"/>
                      <w:kern w:val="0"/>
                      <w:szCs w:val="21"/>
                      <w:lang w:val="en-US" w:eastAsia="zh-CN"/>
                    </w:rPr>
                    <w:t>暂存于危废间，</w:t>
                  </w:r>
                  <w:r>
                    <w:rPr>
                      <w:color w:val="auto"/>
                      <w:kern w:val="0"/>
                      <w:szCs w:val="21"/>
                    </w:rPr>
                    <w:t>定期</w:t>
                  </w:r>
                  <w:r>
                    <w:rPr>
                      <w:rFonts w:hint="eastAsia"/>
                      <w:color w:val="auto"/>
                      <w:kern w:val="0"/>
                      <w:szCs w:val="21"/>
                      <w:lang w:val="en-US" w:eastAsia="zh-CN"/>
                    </w:rPr>
                    <w:t>交由有资质单位</w:t>
                  </w:r>
                  <w:r>
                    <w:rPr>
                      <w:color w:val="auto"/>
                      <w:kern w:val="0"/>
                      <w:szCs w:val="21"/>
                    </w:rPr>
                    <w:t>处理</w:t>
                  </w:r>
                </w:p>
              </w:tc>
              <w:tc>
                <w:tcPr>
                  <w:tcW w:w="1815" w:type="dxa"/>
                  <w:tcBorders>
                    <w:tl2br w:val="nil"/>
                    <w:tr2bl w:val="nil"/>
                  </w:tcBorders>
                  <w:noWrap w:val="0"/>
                  <w:vAlign w:val="center"/>
                </w:tcPr>
                <w:p w14:paraId="41ECDD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危废间5m</w:t>
                  </w:r>
                  <w:r>
                    <w:rPr>
                      <w:rFonts w:hint="eastAsia" w:cs="Times New Roman"/>
                      <w:b w:val="0"/>
                      <w:bCs w:val="0"/>
                      <w:color w:val="auto"/>
                      <w:sz w:val="21"/>
                      <w:szCs w:val="21"/>
                      <w:vertAlign w:val="superscript"/>
                      <w:lang w:val="en-US" w:eastAsia="zh-CN"/>
                    </w:rPr>
                    <w:t>2</w:t>
                  </w:r>
                </w:p>
              </w:tc>
              <w:tc>
                <w:tcPr>
                  <w:tcW w:w="1733" w:type="dxa"/>
                  <w:tcBorders>
                    <w:tl2br w:val="nil"/>
                    <w:tr2bl w:val="nil"/>
                  </w:tcBorders>
                  <w:noWrap w:val="0"/>
                  <w:vAlign w:val="center"/>
                </w:tcPr>
                <w:p w14:paraId="31719762">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0.5</w:t>
                  </w:r>
                </w:p>
              </w:tc>
            </w:tr>
            <w:tr w14:paraId="73E8C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restart"/>
                  <w:tcBorders>
                    <w:tl2br w:val="nil"/>
                    <w:tr2bl w:val="nil"/>
                  </w:tcBorders>
                  <w:noWrap w:val="0"/>
                  <w:vAlign w:val="center"/>
                </w:tcPr>
                <w:p w14:paraId="2DE1EA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lang w:val="en-US" w:eastAsia="zh-CN"/>
                    </w:rPr>
                    <w:t>风险</w:t>
                  </w:r>
                </w:p>
              </w:tc>
              <w:tc>
                <w:tcPr>
                  <w:tcW w:w="1713" w:type="dxa"/>
                  <w:vMerge w:val="restart"/>
                  <w:tcBorders>
                    <w:tl2br w:val="nil"/>
                    <w:tr2bl w:val="nil"/>
                  </w:tcBorders>
                  <w:noWrap w:val="0"/>
                  <w:vAlign w:val="center"/>
                </w:tcPr>
                <w:p w14:paraId="28D2E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lang w:val="en-US" w:eastAsia="zh-CN"/>
                    </w:rPr>
                    <w:t>消防废水</w:t>
                  </w:r>
                </w:p>
              </w:tc>
              <w:tc>
                <w:tcPr>
                  <w:tcW w:w="2833" w:type="dxa"/>
                  <w:tcBorders>
                    <w:tl2br w:val="nil"/>
                    <w:tr2bl w:val="nil"/>
                  </w:tcBorders>
                  <w:noWrap w:val="0"/>
                  <w:vAlign w:val="center"/>
                </w:tcPr>
                <w:p w14:paraId="497CA7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lang w:val="en-US" w:eastAsia="zh-CN"/>
                    </w:rPr>
                    <w:t>消防水池</w:t>
                  </w:r>
                </w:p>
              </w:tc>
              <w:tc>
                <w:tcPr>
                  <w:tcW w:w="1815" w:type="dxa"/>
                  <w:tcBorders>
                    <w:tl2br w:val="nil"/>
                    <w:tr2bl w:val="nil"/>
                  </w:tcBorders>
                  <w:noWrap w:val="0"/>
                  <w:vAlign w:val="center"/>
                </w:tcPr>
                <w:p w14:paraId="39221C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olor w:val="auto"/>
                      <w:spacing w:val="-13"/>
                      <w:lang w:val="en-US" w:eastAsia="zh-CN"/>
                    </w:rPr>
                    <w:t>3个，900</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p>
              </w:tc>
              <w:tc>
                <w:tcPr>
                  <w:tcW w:w="1733" w:type="dxa"/>
                  <w:tcBorders>
                    <w:tl2br w:val="nil"/>
                    <w:tr2bl w:val="nil"/>
                  </w:tcBorders>
                  <w:noWrap w:val="0"/>
                  <w:vAlign w:val="center"/>
                </w:tcPr>
                <w:p w14:paraId="6919F666">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5</w:t>
                  </w:r>
                </w:p>
              </w:tc>
            </w:tr>
            <w:tr w14:paraId="18845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continue"/>
                  <w:tcBorders>
                    <w:tl2br w:val="nil"/>
                    <w:tr2bl w:val="nil"/>
                  </w:tcBorders>
                  <w:noWrap w:val="0"/>
                  <w:vAlign w:val="center"/>
                </w:tcPr>
                <w:p w14:paraId="2774A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713" w:type="dxa"/>
                  <w:vMerge w:val="continue"/>
                  <w:tcBorders>
                    <w:tl2br w:val="nil"/>
                    <w:tr2bl w:val="nil"/>
                  </w:tcBorders>
                  <w:noWrap w:val="0"/>
                  <w:vAlign w:val="center"/>
                </w:tcPr>
                <w:p w14:paraId="32051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2833" w:type="dxa"/>
                  <w:tcBorders>
                    <w:tl2br w:val="nil"/>
                    <w:tr2bl w:val="nil"/>
                  </w:tcBorders>
                  <w:noWrap w:val="0"/>
                  <w:vAlign w:val="center"/>
                </w:tcPr>
                <w:p w14:paraId="605D0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罐区围堰</w:t>
                  </w:r>
                </w:p>
              </w:tc>
              <w:tc>
                <w:tcPr>
                  <w:tcW w:w="1815" w:type="dxa"/>
                  <w:tcBorders>
                    <w:tl2br w:val="nil"/>
                    <w:tr2bl w:val="nil"/>
                  </w:tcBorders>
                  <w:noWrap w:val="0"/>
                  <w:vAlign w:val="center"/>
                </w:tcPr>
                <w:p w14:paraId="09C3F8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pacing w:val="-13"/>
                      <w:lang w:val="en-US" w:eastAsia="zh-CN"/>
                    </w:rPr>
                  </w:pPr>
                  <w:r>
                    <w:rPr>
                      <w:rFonts w:hint="eastAsia"/>
                      <w:color w:val="auto"/>
                      <w:spacing w:val="-13"/>
                      <w:lang w:val="en-US" w:eastAsia="zh-CN"/>
                    </w:rPr>
                    <w:t>1149</w:t>
                  </w:r>
                  <w:r>
                    <w:rPr>
                      <w:rFonts w:hint="default"/>
                      <w:color w:val="auto"/>
                      <w:spacing w:val="-13"/>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p>
              </w:tc>
              <w:tc>
                <w:tcPr>
                  <w:tcW w:w="1733" w:type="dxa"/>
                  <w:tcBorders>
                    <w:tl2br w:val="nil"/>
                    <w:tr2bl w:val="nil"/>
                  </w:tcBorders>
                  <w:noWrap w:val="0"/>
                  <w:vAlign w:val="center"/>
                </w:tcPr>
                <w:p w14:paraId="68DA712E">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3</w:t>
                  </w:r>
                </w:p>
              </w:tc>
            </w:tr>
            <w:tr w14:paraId="401CB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6" w:type="dxa"/>
                  <w:vMerge w:val="continue"/>
                  <w:tcBorders>
                    <w:tl2br w:val="nil"/>
                    <w:tr2bl w:val="nil"/>
                  </w:tcBorders>
                  <w:noWrap w:val="0"/>
                  <w:vAlign w:val="center"/>
                </w:tcPr>
                <w:p w14:paraId="0E1F9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4546" w:type="dxa"/>
                  <w:gridSpan w:val="2"/>
                  <w:tcBorders>
                    <w:tl2br w:val="nil"/>
                    <w:tr2bl w:val="nil"/>
                  </w:tcBorders>
                  <w:noWrap w:val="0"/>
                  <w:vAlign w:val="center"/>
                </w:tcPr>
                <w:p w14:paraId="39E9E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eastAsia" w:cs="Times New Roman"/>
                      <w:b w:val="0"/>
                      <w:bCs w:val="0"/>
                      <w:color w:val="auto"/>
                      <w:sz w:val="21"/>
                      <w:szCs w:val="21"/>
                      <w:lang w:val="en-US" w:eastAsia="zh-CN"/>
                    </w:rPr>
                    <w:t>厂</w:t>
                  </w:r>
                  <w:r>
                    <w:rPr>
                      <w:rFonts w:hint="default" w:ascii="Times New Roman" w:hAnsi="Times New Roman" w:eastAsia="宋体" w:cs="Times New Roman"/>
                      <w:b w:val="0"/>
                      <w:bCs w:val="0"/>
                      <w:color w:val="auto"/>
                      <w:sz w:val="21"/>
                      <w:szCs w:val="21"/>
                      <w:lang w:val="en-US" w:eastAsia="zh-CN"/>
                    </w:rPr>
                    <w:t>区防渗</w:t>
                  </w:r>
                </w:p>
              </w:tc>
              <w:tc>
                <w:tcPr>
                  <w:tcW w:w="1815" w:type="dxa"/>
                  <w:tcBorders>
                    <w:tl2br w:val="nil"/>
                    <w:tr2bl w:val="nil"/>
                  </w:tcBorders>
                  <w:noWrap w:val="0"/>
                  <w:vAlign w:val="center"/>
                </w:tcPr>
                <w:p w14:paraId="1FEA2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r>
                    <w:rPr>
                      <w:rFonts w:hint="default" w:ascii="Times New Roman" w:hAnsi="Times New Roman" w:eastAsia="宋体" w:cs="Times New Roman"/>
                      <w:b w:val="0"/>
                      <w:bCs w:val="0"/>
                      <w:color w:val="auto"/>
                      <w:sz w:val="21"/>
                      <w:szCs w:val="21"/>
                      <w:lang w:val="en-US" w:eastAsia="zh-CN"/>
                    </w:rPr>
                    <w:t>/</w:t>
                  </w:r>
                </w:p>
              </w:tc>
              <w:tc>
                <w:tcPr>
                  <w:tcW w:w="1733" w:type="dxa"/>
                  <w:tcBorders>
                    <w:tl2br w:val="nil"/>
                    <w:tr2bl w:val="nil"/>
                  </w:tcBorders>
                  <w:noWrap w:val="0"/>
                  <w:vAlign w:val="center"/>
                </w:tcPr>
                <w:p w14:paraId="68BE721F">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2.5</w:t>
                  </w:r>
                </w:p>
              </w:tc>
            </w:tr>
            <w:tr w14:paraId="1B5CB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17" w:type="dxa"/>
                  <w:gridSpan w:val="4"/>
                  <w:tcBorders>
                    <w:tl2br w:val="nil"/>
                    <w:tr2bl w:val="nil"/>
                  </w:tcBorders>
                  <w:noWrap w:val="0"/>
                  <w:vAlign w:val="center"/>
                </w:tcPr>
                <w:p w14:paraId="3732D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default" w:ascii="Times New Roman" w:hAnsi="Times New Roman" w:eastAsia="宋体" w:cs="Times New Roman"/>
                      <w:b w:val="0"/>
                      <w:bCs w:val="0"/>
                      <w:color w:val="auto"/>
                      <w:sz w:val="21"/>
                      <w:szCs w:val="21"/>
                    </w:rPr>
                    <w:t>总投资</w:t>
                  </w:r>
                </w:p>
              </w:tc>
              <w:tc>
                <w:tcPr>
                  <w:tcW w:w="1733" w:type="dxa"/>
                  <w:tcBorders>
                    <w:tl2br w:val="nil"/>
                    <w:tr2bl w:val="nil"/>
                  </w:tcBorders>
                  <w:noWrap w:val="0"/>
                  <w:vAlign w:val="center"/>
                </w:tcPr>
                <w:p w14:paraId="775BE795">
                  <w:pPr>
                    <w:keepNext w:val="0"/>
                    <w:keepLines w:val="0"/>
                    <w:pageBreakBefore w:val="0"/>
                    <w:widowControl w:val="0"/>
                    <w:tabs>
                      <w:tab w:val="left" w:pos="3555"/>
                    </w:tabs>
                    <w:kinsoku/>
                    <w:wordWrap/>
                    <w:overflowPunct/>
                    <w:topLinePunct w:val="0"/>
                    <w:autoSpaceDE/>
                    <w:autoSpaceDN/>
                    <w:bidi w:val="0"/>
                    <w:adjustRightInd/>
                    <w:snapToGrid/>
                    <w:spacing w:line="240" w:lineRule="auto"/>
                    <w:jc w:val="center"/>
                    <w:textAlignment w:val="auto"/>
                    <w:rPr>
                      <w:rFonts w:hint="default"/>
                      <w:color w:val="auto"/>
                      <w:lang w:val="en-US" w:eastAsia="zh-CN"/>
                    </w:rPr>
                  </w:pPr>
                  <w:r>
                    <w:rPr>
                      <w:rFonts w:hint="eastAsia"/>
                      <w:color w:val="auto"/>
                      <w:lang w:val="en-US" w:eastAsia="zh-CN"/>
                    </w:rPr>
                    <w:t>21</w:t>
                  </w:r>
                </w:p>
              </w:tc>
            </w:tr>
          </w:tbl>
          <w:p w14:paraId="7E801C2C">
            <w:pPr>
              <w:pStyle w:val="71"/>
              <w:bidi w:val="0"/>
              <w:ind w:left="0" w:leftChars="0" w:firstLine="480" w:firstLineChars="200"/>
              <w:rPr>
                <w:rFonts w:hint="eastAsia"/>
                <w:b/>
                <w:bCs/>
                <w:color w:val="auto"/>
                <w:lang w:val="en-US" w:eastAsia="zh-CN"/>
              </w:rPr>
            </w:pPr>
            <w:r>
              <w:rPr>
                <w:rFonts w:hint="eastAsia"/>
                <w:b/>
                <w:bCs/>
                <w:color w:val="auto"/>
                <w:lang w:eastAsia="zh-CN"/>
              </w:rPr>
              <w:t>（</w:t>
            </w:r>
            <w:r>
              <w:rPr>
                <w:rFonts w:hint="eastAsia"/>
                <w:b/>
                <w:bCs/>
                <w:color w:val="auto"/>
                <w:lang w:val="en-US" w:eastAsia="zh-CN"/>
              </w:rPr>
              <w:t>八</w:t>
            </w:r>
            <w:r>
              <w:rPr>
                <w:rFonts w:hint="eastAsia"/>
                <w:b/>
                <w:bCs/>
                <w:color w:val="auto"/>
                <w:lang w:eastAsia="zh-CN"/>
              </w:rPr>
              <w:t>）</w:t>
            </w:r>
            <w:r>
              <w:rPr>
                <w:rFonts w:hint="eastAsia"/>
                <w:b/>
                <w:bCs/>
                <w:color w:val="auto"/>
                <w:lang w:val="en-US" w:eastAsia="zh-CN"/>
              </w:rPr>
              <w:t>“三同时”验收清单</w:t>
            </w:r>
          </w:p>
          <w:p w14:paraId="546CF3D0">
            <w:pPr>
              <w:pStyle w:val="71"/>
              <w:bidi w:val="0"/>
              <w:rPr>
                <w:rFonts w:hint="eastAsia"/>
                <w:color w:val="auto"/>
                <w:lang w:val="en-US" w:eastAsia="zh-CN"/>
              </w:rPr>
            </w:pPr>
            <w:r>
              <w:rPr>
                <w:rFonts w:hint="eastAsia"/>
                <w:color w:val="auto"/>
                <w:lang w:val="en-US" w:eastAsia="zh-CN"/>
              </w:rPr>
              <w:t>本项目的环保设施验收清单见下表：</w:t>
            </w:r>
          </w:p>
          <w:p w14:paraId="7A30F0BD">
            <w:pPr>
              <w:pStyle w:val="10"/>
              <w:bidi w:val="0"/>
              <w:rPr>
                <w:color w:val="auto"/>
              </w:rPr>
            </w:pPr>
            <w:r>
              <w:rPr>
                <w:color w:val="auto"/>
              </w:rPr>
              <w:t>表</w:t>
            </w:r>
            <w:r>
              <w:rPr>
                <w:rFonts w:hint="eastAsia"/>
                <w:color w:val="auto"/>
                <w:lang w:val="en-US" w:eastAsia="zh-CN"/>
              </w:rPr>
              <w:t>4-14</w:t>
            </w:r>
            <w:r>
              <w:rPr>
                <w:color w:val="auto"/>
              </w:rPr>
              <w:t>环保设施“三同时”竣工验收一览表</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455"/>
              <w:gridCol w:w="2088"/>
              <w:gridCol w:w="3860"/>
              <w:gridCol w:w="729"/>
            </w:tblGrid>
            <w:tr w14:paraId="0A4FF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311" w:type="pct"/>
                  <w:tcBorders>
                    <w:tl2br w:val="nil"/>
                    <w:tr2bl w:val="nil"/>
                  </w:tcBorders>
                  <w:noWrap w:val="0"/>
                  <w:vAlign w:val="center"/>
                </w:tcPr>
                <w:p w14:paraId="40CD54CB">
                  <w:pPr>
                    <w:spacing w:line="312" w:lineRule="auto"/>
                    <w:ind w:left="51" w:right="51"/>
                    <w:jc w:val="center"/>
                    <w:rPr>
                      <w:b/>
                      <w:bCs/>
                      <w:color w:val="auto"/>
                    </w:rPr>
                  </w:pPr>
                  <w:r>
                    <w:rPr>
                      <w:b/>
                      <w:bCs/>
                      <w:color w:val="auto"/>
                    </w:rPr>
                    <w:t>类别</w:t>
                  </w:r>
                </w:p>
              </w:tc>
              <w:tc>
                <w:tcPr>
                  <w:tcW w:w="838" w:type="pct"/>
                  <w:tcBorders>
                    <w:tl2br w:val="nil"/>
                    <w:tr2bl w:val="nil"/>
                  </w:tcBorders>
                  <w:noWrap w:val="0"/>
                  <w:vAlign w:val="center"/>
                </w:tcPr>
                <w:p w14:paraId="4D0426C4">
                  <w:pPr>
                    <w:spacing w:line="312" w:lineRule="auto"/>
                    <w:ind w:left="51" w:right="51"/>
                    <w:jc w:val="center"/>
                    <w:rPr>
                      <w:b/>
                      <w:bCs/>
                      <w:color w:val="auto"/>
                    </w:rPr>
                  </w:pPr>
                  <w:r>
                    <w:rPr>
                      <w:b/>
                      <w:bCs/>
                      <w:color w:val="auto"/>
                    </w:rPr>
                    <w:t>污染源</w:t>
                  </w:r>
                </w:p>
              </w:tc>
              <w:tc>
                <w:tcPr>
                  <w:tcW w:w="1203" w:type="pct"/>
                  <w:tcBorders>
                    <w:tl2br w:val="nil"/>
                    <w:tr2bl w:val="nil"/>
                  </w:tcBorders>
                  <w:noWrap w:val="0"/>
                  <w:vAlign w:val="center"/>
                </w:tcPr>
                <w:p w14:paraId="5A6BEBEC">
                  <w:pPr>
                    <w:spacing w:line="312" w:lineRule="auto"/>
                    <w:ind w:left="51" w:right="51"/>
                    <w:jc w:val="center"/>
                    <w:rPr>
                      <w:b/>
                      <w:bCs/>
                      <w:color w:val="auto"/>
                    </w:rPr>
                  </w:pPr>
                  <w:r>
                    <w:rPr>
                      <w:b/>
                      <w:bCs/>
                      <w:color w:val="auto"/>
                    </w:rPr>
                    <w:t>治理措施</w:t>
                  </w:r>
                </w:p>
              </w:tc>
              <w:tc>
                <w:tcPr>
                  <w:tcW w:w="2225" w:type="pct"/>
                  <w:tcBorders>
                    <w:tl2br w:val="nil"/>
                    <w:tr2bl w:val="nil"/>
                  </w:tcBorders>
                  <w:noWrap w:val="0"/>
                  <w:vAlign w:val="center"/>
                </w:tcPr>
                <w:p w14:paraId="3A55F2D5">
                  <w:pPr>
                    <w:spacing w:line="312" w:lineRule="auto"/>
                    <w:ind w:left="51" w:right="51"/>
                    <w:jc w:val="center"/>
                    <w:rPr>
                      <w:b/>
                      <w:bCs/>
                      <w:color w:val="auto"/>
                    </w:rPr>
                  </w:pPr>
                </w:p>
                <w:p w14:paraId="115D36BF">
                  <w:pPr>
                    <w:spacing w:line="312" w:lineRule="auto"/>
                    <w:ind w:left="51" w:right="51"/>
                    <w:jc w:val="center"/>
                    <w:rPr>
                      <w:b/>
                      <w:bCs/>
                      <w:color w:val="auto"/>
                    </w:rPr>
                  </w:pPr>
                  <w:r>
                    <w:rPr>
                      <w:b/>
                      <w:bCs/>
                      <w:color w:val="auto"/>
                    </w:rPr>
                    <w:t>验收标准及要求</w:t>
                  </w:r>
                </w:p>
              </w:tc>
              <w:tc>
                <w:tcPr>
                  <w:tcW w:w="420" w:type="pct"/>
                  <w:tcBorders>
                    <w:tl2br w:val="nil"/>
                    <w:tr2bl w:val="nil"/>
                  </w:tcBorders>
                  <w:noWrap w:val="0"/>
                  <w:vAlign w:val="center"/>
                </w:tcPr>
                <w:p w14:paraId="1CB93446">
                  <w:pPr>
                    <w:spacing w:line="312" w:lineRule="auto"/>
                    <w:ind w:left="51" w:right="51"/>
                    <w:jc w:val="center"/>
                    <w:rPr>
                      <w:rFonts w:hint="default" w:eastAsia="宋体"/>
                      <w:b/>
                      <w:bCs/>
                      <w:color w:val="auto"/>
                      <w:lang w:val="en-US" w:eastAsia="zh-CN"/>
                    </w:rPr>
                  </w:pPr>
                  <w:r>
                    <w:rPr>
                      <w:rFonts w:hint="eastAsia" w:eastAsia="宋体"/>
                      <w:b/>
                      <w:bCs/>
                      <w:color w:val="auto"/>
                      <w:lang w:val="en-US" w:eastAsia="zh-CN"/>
                    </w:rPr>
                    <w:t>完成时间</w:t>
                  </w:r>
                </w:p>
              </w:tc>
            </w:tr>
            <w:tr w14:paraId="6BF2F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8" w:hRule="atLeast"/>
                <w:tblHeader/>
                <w:jc w:val="center"/>
              </w:trPr>
              <w:tc>
                <w:tcPr>
                  <w:tcW w:w="311" w:type="pct"/>
                  <w:vMerge w:val="restart"/>
                  <w:tcBorders>
                    <w:tl2br w:val="nil"/>
                    <w:tr2bl w:val="nil"/>
                  </w:tcBorders>
                  <w:noWrap w:val="0"/>
                  <w:vAlign w:val="center"/>
                </w:tcPr>
                <w:p w14:paraId="513F5A48">
                  <w:pPr>
                    <w:pStyle w:val="66"/>
                    <w:bidi w:val="0"/>
                    <w:rPr>
                      <w:color w:val="auto"/>
                    </w:rPr>
                  </w:pPr>
                  <w:r>
                    <w:rPr>
                      <w:color w:val="auto"/>
                    </w:rPr>
                    <w:t>废气</w:t>
                  </w:r>
                </w:p>
              </w:tc>
              <w:tc>
                <w:tcPr>
                  <w:tcW w:w="838" w:type="pct"/>
                  <w:tcBorders>
                    <w:tl2br w:val="nil"/>
                    <w:tr2bl w:val="nil"/>
                  </w:tcBorders>
                  <w:noWrap w:val="0"/>
                  <w:vAlign w:val="center"/>
                </w:tcPr>
                <w:p w14:paraId="516AF33B">
                  <w:pPr>
                    <w:pStyle w:val="66"/>
                    <w:bidi w:val="0"/>
                    <w:rPr>
                      <w:rFonts w:hint="default" w:eastAsia="宋体"/>
                      <w:color w:val="auto"/>
                      <w:lang w:val="en-US" w:eastAsia="zh-CN"/>
                    </w:rPr>
                  </w:pPr>
                  <w:r>
                    <w:rPr>
                      <w:rFonts w:hint="eastAsia"/>
                      <w:color w:val="auto"/>
                      <w:lang w:bidi="ar"/>
                    </w:rPr>
                    <w:t>逸散废气、充装泄露废气</w:t>
                  </w:r>
                  <w:r>
                    <w:rPr>
                      <w:rFonts w:hint="default" w:eastAsia="宋体"/>
                      <w:color w:val="auto"/>
                      <w:lang w:val="en-US" w:eastAsia="zh-CN"/>
                    </w:rPr>
                    <w:t>、</w:t>
                  </w:r>
                  <w:r>
                    <w:rPr>
                      <w:rFonts w:hint="eastAsia"/>
                      <w:color w:val="auto"/>
                      <w:lang w:val="en-US" w:eastAsia="zh-CN"/>
                    </w:rPr>
                    <w:t>备用柴油</w:t>
                  </w:r>
                  <w:r>
                    <w:rPr>
                      <w:rFonts w:hint="default" w:eastAsia="宋体"/>
                      <w:color w:val="auto"/>
                      <w:lang w:val="en-US" w:eastAsia="zh-CN"/>
                    </w:rPr>
                    <w:t>发电机废气</w:t>
                  </w:r>
                </w:p>
              </w:tc>
              <w:tc>
                <w:tcPr>
                  <w:tcW w:w="1203" w:type="pct"/>
                  <w:tcBorders>
                    <w:tl2br w:val="nil"/>
                    <w:tr2bl w:val="nil"/>
                  </w:tcBorders>
                  <w:noWrap w:val="0"/>
                  <w:vAlign w:val="center"/>
                </w:tcPr>
                <w:p w14:paraId="48BB0706">
                  <w:pPr>
                    <w:pStyle w:val="66"/>
                    <w:bidi w:val="0"/>
                    <w:rPr>
                      <w:rFonts w:hint="default" w:eastAsia="宋体"/>
                      <w:color w:val="auto"/>
                      <w:lang w:val="en-US" w:eastAsia="zh-CN"/>
                    </w:rPr>
                  </w:pPr>
                  <w:r>
                    <w:rPr>
                      <w:rFonts w:hint="default" w:ascii="Times New Roman" w:hAnsi="Times New Roman" w:cs="Times New Roman"/>
                      <w:color w:val="auto"/>
                      <w:szCs w:val="21"/>
                      <w:lang w:eastAsia="zh-CN"/>
                    </w:rPr>
                    <w:t>设备动静密封点设备密封圈、密封阀门等气密结构、气密措施、加强自然通风</w:t>
                  </w:r>
                </w:p>
              </w:tc>
              <w:tc>
                <w:tcPr>
                  <w:tcW w:w="2225" w:type="pct"/>
                  <w:tcBorders>
                    <w:tl2br w:val="nil"/>
                    <w:tr2bl w:val="nil"/>
                  </w:tcBorders>
                  <w:noWrap w:val="0"/>
                  <w:vAlign w:val="center"/>
                </w:tcPr>
                <w:p w14:paraId="05141A80">
                  <w:pPr>
                    <w:pStyle w:val="66"/>
                    <w:bidi w:val="0"/>
                    <w:rPr>
                      <w:rFonts w:hint="eastAsia" w:eastAsia="宋体"/>
                      <w:color w:val="auto"/>
                      <w:lang w:eastAsia="zh-CN"/>
                    </w:rPr>
                  </w:pPr>
                  <w:r>
                    <w:rPr>
                      <w:rFonts w:hint="eastAsia" w:ascii="Times New Roman" w:hAnsi="Times New Roman" w:eastAsia="宋体" w:cs="Times New Roman"/>
                      <w:color w:val="auto"/>
                      <w:lang w:val="en-US" w:eastAsia="zh-CN"/>
                    </w:rPr>
                    <w:t>《大气污染物综合排放标准》（GB16297-1996）；《挥发性有机物无组织排放控制标准》（GB37822-2019）</w:t>
                  </w:r>
                  <w:r>
                    <w:rPr>
                      <w:rFonts w:hint="eastAsia" w:cs="Times New Roman"/>
                      <w:color w:val="auto"/>
                      <w:lang w:val="en-US" w:eastAsia="zh-CN"/>
                    </w:rPr>
                    <w:t>；《非道路移动机械用柴油机排气污染物排放限值及测量方法（中国第三、四阶段）》（GB20891-2014）</w:t>
                  </w:r>
                </w:p>
              </w:tc>
              <w:tc>
                <w:tcPr>
                  <w:tcW w:w="420" w:type="pct"/>
                  <w:vMerge w:val="restart"/>
                  <w:tcBorders>
                    <w:tl2br w:val="nil"/>
                    <w:tr2bl w:val="nil"/>
                  </w:tcBorders>
                  <w:noWrap w:val="0"/>
                  <w:vAlign w:val="center"/>
                </w:tcPr>
                <w:p w14:paraId="2BBAA05C">
                  <w:pPr>
                    <w:pStyle w:val="66"/>
                    <w:bidi w:val="0"/>
                    <w:rPr>
                      <w:b/>
                      <w:bCs/>
                      <w:color w:val="auto"/>
                    </w:rPr>
                  </w:pPr>
                  <w:r>
                    <w:rPr>
                      <w:rFonts w:hint="eastAsia"/>
                      <w:color w:val="auto"/>
                    </w:rPr>
                    <w:t>与相应生产设备安装同步完成</w:t>
                  </w:r>
                </w:p>
              </w:tc>
            </w:tr>
            <w:tr w14:paraId="6DA2B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38" w:hRule="atLeast"/>
                <w:tblHeader/>
                <w:jc w:val="center"/>
              </w:trPr>
              <w:tc>
                <w:tcPr>
                  <w:tcW w:w="311" w:type="pct"/>
                  <w:vMerge w:val="continue"/>
                  <w:tcBorders>
                    <w:tl2br w:val="nil"/>
                    <w:tr2bl w:val="nil"/>
                  </w:tcBorders>
                  <w:noWrap w:val="0"/>
                  <w:vAlign w:val="center"/>
                </w:tcPr>
                <w:p w14:paraId="7AFD9F60">
                  <w:pPr>
                    <w:pStyle w:val="66"/>
                    <w:bidi w:val="0"/>
                    <w:rPr>
                      <w:color w:val="auto"/>
                    </w:rPr>
                  </w:pPr>
                </w:p>
              </w:tc>
              <w:tc>
                <w:tcPr>
                  <w:tcW w:w="838" w:type="pct"/>
                  <w:tcBorders>
                    <w:tl2br w:val="nil"/>
                    <w:tr2bl w:val="nil"/>
                  </w:tcBorders>
                  <w:noWrap w:val="0"/>
                  <w:vAlign w:val="center"/>
                </w:tcPr>
                <w:p w14:paraId="44A4C9B4">
                  <w:pPr>
                    <w:pStyle w:val="66"/>
                    <w:bidi w:val="0"/>
                    <w:rPr>
                      <w:rFonts w:hint="default" w:eastAsia="宋体"/>
                      <w:color w:val="auto"/>
                      <w:lang w:val="en-US" w:eastAsia="zh-CN"/>
                    </w:rPr>
                  </w:pPr>
                  <w:r>
                    <w:rPr>
                      <w:rFonts w:hint="default" w:eastAsia="宋体"/>
                      <w:color w:val="auto"/>
                      <w:lang w:val="en-US" w:eastAsia="zh-CN"/>
                    </w:rPr>
                    <w:t>食堂油烟</w:t>
                  </w:r>
                </w:p>
              </w:tc>
              <w:tc>
                <w:tcPr>
                  <w:tcW w:w="1203" w:type="pct"/>
                  <w:tcBorders>
                    <w:tl2br w:val="nil"/>
                    <w:tr2bl w:val="nil"/>
                  </w:tcBorders>
                  <w:noWrap w:val="0"/>
                  <w:vAlign w:val="center"/>
                </w:tcPr>
                <w:p w14:paraId="181E06B5">
                  <w:pPr>
                    <w:pStyle w:val="66"/>
                    <w:bidi w:val="0"/>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油烟净化设施</w:t>
                  </w:r>
                </w:p>
              </w:tc>
              <w:tc>
                <w:tcPr>
                  <w:tcW w:w="2225" w:type="pct"/>
                  <w:tcBorders>
                    <w:tl2br w:val="nil"/>
                    <w:tr2bl w:val="nil"/>
                  </w:tcBorders>
                  <w:noWrap w:val="0"/>
                  <w:vAlign w:val="center"/>
                </w:tcPr>
                <w:p w14:paraId="09C66504">
                  <w:pPr>
                    <w:pStyle w:val="66"/>
                    <w:bidi w:val="0"/>
                    <w:rPr>
                      <w:rFonts w:hint="eastAsia"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《饮食业油烟排放标准》（</w:t>
                  </w:r>
                  <w:r>
                    <w:rPr>
                      <w:rFonts w:hint="default" w:ascii="Times New Roman" w:hAnsi="Times New Roman" w:eastAsia="宋体" w:cs="Times New Roman"/>
                      <w:i w:val="0"/>
                      <w:iCs w:val="0"/>
                      <w:color w:val="auto"/>
                      <w:kern w:val="0"/>
                      <w:sz w:val="21"/>
                      <w:szCs w:val="21"/>
                      <w:u w:val="none"/>
                      <w:lang w:val="en-US" w:eastAsia="zh-CN" w:bidi="ar"/>
                    </w:rPr>
                    <w:t>GB18483-2001</w:t>
                  </w:r>
                  <w:r>
                    <w:rPr>
                      <w:rFonts w:hint="eastAsia" w:ascii="宋体" w:hAnsi="宋体" w:eastAsia="宋体" w:cs="宋体"/>
                      <w:i w:val="0"/>
                      <w:iCs w:val="0"/>
                      <w:color w:val="auto"/>
                      <w:kern w:val="0"/>
                      <w:sz w:val="21"/>
                      <w:szCs w:val="21"/>
                      <w:u w:val="none"/>
                      <w:lang w:val="en-US" w:eastAsia="zh-CN" w:bidi="ar"/>
                    </w:rPr>
                    <w:t>）</w:t>
                  </w:r>
                </w:p>
              </w:tc>
              <w:tc>
                <w:tcPr>
                  <w:tcW w:w="420" w:type="pct"/>
                  <w:vMerge w:val="continue"/>
                  <w:tcBorders>
                    <w:tl2br w:val="nil"/>
                    <w:tr2bl w:val="nil"/>
                  </w:tcBorders>
                  <w:noWrap w:val="0"/>
                  <w:vAlign w:val="center"/>
                </w:tcPr>
                <w:p w14:paraId="1BDB8A7B">
                  <w:pPr>
                    <w:pStyle w:val="66"/>
                    <w:bidi w:val="0"/>
                    <w:rPr>
                      <w:rFonts w:hint="eastAsia"/>
                      <w:color w:val="auto"/>
                    </w:rPr>
                  </w:pPr>
                </w:p>
              </w:tc>
            </w:tr>
            <w:tr w14:paraId="44E5E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1" w:type="pct"/>
                  <w:tcBorders>
                    <w:tl2br w:val="nil"/>
                    <w:tr2bl w:val="nil"/>
                  </w:tcBorders>
                  <w:noWrap w:val="0"/>
                  <w:vAlign w:val="center"/>
                </w:tcPr>
                <w:p w14:paraId="7638A4E9">
                  <w:pPr>
                    <w:pStyle w:val="66"/>
                    <w:bidi w:val="0"/>
                    <w:rPr>
                      <w:color w:val="auto"/>
                    </w:rPr>
                  </w:pPr>
                  <w:r>
                    <w:rPr>
                      <w:color w:val="auto"/>
                    </w:rPr>
                    <w:t>废水</w:t>
                  </w:r>
                </w:p>
              </w:tc>
              <w:tc>
                <w:tcPr>
                  <w:tcW w:w="838" w:type="pct"/>
                  <w:tcBorders>
                    <w:tl2br w:val="nil"/>
                    <w:tr2bl w:val="nil"/>
                  </w:tcBorders>
                  <w:noWrap w:val="0"/>
                  <w:vAlign w:val="center"/>
                </w:tcPr>
                <w:p w14:paraId="6CD5B820">
                  <w:pPr>
                    <w:pStyle w:val="66"/>
                    <w:bidi w:val="0"/>
                    <w:rPr>
                      <w:color w:val="auto"/>
                    </w:rPr>
                  </w:pPr>
                  <w:r>
                    <w:rPr>
                      <w:color w:val="auto"/>
                    </w:rPr>
                    <w:t>生活污水</w:t>
                  </w:r>
                </w:p>
              </w:tc>
              <w:tc>
                <w:tcPr>
                  <w:tcW w:w="1203" w:type="pct"/>
                  <w:tcBorders>
                    <w:tl2br w:val="nil"/>
                    <w:tr2bl w:val="nil"/>
                  </w:tcBorders>
                  <w:noWrap w:val="0"/>
                  <w:vAlign w:val="center"/>
                </w:tcPr>
                <w:p w14:paraId="2C5D9A3D">
                  <w:pPr>
                    <w:pStyle w:val="66"/>
                    <w:bidi w:val="0"/>
                    <w:ind w:left="18" w:leftChars="9" w:right="18" w:rightChars="9"/>
                    <w:rPr>
                      <w:rFonts w:hint="default" w:eastAsia="宋体"/>
                      <w:color w:val="auto"/>
                      <w:lang w:val="en-US" w:eastAsia="zh-CN"/>
                    </w:rPr>
                  </w:pPr>
                  <w:r>
                    <w:rPr>
                      <w:rFonts w:hint="eastAsia"/>
                      <w:color w:val="auto"/>
                      <w:lang w:val="en-US" w:eastAsia="zh-CN"/>
                    </w:rPr>
                    <w:t>隔油池+三级化粪池处理后用作农家肥，不外排</w:t>
                  </w:r>
                </w:p>
              </w:tc>
              <w:tc>
                <w:tcPr>
                  <w:tcW w:w="2225" w:type="pct"/>
                  <w:tcBorders>
                    <w:tl2br w:val="nil"/>
                    <w:tr2bl w:val="nil"/>
                  </w:tcBorders>
                  <w:noWrap w:val="0"/>
                  <w:vAlign w:val="center"/>
                </w:tcPr>
                <w:p w14:paraId="29697F20">
                  <w:pPr>
                    <w:pStyle w:val="66"/>
                    <w:bidi w:val="0"/>
                    <w:rPr>
                      <w:rFonts w:hint="eastAsia" w:eastAsia="宋体"/>
                      <w:color w:val="auto"/>
                      <w:lang w:val="en-US" w:eastAsia="zh-CN"/>
                    </w:rPr>
                  </w:pPr>
                  <w:r>
                    <w:rPr>
                      <w:rFonts w:hint="eastAsia"/>
                      <w:color w:val="auto"/>
                      <w:lang w:val="en-US" w:eastAsia="zh-CN"/>
                    </w:rPr>
                    <w:t>/</w:t>
                  </w:r>
                </w:p>
              </w:tc>
              <w:tc>
                <w:tcPr>
                  <w:tcW w:w="420" w:type="pct"/>
                  <w:vMerge w:val="continue"/>
                  <w:tcBorders>
                    <w:tl2br w:val="nil"/>
                    <w:tr2bl w:val="nil"/>
                  </w:tcBorders>
                  <w:noWrap w:val="0"/>
                  <w:vAlign w:val="center"/>
                </w:tcPr>
                <w:p w14:paraId="1E8D1F83">
                  <w:pPr>
                    <w:jc w:val="center"/>
                    <w:rPr>
                      <w:color w:val="auto"/>
                    </w:rPr>
                  </w:pPr>
                </w:p>
              </w:tc>
            </w:tr>
            <w:tr w14:paraId="316AF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1" w:type="pct"/>
                  <w:tcBorders>
                    <w:tl2br w:val="nil"/>
                    <w:tr2bl w:val="nil"/>
                  </w:tcBorders>
                  <w:noWrap w:val="0"/>
                  <w:vAlign w:val="center"/>
                </w:tcPr>
                <w:p w14:paraId="7E6DC5FE">
                  <w:pPr>
                    <w:pStyle w:val="66"/>
                    <w:bidi w:val="0"/>
                    <w:rPr>
                      <w:color w:val="auto"/>
                    </w:rPr>
                  </w:pPr>
                  <w:r>
                    <w:rPr>
                      <w:color w:val="auto"/>
                    </w:rPr>
                    <w:t>噪声</w:t>
                  </w:r>
                </w:p>
              </w:tc>
              <w:tc>
                <w:tcPr>
                  <w:tcW w:w="838" w:type="pct"/>
                  <w:tcBorders>
                    <w:tl2br w:val="nil"/>
                    <w:tr2bl w:val="nil"/>
                  </w:tcBorders>
                  <w:noWrap w:val="0"/>
                  <w:vAlign w:val="center"/>
                </w:tcPr>
                <w:p w14:paraId="03CCE634">
                  <w:pPr>
                    <w:pStyle w:val="66"/>
                    <w:bidi w:val="0"/>
                    <w:rPr>
                      <w:color w:val="auto"/>
                    </w:rPr>
                  </w:pPr>
                  <w:r>
                    <w:rPr>
                      <w:rFonts w:hint="eastAsia"/>
                      <w:color w:val="auto"/>
                    </w:rPr>
                    <w:t>厂界噪声</w:t>
                  </w:r>
                </w:p>
              </w:tc>
              <w:tc>
                <w:tcPr>
                  <w:tcW w:w="1203" w:type="pct"/>
                  <w:tcBorders>
                    <w:tl2br w:val="nil"/>
                    <w:tr2bl w:val="nil"/>
                  </w:tcBorders>
                  <w:noWrap w:val="0"/>
                  <w:vAlign w:val="center"/>
                </w:tcPr>
                <w:p w14:paraId="61C64E10">
                  <w:pPr>
                    <w:pStyle w:val="66"/>
                    <w:bidi w:val="0"/>
                    <w:rPr>
                      <w:color w:val="auto"/>
                    </w:rPr>
                  </w:pPr>
                  <w:r>
                    <w:rPr>
                      <w:rFonts w:hint="eastAsia"/>
                      <w:color w:val="auto"/>
                    </w:rPr>
                    <w:t>隔声、降噪、合理布置厂区位置</w:t>
                  </w:r>
                </w:p>
              </w:tc>
              <w:tc>
                <w:tcPr>
                  <w:tcW w:w="2225" w:type="pct"/>
                  <w:tcBorders>
                    <w:tl2br w:val="nil"/>
                    <w:tr2bl w:val="nil"/>
                  </w:tcBorders>
                  <w:noWrap w:val="0"/>
                  <w:vAlign w:val="center"/>
                </w:tcPr>
                <w:p w14:paraId="338718A5">
                  <w:pPr>
                    <w:pStyle w:val="66"/>
                    <w:bidi w:val="0"/>
                    <w:rPr>
                      <w:color w:val="auto"/>
                    </w:rPr>
                  </w:pPr>
                  <w:r>
                    <w:rPr>
                      <w:rFonts w:hint="eastAsia"/>
                      <w:color w:val="auto"/>
                      <w:lang w:val="en-US" w:eastAsia="zh-CN"/>
                    </w:rPr>
                    <w:t>执行</w:t>
                  </w:r>
                  <w:r>
                    <w:rPr>
                      <w:color w:val="auto"/>
                    </w:rPr>
                    <w:t>《工业企业厂界环境噪声排放标准》（GB12348-2008）中的</w:t>
                  </w:r>
                  <w:r>
                    <w:rPr>
                      <w:rFonts w:hint="eastAsia"/>
                      <w:color w:val="auto"/>
                      <w:lang w:val="en-US" w:eastAsia="zh-CN"/>
                    </w:rPr>
                    <w:t>2</w:t>
                  </w:r>
                  <w:r>
                    <w:rPr>
                      <w:color w:val="auto"/>
                    </w:rPr>
                    <w:t>类</w:t>
                  </w:r>
                  <w:r>
                    <w:rPr>
                      <w:rFonts w:hint="eastAsia"/>
                      <w:color w:val="auto"/>
                      <w:lang w:eastAsia="zh-CN"/>
                    </w:rPr>
                    <w:t>、</w:t>
                  </w:r>
                  <w:r>
                    <w:rPr>
                      <w:rFonts w:hint="eastAsia"/>
                      <w:color w:val="auto"/>
                      <w:lang w:val="en-US" w:eastAsia="zh-CN"/>
                    </w:rPr>
                    <w:t>4类</w:t>
                  </w:r>
                  <w:r>
                    <w:rPr>
                      <w:color w:val="auto"/>
                    </w:rPr>
                    <w:t>标准噪声限值</w:t>
                  </w:r>
                </w:p>
              </w:tc>
              <w:tc>
                <w:tcPr>
                  <w:tcW w:w="420" w:type="pct"/>
                  <w:vMerge w:val="continue"/>
                  <w:tcBorders>
                    <w:tl2br w:val="nil"/>
                    <w:tr2bl w:val="nil"/>
                  </w:tcBorders>
                  <w:noWrap w:val="0"/>
                  <w:vAlign w:val="center"/>
                </w:tcPr>
                <w:p w14:paraId="7C95FADE">
                  <w:pPr>
                    <w:rPr>
                      <w:color w:val="auto"/>
                    </w:rPr>
                  </w:pPr>
                </w:p>
              </w:tc>
            </w:tr>
            <w:tr w14:paraId="68F90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blHeader/>
                <w:jc w:val="center"/>
              </w:trPr>
              <w:tc>
                <w:tcPr>
                  <w:tcW w:w="311" w:type="pct"/>
                  <w:vMerge w:val="restart"/>
                  <w:tcBorders>
                    <w:tl2br w:val="nil"/>
                    <w:tr2bl w:val="nil"/>
                  </w:tcBorders>
                  <w:noWrap w:val="0"/>
                  <w:vAlign w:val="center"/>
                </w:tcPr>
                <w:p w14:paraId="5DD405FC">
                  <w:pPr>
                    <w:pStyle w:val="66"/>
                    <w:bidi w:val="0"/>
                    <w:rPr>
                      <w:color w:val="auto"/>
                    </w:rPr>
                  </w:pPr>
                  <w:r>
                    <w:rPr>
                      <w:color w:val="auto"/>
                    </w:rPr>
                    <w:t>固废</w:t>
                  </w:r>
                </w:p>
              </w:tc>
              <w:tc>
                <w:tcPr>
                  <w:tcW w:w="838" w:type="pct"/>
                  <w:tcBorders>
                    <w:tl2br w:val="nil"/>
                    <w:tr2bl w:val="nil"/>
                  </w:tcBorders>
                  <w:noWrap w:val="0"/>
                  <w:vAlign w:val="center"/>
                </w:tcPr>
                <w:p w14:paraId="3E38A07A">
                  <w:pPr>
                    <w:adjustRightInd w:val="0"/>
                    <w:snapToGrid w:val="0"/>
                    <w:jc w:val="center"/>
                    <w:rPr>
                      <w:rFonts w:hint="eastAsia" w:eastAsia="宋体"/>
                      <w:color w:val="auto"/>
                      <w:sz w:val="21"/>
                      <w:szCs w:val="21"/>
                      <w:lang w:val="en-US" w:eastAsia="zh-CN"/>
                    </w:rPr>
                  </w:pPr>
                  <w:r>
                    <w:rPr>
                      <w:rFonts w:hint="eastAsia" w:ascii="Times New Roman" w:hAnsi="Times New Roman" w:cs="Times New Roman"/>
                      <w:color w:val="auto"/>
                      <w:sz w:val="21"/>
                      <w:szCs w:val="21"/>
                      <w:lang w:val="en-US" w:eastAsia="zh-CN"/>
                    </w:rPr>
                    <w:t>不合格钢瓶</w:t>
                  </w:r>
                </w:p>
              </w:tc>
              <w:tc>
                <w:tcPr>
                  <w:tcW w:w="1203" w:type="pct"/>
                  <w:tcBorders>
                    <w:tl2br w:val="nil"/>
                    <w:tr2bl w:val="nil"/>
                  </w:tcBorders>
                  <w:noWrap w:val="0"/>
                  <w:vAlign w:val="center"/>
                </w:tcPr>
                <w:p w14:paraId="37BFE48E">
                  <w:pPr>
                    <w:adjustRightInd w:val="0"/>
                    <w:snapToGrid w:val="0"/>
                    <w:jc w:val="center"/>
                    <w:rPr>
                      <w:rFonts w:hint="default" w:eastAsia="宋体"/>
                      <w:color w:val="auto"/>
                      <w:sz w:val="21"/>
                      <w:szCs w:val="21"/>
                      <w:lang w:val="en-US" w:eastAsia="zh-CN"/>
                    </w:rPr>
                  </w:pPr>
                  <w:r>
                    <w:rPr>
                      <w:rFonts w:hint="eastAsia" w:ascii="Times New Roman" w:hAnsi="Times New Roman" w:cs="Times New Roman"/>
                      <w:color w:val="auto"/>
                      <w:sz w:val="21"/>
                      <w:szCs w:val="21"/>
                      <w:lang w:val="en-US" w:eastAsia="zh-CN"/>
                    </w:rPr>
                    <w:t>由检测中心定期回收</w:t>
                  </w:r>
                </w:p>
              </w:tc>
              <w:tc>
                <w:tcPr>
                  <w:tcW w:w="2225" w:type="pct"/>
                  <w:vMerge w:val="restart"/>
                  <w:tcBorders>
                    <w:tl2br w:val="nil"/>
                    <w:tr2bl w:val="nil"/>
                  </w:tcBorders>
                  <w:noWrap w:val="0"/>
                  <w:vAlign w:val="center"/>
                </w:tcPr>
                <w:p w14:paraId="1D688B55">
                  <w:pPr>
                    <w:pStyle w:val="66"/>
                    <w:bidi w:val="0"/>
                    <w:rPr>
                      <w:color w:val="auto"/>
                    </w:rPr>
                  </w:pPr>
                  <w:r>
                    <w:rPr>
                      <w:color w:val="auto"/>
                    </w:rPr>
                    <w:t>无害化、资源化、减量化</w:t>
                  </w:r>
                </w:p>
              </w:tc>
              <w:tc>
                <w:tcPr>
                  <w:tcW w:w="420" w:type="pct"/>
                  <w:vMerge w:val="continue"/>
                  <w:tcBorders>
                    <w:tl2br w:val="nil"/>
                    <w:tr2bl w:val="nil"/>
                  </w:tcBorders>
                  <w:noWrap w:val="0"/>
                  <w:vAlign w:val="center"/>
                </w:tcPr>
                <w:p w14:paraId="413C2242">
                  <w:pPr>
                    <w:jc w:val="center"/>
                    <w:rPr>
                      <w:color w:val="auto"/>
                    </w:rPr>
                  </w:pPr>
                </w:p>
              </w:tc>
            </w:tr>
            <w:tr w14:paraId="1A467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2" w:hRule="atLeast"/>
                <w:tblHeader/>
                <w:jc w:val="center"/>
              </w:trPr>
              <w:tc>
                <w:tcPr>
                  <w:tcW w:w="311" w:type="pct"/>
                  <w:vMerge w:val="continue"/>
                  <w:tcBorders>
                    <w:tl2br w:val="nil"/>
                    <w:tr2bl w:val="nil"/>
                  </w:tcBorders>
                  <w:noWrap w:val="0"/>
                  <w:vAlign w:val="center"/>
                </w:tcPr>
                <w:p w14:paraId="15D832C7">
                  <w:pPr>
                    <w:pStyle w:val="66"/>
                    <w:bidi w:val="0"/>
                    <w:rPr>
                      <w:color w:val="auto"/>
                    </w:rPr>
                  </w:pPr>
                </w:p>
              </w:tc>
              <w:tc>
                <w:tcPr>
                  <w:tcW w:w="838" w:type="pct"/>
                  <w:tcBorders>
                    <w:tl2br w:val="nil"/>
                    <w:tr2bl w:val="nil"/>
                  </w:tcBorders>
                  <w:noWrap w:val="0"/>
                  <w:vAlign w:val="center"/>
                </w:tcPr>
                <w:p w14:paraId="7E881DCD">
                  <w:pPr>
                    <w:adjustRightInd w:val="0"/>
                    <w:snapToGrid w:val="0"/>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残液</w:t>
                  </w:r>
                  <w:r>
                    <w:rPr>
                      <w:rFonts w:hint="eastAsia"/>
                      <w:color w:val="auto"/>
                      <w:lang w:eastAsia="zh-CN"/>
                    </w:rPr>
                    <w:t>、</w:t>
                  </w:r>
                  <w:r>
                    <w:rPr>
                      <w:rFonts w:hint="eastAsia"/>
                      <w:color w:val="auto"/>
                      <w:lang w:val="en-US" w:eastAsia="zh-CN"/>
                    </w:rPr>
                    <w:t>废机油、废含油抹布、</w:t>
                  </w:r>
                  <w:r>
                    <w:rPr>
                      <w:rFonts w:hint="eastAsia"/>
                      <w:color w:val="auto"/>
                      <w:lang w:eastAsia="zh-CN"/>
                    </w:rPr>
                    <w:t>废机油桶</w:t>
                  </w:r>
                </w:p>
              </w:tc>
              <w:tc>
                <w:tcPr>
                  <w:tcW w:w="1203" w:type="pct"/>
                  <w:tcBorders>
                    <w:tl2br w:val="nil"/>
                    <w:tr2bl w:val="nil"/>
                  </w:tcBorders>
                  <w:noWrap w:val="0"/>
                  <w:vAlign w:val="center"/>
                </w:tcPr>
                <w:p w14:paraId="773DA2AB">
                  <w:pPr>
                    <w:adjustRightInd w:val="0"/>
                    <w:snapToGrid w:val="0"/>
                    <w:jc w:val="center"/>
                    <w:rPr>
                      <w:rFonts w:hint="default"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定期</w:t>
                  </w:r>
                  <w:r>
                    <w:rPr>
                      <w:rFonts w:hint="eastAsia" w:cs="Times New Roman"/>
                      <w:color w:val="auto"/>
                      <w:sz w:val="21"/>
                      <w:szCs w:val="21"/>
                      <w:lang w:val="en-US" w:eastAsia="zh-CN"/>
                    </w:rPr>
                    <w:t>交由有资质单位处理</w:t>
                  </w:r>
                </w:p>
              </w:tc>
              <w:tc>
                <w:tcPr>
                  <w:tcW w:w="2225" w:type="pct"/>
                  <w:vMerge w:val="continue"/>
                  <w:tcBorders>
                    <w:tl2br w:val="nil"/>
                    <w:tr2bl w:val="nil"/>
                  </w:tcBorders>
                  <w:noWrap w:val="0"/>
                  <w:vAlign w:val="center"/>
                </w:tcPr>
                <w:p w14:paraId="26315FF3">
                  <w:pPr>
                    <w:pStyle w:val="66"/>
                    <w:bidi w:val="0"/>
                    <w:rPr>
                      <w:color w:val="auto"/>
                    </w:rPr>
                  </w:pPr>
                </w:p>
              </w:tc>
              <w:tc>
                <w:tcPr>
                  <w:tcW w:w="420" w:type="pct"/>
                  <w:vMerge w:val="continue"/>
                  <w:tcBorders>
                    <w:tl2br w:val="nil"/>
                    <w:tr2bl w:val="nil"/>
                  </w:tcBorders>
                  <w:noWrap w:val="0"/>
                  <w:vAlign w:val="center"/>
                </w:tcPr>
                <w:p w14:paraId="43C5CC95">
                  <w:pPr>
                    <w:jc w:val="center"/>
                    <w:rPr>
                      <w:color w:val="auto"/>
                    </w:rPr>
                  </w:pPr>
                </w:p>
              </w:tc>
            </w:tr>
            <w:tr w14:paraId="3EB66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1" w:type="pct"/>
                  <w:vMerge w:val="continue"/>
                  <w:tcBorders>
                    <w:tl2br w:val="nil"/>
                    <w:tr2bl w:val="nil"/>
                  </w:tcBorders>
                  <w:noWrap w:val="0"/>
                  <w:vAlign w:val="center"/>
                </w:tcPr>
                <w:p w14:paraId="026F0CC1">
                  <w:pPr>
                    <w:pStyle w:val="66"/>
                    <w:bidi w:val="0"/>
                    <w:rPr>
                      <w:color w:val="auto"/>
                    </w:rPr>
                  </w:pPr>
                </w:p>
              </w:tc>
              <w:tc>
                <w:tcPr>
                  <w:tcW w:w="838" w:type="pct"/>
                  <w:tcBorders>
                    <w:tl2br w:val="nil"/>
                    <w:tr2bl w:val="nil"/>
                  </w:tcBorders>
                  <w:noWrap w:val="0"/>
                  <w:vAlign w:val="center"/>
                </w:tcPr>
                <w:p w14:paraId="1781ADE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废油脂</w:t>
                  </w:r>
                </w:p>
              </w:tc>
              <w:tc>
                <w:tcPr>
                  <w:tcW w:w="1203" w:type="pct"/>
                  <w:vMerge w:val="restart"/>
                  <w:tcBorders>
                    <w:tl2br w:val="nil"/>
                    <w:tr2bl w:val="nil"/>
                  </w:tcBorders>
                  <w:noWrap w:val="0"/>
                  <w:vAlign w:val="center"/>
                </w:tcPr>
                <w:p w14:paraId="02D3FC3D">
                  <w:pPr>
                    <w:pStyle w:val="66"/>
                    <w:bidi w:val="0"/>
                    <w:rPr>
                      <w:rFonts w:hint="eastAsia"/>
                      <w:color w:val="auto"/>
                    </w:rPr>
                  </w:pPr>
                  <w:r>
                    <w:rPr>
                      <w:color w:val="auto"/>
                    </w:rPr>
                    <w:t>自行收集后由环卫部门统一处理</w:t>
                  </w:r>
                </w:p>
              </w:tc>
              <w:tc>
                <w:tcPr>
                  <w:tcW w:w="2225" w:type="pct"/>
                  <w:vMerge w:val="continue"/>
                  <w:tcBorders>
                    <w:tl2br w:val="nil"/>
                    <w:tr2bl w:val="nil"/>
                  </w:tcBorders>
                  <w:noWrap w:val="0"/>
                  <w:vAlign w:val="center"/>
                </w:tcPr>
                <w:p w14:paraId="315CC18E">
                  <w:pPr>
                    <w:pStyle w:val="66"/>
                    <w:bidi w:val="0"/>
                    <w:rPr>
                      <w:color w:val="auto"/>
                    </w:rPr>
                  </w:pPr>
                </w:p>
              </w:tc>
              <w:tc>
                <w:tcPr>
                  <w:tcW w:w="420" w:type="pct"/>
                  <w:vMerge w:val="continue"/>
                  <w:tcBorders>
                    <w:tl2br w:val="nil"/>
                    <w:tr2bl w:val="nil"/>
                  </w:tcBorders>
                  <w:noWrap w:val="0"/>
                  <w:vAlign w:val="center"/>
                </w:tcPr>
                <w:p w14:paraId="755994A3">
                  <w:pPr>
                    <w:jc w:val="center"/>
                    <w:rPr>
                      <w:color w:val="auto"/>
                    </w:rPr>
                  </w:pPr>
                </w:p>
              </w:tc>
            </w:tr>
            <w:tr w14:paraId="47811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11" w:type="pct"/>
                  <w:vMerge w:val="continue"/>
                  <w:tcBorders>
                    <w:tl2br w:val="nil"/>
                    <w:tr2bl w:val="nil"/>
                  </w:tcBorders>
                  <w:noWrap w:val="0"/>
                  <w:vAlign w:val="center"/>
                </w:tcPr>
                <w:p w14:paraId="3DA8634E">
                  <w:pPr>
                    <w:pStyle w:val="66"/>
                    <w:bidi w:val="0"/>
                    <w:rPr>
                      <w:color w:val="auto"/>
                    </w:rPr>
                  </w:pPr>
                </w:p>
              </w:tc>
              <w:tc>
                <w:tcPr>
                  <w:tcW w:w="838" w:type="pct"/>
                  <w:tcBorders>
                    <w:tl2br w:val="nil"/>
                    <w:tr2bl w:val="nil"/>
                  </w:tcBorders>
                  <w:noWrap w:val="0"/>
                  <w:vAlign w:val="center"/>
                </w:tcPr>
                <w:p w14:paraId="3E6E08C4">
                  <w:pPr>
                    <w:pStyle w:val="66"/>
                    <w:bidi w:val="0"/>
                    <w:rPr>
                      <w:color w:val="auto"/>
                    </w:rPr>
                  </w:pPr>
                  <w:r>
                    <w:rPr>
                      <w:color w:val="auto"/>
                    </w:rPr>
                    <w:t>生活垃圾</w:t>
                  </w:r>
                </w:p>
              </w:tc>
              <w:tc>
                <w:tcPr>
                  <w:tcW w:w="1203" w:type="pct"/>
                  <w:vMerge w:val="continue"/>
                  <w:tcBorders>
                    <w:tl2br w:val="nil"/>
                    <w:tr2bl w:val="nil"/>
                  </w:tcBorders>
                  <w:noWrap w:val="0"/>
                  <w:vAlign w:val="center"/>
                </w:tcPr>
                <w:p w14:paraId="1D9D4E9D">
                  <w:pPr>
                    <w:pStyle w:val="66"/>
                    <w:bidi w:val="0"/>
                    <w:rPr>
                      <w:rFonts w:hint="eastAsia"/>
                      <w:color w:val="auto"/>
                    </w:rPr>
                  </w:pPr>
                </w:p>
              </w:tc>
              <w:tc>
                <w:tcPr>
                  <w:tcW w:w="2225" w:type="pct"/>
                  <w:vMerge w:val="continue"/>
                  <w:tcBorders>
                    <w:tl2br w:val="nil"/>
                    <w:tr2bl w:val="nil"/>
                  </w:tcBorders>
                  <w:noWrap w:val="0"/>
                  <w:vAlign w:val="center"/>
                </w:tcPr>
                <w:p w14:paraId="27747F6D">
                  <w:pPr>
                    <w:pStyle w:val="66"/>
                    <w:bidi w:val="0"/>
                    <w:rPr>
                      <w:color w:val="auto"/>
                    </w:rPr>
                  </w:pPr>
                </w:p>
              </w:tc>
              <w:tc>
                <w:tcPr>
                  <w:tcW w:w="420" w:type="pct"/>
                  <w:vMerge w:val="continue"/>
                  <w:tcBorders>
                    <w:tl2br w:val="nil"/>
                    <w:tr2bl w:val="nil"/>
                  </w:tcBorders>
                  <w:noWrap w:val="0"/>
                  <w:vAlign w:val="center"/>
                </w:tcPr>
                <w:p w14:paraId="41CF6339">
                  <w:pPr>
                    <w:jc w:val="center"/>
                    <w:rPr>
                      <w:color w:val="auto"/>
                    </w:rPr>
                  </w:pPr>
                </w:p>
              </w:tc>
            </w:tr>
          </w:tbl>
          <w:p w14:paraId="5DFD1F74">
            <w:pPr>
              <w:pStyle w:val="71"/>
              <w:bidi w:val="0"/>
              <w:ind w:left="0" w:leftChars="0" w:firstLine="480" w:firstLineChars="200"/>
              <w:rPr>
                <w:rFonts w:hint="default"/>
                <w:b/>
                <w:bCs/>
                <w:color w:val="auto"/>
                <w:lang w:val="en-US" w:eastAsia="zh-CN"/>
              </w:rPr>
            </w:pPr>
          </w:p>
        </w:tc>
      </w:tr>
    </w:tbl>
    <w:p w14:paraId="223AA638">
      <w:pPr>
        <w:adjustRightInd w:val="0"/>
        <w:snapToGrid w:val="0"/>
        <w:spacing w:line="360" w:lineRule="auto"/>
        <w:rPr>
          <w:rFonts w:hint="eastAsia" w:ascii="宋体" w:cs="宋体"/>
          <w:b/>
          <w:color w:val="auto"/>
          <w:kern w:val="0"/>
          <w:sz w:val="28"/>
          <w:szCs w:val="28"/>
        </w:rPr>
        <w:sectPr>
          <w:pgSz w:w="11905" w:h="16838"/>
          <w:pgMar w:top="1440" w:right="1304" w:bottom="1440" w:left="1304" w:header="851" w:footer="1077" w:gutter="0"/>
          <w:pgBorders>
            <w:top w:val="none" w:sz="0" w:space="0"/>
            <w:left w:val="none" w:sz="0" w:space="0"/>
            <w:bottom w:val="none" w:sz="0" w:space="0"/>
            <w:right w:val="none" w:sz="0" w:space="0"/>
          </w:pgBorders>
          <w:cols w:space="720" w:num="1"/>
          <w:rtlGutter w:val="0"/>
          <w:docGrid w:type="linesAndChars" w:linePitch="312" w:charSpace="0"/>
        </w:sectPr>
      </w:pPr>
    </w:p>
    <w:p w14:paraId="0D953D47">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16" w:name="_Hlk54167917"/>
      <w:r>
        <w:rPr>
          <w:rFonts w:hint="eastAsia" w:ascii="黑体" w:hAnsi="黑体" w:eastAsia="黑体"/>
          <w:snapToGrid w:val="0"/>
          <w:color w:val="auto"/>
          <w:sz w:val="30"/>
          <w:szCs w:val="30"/>
        </w:rPr>
        <w:t>环境保护措施监督检查清单</w:t>
      </w:r>
      <w:bookmarkEnd w:id="16"/>
    </w:p>
    <w:tbl>
      <w:tblPr>
        <w:tblStyle w:val="36"/>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549"/>
        <w:gridCol w:w="1483"/>
        <w:gridCol w:w="2506"/>
        <w:gridCol w:w="2534"/>
      </w:tblGrid>
      <w:tr w14:paraId="62E25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3" w:type="pct"/>
            <w:tcBorders>
              <w:tl2br w:val="single" w:color="auto" w:sz="4" w:space="0"/>
            </w:tcBorders>
            <w:noWrap w:val="0"/>
            <w:vAlign w:val="top"/>
          </w:tcPr>
          <w:p w14:paraId="7B1E69B6">
            <w:pPr>
              <w:adjustRightInd w:val="0"/>
              <w:snapToGrid w:val="0"/>
              <w:ind w:firstLine="84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14:paraId="45990F7D">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815" w:type="pct"/>
            <w:noWrap w:val="0"/>
            <w:vAlign w:val="center"/>
          </w:tcPr>
          <w:p w14:paraId="2326D6E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排放口(编号、名称)/污染源</w:t>
            </w:r>
          </w:p>
        </w:tc>
        <w:tc>
          <w:tcPr>
            <w:tcW w:w="780" w:type="pct"/>
            <w:noWrap w:val="0"/>
            <w:vAlign w:val="center"/>
          </w:tcPr>
          <w:p w14:paraId="1CC3409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1318" w:type="pct"/>
            <w:noWrap w:val="0"/>
            <w:vAlign w:val="center"/>
          </w:tcPr>
          <w:p w14:paraId="4290AAE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332" w:type="pct"/>
            <w:noWrap w:val="0"/>
            <w:vAlign w:val="center"/>
          </w:tcPr>
          <w:p w14:paraId="50AF83F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14:paraId="32E53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753" w:type="pct"/>
            <w:vMerge w:val="restart"/>
            <w:noWrap w:val="0"/>
            <w:vAlign w:val="center"/>
          </w:tcPr>
          <w:p w14:paraId="42769D54">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815" w:type="pct"/>
            <w:noWrap w:val="0"/>
            <w:vAlign w:val="center"/>
          </w:tcPr>
          <w:p w14:paraId="53CA6F9D">
            <w:pPr>
              <w:pStyle w:val="66"/>
              <w:bidi w:val="0"/>
              <w:ind w:left="18" w:leftChars="9" w:right="18" w:rightChars="9"/>
              <w:rPr>
                <w:rFonts w:hint="default" w:ascii="Times New Roman" w:hAnsi="Times New Roman" w:eastAsia="宋体" w:cs="Times New Roman"/>
                <w:color w:val="auto"/>
                <w:sz w:val="24"/>
                <w:szCs w:val="24"/>
                <w:lang w:val="en-US" w:eastAsia="zh-CN"/>
              </w:rPr>
            </w:pPr>
            <w:r>
              <w:rPr>
                <w:rFonts w:hint="eastAsia"/>
                <w:color w:val="auto"/>
                <w:sz w:val="24"/>
                <w:szCs w:val="24"/>
                <w:lang w:bidi="ar"/>
              </w:rPr>
              <w:t>逸散废气、充装泄露废气</w:t>
            </w:r>
          </w:p>
        </w:tc>
        <w:tc>
          <w:tcPr>
            <w:tcW w:w="780" w:type="pct"/>
            <w:noWrap w:val="0"/>
            <w:vAlign w:val="center"/>
          </w:tcPr>
          <w:p w14:paraId="574C40B7">
            <w:pPr>
              <w:pStyle w:val="66"/>
              <w:bidi w:val="0"/>
              <w:ind w:left="18" w:leftChars="9" w:right="18" w:rightChars="9"/>
              <w:rPr>
                <w:rFonts w:hint="default" w:ascii="Times New Roman" w:hAnsi="Times New Roman" w:eastAsia="宋体" w:cs="Times New Roman"/>
                <w:color w:val="auto"/>
                <w:sz w:val="24"/>
                <w:szCs w:val="24"/>
                <w:lang w:val="en-US" w:eastAsia="zh-CN"/>
              </w:rPr>
            </w:pPr>
            <w:r>
              <w:rPr>
                <w:rFonts w:hint="eastAsia" w:ascii="宋体" w:hAnsi="宋体" w:cs="宋体"/>
                <w:color w:val="auto"/>
                <w:sz w:val="24"/>
                <w:szCs w:val="24"/>
              </w:rPr>
              <w:t>非甲烷总烃</w:t>
            </w:r>
            <w:r>
              <w:rPr>
                <w:rFonts w:hint="eastAsia" w:ascii="宋体" w:hAnsi="宋体" w:cs="宋体"/>
                <w:color w:val="auto"/>
                <w:sz w:val="24"/>
                <w:szCs w:val="24"/>
                <w:lang w:eastAsia="zh-CN"/>
              </w:rPr>
              <w:t>、</w:t>
            </w:r>
            <w:r>
              <w:rPr>
                <w:rFonts w:hint="eastAsia" w:ascii="宋体" w:hAnsi="宋体" w:cs="宋体"/>
                <w:color w:val="auto"/>
                <w:sz w:val="24"/>
                <w:szCs w:val="24"/>
              </w:rPr>
              <w:t>臭气浓度</w:t>
            </w:r>
          </w:p>
        </w:tc>
        <w:tc>
          <w:tcPr>
            <w:tcW w:w="1318" w:type="pct"/>
            <w:noWrap w:val="0"/>
            <w:vAlign w:val="center"/>
          </w:tcPr>
          <w:p w14:paraId="6870EAFD">
            <w:pPr>
              <w:pStyle w:val="66"/>
              <w:bidi w:val="0"/>
              <w:ind w:left="18" w:leftChars="9" w:right="18" w:rightChars="9"/>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设备动静密封点设备密封圈、密封阀门等气密结构、气密措施、</w:t>
            </w:r>
            <w:r>
              <w:rPr>
                <w:rFonts w:hint="eastAsia" w:ascii="Times New Roman" w:hAnsi="Times New Roman" w:cs="Times New Roman"/>
                <w:color w:val="auto"/>
                <w:sz w:val="24"/>
                <w:szCs w:val="24"/>
                <w:lang w:val="en-US" w:eastAsia="zh-CN"/>
              </w:rPr>
              <w:t>加强自然通风</w:t>
            </w:r>
          </w:p>
        </w:tc>
        <w:tc>
          <w:tcPr>
            <w:tcW w:w="1332" w:type="pct"/>
            <w:noWrap w:val="0"/>
            <w:vAlign w:val="center"/>
          </w:tcPr>
          <w:p w14:paraId="5DD46E4A">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《大气污染物综合排放标准》（GB16297-1996）表2中相关排放限值；《挥发性有机物无组织排放控制标准》（GB37822-2019）</w:t>
            </w:r>
            <w:r>
              <w:rPr>
                <w:rFonts w:hint="eastAsia" w:cs="Times New Roman"/>
                <w:color w:val="auto"/>
                <w:sz w:val="24"/>
                <w:szCs w:val="24"/>
                <w:lang w:val="en-US" w:eastAsia="zh-CN"/>
              </w:rPr>
              <w:t>；</w:t>
            </w:r>
            <w:r>
              <w:rPr>
                <w:rFonts w:hint="eastAsia"/>
                <w:color w:val="auto"/>
                <w:sz w:val="24"/>
                <w:szCs w:val="24"/>
              </w:rPr>
              <w:t>《恶臭污染物排放标准》（G</w:t>
            </w:r>
            <w:r>
              <w:rPr>
                <w:color w:val="auto"/>
                <w:sz w:val="24"/>
                <w:szCs w:val="24"/>
              </w:rPr>
              <w:t>B14554-93</w:t>
            </w:r>
            <w:r>
              <w:rPr>
                <w:rFonts w:hint="eastAsia"/>
                <w:color w:val="auto"/>
                <w:sz w:val="24"/>
                <w:szCs w:val="24"/>
              </w:rPr>
              <w:t>）</w:t>
            </w:r>
          </w:p>
        </w:tc>
      </w:tr>
      <w:tr w14:paraId="6D2618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753" w:type="pct"/>
            <w:vMerge w:val="continue"/>
            <w:noWrap w:val="0"/>
            <w:vAlign w:val="center"/>
          </w:tcPr>
          <w:p w14:paraId="59F1E884">
            <w:pPr>
              <w:adjustRightInd w:val="0"/>
              <w:snapToGrid w:val="0"/>
              <w:jc w:val="center"/>
              <w:rPr>
                <w:rFonts w:hint="default" w:ascii="Times New Roman" w:hAnsi="Times New Roman" w:cs="Times New Roman"/>
                <w:color w:val="auto"/>
                <w:sz w:val="24"/>
                <w:szCs w:val="24"/>
              </w:rPr>
            </w:pPr>
          </w:p>
        </w:tc>
        <w:tc>
          <w:tcPr>
            <w:tcW w:w="815" w:type="pct"/>
            <w:noWrap w:val="0"/>
            <w:vAlign w:val="center"/>
          </w:tcPr>
          <w:p w14:paraId="759E73D6">
            <w:pPr>
              <w:pStyle w:val="66"/>
              <w:bidi w:val="0"/>
              <w:ind w:left="18" w:leftChars="9" w:right="18" w:rightChars="9"/>
              <w:rPr>
                <w:rFonts w:hint="eastAsia"/>
                <w:color w:val="auto"/>
                <w:sz w:val="24"/>
                <w:szCs w:val="24"/>
                <w:lang w:bidi="ar"/>
              </w:rPr>
            </w:pPr>
            <w:r>
              <w:rPr>
                <w:rFonts w:hint="eastAsia"/>
                <w:color w:val="auto"/>
                <w:sz w:val="24"/>
                <w:szCs w:val="24"/>
                <w:lang w:val="en-US" w:eastAsia="zh-CN"/>
              </w:rPr>
              <w:t>备用柴油</w:t>
            </w:r>
            <w:r>
              <w:rPr>
                <w:rFonts w:hint="default" w:eastAsia="宋体"/>
                <w:color w:val="auto"/>
                <w:sz w:val="24"/>
                <w:szCs w:val="24"/>
                <w:lang w:val="en-US" w:eastAsia="zh-CN"/>
              </w:rPr>
              <w:t>发电机废气</w:t>
            </w:r>
          </w:p>
        </w:tc>
        <w:tc>
          <w:tcPr>
            <w:tcW w:w="780" w:type="pct"/>
            <w:noWrap w:val="0"/>
            <w:vAlign w:val="center"/>
          </w:tcPr>
          <w:p w14:paraId="5E7C23AA">
            <w:pPr>
              <w:pStyle w:val="66"/>
              <w:bidi w:val="0"/>
              <w:ind w:left="18" w:leftChars="9" w:right="18" w:rightChars="9"/>
              <w:rPr>
                <w:rFonts w:hint="eastAsia" w:ascii="宋体" w:hAnsi="宋体" w:cs="宋体"/>
                <w:color w:val="auto"/>
                <w:sz w:val="24"/>
                <w:szCs w:val="24"/>
              </w:rPr>
            </w:pPr>
            <w:r>
              <w:rPr>
                <w:rFonts w:hint="default"/>
                <w:color w:val="auto"/>
                <w:sz w:val="24"/>
                <w:szCs w:val="24"/>
                <w:lang w:val="en-US" w:eastAsia="zh-CN"/>
              </w:rPr>
              <w:t>烟尘、SO</w:t>
            </w:r>
            <w:r>
              <w:rPr>
                <w:rFonts w:hint="default"/>
                <w:color w:val="auto"/>
                <w:sz w:val="24"/>
                <w:szCs w:val="24"/>
                <w:vertAlign w:val="subscript"/>
                <w:lang w:val="en-US" w:eastAsia="zh-CN"/>
              </w:rPr>
              <w:t>2</w:t>
            </w:r>
            <w:r>
              <w:rPr>
                <w:rFonts w:hint="default"/>
                <w:color w:val="auto"/>
                <w:sz w:val="24"/>
                <w:szCs w:val="24"/>
                <w:lang w:val="en-US" w:eastAsia="zh-CN"/>
              </w:rPr>
              <w:t>和NOx</w:t>
            </w:r>
          </w:p>
        </w:tc>
        <w:tc>
          <w:tcPr>
            <w:tcW w:w="1318" w:type="pct"/>
            <w:noWrap w:val="0"/>
            <w:vAlign w:val="center"/>
          </w:tcPr>
          <w:p w14:paraId="27FE52B1">
            <w:pPr>
              <w:pStyle w:val="66"/>
              <w:bidi w:val="0"/>
              <w:ind w:left="18" w:leftChars="9" w:right="18" w:rightChars="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加强自然通风</w:t>
            </w:r>
          </w:p>
        </w:tc>
        <w:tc>
          <w:tcPr>
            <w:tcW w:w="1332" w:type="pct"/>
            <w:noWrap w:val="0"/>
            <w:vAlign w:val="center"/>
          </w:tcPr>
          <w:p w14:paraId="0AEF4126">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lang w:val="en-US" w:eastAsia="zh-CN"/>
              </w:rPr>
              <w:t>《非道路移动机械用柴油机排气污染物排放限值及测量方法（中国第三、四阶段）》（GB20891-2014）</w:t>
            </w:r>
          </w:p>
        </w:tc>
      </w:tr>
      <w:tr w14:paraId="54025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53" w:type="pct"/>
            <w:vMerge w:val="continue"/>
            <w:noWrap w:val="0"/>
            <w:vAlign w:val="center"/>
          </w:tcPr>
          <w:p w14:paraId="173CA5D8">
            <w:pPr>
              <w:adjustRightInd w:val="0"/>
              <w:snapToGrid w:val="0"/>
              <w:jc w:val="center"/>
              <w:rPr>
                <w:rFonts w:hint="default" w:ascii="Times New Roman" w:hAnsi="Times New Roman" w:cs="Times New Roman"/>
                <w:color w:val="auto"/>
                <w:sz w:val="24"/>
                <w:szCs w:val="24"/>
              </w:rPr>
            </w:pPr>
          </w:p>
        </w:tc>
        <w:tc>
          <w:tcPr>
            <w:tcW w:w="815" w:type="pct"/>
            <w:noWrap w:val="0"/>
            <w:vAlign w:val="center"/>
          </w:tcPr>
          <w:p w14:paraId="242C17F0">
            <w:pPr>
              <w:spacing w:line="240" w:lineRule="auto"/>
              <w:ind w:firstLine="0" w:firstLineChars="0"/>
              <w:jc w:val="center"/>
              <w:rPr>
                <w:rFonts w:hint="eastAsia" w:ascii="Times New Roman" w:hAnsi="Times New Roman" w:eastAsia="宋体" w:cs="Times New Roman"/>
                <w:color w:val="auto"/>
                <w:sz w:val="24"/>
                <w:szCs w:val="24"/>
                <w:lang w:val="en-US" w:eastAsia="zh-CN"/>
              </w:rPr>
            </w:pPr>
            <w:r>
              <w:rPr>
                <w:rFonts w:hint="eastAsia"/>
                <w:color w:val="auto"/>
                <w:sz w:val="24"/>
                <w:lang w:val="en-US" w:eastAsia="zh-CN"/>
              </w:rPr>
              <w:t>食堂</w:t>
            </w:r>
          </w:p>
        </w:tc>
        <w:tc>
          <w:tcPr>
            <w:tcW w:w="780" w:type="pct"/>
            <w:noWrap w:val="0"/>
            <w:vAlign w:val="center"/>
          </w:tcPr>
          <w:p w14:paraId="026A44F2">
            <w:pPr>
              <w:spacing w:line="240" w:lineRule="auto"/>
              <w:ind w:firstLine="0" w:firstLineChars="0"/>
              <w:jc w:val="center"/>
              <w:rPr>
                <w:rFonts w:hint="eastAsia" w:ascii="Times New Roman" w:hAnsi="Times New Roman" w:eastAsia="宋体" w:cs="Times New Roman"/>
                <w:color w:val="auto"/>
                <w:sz w:val="24"/>
                <w:szCs w:val="24"/>
                <w:lang w:val="en-US" w:eastAsia="zh-CN"/>
              </w:rPr>
            </w:pPr>
            <w:r>
              <w:rPr>
                <w:rFonts w:hint="eastAsia"/>
                <w:color w:val="auto"/>
                <w:sz w:val="24"/>
                <w:szCs w:val="24"/>
                <w:highlight w:val="none"/>
                <w:lang w:val="en-US" w:eastAsia="zh-CN"/>
              </w:rPr>
              <w:t>食堂油烟</w:t>
            </w:r>
          </w:p>
        </w:tc>
        <w:tc>
          <w:tcPr>
            <w:tcW w:w="1318" w:type="pct"/>
            <w:noWrap w:val="0"/>
            <w:vAlign w:val="center"/>
          </w:tcPr>
          <w:p w14:paraId="645CE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油烟净化设施</w:t>
            </w:r>
          </w:p>
        </w:tc>
        <w:tc>
          <w:tcPr>
            <w:tcW w:w="1332" w:type="pct"/>
            <w:noWrap w:val="0"/>
            <w:vAlign w:val="center"/>
          </w:tcPr>
          <w:p w14:paraId="661DAE36">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《饮食业油烟排放标准》（</w:t>
            </w:r>
            <w:r>
              <w:rPr>
                <w:rFonts w:hint="default" w:ascii="Times New Roman" w:hAnsi="Times New Roman" w:eastAsia="宋体" w:cs="Times New Roman"/>
                <w:i w:val="0"/>
                <w:iCs w:val="0"/>
                <w:color w:val="auto"/>
                <w:kern w:val="0"/>
                <w:sz w:val="24"/>
                <w:szCs w:val="24"/>
                <w:u w:val="none"/>
                <w:lang w:val="en-US" w:eastAsia="zh-CN" w:bidi="ar"/>
              </w:rPr>
              <w:t>GB18483-2001</w:t>
            </w:r>
            <w:r>
              <w:rPr>
                <w:rFonts w:hint="eastAsia" w:ascii="宋体" w:hAnsi="宋体" w:eastAsia="宋体" w:cs="宋体"/>
                <w:i w:val="0"/>
                <w:iCs w:val="0"/>
                <w:color w:val="auto"/>
                <w:kern w:val="0"/>
                <w:sz w:val="24"/>
                <w:szCs w:val="24"/>
                <w:u w:val="none"/>
                <w:lang w:val="en-US" w:eastAsia="zh-CN" w:bidi="ar"/>
              </w:rPr>
              <w:t>）</w:t>
            </w:r>
          </w:p>
        </w:tc>
      </w:tr>
      <w:tr w14:paraId="592E4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3" w:type="pct"/>
            <w:noWrap w:val="0"/>
            <w:vAlign w:val="center"/>
          </w:tcPr>
          <w:p w14:paraId="0DF7674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815" w:type="pct"/>
            <w:noWrap w:val="0"/>
            <w:vAlign w:val="center"/>
          </w:tcPr>
          <w:p w14:paraId="12CA3F5A">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生活</w:t>
            </w:r>
            <w:r>
              <w:rPr>
                <w:rFonts w:hint="eastAsia" w:ascii="Times New Roman" w:hAnsi="Times New Roman" w:cs="Times New Roman"/>
                <w:color w:val="auto"/>
                <w:sz w:val="24"/>
                <w:szCs w:val="24"/>
                <w:lang w:val="en-US" w:eastAsia="zh-CN"/>
              </w:rPr>
              <w:t>废</w:t>
            </w:r>
            <w:r>
              <w:rPr>
                <w:rFonts w:hint="default" w:ascii="Times New Roman" w:hAnsi="Times New Roman" w:cs="Times New Roman"/>
                <w:color w:val="auto"/>
                <w:sz w:val="24"/>
                <w:szCs w:val="24"/>
                <w:lang w:val="en-US" w:eastAsia="zh-CN"/>
              </w:rPr>
              <w:t>水</w:t>
            </w:r>
          </w:p>
        </w:tc>
        <w:tc>
          <w:tcPr>
            <w:tcW w:w="780" w:type="pct"/>
            <w:noWrap w:val="0"/>
            <w:vAlign w:val="center"/>
          </w:tcPr>
          <w:p w14:paraId="1D90F609">
            <w:pPr>
              <w:adjustRightInd w:val="0"/>
              <w:snapToGrid w:val="0"/>
              <w:jc w:val="center"/>
              <w:rPr>
                <w:rFonts w:hint="default" w:ascii="Times New Roman" w:hAnsi="Times New Roman" w:eastAsia="宋体" w:cs="Times New Roman"/>
                <w:color w:val="auto"/>
                <w:sz w:val="24"/>
                <w:szCs w:val="24"/>
                <w:vertAlign w:val="subscript"/>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vertAlign w:val="baseline"/>
                <w:lang w:val="en-US" w:eastAsia="zh-CN"/>
              </w:rPr>
              <w:t>、SS、</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TP</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TN</w:t>
            </w:r>
            <w:r>
              <w:rPr>
                <w:rFonts w:hint="eastAsia" w:cs="Times New Roman"/>
                <w:color w:val="auto"/>
                <w:sz w:val="24"/>
                <w:szCs w:val="24"/>
                <w:lang w:val="en-US" w:eastAsia="zh-CN"/>
              </w:rPr>
              <w:t>、动植物油</w:t>
            </w:r>
          </w:p>
        </w:tc>
        <w:tc>
          <w:tcPr>
            <w:tcW w:w="1318" w:type="pct"/>
            <w:noWrap w:val="0"/>
            <w:vAlign w:val="center"/>
          </w:tcPr>
          <w:p w14:paraId="5EFF7E0D">
            <w:pPr>
              <w:adjustRightInd w:val="0"/>
              <w:snapToGrid w:val="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w:t>
            </w:r>
            <w:r>
              <w:rPr>
                <w:rFonts w:hint="eastAsia" w:cs="Times New Roman"/>
                <w:color w:val="auto"/>
                <w:sz w:val="24"/>
                <w:szCs w:val="24"/>
                <w:lang w:val="en-US" w:eastAsia="zh-CN"/>
              </w:rPr>
              <w:t>污水经隔油池+</w:t>
            </w:r>
            <w:r>
              <w:rPr>
                <w:rFonts w:hint="default" w:ascii="Times New Roman" w:hAnsi="Times New Roman" w:eastAsia="宋体" w:cs="Times New Roman"/>
                <w:color w:val="auto"/>
                <w:sz w:val="24"/>
                <w:szCs w:val="24"/>
                <w:lang w:val="en-US" w:eastAsia="zh-CN"/>
              </w:rPr>
              <w:t>化粪池</w:t>
            </w:r>
            <w:r>
              <w:rPr>
                <w:rFonts w:hint="eastAsia" w:ascii="Times New Roman" w:hAnsi="Times New Roman" w:eastAsia="宋体" w:cs="Times New Roman"/>
                <w:color w:val="auto"/>
                <w:sz w:val="24"/>
                <w:szCs w:val="24"/>
                <w:lang w:val="en-US" w:eastAsia="zh-CN"/>
              </w:rPr>
              <w:t>处理</w:t>
            </w:r>
            <w:r>
              <w:rPr>
                <w:rFonts w:hint="eastAsia" w:cs="Times New Roman"/>
                <w:color w:val="auto"/>
                <w:sz w:val="24"/>
                <w:szCs w:val="24"/>
                <w:lang w:val="en-US" w:eastAsia="zh-CN"/>
              </w:rPr>
              <w:t>达</w:t>
            </w:r>
            <w:r>
              <w:rPr>
                <w:rFonts w:hint="eastAsia" w:ascii="Times New Roman" w:hAnsi="Times New Roman" w:eastAsia="宋体" w:cs="Times New Roman"/>
                <w:color w:val="auto"/>
                <w:sz w:val="24"/>
                <w:szCs w:val="24"/>
                <w:lang w:val="en-US" w:eastAsia="zh-CN"/>
              </w:rPr>
              <w:t>《农田灌溉水质标准》（GB5084-2021）中</w:t>
            </w:r>
            <w:r>
              <w:rPr>
                <w:rFonts w:hint="eastAsia" w:cs="Times New Roman"/>
                <w:color w:val="auto"/>
                <w:sz w:val="24"/>
                <w:szCs w:val="24"/>
                <w:lang w:val="en-US" w:eastAsia="zh-CN"/>
              </w:rPr>
              <w:t>旱作</w:t>
            </w:r>
            <w:r>
              <w:rPr>
                <w:rFonts w:hint="eastAsia" w:ascii="Times New Roman" w:hAnsi="Times New Roman" w:eastAsia="宋体" w:cs="Times New Roman"/>
                <w:color w:val="auto"/>
                <w:sz w:val="24"/>
                <w:szCs w:val="24"/>
                <w:lang w:val="en-US" w:eastAsia="zh-CN"/>
              </w:rPr>
              <w:t>标准后用于周边农田灌溉</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不外排</w:t>
            </w:r>
          </w:p>
        </w:tc>
        <w:tc>
          <w:tcPr>
            <w:tcW w:w="1332" w:type="pct"/>
            <w:noWrap w:val="0"/>
            <w:vAlign w:val="center"/>
          </w:tcPr>
          <w:p w14:paraId="172DC4F9">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《农田灌溉水质标准》（GB5084-2021）中</w:t>
            </w:r>
            <w:r>
              <w:rPr>
                <w:rFonts w:hint="eastAsia" w:cs="Times New Roman"/>
                <w:color w:val="auto"/>
                <w:sz w:val="24"/>
                <w:szCs w:val="24"/>
                <w:lang w:val="en-US" w:eastAsia="zh-CN"/>
              </w:rPr>
              <w:t>旱作</w:t>
            </w:r>
            <w:r>
              <w:rPr>
                <w:rFonts w:hint="eastAsia" w:ascii="Times New Roman" w:hAnsi="Times New Roman" w:eastAsia="宋体" w:cs="Times New Roman"/>
                <w:color w:val="auto"/>
                <w:sz w:val="24"/>
                <w:szCs w:val="24"/>
                <w:lang w:val="en-US" w:eastAsia="zh-CN"/>
              </w:rPr>
              <w:t>标准</w:t>
            </w:r>
          </w:p>
        </w:tc>
      </w:tr>
      <w:tr w14:paraId="6BBEE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3" w:type="pct"/>
            <w:noWrap w:val="0"/>
            <w:vAlign w:val="center"/>
          </w:tcPr>
          <w:p w14:paraId="2585C908">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815" w:type="pct"/>
            <w:noWrap w:val="0"/>
            <w:vAlign w:val="center"/>
          </w:tcPr>
          <w:p w14:paraId="14D2FEB6">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水泵、空压机等设备</w:t>
            </w:r>
          </w:p>
        </w:tc>
        <w:tc>
          <w:tcPr>
            <w:tcW w:w="780" w:type="pct"/>
            <w:noWrap w:val="0"/>
            <w:vAlign w:val="center"/>
          </w:tcPr>
          <w:p w14:paraId="634D4519">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等效A声级</w:t>
            </w:r>
          </w:p>
        </w:tc>
        <w:tc>
          <w:tcPr>
            <w:tcW w:w="1318" w:type="pct"/>
            <w:noWrap w:val="0"/>
            <w:vAlign w:val="center"/>
          </w:tcPr>
          <w:p w14:paraId="1D49928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选用低噪声设备，定期维护保养，墙体隔声、减振等</w:t>
            </w:r>
          </w:p>
        </w:tc>
        <w:tc>
          <w:tcPr>
            <w:tcW w:w="1332" w:type="pct"/>
            <w:noWrap w:val="0"/>
            <w:vAlign w:val="center"/>
          </w:tcPr>
          <w:p w14:paraId="70CD6C07">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厂界：</w:t>
            </w:r>
            <w:r>
              <w:rPr>
                <w:rFonts w:hint="default" w:ascii="Times New Roman" w:hAnsi="Times New Roman" w:cs="Times New Roman"/>
                <w:color w:val="auto"/>
                <w:sz w:val="24"/>
                <w:szCs w:val="24"/>
              </w:rPr>
              <w:t>《工业企业厂界环境噪声排放</w:t>
            </w:r>
            <w:r>
              <w:rPr>
                <w:rFonts w:hint="default" w:ascii="Times New Roman" w:hAnsi="Times New Roman" w:eastAsia="宋体" w:cs="Times New Roman"/>
                <w:color w:val="auto"/>
                <w:sz w:val="24"/>
                <w:szCs w:val="24"/>
              </w:rPr>
              <w:t>标准》（GB12348-2008）</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4类</w:t>
            </w:r>
            <w:r>
              <w:rPr>
                <w:rFonts w:hint="default" w:ascii="Times New Roman" w:hAnsi="Times New Roman" w:eastAsia="宋体" w:cs="Times New Roman"/>
                <w:color w:val="auto"/>
                <w:sz w:val="24"/>
                <w:szCs w:val="24"/>
              </w:rPr>
              <w:t>标准</w:t>
            </w:r>
          </w:p>
        </w:tc>
      </w:tr>
      <w:tr w14:paraId="64B1C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3" w:type="pct"/>
            <w:noWrap w:val="0"/>
            <w:vAlign w:val="center"/>
          </w:tcPr>
          <w:p w14:paraId="75175193">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4246" w:type="pct"/>
            <w:gridSpan w:val="4"/>
            <w:noWrap w:val="0"/>
            <w:vAlign w:val="center"/>
          </w:tcPr>
          <w:p w14:paraId="303F5B4C">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无</w:t>
            </w:r>
          </w:p>
        </w:tc>
      </w:tr>
      <w:tr w14:paraId="03EC9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3" w:type="pct"/>
            <w:vMerge w:val="restart"/>
            <w:noWrap w:val="0"/>
            <w:vAlign w:val="center"/>
          </w:tcPr>
          <w:p w14:paraId="62D42D60">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815" w:type="pct"/>
            <w:noWrap w:val="0"/>
            <w:vAlign w:val="center"/>
          </w:tcPr>
          <w:p w14:paraId="3264355F">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一般固废</w:t>
            </w:r>
          </w:p>
        </w:tc>
        <w:tc>
          <w:tcPr>
            <w:tcW w:w="780" w:type="pct"/>
            <w:noWrap w:val="0"/>
            <w:vAlign w:val="center"/>
          </w:tcPr>
          <w:p w14:paraId="1690337B">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生活垃圾、</w:t>
            </w:r>
            <w:r>
              <w:rPr>
                <w:rFonts w:hint="eastAsia" w:cs="Times New Roman"/>
                <w:color w:val="auto"/>
                <w:sz w:val="24"/>
                <w:szCs w:val="24"/>
                <w:lang w:val="en-US" w:eastAsia="zh-CN"/>
              </w:rPr>
              <w:t>废油脂、</w:t>
            </w:r>
            <w:r>
              <w:rPr>
                <w:rFonts w:hint="eastAsia" w:ascii="Times New Roman" w:hAnsi="Times New Roman" w:cs="Times New Roman"/>
                <w:color w:val="auto"/>
                <w:sz w:val="24"/>
                <w:szCs w:val="24"/>
                <w:lang w:val="en-US" w:eastAsia="zh-CN"/>
              </w:rPr>
              <w:t>不合格钢瓶</w:t>
            </w:r>
          </w:p>
        </w:tc>
        <w:tc>
          <w:tcPr>
            <w:tcW w:w="1318" w:type="pct"/>
            <w:noWrap w:val="0"/>
            <w:vAlign w:val="center"/>
          </w:tcPr>
          <w:p w14:paraId="07A3B35E">
            <w:pPr>
              <w:adjustRightInd w:val="0"/>
              <w:snapToGrid w:val="0"/>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生活垃圾</w:t>
            </w:r>
            <w:r>
              <w:rPr>
                <w:rFonts w:hint="eastAsia" w:cs="Times New Roman"/>
                <w:color w:val="auto"/>
                <w:sz w:val="24"/>
                <w:szCs w:val="24"/>
                <w:lang w:val="en-US" w:eastAsia="zh-CN"/>
              </w:rPr>
              <w:t>、废油脂</w:t>
            </w:r>
            <w:r>
              <w:rPr>
                <w:rFonts w:hint="eastAsia" w:ascii="Times New Roman" w:hAnsi="Times New Roman" w:cs="Times New Roman"/>
                <w:color w:val="auto"/>
                <w:sz w:val="24"/>
                <w:szCs w:val="24"/>
                <w:lang w:val="en-US" w:eastAsia="zh-CN"/>
              </w:rPr>
              <w:t>经收集后</w:t>
            </w:r>
            <w:r>
              <w:rPr>
                <w:rFonts w:hint="default" w:ascii="Times New Roman" w:hAnsi="Times New Roman" w:cs="Times New Roman"/>
                <w:color w:val="auto"/>
                <w:sz w:val="24"/>
                <w:szCs w:val="24"/>
                <w:lang w:val="en-US" w:eastAsia="zh-CN"/>
              </w:rPr>
              <w:t>定期由环卫部门统一处理</w:t>
            </w:r>
            <w:r>
              <w:rPr>
                <w:rFonts w:hint="eastAsia" w:ascii="Times New Roman" w:hAnsi="Times New Roman" w:cs="Times New Roman"/>
                <w:color w:val="auto"/>
                <w:sz w:val="24"/>
                <w:szCs w:val="24"/>
                <w:lang w:val="en-US" w:eastAsia="zh-CN"/>
              </w:rPr>
              <w:t>；不合格钢瓶钢瓶由检测中心定期回收</w:t>
            </w:r>
          </w:p>
        </w:tc>
        <w:tc>
          <w:tcPr>
            <w:tcW w:w="1332" w:type="pct"/>
            <w:noWrap w:val="0"/>
            <w:vAlign w:val="center"/>
          </w:tcPr>
          <w:p w14:paraId="44D3F519">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《一般工业固体废物贮存</w:t>
            </w:r>
            <w:r>
              <w:rPr>
                <w:rFonts w:hint="default" w:ascii="Times New Roman" w:hAnsi="Times New Roman" w:cs="Times New Roman"/>
                <w:color w:val="auto"/>
                <w:sz w:val="24"/>
                <w:szCs w:val="24"/>
                <w:lang w:val="en-US" w:eastAsia="zh-CN"/>
              </w:rPr>
              <w:t>和填埋</w:t>
            </w:r>
            <w:r>
              <w:rPr>
                <w:rFonts w:hint="default" w:ascii="Times New Roman" w:hAnsi="Times New Roman" w:cs="Times New Roman"/>
                <w:color w:val="auto"/>
                <w:sz w:val="24"/>
                <w:szCs w:val="24"/>
              </w:rPr>
              <w:t>污染控制标准》（GB18599-20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p>
        </w:tc>
      </w:tr>
      <w:tr w14:paraId="5E420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3" w:type="pct"/>
            <w:vMerge w:val="continue"/>
            <w:noWrap w:val="0"/>
            <w:vAlign w:val="center"/>
          </w:tcPr>
          <w:p w14:paraId="050231A0">
            <w:pPr>
              <w:adjustRightInd w:val="0"/>
              <w:snapToGrid w:val="0"/>
              <w:jc w:val="center"/>
              <w:rPr>
                <w:color w:val="auto"/>
              </w:rPr>
            </w:pPr>
          </w:p>
        </w:tc>
        <w:tc>
          <w:tcPr>
            <w:tcW w:w="815" w:type="pct"/>
            <w:noWrap w:val="0"/>
            <w:vAlign w:val="center"/>
          </w:tcPr>
          <w:p w14:paraId="5B09A0F4">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危险废物</w:t>
            </w:r>
          </w:p>
        </w:tc>
        <w:tc>
          <w:tcPr>
            <w:tcW w:w="780" w:type="pct"/>
            <w:noWrap w:val="0"/>
            <w:vAlign w:val="center"/>
          </w:tcPr>
          <w:p w14:paraId="656AE7BC">
            <w:pPr>
              <w:adjustRightInd w:val="0"/>
              <w:snapToGrid w:val="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残液</w:t>
            </w:r>
            <w:r>
              <w:rPr>
                <w:rFonts w:hint="eastAsia"/>
                <w:color w:val="auto"/>
                <w:lang w:eastAsia="zh-CN"/>
              </w:rPr>
              <w:t>、</w:t>
            </w:r>
            <w:r>
              <w:rPr>
                <w:rFonts w:hint="eastAsia"/>
                <w:color w:val="auto"/>
                <w:lang w:val="en-US" w:eastAsia="zh-CN"/>
              </w:rPr>
              <w:t>废机油、废含油抹布、</w:t>
            </w:r>
            <w:r>
              <w:rPr>
                <w:rFonts w:hint="eastAsia"/>
                <w:color w:val="auto"/>
                <w:lang w:eastAsia="zh-CN"/>
              </w:rPr>
              <w:t>废机油桶</w:t>
            </w:r>
          </w:p>
        </w:tc>
        <w:tc>
          <w:tcPr>
            <w:tcW w:w="1318" w:type="pct"/>
            <w:noWrap w:val="0"/>
            <w:vAlign w:val="center"/>
          </w:tcPr>
          <w:p w14:paraId="4F82323C">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定期交由有资质单位处理</w:t>
            </w:r>
          </w:p>
        </w:tc>
        <w:tc>
          <w:tcPr>
            <w:tcW w:w="1332" w:type="pct"/>
            <w:noWrap w:val="0"/>
            <w:vAlign w:val="center"/>
          </w:tcPr>
          <w:p w14:paraId="2F860B15">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危险废物贮存污染控制标准》（GB18597-20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要求</w:t>
            </w:r>
          </w:p>
        </w:tc>
      </w:tr>
      <w:tr w14:paraId="30CD9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53" w:type="pct"/>
            <w:noWrap w:val="0"/>
            <w:vAlign w:val="center"/>
          </w:tcPr>
          <w:p w14:paraId="037342DC">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14:paraId="72F329E2">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4246" w:type="pct"/>
            <w:gridSpan w:val="4"/>
            <w:noWrap w:val="0"/>
            <w:vAlign w:val="center"/>
          </w:tcPr>
          <w:p w14:paraId="20E4C916">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根据</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源头控制，分区防治</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原则的要求，对污染防治区进行分区防渗，对可能造成污染的区域(污染防治区)地面基础采取防渗处理，阻止污染物下渗进入地下水及土壤环境</w:t>
            </w:r>
            <w:r>
              <w:rPr>
                <w:rFonts w:hint="eastAsia" w:ascii="Times New Roman" w:hAnsi="Times New Roman" w:cs="Times New Roman"/>
                <w:color w:val="auto"/>
                <w:sz w:val="24"/>
                <w:szCs w:val="24"/>
                <w:lang w:eastAsia="zh-CN"/>
              </w:rPr>
              <w:t>。</w:t>
            </w:r>
          </w:p>
        </w:tc>
      </w:tr>
      <w:tr w14:paraId="4E281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53" w:type="pct"/>
            <w:noWrap w:val="0"/>
            <w:vAlign w:val="center"/>
          </w:tcPr>
          <w:p w14:paraId="5C0300A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4246" w:type="pct"/>
            <w:gridSpan w:val="4"/>
            <w:noWrap w:val="0"/>
            <w:vAlign w:val="center"/>
          </w:tcPr>
          <w:p w14:paraId="212A58B5">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w:t>
            </w:r>
          </w:p>
        </w:tc>
      </w:tr>
      <w:tr w14:paraId="203BD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753" w:type="pct"/>
            <w:noWrap w:val="0"/>
            <w:vAlign w:val="center"/>
          </w:tcPr>
          <w:p w14:paraId="27B115DC">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14:paraId="0DF48C29">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4246" w:type="pct"/>
            <w:gridSpan w:val="4"/>
            <w:noWrap w:val="0"/>
            <w:vAlign w:val="center"/>
          </w:tcPr>
          <w:p w14:paraId="3048C2FD">
            <w:pPr>
              <w:numPr>
                <w:ilvl w:val="0"/>
                <w:numId w:val="0"/>
              </w:numPr>
              <w:adjustRightInd w:val="0"/>
              <w:snapToGrid w:val="0"/>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按照“源头控制、分区控制、污染监控、应急响应”的主动与被动防渗相结合的防渗原则，做好防止和减少“跑、冒、滴、漏”等源头防污措施的基础上，本项目采取分区防渗措施，储罐区、灌装间满足《环境影响评价技术导则 地下水》表7中地下水污染防渗分区参照表重点防渗区要求;消防泵房、储罐区外围、消防水池、化粪池满足《环境影响评价技术导则 地下水》表7中地下水污染防渗分区参照表一般防渗区</w:t>
            </w:r>
            <w:r>
              <w:rPr>
                <w:rFonts w:hint="eastAsia" w:cs="Times New Roman"/>
                <w:color w:val="auto"/>
                <w:sz w:val="24"/>
                <w:szCs w:val="24"/>
                <w:lang w:val="en-US" w:eastAsia="zh-CN"/>
              </w:rPr>
              <w:t>要求</w:t>
            </w:r>
            <w:r>
              <w:rPr>
                <w:rFonts w:hint="default" w:ascii="Times New Roman" w:hAnsi="Times New Roman" w:cs="Times New Roman"/>
                <w:color w:val="auto"/>
                <w:sz w:val="24"/>
                <w:szCs w:val="24"/>
              </w:rPr>
              <w:t>。</w:t>
            </w:r>
          </w:p>
        </w:tc>
      </w:tr>
      <w:tr w14:paraId="02168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53" w:type="pct"/>
            <w:noWrap w:val="0"/>
            <w:vAlign w:val="center"/>
          </w:tcPr>
          <w:p w14:paraId="0B1AF00C">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其他环境</w:t>
            </w:r>
          </w:p>
          <w:p w14:paraId="15C32629">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管理要求</w:t>
            </w:r>
          </w:p>
        </w:tc>
        <w:tc>
          <w:tcPr>
            <w:tcW w:w="4246" w:type="pct"/>
            <w:gridSpan w:val="4"/>
            <w:noWrap w:val="0"/>
            <w:vAlign w:val="center"/>
          </w:tcPr>
          <w:p w14:paraId="720A2CF4">
            <w:pPr>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企业应严格落实环保“三同时”制度；</w:t>
            </w:r>
          </w:p>
          <w:p w14:paraId="14665BA0">
            <w:pPr>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企业项目建设性质、规模、地点、生产工艺、环保措施等有重大变动时，建设单位应及时另行报批，必要时重新进行环境影响评价；</w:t>
            </w:r>
          </w:p>
          <w:p w14:paraId="25AB0045">
            <w:pPr>
              <w:adjustRightInd w:val="0"/>
              <w:snapToGrid w:val="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企业应在</w:t>
            </w:r>
            <w:r>
              <w:rPr>
                <w:rFonts w:hint="eastAsia"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投入生产前根据《排污许可管理办法(试行)》</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环境保护部令第48号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和《排污许可管理条例》等要求</w:t>
            </w:r>
            <w:r>
              <w:rPr>
                <w:rFonts w:hint="default" w:ascii="Times New Roman" w:hAnsi="Times New Roman" w:cs="Times New Roman"/>
                <w:color w:val="auto"/>
                <w:sz w:val="24"/>
                <w:szCs w:val="24"/>
                <w:lang w:val="en-US" w:eastAsia="zh-CN"/>
              </w:rPr>
              <w:t>办理或更新</w:t>
            </w:r>
            <w:r>
              <w:rPr>
                <w:rFonts w:hint="default" w:ascii="Times New Roman" w:hAnsi="Times New Roman" w:cs="Times New Roman"/>
                <w:color w:val="auto"/>
                <w:sz w:val="24"/>
                <w:szCs w:val="24"/>
              </w:rPr>
              <w:t>排污许可证。</w:t>
            </w:r>
          </w:p>
          <w:p w14:paraId="4B957B09">
            <w:pPr>
              <w:pStyle w:val="6"/>
              <w:rPr>
                <w:rFonts w:hint="default" w:ascii="Times New Roman" w:hAnsi="Times New Roman" w:cs="Times New Roman"/>
                <w:color w:val="auto"/>
                <w:sz w:val="24"/>
                <w:szCs w:val="24"/>
              </w:rPr>
            </w:pPr>
          </w:p>
          <w:p w14:paraId="0AE19E75">
            <w:pPr>
              <w:rPr>
                <w:rFonts w:hint="default" w:ascii="Times New Roman" w:hAnsi="Times New Roman" w:cs="Times New Roman"/>
                <w:color w:val="auto"/>
                <w:sz w:val="24"/>
                <w:szCs w:val="24"/>
              </w:rPr>
            </w:pPr>
          </w:p>
          <w:p w14:paraId="41D24646">
            <w:pPr>
              <w:pStyle w:val="6"/>
              <w:rPr>
                <w:rFonts w:hint="default" w:ascii="Times New Roman" w:hAnsi="Times New Roman" w:cs="Times New Roman"/>
                <w:color w:val="auto"/>
                <w:sz w:val="24"/>
                <w:szCs w:val="24"/>
              </w:rPr>
            </w:pPr>
          </w:p>
          <w:p w14:paraId="262BA603">
            <w:pPr>
              <w:rPr>
                <w:rFonts w:hint="default" w:ascii="Times New Roman" w:hAnsi="Times New Roman" w:cs="Times New Roman"/>
                <w:color w:val="auto"/>
                <w:sz w:val="24"/>
                <w:szCs w:val="24"/>
              </w:rPr>
            </w:pPr>
          </w:p>
          <w:p w14:paraId="53064A57">
            <w:pPr>
              <w:pStyle w:val="6"/>
              <w:rPr>
                <w:rFonts w:hint="default" w:ascii="Times New Roman" w:hAnsi="Times New Roman" w:cs="Times New Roman"/>
                <w:color w:val="auto"/>
                <w:sz w:val="24"/>
                <w:szCs w:val="24"/>
              </w:rPr>
            </w:pPr>
          </w:p>
          <w:p w14:paraId="2B52D079">
            <w:pPr>
              <w:rPr>
                <w:rFonts w:hint="default" w:ascii="Times New Roman" w:hAnsi="Times New Roman" w:cs="Times New Roman"/>
                <w:color w:val="auto"/>
                <w:sz w:val="24"/>
                <w:szCs w:val="24"/>
              </w:rPr>
            </w:pPr>
          </w:p>
          <w:p w14:paraId="7E356356">
            <w:pPr>
              <w:pStyle w:val="6"/>
              <w:rPr>
                <w:rFonts w:hint="default" w:ascii="Times New Roman" w:hAnsi="Times New Roman" w:cs="Times New Roman"/>
                <w:color w:val="auto"/>
                <w:sz w:val="24"/>
                <w:szCs w:val="24"/>
              </w:rPr>
            </w:pPr>
          </w:p>
          <w:p w14:paraId="05ED3ADE">
            <w:pPr>
              <w:rPr>
                <w:rFonts w:hint="default" w:ascii="Times New Roman" w:hAnsi="Times New Roman" w:cs="Times New Roman"/>
                <w:color w:val="auto"/>
                <w:sz w:val="24"/>
                <w:szCs w:val="24"/>
              </w:rPr>
            </w:pPr>
          </w:p>
          <w:p w14:paraId="753A76C8">
            <w:pPr>
              <w:pStyle w:val="6"/>
              <w:rPr>
                <w:rFonts w:hint="default" w:ascii="Times New Roman" w:hAnsi="Times New Roman" w:cs="Times New Roman"/>
                <w:color w:val="auto"/>
                <w:sz w:val="24"/>
                <w:szCs w:val="24"/>
              </w:rPr>
            </w:pPr>
          </w:p>
          <w:p w14:paraId="1596C9F4">
            <w:pPr>
              <w:rPr>
                <w:rFonts w:hint="default" w:ascii="Times New Roman" w:hAnsi="Times New Roman" w:cs="Times New Roman"/>
                <w:color w:val="auto"/>
                <w:sz w:val="24"/>
                <w:szCs w:val="24"/>
              </w:rPr>
            </w:pPr>
          </w:p>
          <w:p w14:paraId="70E8FABE">
            <w:pPr>
              <w:pStyle w:val="6"/>
              <w:rPr>
                <w:rFonts w:hint="default" w:ascii="Times New Roman" w:hAnsi="Times New Roman" w:cs="Times New Roman"/>
                <w:color w:val="auto"/>
                <w:sz w:val="24"/>
                <w:szCs w:val="24"/>
              </w:rPr>
            </w:pPr>
          </w:p>
          <w:p w14:paraId="38DCA005">
            <w:pPr>
              <w:rPr>
                <w:rFonts w:hint="default" w:ascii="Times New Roman" w:hAnsi="Times New Roman" w:cs="Times New Roman"/>
                <w:color w:val="auto"/>
                <w:sz w:val="24"/>
                <w:szCs w:val="24"/>
              </w:rPr>
            </w:pPr>
          </w:p>
          <w:p w14:paraId="38437297">
            <w:pPr>
              <w:pStyle w:val="6"/>
              <w:rPr>
                <w:rFonts w:hint="default" w:ascii="Times New Roman" w:hAnsi="Times New Roman" w:cs="Times New Roman"/>
                <w:color w:val="auto"/>
                <w:sz w:val="24"/>
                <w:szCs w:val="24"/>
              </w:rPr>
            </w:pPr>
          </w:p>
          <w:p w14:paraId="5724156A">
            <w:pPr>
              <w:rPr>
                <w:rFonts w:hint="default" w:ascii="Times New Roman" w:hAnsi="Times New Roman" w:cs="Times New Roman"/>
                <w:color w:val="auto"/>
                <w:sz w:val="24"/>
                <w:szCs w:val="24"/>
              </w:rPr>
            </w:pPr>
          </w:p>
          <w:p w14:paraId="12C88D10">
            <w:pPr>
              <w:pStyle w:val="6"/>
              <w:rPr>
                <w:rFonts w:hint="default" w:ascii="Times New Roman" w:hAnsi="Times New Roman" w:cs="Times New Roman"/>
                <w:color w:val="auto"/>
                <w:sz w:val="24"/>
                <w:szCs w:val="24"/>
              </w:rPr>
            </w:pPr>
          </w:p>
          <w:p w14:paraId="5AE7B183">
            <w:pPr>
              <w:rPr>
                <w:rFonts w:hint="default" w:ascii="Times New Roman" w:hAnsi="Times New Roman" w:cs="Times New Roman"/>
                <w:color w:val="auto"/>
                <w:sz w:val="24"/>
                <w:szCs w:val="24"/>
              </w:rPr>
            </w:pPr>
          </w:p>
          <w:p w14:paraId="1D4EFFBE">
            <w:pPr>
              <w:pStyle w:val="6"/>
              <w:rPr>
                <w:rFonts w:hint="default" w:ascii="Times New Roman" w:hAnsi="Times New Roman" w:cs="Times New Roman"/>
                <w:color w:val="auto"/>
                <w:sz w:val="24"/>
                <w:szCs w:val="24"/>
              </w:rPr>
            </w:pPr>
          </w:p>
          <w:p w14:paraId="032589C5">
            <w:pPr>
              <w:rPr>
                <w:rFonts w:hint="default" w:ascii="Times New Roman" w:hAnsi="Times New Roman" w:cs="Times New Roman"/>
                <w:color w:val="auto"/>
                <w:sz w:val="24"/>
                <w:szCs w:val="24"/>
              </w:rPr>
            </w:pPr>
          </w:p>
          <w:p w14:paraId="30A83947">
            <w:pPr>
              <w:pStyle w:val="6"/>
              <w:rPr>
                <w:rFonts w:hint="default" w:ascii="Times New Roman" w:hAnsi="Times New Roman" w:cs="Times New Roman"/>
                <w:color w:val="auto"/>
                <w:sz w:val="24"/>
                <w:szCs w:val="24"/>
              </w:rPr>
            </w:pPr>
          </w:p>
          <w:p w14:paraId="2CD94FE6">
            <w:pPr>
              <w:rPr>
                <w:rFonts w:hint="default"/>
                <w:color w:val="auto"/>
              </w:rPr>
            </w:pPr>
          </w:p>
        </w:tc>
      </w:tr>
    </w:tbl>
    <w:p w14:paraId="6C2FACCB">
      <w:pPr>
        <w:pStyle w:val="32"/>
        <w:jc w:val="center"/>
        <w:outlineLvl w:val="0"/>
        <w:rPr>
          <w:snapToGrid w:val="0"/>
          <w:color w:val="auto"/>
        </w:rPr>
        <w:sectPr>
          <w:pgSz w:w="11905" w:h="16838"/>
          <w:pgMar w:top="1440" w:right="1304" w:bottom="1440" w:left="1304" w:header="851" w:footer="1077" w:gutter="0"/>
          <w:pgBorders>
            <w:top w:val="none" w:sz="0" w:space="0"/>
            <w:left w:val="none" w:sz="0" w:space="0"/>
            <w:bottom w:val="none" w:sz="0" w:space="0"/>
            <w:right w:val="none" w:sz="0" w:space="0"/>
          </w:pgBorders>
          <w:cols w:space="720" w:num="1"/>
          <w:rtlGutter w:val="0"/>
          <w:docGrid w:type="linesAndChars" w:linePitch="312" w:charSpace="0"/>
        </w:sectPr>
      </w:pPr>
    </w:p>
    <w:p w14:paraId="6C95C565">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13"/>
      </w:tblGrid>
      <w:tr w14:paraId="0A1AD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center"/>
          </w:tcPr>
          <w:p w14:paraId="5F88BB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cs="宋体"/>
                <w:color w:val="auto"/>
                <w:sz w:val="24"/>
              </w:rPr>
            </w:pPr>
            <w:r>
              <w:rPr>
                <w:rFonts w:hint="eastAsia" w:ascii="宋体" w:cs="宋体"/>
                <w:color w:val="auto"/>
                <w:sz w:val="24"/>
                <w:lang w:eastAsia="zh-CN"/>
              </w:rPr>
              <w:t>本项目符合国家和</w:t>
            </w:r>
            <w:r>
              <w:rPr>
                <w:rFonts w:hint="eastAsia" w:ascii="宋体" w:cs="宋体"/>
                <w:color w:val="auto"/>
                <w:sz w:val="24"/>
                <w:lang w:val="en-US" w:eastAsia="zh-CN"/>
              </w:rPr>
              <w:t>地方</w:t>
            </w:r>
            <w:r>
              <w:rPr>
                <w:rFonts w:hint="eastAsia" w:ascii="宋体" w:cs="宋体"/>
                <w:color w:val="auto"/>
                <w:sz w:val="24"/>
                <w:lang w:eastAsia="zh-CN"/>
              </w:rPr>
              <w:t>有关产业、</w:t>
            </w:r>
            <w:r>
              <w:rPr>
                <w:rFonts w:hint="eastAsia" w:ascii="宋体" w:cs="宋体"/>
                <w:color w:val="auto"/>
                <w:sz w:val="24"/>
                <w:lang w:val="en-US" w:eastAsia="zh-CN"/>
              </w:rPr>
              <w:t>环境保护的政策和法规</w:t>
            </w:r>
            <w:r>
              <w:rPr>
                <w:rFonts w:hint="eastAsia" w:ascii="宋体" w:cs="宋体"/>
                <w:color w:val="auto"/>
                <w:sz w:val="24"/>
                <w:lang w:eastAsia="zh-CN"/>
              </w:rPr>
              <w:t>；</w:t>
            </w:r>
            <w:r>
              <w:rPr>
                <w:rFonts w:hint="eastAsia" w:ascii="宋体" w:cs="宋体"/>
                <w:color w:val="auto"/>
                <w:sz w:val="24"/>
                <w:lang w:val="en-US" w:eastAsia="zh-CN"/>
              </w:rPr>
              <w:t>项目选址合理、厂区布局合理，</w:t>
            </w:r>
            <w:r>
              <w:rPr>
                <w:rFonts w:hint="eastAsia" w:ascii="宋体" w:cs="宋体"/>
                <w:color w:val="auto"/>
                <w:sz w:val="24"/>
              </w:rPr>
              <w:t>符合“三线一单”要求</w:t>
            </w:r>
            <w:r>
              <w:rPr>
                <w:rFonts w:hint="eastAsia" w:ascii="宋体" w:cs="宋体"/>
                <w:color w:val="auto"/>
                <w:sz w:val="24"/>
                <w:lang w:eastAsia="zh-CN"/>
              </w:rPr>
              <w:t>，所在区域环境质量现状总体良好；</w:t>
            </w:r>
            <w:r>
              <w:rPr>
                <w:rFonts w:ascii="宋体" w:cs="宋体"/>
                <w:color w:val="auto"/>
                <w:sz w:val="24"/>
              </w:rPr>
              <w:t>项目污染物在达标排放情况下对周围环境影响较小，</w:t>
            </w:r>
            <w:r>
              <w:rPr>
                <w:rFonts w:hint="eastAsia" w:ascii="宋体" w:cs="宋体"/>
                <w:color w:val="auto"/>
                <w:sz w:val="24"/>
                <w:lang w:val="en-US" w:eastAsia="zh-CN"/>
              </w:rPr>
              <w:t>在</w:t>
            </w:r>
            <w:r>
              <w:rPr>
                <w:rFonts w:hint="eastAsia" w:ascii="宋体" w:cs="宋体"/>
                <w:color w:val="auto"/>
                <w:sz w:val="24"/>
              </w:rPr>
              <w:t>企业</w:t>
            </w:r>
            <w:r>
              <w:rPr>
                <w:rFonts w:ascii="宋体" w:cs="宋体"/>
                <w:color w:val="auto"/>
                <w:sz w:val="24"/>
              </w:rPr>
              <w:t>重视环保工作，认真落实评价提出的各项污染防治对策，加强对污染物的治理工作，做到环保工作专人分管，责任到人，加强对各类污染源的管理，落实环保治理所需要的资金，</w:t>
            </w:r>
            <w:r>
              <w:rPr>
                <w:rFonts w:hint="eastAsia" w:ascii="宋体" w:cs="宋体"/>
                <w:color w:val="auto"/>
                <w:sz w:val="24"/>
                <w:lang w:eastAsia="zh-CN"/>
              </w:rPr>
              <w:t>严格执行环境保护“三同时”制度</w:t>
            </w:r>
            <w:r>
              <w:rPr>
                <w:rFonts w:hint="eastAsia" w:ascii="宋体" w:cs="宋体"/>
                <w:color w:val="auto"/>
                <w:sz w:val="24"/>
                <w:lang w:val="en-US" w:eastAsia="zh-CN"/>
              </w:rPr>
              <w:t>的前提下，从环保的角度来看，</w:t>
            </w:r>
            <w:r>
              <w:rPr>
                <w:rFonts w:hint="eastAsia" w:cs="Times New Roman"/>
                <w:color w:val="auto"/>
                <w:sz w:val="24"/>
                <w:szCs w:val="24"/>
                <w:lang w:eastAsia="zh-CN"/>
              </w:rPr>
              <w:t>宁都县源盛液化石油气有限公司液化石油气储配站项目</w:t>
            </w:r>
            <w:r>
              <w:rPr>
                <w:rFonts w:hint="eastAsia" w:ascii="宋体" w:cs="宋体"/>
                <w:color w:val="auto"/>
                <w:sz w:val="24"/>
                <w:lang w:val="en-US" w:eastAsia="zh-CN"/>
              </w:rPr>
              <w:t>的建设是可行的</w:t>
            </w:r>
            <w:r>
              <w:rPr>
                <w:rFonts w:hint="eastAsia" w:ascii="宋体" w:cs="宋体"/>
                <w:color w:val="auto"/>
                <w:sz w:val="24"/>
              </w:rPr>
              <w:t>。</w:t>
            </w:r>
          </w:p>
          <w:p w14:paraId="652E37E0">
            <w:pPr>
              <w:pStyle w:val="71"/>
              <w:bidi w:val="0"/>
              <w:rPr>
                <w:rFonts w:ascii="宋体" w:cs="宋体"/>
                <w:color w:val="auto"/>
                <w:sz w:val="24"/>
              </w:rPr>
            </w:pPr>
          </w:p>
        </w:tc>
      </w:tr>
    </w:tbl>
    <w:p w14:paraId="1B4AEB69">
      <w:pPr>
        <w:rPr>
          <w:rFonts w:ascii="宋体"/>
          <w:color w:val="auto"/>
        </w:rPr>
        <w:sectPr>
          <w:pgSz w:w="11905" w:h="16838"/>
          <w:pgMar w:top="1440" w:right="1304" w:bottom="1440" w:left="1304" w:header="851" w:footer="1077" w:gutter="0"/>
          <w:pgBorders>
            <w:top w:val="none" w:sz="0" w:space="0"/>
            <w:left w:val="none" w:sz="0" w:space="0"/>
            <w:bottom w:val="none" w:sz="0" w:space="0"/>
            <w:right w:val="none" w:sz="0" w:space="0"/>
          </w:pgBorders>
          <w:cols w:space="720" w:num="1"/>
          <w:rtlGutter w:val="0"/>
          <w:docGrid w:type="linesAndChars" w:linePitch="312" w:charSpace="0"/>
        </w:sectPr>
      </w:pPr>
    </w:p>
    <w:p w14:paraId="0E84D277">
      <w:pPr>
        <w:pStyle w:val="32"/>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203C6CCC">
      <w:pPr>
        <w:pStyle w:val="32"/>
        <w:adjustRightInd w:val="0"/>
        <w:snapToGrid w:val="0"/>
        <w:spacing w:before="0" w:beforeAutospacing="0" w:after="0" w:afterAutospacing="0" w:line="240" w:lineRule="auto"/>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6"/>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1566"/>
        <w:gridCol w:w="1381"/>
        <w:gridCol w:w="1188"/>
        <w:gridCol w:w="1622"/>
        <w:gridCol w:w="1505"/>
        <w:gridCol w:w="1662"/>
        <w:gridCol w:w="1892"/>
        <w:gridCol w:w="1682"/>
      </w:tblGrid>
      <w:tr w14:paraId="7CE9E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tcBorders>
              <w:tl2br w:val="single" w:color="auto" w:sz="4" w:space="0"/>
            </w:tcBorders>
            <w:noWrap w:val="0"/>
            <w:tcMar>
              <w:left w:w="28" w:type="dxa"/>
              <w:right w:w="28" w:type="dxa"/>
            </w:tcMar>
            <w:vAlign w:val="center"/>
          </w:tcPr>
          <w:p w14:paraId="71615C6D">
            <w:pPr>
              <w:pStyle w:val="79"/>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0E98E8B6">
            <w:pPr>
              <w:pStyle w:val="79"/>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559" w:type="pct"/>
            <w:noWrap w:val="0"/>
            <w:tcMar>
              <w:left w:w="28" w:type="dxa"/>
              <w:right w:w="28" w:type="dxa"/>
            </w:tcMar>
            <w:vAlign w:val="center"/>
          </w:tcPr>
          <w:p w14:paraId="08A2E382">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493" w:type="pct"/>
            <w:noWrap w:val="0"/>
            <w:tcMar>
              <w:left w:w="28" w:type="dxa"/>
              <w:right w:w="28" w:type="dxa"/>
            </w:tcMar>
            <w:vAlign w:val="center"/>
          </w:tcPr>
          <w:p w14:paraId="17CAFB9F">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=1\*GB3\*MERGEFORMAT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424" w:type="pct"/>
            <w:noWrap w:val="0"/>
            <w:tcMar>
              <w:left w:w="28" w:type="dxa"/>
              <w:right w:w="28" w:type="dxa"/>
            </w:tcMar>
            <w:vAlign w:val="center"/>
          </w:tcPr>
          <w:p w14:paraId="499DCD6C">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38A2020E">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0DF2F433">
            <w:pPr>
              <w:pStyle w:val="79"/>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=2\*GB3\*MERGEFORMAT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579" w:type="pct"/>
            <w:noWrap w:val="0"/>
            <w:tcMar>
              <w:left w:w="28" w:type="dxa"/>
              <w:right w:w="28" w:type="dxa"/>
            </w:tcMar>
            <w:vAlign w:val="center"/>
          </w:tcPr>
          <w:p w14:paraId="0282D984">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=3\*GB3\*MERGEFORMAT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537" w:type="pct"/>
            <w:noWrap w:val="0"/>
            <w:tcMar>
              <w:left w:w="28" w:type="dxa"/>
              <w:right w:w="28" w:type="dxa"/>
            </w:tcMar>
            <w:vAlign w:val="center"/>
          </w:tcPr>
          <w:p w14:paraId="3563C817">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=4\*GB3\*MERGEFORMAT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593" w:type="pct"/>
            <w:noWrap w:val="0"/>
            <w:tcMar>
              <w:left w:w="28" w:type="dxa"/>
              <w:right w:w="28" w:type="dxa"/>
            </w:tcMar>
            <w:vAlign w:val="center"/>
          </w:tcPr>
          <w:p w14:paraId="2E207B55">
            <w:pPr>
              <w:pStyle w:val="79"/>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=5\*GB3\*MERGEFORMAT</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675" w:type="pct"/>
            <w:noWrap w:val="0"/>
            <w:tcMar>
              <w:left w:w="28" w:type="dxa"/>
              <w:right w:w="28" w:type="dxa"/>
            </w:tcMar>
            <w:vAlign w:val="center"/>
          </w:tcPr>
          <w:p w14:paraId="00BEE45E">
            <w:pPr>
              <w:pStyle w:val="79"/>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57D8D9F6">
            <w:pPr>
              <w:pStyle w:val="79"/>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=6\*GB3\*MERGEFORMAT</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600" w:type="pct"/>
            <w:noWrap w:val="0"/>
            <w:tcMar>
              <w:left w:w="28" w:type="dxa"/>
              <w:right w:w="28" w:type="dxa"/>
            </w:tcMar>
            <w:vAlign w:val="center"/>
          </w:tcPr>
          <w:p w14:paraId="07BB77A6">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787883BB">
            <w:pPr>
              <w:pStyle w:val="79"/>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=7\*GB3\*MERGEFORMAT</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463A6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noWrap w:val="0"/>
            <w:vAlign w:val="center"/>
          </w:tcPr>
          <w:p w14:paraId="23E37D5A">
            <w:pPr>
              <w:pStyle w:val="79"/>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559" w:type="pct"/>
            <w:noWrap w:val="0"/>
            <w:vAlign w:val="center"/>
          </w:tcPr>
          <w:p w14:paraId="0C180203">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非甲烷总烃</w:t>
            </w:r>
          </w:p>
        </w:tc>
        <w:tc>
          <w:tcPr>
            <w:tcW w:w="493" w:type="pct"/>
            <w:noWrap w:val="0"/>
            <w:vAlign w:val="center"/>
          </w:tcPr>
          <w:p w14:paraId="231C7526">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7D20EDCA">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6B015D1E">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2DF44CCD">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0.192</w:t>
            </w:r>
            <w:r>
              <w:rPr>
                <w:rFonts w:hint="eastAsia" w:ascii="Times New Roman" w:hAnsi="Times New Roman" w:eastAsia="宋体" w:cs="Times New Roman"/>
                <w:snapToGrid w:val="0"/>
                <w:color w:val="auto"/>
                <w:kern w:val="21"/>
                <w:szCs w:val="21"/>
                <w:lang w:val="en-US" w:eastAsia="zh-CN"/>
              </w:rPr>
              <w:t>t/a</w:t>
            </w:r>
          </w:p>
        </w:tc>
        <w:tc>
          <w:tcPr>
            <w:tcW w:w="593" w:type="pct"/>
            <w:noWrap w:val="0"/>
            <w:vAlign w:val="center"/>
          </w:tcPr>
          <w:p w14:paraId="4F98E302">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w:t>
            </w:r>
          </w:p>
        </w:tc>
        <w:tc>
          <w:tcPr>
            <w:tcW w:w="675" w:type="pct"/>
            <w:noWrap w:val="0"/>
            <w:vAlign w:val="center"/>
          </w:tcPr>
          <w:p w14:paraId="423AE8A4">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0.192</w:t>
            </w:r>
            <w:r>
              <w:rPr>
                <w:rFonts w:hint="eastAsia" w:ascii="Times New Roman" w:hAnsi="Times New Roman" w:eastAsia="宋体" w:cs="Times New Roman"/>
                <w:snapToGrid w:val="0"/>
                <w:color w:val="auto"/>
                <w:kern w:val="21"/>
                <w:szCs w:val="21"/>
                <w:lang w:val="en-US" w:eastAsia="zh-CN"/>
              </w:rPr>
              <w:t>t/a</w:t>
            </w:r>
          </w:p>
        </w:tc>
        <w:tc>
          <w:tcPr>
            <w:tcW w:w="600" w:type="pct"/>
            <w:noWrap w:val="0"/>
            <w:vAlign w:val="center"/>
          </w:tcPr>
          <w:p w14:paraId="4511FCF2">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0.192</w:t>
            </w:r>
            <w:r>
              <w:rPr>
                <w:rFonts w:hint="eastAsia" w:ascii="Times New Roman" w:hAnsi="Times New Roman" w:eastAsia="宋体" w:cs="Times New Roman"/>
                <w:snapToGrid w:val="0"/>
                <w:color w:val="auto"/>
                <w:kern w:val="21"/>
                <w:szCs w:val="21"/>
                <w:lang w:val="en-US" w:eastAsia="zh-CN"/>
              </w:rPr>
              <w:t>t/a</w:t>
            </w:r>
          </w:p>
        </w:tc>
      </w:tr>
      <w:tr w14:paraId="62F5D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restart"/>
            <w:noWrap w:val="0"/>
            <w:vAlign w:val="center"/>
          </w:tcPr>
          <w:p w14:paraId="32865415">
            <w:pPr>
              <w:pStyle w:val="79"/>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559" w:type="pct"/>
            <w:noWrap w:val="0"/>
            <w:vAlign w:val="center"/>
          </w:tcPr>
          <w:p w14:paraId="0129D663">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COD</w:t>
            </w:r>
          </w:p>
        </w:tc>
        <w:tc>
          <w:tcPr>
            <w:tcW w:w="493" w:type="pct"/>
            <w:noWrap w:val="0"/>
            <w:vAlign w:val="center"/>
          </w:tcPr>
          <w:p w14:paraId="173FF2C5">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178A0361">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7946C18D">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4548621B">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93" w:type="pct"/>
            <w:noWrap w:val="0"/>
            <w:vAlign w:val="center"/>
          </w:tcPr>
          <w:p w14:paraId="5749D694">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1D6B33FA">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00" w:type="pct"/>
            <w:noWrap w:val="0"/>
            <w:vAlign w:val="center"/>
          </w:tcPr>
          <w:p w14:paraId="1F7A6BA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r>
      <w:tr w14:paraId="6FC6B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6D2DEE1F">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073A5024">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TP</w:t>
            </w:r>
          </w:p>
        </w:tc>
        <w:tc>
          <w:tcPr>
            <w:tcW w:w="493" w:type="pct"/>
            <w:noWrap w:val="0"/>
            <w:vAlign w:val="center"/>
          </w:tcPr>
          <w:p w14:paraId="104E6137">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7F0C7131">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1E8440C2">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1E6AD7E1">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93" w:type="pct"/>
            <w:noWrap w:val="0"/>
            <w:vAlign w:val="center"/>
          </w:tcPr>
          <w:p w14:paraId="20CBE545">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2C0D5BBE">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00" w:type="pct"/>
            <w:noWrap w:val="0"/>
            <w:vAlign w:val="center"/>
          </w:tcPr>
          <w:p w14:paraId="4E525C1C">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r>
      <w:tr w14:paraId="27019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5B25A007">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1A496B79">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TN</w:t>
            </w:r>
          </w:p>
        </w:tc>
        <w:tc>
          <w:tcPr>
            <w:tcW w:w="493" w:type="pct"/>
            <w:noWrap w:val="0"/>
            <w:vAlign w:val="center"/>
          </w:tcPr>
          <w:p w14:paraId="4553A9F2">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60B05A66">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1225C9D9">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53644558">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93" w:type="pct"/>
            <w:noWrap w:val="0"/>
            <w:vAlign w:val="center"/>
          </w:tcPr>
          <w:p w14:paraId="207C6B71">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57D63AA7">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00" w:type="pct"/>
            <w:noWrap w:val="0"/>
            <w:vAlign w:val="center"/>
          </w:tcPr>
          <w:p w14:paraId="744A4B83">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r>
      <w:tr w14:paraId="3721A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4C909743">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52724750">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SS</w:t>
            </w:r>
          </w:p>
        </w:tc>
        <w:tc>
          <w:tcPr>
            <w:tcW w:w="493" w:type="pct"/>
            <w:noWrap w:val="0"/>
            <w:vAlign w:val="center"/>
          </w:tcPr>
          <w:p w14:paraId="70665613">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024B08F1">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5B8CC257">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0F5F051D">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93" w:type="pct"/>
            <w:noWrap w:val="0"/>
            <w:vAlign w:val="center"/>
          </w:tcPr>
          <w:p w14:paraId="228E47E5">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3E3695BB">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00" w:type="pct"/>
            <w:noWrap w:val="0"/>
            <w:vAlign w:val="center"/>
          </w:tcPr>
          <w:p w14:paraId="2E3557BF">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r>
      <w:tr w14:paraId="2718F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33A5BD2D">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7CA3C52C">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BOD</w:t>
            </w:r>
            <w:r>
              <w:rPr>
                <w:rFonts w:hint="eastAsia" w:ascii="Times New Roman" w:hAnsi="Times New Roman" w:cs="Times New Roman"/>
                <w:snapToGrid w:val="0"/>
                <w:color w:val="auto"/>
                <w:kern w:val="21"/>
                <w:szCs w:val="21"/>
                <w:vertAlign w:val="subscript"/>
                <w:lang w:val="en-US" w:eastAsia="zh-CN"/>
              </w:rPr>
              <w:t>5</w:t>
            </w:r>
          </w:p>
        </w:tc>
        <w:tc>
          <w:tcPr>
            <w:tcW w:w="493" w:type="pct"/>
            <w:noWrap w:val="0"/>
            <w:vAlign w:val="center"/>
          </w:tcPr>
          <w:p w14:paraId="04771330">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34E7A3F3">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106BF324">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683C12F8">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93" w:type="pct"/>
            <w:noWrap w:val="0"/>
            <w:vAlign w:val="center"/>
          </w:tcPr>
          <w:p w14:paraId="3CA5A05B">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116F65BE">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00" w:type="pct"/>
            <w:noWrap w:val="0"/>
            <w:vAlign w:val="center"/>
          </w:tcPr>
          <w:p w14:paraId="36F906ED">
            <w:pPr>
              <w:spacing w:beforeLines="0" w:afterLines="0" w:line="240" w:lineRule="auto"/>
              <w:jc w:val="center"/>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r>
      <w:tr w14:paraId="6A1F7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15CD8A58">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42129907">
            <w:pPr>
              <w:pStyle w:val="79"/>
              <w:spacing w:beforeLines="0" w:afterLines="0" w:line="240" w:lineRule="auto"/>
              <w:rPr>
                <w:rFonts w:hint="default" w:ascii="Times New Roman" w:hAnsi="Times New Roman" w:eastAsia="宋体" w:cs="Times New Roman"/>
                <w:snapToGrid w:val="0"/>
                <w:color w:val="auto"/>
                <w:kern w:val="21"/>
                <w:szCs w:val="21"/>
                <w:vertAlign w:val="baseline"/>
                <w:lang w:val="en-US" w:eastAsia="zh-CN"/>
              </w:rPr>
            </w:pPr>
            <w:r>
              <w:rPr>
                <w:rFonts w:hint="default" w:ascii="Times New Roman" w:hAnsi="Times New Roman" w:cs="Times New Roman"/>
                <w:snapToGrid w:val="0"/>
                <w:color w:val="auto"/>
                <w:kern w:val="21"/>
                <w:szCs w:val="21"/>
                <w:lang w:val="en-US" w:eastAsia="zh-CN"/>
              </w:rPr>
              <w:t>NH</w:t>
            </w:r>
            <w:r>
              <w:rPr>
                <w:rFonts w:hint="default" w:ascii="Times New Roman" w:hAnsi="Times New Roman" w:cs="Times New Roman"/>
                <w:snapToGrid w:val="0"/>
                <w:color w:val="auto"/>
                <w:kern w:val="21"/>
                <w:szCs w:val="21"/>
                <w:vertAlign w:val="subscript"/>
                <w:lang w:val="en-US" w:eastAsia="zh-CN"/>
              </w:rPr>
              <w:t>3</w:t>
            </w:r>
            <w:r>
              <w:rPr>
                <w:rFonts w:hint="default" w:ascii="Times New Roman" w:hAnsi="Times New Roman" w:cs="Times New Roman"/>
                <w:snapToGrid w:val="0"/>
                <w:color w:val="auto"/>
                <w:kern w:val="21"/>
                <w:szCs w:val="21"/>
                <w:vertAlign w:val="baseline"/>
                <w:lang w:val="en-US" w:eastAsia="zh-CN"/>
              </w:rPr>
              <w:t>-N</w:t>
            </w:r>
          </w:p>
        </w:tc>
        <w:tc>
          <w:tcPr>
            <w:tcW w:w="493" w:type="pct"/>
            <w:noWrap w:val="0"/>
            <w:vAlign w:val="center"/>
          </w:tcPr>
          <w:p w14:paraId="2A22E786">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24E70B15">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747C99A7">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6077276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93" w:type="pct"/>
            <w:noWrap w:val="0"/>
            <w:vAlign w:val="center"/>
          </w:tcPr>
          <w:p w14:paraId="70291247">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670ED09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00" w:type="pct"/>
            <w:noWrap w:val="0"/>
            <w:vAlign w:val="center"/>
          </w:tcPr>
          <w:p w14:paraId="3FE1398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r>
      <w:tr w14:paraId="56E48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restart"/>
            <w:noWrap w:val="0"/>
            <w:vAlign w:val="center"/>
          </w:tcPr>
          <w:p w14:paraId="6666E66A">
            <w:pPr>
              <w:pStyle w:val="79"/>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一般工业固体废物</w:t>
            </w:r>
          </w:p>
        </w:tc>
        <w:tc>
          <w:tcPr>
            <w:tcW w:w="559" w:type="pct"/>
            <w:noWrap w:val="0"/>
            <w:vAlign w:val="center"/>
          </w:tcPr>
          <w:p w14:paraId="72763CB8">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color w:val="auto"/>
                <w:sz w:val="21"/>
                <w:szCs w:val="21"/>
                <w:highlight w:val="none"/>
              </w:rPr>
              <w:t>生活垃圾</w:t>
            </w:r>
          </w:p>
        </w:tc>
        <w:tc>
          <w:tcPr>
            <w:tcW w:w="493" w:type="pct"/>
            <w:noWrap w:val="0"/>
            <w:vAlign w:val="center"/>
          </w:tcPr>
          <w:p w14:paraId="1A046026">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58704699">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4BB58155">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62EDB4FB">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9.125</w:t>
            </w:r>
            <w:r>
              <w:rPr>
                <w:rFonts w:hint="eastAsia" w:ascii="Times New Roman" w:hAnsi="Times New Roman" w:cs="Times New Roman"/>
                <w:snapToGrid w:val="0"/>
                <w:color w:val="auto"/>
                <w:kern w:val="21"/>
                <w:szCs w:val="21"/>
                <w:lang w:val="en-US" w:eastAsia="zh-CN"/>
              </w:rPr>
              <w:t>t/a</w:t>
            </w:r>
          </w:p>
        </w:tc>
        <w:tc>
          <w:tcPr>
            <w:tcW w:w="593" w:type="pct"/>
            <w:noWrap w:val="0"/>
            <w:vAlign w:val="center"/>
          </w:tcPr>
          <w:p w14:paraId="6DD50984">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358A8FA0">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9.125</w:t>
            </w:r>
            <w:r>
              <w:rPr>
                <w:rFonts w:hint="eastAsia" w:ascii="Times New Roman" w:hAnsi="Times New Roman" w:cs="Times New Roman"/>
                <w:snapToGrid w:val="0"/>
                <w:color w:val="auto"/>
                <w:kern w:val="21"/>
                <w:szCs w:val="21"/>
                <w:lang w:val="en-US" w:eastAsia="zh-CN"/>
              </w:rPr>
              <w:t>t/a</w:t>
            </w:r>
          </w:p>
        </w:tc>
        <w:tc>
          <w:tcPr>
            <w:tcW w:w="600" w:type="pct"/>
            <w:noWrap w:val="0"/>
            <w:vAlign w:val="center"/>
          </w:tcPr>
          <w:p w14:paraId="67C14173">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9.125</w:t>
            </w:r>
            <w:r>
              <w:rPr>
                <w:rFonts w:hint="eastAsia" w:ascii="Times New Roman" w:hAnsi="Times New Roman" w:cs="Times New Roman"/>
                <w:snapToGrid w:val="0"/>
                <w:color w:val="auto"/>
                <w:kern w:val="21"/>
                <w:szCs w:val="21"/>
                <w:lang w:val="en-US" w:eastAsia="zh-CN"/>
              </w:rPr>
              <w:t>t/a</w:t>
            </w:r>
          </w:p>
        </w:tc>
      </w:tr>
      <w:tr w14:paraId="308D7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22A1330F">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589DFD2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color w:val="auto"/>
                <w:sz w:val="21"/>
                <w:szCs w:val="21"/>
                <w:highlight w:val="none"/>
                <w:lang w:eastAsia="zh-CN"/>
              </w:rPr>
              <w:t>不合格钢瓶</w:t>
            </w:r>
          </w:p>
        </w:tc>
        <w:tc>
          <w:tcPr>
            <w:tcW w:w="493" w:type="pct"/>
            <w:noWrap w:val="0"/>
            <w:vAlign w:val="center"/>
          </w:tcPr>
          <w:p w14:paraId="6B60ED4D">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31CDCC34">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41F4A0B3">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296977EE">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color w:val="auto"/>
                <w:lang w:val="en-US" w:eastAsia="zh-CN"/>
              </w:rPr>
              <w:t>1205</w:t>
            </w:r>
            <w:r>
              <w:rPr>
                <w:rFonts w:hint="eastAsia" w:ascii="Times New Roman" w:hAnsi="Times New Roman" w:cs="Times New Roman"/>
                <w:color w:val="auto"/>
                <w:lang w:val="en-US" w:eastAsia="zh-CN"/>
              </w:rPr>
              <w:t>个</w:t>
            </w:r>
            <w:r>
              <w:rPr>
                <w:rFonts w:hint="eastAsia" w:ascii="Times New Roman" w:hAnsi="Times New Roman" w:cs="Times New Roman"/>
                <w:snapToGrid w:val="0"/>
                <w:color w:val="auto"/>
                <w:kern w:val="21"/>
                <w:szCs w:val="21"/>
                <w:lang w:val="en-US" w:eastAsia="zh-CN"/>
              </w:rPr>
              <w:t>/a</w:t>
            </w:r>
          </w:p>
        </w:tc>
        <w:tc>
          <w:tcPr>
            <w:tcW w:w="593" w:type="pct"/>
            <w:noWrap w:val="0"/>
            <w:vAlign w:val="center"/>
          </w:tcPr>
          <w:p w14:paraId="6F6B0FE1">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1FD9F7B1">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color w:val="auto"/>
                <w:lang w:val="en-US" w:eastAsia="zh-CN"/>
              </w:rPr>
              <w:t>1205</w:t>
            </w:r>
            <w:r>
              <w:rPr>
                <w:rFonts w:hint="eastAsia" w:ascii="Times New Roman" w:hAnsi="Times New Roman" w:cs="Times New Roman"/>
                <w:color w:val="auto"/>
                <w:lang w:val="en-US" w:eastAsia="zh-CN"/>
              </w:rPr>
              <w:t>个</w:t>
            </w:r>
            <w:r>
              <w:rPr>
                <w:rFonts w:hint="eastAsia" w:ascii="Times New Roman" w:hAnsi="Times New Roman" w:cs="Times New Roman"/>
                <w:snapToGrid w:val="0"/>
                <w:color w:val="auto"/>
                <w:kern w:val="21"/>
                <w:szCs w:val="21"/>
                <w:lang w:val="en-US" w:eastAsia="zh-CN"/>
              </w:rPr>
              <w:t>/a</w:t>
            </w:r>
          </w:p>
        </w:tc>
        <w:tc>
          <w:tcPr>
            <w:tcW w:w="600" w:type="pct"/>
            <w:noWrap w:val="0"/>
            <w:vAlign w:val="center"/>
          </w:tcPr>
          <w:p w14:paraId="65A26EA1">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color w:val="auto"/>
                <w:lang w:val="en-US" w:eastAsia="zh-CN"/>
              </w:rPr>
              <w:t>+</w:t>
            </w:r>
            <w:r>
              <w:rPr>
                <w:rFonts w:hint="eastAsia" w:ascii="Times New Roman" w:cs="Times New Roman"/>
                <w:color w:val="auto"/>
                <w:lang w:val="en-US" w:eastAsia="zh-CN"/>
              </w:rPr>
              <w:t>1205</w:t>
            </w:r>
            <w:r>
              <w:rPr>
                <w:rFonts w:hint="eastAsia" w:ascii="Times New Roman" w:hAnsi="Times New Roman" w:cs="Times New Roman"/>
                <w:color w:val="auto"/>
                <w:lang w:val="en-US" w:eastAsia="zh-CN"/>
              </w:rPr>
              <w:t>个</w:t>
            </w:r>
            <w:r>
              <w:rPr>
                <w:rFonts w:hint="eastAsia" w:ascii="Times New Roman" w:hAnsi="Times New Roman" w:cs="Times New Roman"/>
                <w:snapToGrid w:val="0"/>
                <w:color w:val="auto"/>
                <w:kern w:val="21"/>
                <w:szCs w:val="21"/>
                <w:lang w:val="en-US" w:eastAsia="zh-CN"/>
              </w:rPr>
              <w:t>/a</w:t>
            </w:r>
          </w:p>
        </w:tc>
      </w:tr>
      <w:tr w14:paraId="68FF8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00245C89">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234D407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废油脂</w:t>
            </w:r>
          </w:p>
        </w:tc>
        <w:tc>
          <w:tcPr>
            <w:tcW w:w="493" w:type="pct"/>
            <w:noWrap w:val="0"/>
            <w:vAlign w:val="center"/>
          </w:tcPr>
          <w:p w14:paraId="74C2CFB4">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6455740C">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3A644DA0">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760597C5">
            <w:pPr>
              <w:pStyle w:val="79"/>
              <w:spacing w:beforeLines="0" w:afterLines="0" w:line="240" w:lineRule="auto"/>
              <w:rPr>
                <w:rFonts w:hint="default" w:ascii="Times New Roman" w:cs="Times New Roman"/>
                <w:color w:val="auto"/>
                <w:lang w:val="en-US" w:eastAsia="zh-CN"/>
              </w:rPr>
            </w:pPr>
            <w:r>
              <w:rPr>
                <w:rFonts w:hint="eastAsia" w:ascii="Times New Roman" w:cs="Times New Roman"/>
                <w:color w:val="auto"/>
                <w:lang w:val="en-US" w:eastAsia="zh-CN"/>
              </w:rPr>
              <w:t>0.0193t/a</w:t>
            </w:r>
          </w:p>
        </w:tc>
        <w:tc>
          <w:tcPr>
            <w:tcW w:w="593" w:type="pct"/>
            <w:noWrap w:val="0"/>
            <w:vAlign w:val="center"/>
          </w:tcPr>
          <w:p w14:paraId="59AA5FD2">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7F9478D4">
            <w:pPr>
              <w:pStyle w:val="79"/>
              <w:spacing w:beforeLines="0" w:afterLines="0" w:line="240" w:lineRule="auto"/>
              <w:rPr>
                <w:rFonts w:hint="eastAsia" w:ascii="Times New Roman" w:cs="Times New Roman"/>
                <w:color w:val="auto"/>
                <w:lang w:val="en-US" w:eastAsia="zh-CN"/>
              </w:rPr>
            </w:pPr>
            <w:r>
              <w:rPr>
                <w:rFonts w:hint="eastAsia" w:ascii="Times New Roman" w:cs="Times New Roman"/>
                <w:color w:val="auto"/>
                <w:lang w:val="en-US" w:eastAsia="zh-CN"/>
              </w:rPr>
              <w:t>0.0193t/a</w:t>
            </w:r>
          </w:p>
        </w:tc>
        <w:tc>
          <w:tcPr>
            <w:tcW w:w="600" w:type="pct"/>
            <w:noWrap w:val="0"/>
            <w:vAlign w:val="center"/>
          </w:tcPr>
          <w:p w14:paraId="4CC6EDD5">
            <w:pPr>
              <w:pStyle w:val="79"/>
              <w:spacing w:beforeLines="0" w:afterLines="0" w:line="240" w:lineRule="auto"/>
              <w:rPr>
                <w:rFonts w:hint="eastAsia" w:ascii="Times New Roman" w:hAnsi="Times New Roman" w:cs="Times New Roman"/>
                <w:color w:val="auto"/>
                <w:lang w:val="en-US" w:eastAsia="zh-CN"/>
              </w:rPr>
            </w:pPr>
            <w:r>
              <w:rPr>
                <w:rFonts w:hint="eastAsia" w:ascii="Times New Roman" w:cs="Times New Roman"/>
                <w:color w:val="auto"/>
                <w:lang w:val="en-US" w:eastAsia="zh-CN"/>
              </w:rPr>
              <w:t>+0.0193t/a</w:t>
            </w:r>
          </w:p>
        </w:tc>
      </w:tr>
      <w:tr w14:paraId="12E96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restart"/>
            <w:noWrap w:val="0"/>
            <w:vAlign w:val="center"/>
          </w:tcPr>
          <w:p w14:paraId="5EA15541">
            <w:pPr>
              <w:pStyle w:val="79"/>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559" w:type="pct"/>
            <w:noWrap w:val="0"/>
            <w:vAlign w:val="center"/>
          </w:tcPr>
          <w:p w14:paraId="73738DD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cs="Times New Roman"/>
                <w:snapToGrid w:val="0"/>
                <w:color w:val="auto"/>
                <w:kern w:val="21"/>
                <w:szCs w:val="21"/>
              </w:rPr>
            </w:pPr>
            <w:r>
              <w:rPr>
                <w:rFonts w:hint="eastAsia" w:ascii="Times New Roman" w:hAnsi="Times New Roman" w:eastAsia="宋体" w:cs="Times New Roman"/>
                <w:color w:val="auto"/>
                <w:sz w:val="21"/>
                <w:szCs w:val="21"/>
                <w:highlight w:val="none"/>
                <w:lang w:eastAsia="zh-CN"/>
              </w:rPr>
              <w:t>残液</w:t>
            </w:r>
          </w:p>
        </w:tc>
        <w:tc>
          <w:tcPr>
            <w:tcW w:w="493" w:type="pct"/>
            <w:noWrap w:val="0"/>
            <w:vAlign w:val="center"/>
          </w:tcPr>
          <w:p w14:paraId="4CF835ED">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7F525692">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5E7CE227">
            <w:pPr>
              <w:pStyle w:val="79"/>
              <w:spacing w:beforeLines="0" w:afterLines="0" w:line="240" w:lineRule="auto"/>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6497B018">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43.2</w:t>
            </w:r>
            <w:r>
              <w:rPr>
                <w:rFonts w:hint="eastAsia" w:ascii="Times New Roman" w:hAnsi="Times New Roman" w:cs="Times New Roman"/>
                <w:snapToGrid w:val="0"/>
                <w:color w:val="auto"/>
                <w:kern w:val="21"/>
                <w:szCs w:val="21"/>
                <w:lang w:val="en-US" w:eastAsia="zh-CN"/>
              </w:rPr>
              <w:t>t/a</w:t>
            </w:r>
          </w:p>
        </w:tc>
        <w:tc>
          <w:tcPr>
            <w:tcW w:w="593" w:type="pct"/>
            <w:noWrap w:val="0"/>
            <w:vAlign w:val="center"/>
          </w:tcPr>
          <w:p w14:paraId="1A618F6A">
            <w:pPr>
              <w:pStyle w:val="79"/>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07A095CD">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43.2</w:t>
            </w:r>
            <w:r>
              <w:rPr>
                <w:rFonts w:hint="eastAsia" w:ascii="Times New Roman" w:hAnsi="Times New Roman" w:cs="Times New Roman"/>
                <w:snapToGrid w:val="0"/>
                <w:color w:val="auto"/>
                <w:kern w:val="21"/>
                <w:szCs w:val="21"/>
                <w:lang w:val="en-US" w:eastAsia="zh-CN"/>
              </w:rPr>
              <w:t>t/a</w:t>
            </w:r>
          </w:p>
        </w:tc>
        <w:tc>
          <w:tcPr>
            <w:tcW w:w="600" w:type="pct"/>
            <w:noWrap w:val="0"/>
            <w:vAlign w:val="center"/>
          </w:tcPr>
          <w:p w14:paraId="533BF485">
            <w:pPr>
              <w:pStyle w:val="79"/>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43.2</w:t>
            </w:r>
            <w:r>
              <w:rPr>
                <w:rFonts w:hint="eastAsia" w:ascii="Times New Roman" w:hAnsi="Times New Roman" w:cs="Times New Roman"/>
                <w:snapToGrid w:val="0"/>
                <w:color w:val="auto"/>
                <w:kern w:val="21"/>
                <w:szCs w:val="21"/>
                <w:lang w:val="en-US" w:eastAsia="zh-CN"/>
              </w:rPr>
              <w:t>t/a</w:t>
            </w:r>
          </w:p>
        </w:tc>
      </w:tr>
      <w:tr w14:paraId="7282A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271DF805">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525134A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kern w:val="0"/>
                <w:sz w:val="24"/>
                <w:szCs w:val="24"/>
                <w:lang w:val="en-US" w:eastAsia="zh-CN" w:bidi="ar"/>
              </w:rPr>
              <w:t>废机油</w:t>
            </w:r>
          </w:p>
        </w:tc>
        <w:tc>
          <w:tcPr>
            <w:tcW w:w="493" w:type="pct"/>
            <w:noWrap w:val="0"/>
            <w:vAlign w:val="center"/>
          </w:tcPr>
          <w:p w14:paraId="34D2E7A9">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78247347">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7AF3D71D">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1FDB654B">
            <w:pPr>
              <w:pStyle w:val="79"/>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0.5</w:t>
            </w:r>
            <w:r>
              <w:rPr>
                <w:rFonts w:hint="eastAsia" w:ascii="Times New Roman" w:hAnsi="Times New Roman" w:cs="Times New Roman"/>
                <w:snapToGrid w:val="0"/>
                <w:color w:val="auto"/>
                <w:kern w:val="21"/>
                <w:szCs w:val="21"/>
                <w:lang w:val="en-US" w:eastAsia="zh-CN"/>
              </w:rPr>
              <w:t>t/a</w:t>
            </w:r>
          </w:p>
        </w:tc>
        <w:tc>
          <w:tcPr>
            <w:tcW w:w="593" w:type="pct"/>
            <w:noWrap w:val="0"/>
            <w:vAlign w:val="center"/>
          </w:tcPr>
          <w:p w14:paraId="36E58718">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5E8E9ED1">
            <w:pPr>
              <w:pStyle w:val="79"/>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0.5</w:t>
            </w:r>
            <w:r>
              <w:rPr>
                <w:rFonts w:hint="eastAsia" w:ascii="Times New Roman" w:hAnsi="Times New Roman" w:cs="Times New Roman"/>
                <w:snapToGrid w:val="0"/>
                <w:color w:val="auto"/>
                <w:kern w:val="21"/>
                <w:szCs w:val="21"/>
                <w:lang w:val="en-US" w:eastAsia="zh-CN"/>
              </w:rPr>
              <w:t>t/a</w:t>
            </w:r>
          </w:p>
        </w:tc>
        <w:tc>
          <w:tcPr>
            <w:tcW w:w="600" w:type="pct"/>
            <w:noWrap w:val="0"/>
            <w:vAlign w:val="center"/>
          </w:tcPr>
          <w:p w14:paraId="564A8FFD">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+0.5</w:t>
            </w:r>
            <w:r>
              <w:rPr>
                <w:rFonts w:hint="eastAsia" w:ascii="Times New Roman" w:hAnsi="Times New Roman" w:cs="Times New Roman"/>
                <w:snapToGrid w:val="0"/>
                <w:color w:val="auto"/>
                <w:kern w:val="21"/>
                <w:szCs w:val="21"/>
                <w:lang w:val="en-US" w:eastAsia="zh-CN"/>
              </w:rPr>
              <w:t>t/a</w:t>
            </w:r>
          </w:p>
        </w:tc>
      </w:tr>
      <w:tr w14:paraId="3AD2F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63089E95">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41EF776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kern w:val="0"/>
                <w:sz w:val="24"/>
                <w:szCs w:val="24"/>
                <w:lang w:val="en-US" w:eastAsia="zh-CN" w:bidi="ar"/>
              </w:rPr>
              <w:t>废油桶</w:t>
            </w:r>
          </w:p>
        </w:tc>
        <w:tc>
          <w:tcPr>
            <w:tcW w:w="493" w:type="pct"/>
            <w:noWrap w:val="0"/>
            <w:vAlign w:val="center"/>
          </w:tcPr>
          <w:p w14:paraId="245119C6">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22FEDD52">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6E8079E2">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65AC730B">
            <w:pPr>
              <w:pStyle w:val="79"/>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0.05</w:t>
            </w:r>
            <w:r>
              <w:rPr>
                <w:rFonts w:hint="eastAsia" w:ascii="Times New Roman" w:hAnsi="Times New Roman" w:cs="Times New Roman"/>
                <w:snapToGrid w:val="0"/>
                <w:color w:val="auto"/>
                <w:kern w:val="21"/>
                <w:szCs w:val="21"/>
                <w:lang w:val="en-US" w:eastAsia="zh-CN"/>
              </w:rPr>
              <w:t>t/a</w:t>
            </w:r>
          </w:p>
        </w:tc>
        <w:tc>
          <w:tcPr>
            <w:tcW w:w="593" w:type="pct"/>
            <w:noWrap w:val="0"/>
            <w:vAlign w:val="center"/>
          </w:tcPr>
          <w:p w14:paraId="08A72F32">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4729BD0B">
            <w:pPr>
              <w:pStyle w:val="79"/>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0.05</w:t>
            </w:r>
            <w:r>
              <w:rPr>
                <w:rFonts w:hint="eastAsia" w:ascii="Times New Roman" w:hAnsi="Times New Roman" w:cs="Times New Roman"/>
                <w:snapToGrid w:val="0"/>
                <w:color w:val="auto"/>
                <w:kern w:val="21"/>
                <w:szCs w:val="21"/>
                <w:lang w:val="en-US" w:eastAsia="zh-CN"/>
              </w:rPr>
              <w:t>t/a</w:t>
            </w:r>
          </w:p>
        </w:tc>
        <w:tc>
          <w:tcPr>
            <w:tcW w:w="600" w:type="pct"/>
            <w:noWrap w:val="0"/>
            <w:vAlign w:val="center"/>
          </w:tcPr>
          <w:p w14:paraId="724D2335">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+0.05</w:t>
            </w:r>
            <w:r>
              <w:rPr>
                <w:rFonts w:hint="eastAsia" w:ascii="Times New Roman" w:hAnsi="Times New Roman" w:cs="Times New Roman"/>
                <w:snapToGrid w:val="0"/>
                <w:color w:val="auto"/>
                <w:kern w:val="21"/>
                <w:szCs w:val="21"/>
                <w:lang w:val="en-US" w:eastAsia="zh-CN"/>
              </w:rPr>
              <w:t>t/a</w:t>
            </w:r>
          </w:p>
        </w:tc>
      </w:tr>
      <w:tr w14:paraId="5D7CA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Merge w:val="continue"/>
            <w:noWrap w:val="0"/>
            <w:vAlign w:val="center"/>
          </w:tcPr>
          <w:p w14:paraId="7042D2D5">
            <w:pPr>
              <w:pStyle w:val="79"/>
              <w:spacing w:beforeLines="0" w:afterLines="0" w:line="240" w:lineRule="auto"/>
              <w:rPr>
                <w:rFonts w:hint="default" w:ascii="Times New Roman" w:hAnsi="Times New Roman" w:cs="Times New Roman"/>
                <w:snapToGrid w:val="0"/>
                <w:color w:val="auto"/>
                <w:kern w:val="21"/>
                <w:szCs w:val="21"/>
              </w:rPr>
            </w:pPr>
          </w:p>
        </w:tc>
        <w:tc>
          <w:tcPr>
            <w:tcW w:w="559" w:type="pct"/>
            <w:noWrap w:val="0"/>
            <w:vAlign w:val="center"/>
          </w:tcPr>
          <w:p w14:paraId="36DFE6D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含油抹布</w:t>
            </w:r>
          </w:p>
        </w:tc>
        <w:tc>
          <w:tcPr>
            <w:tcW w:w="493" w:type="pct"/>
            <w:noWrap w:val="0"/>
            <w:vAlign w:val="center"/>
          </w:tcPr>
          <w:p w14:paraId="0C0D3CEE">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424" w:type="pct"/>
            <w:noWrap w:val="0"/>
            <w:vAlign w:val="center"/>
          </w:tcPr>
          <w:p w14:paraId="7F255152">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79" w:type="pct"/>
            <w:noWrap w:val="0"/>
            <w:vAlign w:val="center"/>
          </w:tcPr>
          <w:p w14:paraId="1D72540F">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537" w:type="pct"/>
            <w:noWrap w:val="0"/>
            <w:vAlign w:val="center"/>
          </w:tcPr>
          <w:p w14:paraId="07649A9A">
            <w:pPr>
              <w:pStyle w:val="79"/>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w:t>
            </w:r>
            <w:r>
              <w:rPr>
                <w:rFonts w:hint="eastAsia" w:ascii="Times New Roman" w:hAnsi="Times New Roman" w:cs="Times New Roman"/>
                <w:snapToGrid w:val="0"/>
                <w:color w:val="auto"/>
                <w:kern w:val="21"/>
                <w:szCs w:val="21"/>
                <w:lang w:val="en-US" w:eastAsia="zh-CN"/>
              </w:rPr>
              <w:t>t/a</w:t>
            </w:r>
          </w:p>
        </w:tc>
        <w:tc>
          <w:tcPr>
            <w:tcW w:w="593" w:type="pct"/>
            <w:noWrap w:val="0"/>
            <w:vAlign w:val="center"/>
          </w:tcPr>
          <w:p w14:paraId="2D6C3F01">
            <w:pPr>
              <w:pStyle w:val="79"/>
              <w:spacing w:beforeLines="0" w:afterLines="0" w:line="240" w:lineRule="auto"/>
              <w:rPr>
                <w:rFonts w:hint="eastAsia"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675" w:type="pct"/>
            <w:noWrap w:val="0"/>
            <w:vAlign w:val="center"/>
          </w:tcPr>
          <w:p w14:paraId="26C60AB6">
            <w:pPr>
              <w:pStyle w:val="79"/>
              <w:spacing w:beforeLines="0" w:afterLines="0" w:line="240" w:lineRule="auto"/>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w:t>
            </w:r>
            <w:r>
              <w:rPr>
                <w:rFonts w:hint="eastAsia" w:ascii="Times New Roman" w:hAnsi="Times New Roman" w:cs="Times New Roman"/>
                <w:snapToGrid w:val="0"/>
                <w:color w:val="auto"/>
                <w:kern w:val="21"/>
                <w:szCs w:val="21"/>
                <w:lang w:val="en-US" w:eastAsia="zh-CN"/>
              </w:rPr>
              <w:t>t/a</w:t>
            </w:r>
          </w:p>
        </w:tc>
        <w:tc>
          <w:tcPr>
            <w:tcW w:w="600" w:type="pct"/>
            <w:noWrap w:val="0"/>
            <w:vAlign w:val="center"/>
          </w:tcPr>
          <w:p w14:paraId="4B406468">
            <w:pPr>
              <w:pStyle w:val="79"/>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+0.01</w:t>
            </w:r>
            <w:r>
              <w:rPr>
                <w:rFonts w:hint="eastAsia" w:ascii="Times New Roman" w:hAnsi="Times New Roman" w:cs="Times New Roman"/>
                <w:snapToGrid w:val="0"/>
                <w:color w:val="auto"/>
                <w:kern w:val="21"/>
                <w:szCs w:val="21"/>
                <w:lang w:val="en-US" w:eastAsia="zh-CN"/>
              </w:rPr>
              <w:t>t/a</w:t>
            </w:r>
          </w:p>
        </w:tc>
      </w:tr>
    </w:tbl>
    <w:p w14:paraId="7E380F29">
      <w:pPr>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=6\*GB3\*MERGEFORMAT</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=1\*GB3\*MERGEFORMAT</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=3\*GB3\*MERGEFORMAT</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=4\*GB3\*MERGEFORMAT</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=5\*GB3\*MERGEFORMAT</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=7\*GB3\*MERGEFORMAT</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=6\*GB3\*MERGEFORMAT</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=1\*GB3\*MERGEFORMAT</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04B66A62">
      <w:pPr>
        <w:rPr>
          <w:color w:val="auto"/>
        </w:rPr>
      </w:pPr>
    </w:p>
    <w:sectPr>
      <w:footerReference r:id="rId6" w:type="default"/>
      <w:pgSz w:w="16838" w:h="11905" w:orient="landscape"/>
      <w:pgMar w:top="1304" w:right="1440" w:bottom="1304" w:left="1440" w:header="851" w:footer="1077" w:gutter="0"/>
      <w:pgBorders>
        <w:top w:val="none" w:sz="0" w:space="0"/>
        <w:left w:val="none" w:sz="0" w:space="0"/>
        <w:bottom w:val="none" w:sz="0" w:space="0"/>
        <w:right w:val="none" w:sz="0" w:space="0"/>
      </w:pgBorders>
      <w:cols w:space="72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3708B2-D021-46C4-BD55-7017A56012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B822698-8C42-47B1-B099-3D8D3C05BFE9}"/>
  </w:font>
  <w:font w:name="H2O">
    <w:panose1 w:val="00000400000000000000"/>
    <w:charset w:val="00"/>
    <w:family w:val="auto"/>
    <w:pitch w:val="default"/>
    <w:sig w:usb0="00000003"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embedRegular r:id="rId3" w:fontKey="{3DC8C9CD-27E3-4A2E-A62E-CF572E40D867}"/>
  </w:font>
  <w:font w:name="仿宋_GB2312">
    <w:panose1 w:val="02010609030101010101"/>
    <w:charset w:val="86"/>
    <w:family w:val="modern"/>
    <w:pitch w:val="default"/>
    <w:sig w:usb0="00000001" w:usb1="080E0000" w:usb2="00000000" w:usb3="00000000" w:csb0="00040000" w:csb1="00000000"/>
    <w:embedRegular r:id="rId4" w:fontKey="{09EE4245-409B-4302-BB9A-CBA96BEB1616}"/>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 w:name="方正小标宋_GBK">
    <w:panose1 w:val="02000000000000000000"/>
    <w:charset w:val="86"/>
    <w:family w:val="script"/>
    <w:pitch w:val="default"/>
    <w:sig w:usb0="A00002BF" w:usb1="38CF7CFA" w:usb2="00082016" w:usb3="00000000" w:csb0="00040001" w:csb1="00000000"/>
    <w:embedRegular r:id="rId5" w:fontKey="{C667EDC8-81A5-4EAB-AF23-B4802C864EDB}"/>
  </w:font>
  <w:font w:name="华文仿宋">
    <w:panose1 w:val="02010600040101010101"/>
    <w:charset w:val="86"/>
    <w:family w:val="auto"/>
    <w:pitch w:val="default"/>
    <w:sig w:usb0="00000287" w:usb1="080F0000" w:usb2="00000000" w:usb3="00000000" w:csb0="0004009F" w:csb1="DFD70000"/>
    <w:embedRegular r:id="rId6" w:fontKey="{32BF3FCD-869F-4ADB-B6A6-A9C5338167B6}"/>
  </w:font>
  <w:font w:name="仿宋">
    <w:panose1 w:val="02010609060101010101"/>
    <w:charset w:val="86"/>
    <w:family w:val="auto"/>
    <w:pitch w:val="default"/>
    <w:sig w:usb0="800002BF" w:usb1="38CF7CFA" w:usb2="00000016" w:usb3="00000000" w:csb0="00040001" w:csb1="00000000"/>
    <w:embedRegular r:id="rId7" w:fontKey="{3FB3C905-7D8A-44D8-8FC1-4206DED30E74}"/>
  </w:font>
  <w:font w:name="Wingdings 2">
    <w:panose1 w:val="05020102010507070707"/>
    <w:charset w:val="02"/>
    <w:family w:val="auto"/>
    <w:pitch w:val="default"/>
    <w:sig w:usb0="00000000" w:usb1="00000000" w:usb2="00000000" w:usb3="00000000" w:csb0="80000000" w:csb1="00000000"/>
    <w:embedRegular r:id="rId8" w:fontKey="{AC08C813-5F7C-4B67-B505-21850108604C}"/>
  </w:font>
  <w:font w:name="NimbusRomNo9L-Regu">
    <w:altName w:val="宋体"/>
    <w:panose1 w:val="00000000000000000000"/>
    <w:charset w:val="86"/>
    <w:family w:val="auto"/>
    <w:pitch w:val="default"/>
    <w:sig w:usb0="00000000" w:usb1="00000000" w:usb2="00000000" w:usb3="00000000" w:csb0="00040000" w:csb1="00000000"/>
    <w:embedRegular r:id="rId9" w:fontKey="{0F64201D-2DDD-4843-A779-99E6ACA0869A}"/>
  </w:font>
  <w:font w:name="等线">
    <w:panose1 w:val="02010600030101010101"/>
    <w:charset w:val="86"/>
    <w:family w:val="auto"/>
    <w:pitch w:val="default"/>
    <w:sig w:usb0="A00002BF" w:usb1="38CF7CFA" w:usb2="00000016" w:usb3="00000000" w:csb0="0004000F" w:csb1="00000000"/>
    <w:embedRegular r:id="rId10" w:fontKey="{E489076D-E7FB-4086-83A3-CDF9EC69508C}"/>
  </w:font>
  <w:font w:name="Cambria Math">
    <w:panose1 w:val="02040503050406030204"/>
    <w:charset w:val="00"/>
    <w:family w:val="roman"/>
    <w:pitch w:val="default"/>
    <w:sig w:usb0="E00006FF" w:usb1="420024FF" w:usb2="02000000" w:usb3="00000000" w:csb0="2000019F" w:csb1="00000000"/>
    <w:embedRegular r:id="rId11" w:fontKey="{8CE2C983-9507-4B2F-B336-9CDE0673C45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4E48E">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8B9AF">
    <w:pPr>
      <w:pStyle w:val="21"/>
      <w:framePr w:wrap="around" w:vAnchor="text" w:hAnchor="margin" w:xAlign="center" w:y="1"/>
      <w:rPr>
        <w:rStyle w:val="39"/>
      </w:rPr>
    </w:pPr>
    <w:r>
      <w:fldChar w:fldCharType="begin"/>
    </w:r>
    <w:r>
      <w:rPr>
        <w:rStyle w:val="39"/>
      </w:rPr>
      <w:instrText xml:space="preserve">PAGE  </w:instrText>
    </w:r>
    <w:r>
      <w:fldChar w:fldCharType="end"/>
    </w:r>
  </w:p>
  <w:p w14:paraId="19B00A13">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CA8D5">
    <w:pPr>
      <w:pStyle w:val="21"/>
      <w:framePr w:wrap="around" w:vAnchor="text" w:hAnchor="margin" w:xAlign="outside" w:y="1"/>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9</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p w14:paraId="1F00469C">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56C7">
    <w:pPr>
      <w:pStyle w:val="21"/>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6CC94"/>
    <w:multiLevelType w:val="multilevel"/>
    <w:tmpl w:val="9936CC94"/>
    <w:lvl w:ilvl="0" w:tentative="0">
      <w:start w:val="1"/>
      <w:numFmt w:val="decimal"/>
      <w:suff w:val="space"/>
      <w:lvlText w:val="%1"/>
      <w:lvlJc w:val="left"/>
      <w:pPr>
        <w:ind w:left="425" w:hanging="425"/>
      </w:pPr>
      <w:rPr>
        <w:rFonts w:hint="eastAsia"/>
      </w:rPr>
    </w:lvl>
    <w:lvl w:ilvl="1" w:tentative="0">
      <w:start w:val="1"/>
      <w:numFmt w:val="decimal"/>
      <w:suff w:val="space"/>
      <w:lvlText w:val="%1.%2"/>
      <w:lvlJc w:val="left"/>
      <w:pPr>
        <w:ind w:left="567" w:hanging="567"/>
      </w:pPr>
      <w:rPr>
        <w:rFonts w:hint="eastAsia"/>
      </w:rPr>
    </w:lvl>
    <w:lvl w:ilvl="2" w:tentative="0">
      <w:start w:val="1"/>
      <w:numFmt w:val="decimal"/>
      <w:suff w:val="space"/>
      <w:lvlText w:val="%1.%2.%3"/>
      <w:lvlJc w:val="left"/>
      <w:pPr>
        <w:ind w:left="709" w:hanging="709"/>
      </w:pPr>
      <w:rPr>
        <w:rFonts w:hint="eastAsia"/>
      </w:rPr>
    </w:lvl>
    <w:lvl w:ilvl="3" w:tentative="0">
      <w:start w:val="1"/>
      <w:numFmt w:val="decimal"/>
      <w:pStyle w:val="8"/>
      <w:lvlText w:val="%1.%2.%3.%4"/>
      <w:lvlJc w:val="left"/>
      <w:pPr>
        <w:tabs>
          <w:tab w:val="left" w:pos="0"/>
        </w:tabs>
        <w:ind w:left="0" w:firstLine="0"/>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D17288CA"/>
    <w:multiLevelType w:val="singleLevel"/>
    <w:tmpl w:val="D17288CA"/>
    <w:lvl w:ilvl="0" w:tentative="0">
      <w:start w:val="1"/>
      <w:numFmt w:val="decimal"/>
      <w:suff w:val="nothing"/>
      <w:lvlText w:val="（%1）"/>
      <w:lvlJc w:val="left"/>
    </w:lvl>
  </w:abstractNum>
  <w:abstractNum w:abstractNumId="2">
    <w:nsid w:val="FA53282F"/>
    <w:multiLevelType w:val="singleLevel"/>
    <w:tmpl w:val="FA53282F"/>
    <w:lvl w:ilvl="0" w:tentative="0">
      <w:start w:val="1"/>
      <w:numFmt w:val="decimal"/>
      <w:suff w:val="nothing"/>
      <w:lvlText w:val="（%1）"/>
      <w:lvlJc w:val="left"/>
    </w:lvl>
  </w:abstractNum>
  <w:abstractNum w:abstractNumId="3">
    <w:nsid w:val="050090A7"/>
    <w:multiLevelType w:val="singleLevel"/>
    <w:tmpl w:val="050090A7"/>
    <w:lvl w:ilvl="0" w:tentative="0">
      <w:start w:val="1"/>
      <w:numFmt w:val="decimal"/>
      <w:suff w:val="nothing"/>
      <w:lvlText w:val="（%1）"/>
      <w:lvlJc w:val="left"/>
    </w:lvl>
  </w:abstractNum>
  <w:abstractNum w:abstractNumId="4">
    <w:nsid w:val="45FD3F70"/>
    <w:multiLevelType w:val="multilevel"/>
    <w:tmpl w:val="45FD3F70"/>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5B54CE70"/>
    <w:multiLevelType w:val="singleLevel"/>
    <w:tmpl w:val="5B54CE70"/>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6">
    <w:nsid w:val="7FD2F766"/>
    <w:multiLevelType w:val="singleLevel"/>
    <w:tmpl w:val="7FD2F766"/>
    <w:lvl w:ilvl="0" w:tentative="0">
      <w:start w:val="1"/>
      <w:numFmt w:val="decimal"/>
      <w:suff w:val="nothing"/>
      <w:lvlText w:val="（%1）"/>
      <w:lvlJc w:val="left"/>
    </w:lvl>
  </w:abstractNum>
  <w:num w:numId="1">
    <w:abstractNumId w:val="0"/>
  </w:num>
  <w:num w:numId="2">
    <w:abstractNumId w:val="5"/>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iZjk4ZWQxYTU5MWM0MTlmZTdjNmI2ZmYwODJmNjcifQ=="/>
    <w:docVar w:name="KSO_WPS_MARK_KEY" w:val="3fbc1b3e-db5a-4a38-bf82-869fd85190c4"/>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05C8F"/>
    <w:rsid w:val="00312296"/>
    <w:rsid w:val="00314F0E"/>
    <w:rsid w:val="00321D8E"/>
    <w:rsid w:val="00325928"/>
    <w:rsid w:val="00332863"/>
    <w:rsid w:val="0033684D"/>
    <w:rsid w:val="00337B42"/>
    <w:rsid w:val="00341B42"/>
    <w:rsid w:val="0034348F"/>
    <w:rsid w:val="0034624B"/>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6A42"/>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08E1"/>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0A48"/>
    <w:rsid w:val="00A32A83"/>
    <w:rsid w:val="00A368DB"/>
    <w:rsid w:val="00A423AA"/>
    <w:rsid w:val="00A53EC6"/>
    <w:rsid w:val="00A55C0F"/>
    <w:rsid w:val="00A8713F"/>
    <w:rsid w:val="00A90BA1"/>
    <w:rsid w:val="00A97A9A"/>
    <w:rsid w:val="00AA0671"/>
    <w:rsid w:val="00AA2531"/>
    <w:rsid w:val="00AA416F"/>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574E4"/>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80C13"/>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D6341"/>
    <w:rsid w:val="01290F7E"/>
    <w:rsid w:val="015D1E09"/>
    <w:rsid w:val="016A7975"/>
    <w:rsid w:val="01BC2913"/>
    <w:rsid w:val="021851A7"/>
    <w:rsid w:val="02242994"/>
    <w:rsid w:val="02327457"/>
    <w:rsid w:val="02350C0E"/>
    <w:rsid w:val="0266157E"/>
    <w:rsid w:val="02697903"/>
    <w:rsid w:val="02F96569"/>
    <w:rsid w:val="03672990"/>
    <w:rsid w:val="03940790"/>
    <w:rsid w:val="03EA7B21"/>
    <w:rsid w:val="04117872"/>
    <w:rsid w:val="046B402D"/>
    <w:rsid w:val="04860C4A"/>
    <w:rsid w:val="04FF643E"/>
    <w:rsid w:val="052321A2"/>
    <w:rsid w:val="05541B6D"/>
    <w:rsid w:val="055F54A7"/>
    <w:rsid w:val="05613737"/>
    <w:rsid w:val="05B0303C"/>
    <w:rsid w:val="05C20CE9"/>
    <w:rsid w:val="05DC631D"/>
    <w:rsid w:val="05F83EAE"/>
    <w:rsid w:val="06211A1E"/>
    <w:rsid w:val="06376942"/>
    <w:rsid w:val="063E7D85"/>
    <w:rsid w:val="063F1051"/>
    <w:rsid w:val="06C94A2D"/>
    <w:rsid w:val="06EB76CB"/>
    <w:rsid w:val="06FA2A2A"/>
    <w:rsid w:val="06FB0D1A"/>
    <w:rsid w:val="07293586"/>
    <w:rsid w:val="07295285"/>
    <w:rsid w:val="073538D4"/>
    <w:rsid w:val="07370E84"/>
    <w:rsid w:val="073D4814"/>
    <w:rsid w:val="075229E7"/>
    <w:rsid w:val="07636392"/>
    <w:rsid w:val="07770C56"/>
    <w:rsid w:val="08304D4B"/>
    <w:rsid w:val="0895393D"/>
    <w:rsid w:val="08EE58AD"/>
    <w:rsid w:val="092217DD"/>
    <w:rsid w:val="093A7294"/>
    <w:rsid w:val="097B5906"/>
    <w:rsid w:val="09900365"/>
    <w:rsid w:val="0A263993"/>
    <w:rsid w:val="0A2D3AC2"/>
    <w:rsid w:val="0A426D43"/>
    <w:rsid w:val="0A484761"/>
    <w:rsid w:val="0A4A5DC7"/>
    <w:rsid w:val="0AA755DF"/>
    <w:rsid w:val="0AD31A04"/>
    <w:rsid w:val="0B120D44"/>
    <w:rsid w:val="0B1E5257"/>
    <w:rsid w:val="0B581ED3"/>
    <w:rsid w:val="0BD27BF6"/>
    <w:rsid w:val="0C3B3C7D"/>
    <w:rsid w:val="0CAB2EAE"/>
    <w:rsid w:val="0D4E6629"/>
    <w:rsid w:val="0D621C7D"/>
    <w:rsid w:val="0D9E39DF"/>
    <w:rsid w:val="0DE41DAA"/>
    <w:rsid w:val="0DE832F7"/>
    <w:rsid w:val="0DEC6D17"/>
    <w:rsid w:val="0E30496C"/>
    <w:rsid w:val="0E73034D"/>
    <w:rsid w:val="0EBE3E28"/>
    <w:rsid w:val="0F063E4F"/>
    <w:rsid w:val="0F13775A"/>
    <w:rsid w:val="0F204E25"/>
    <w:rsid w:val="0F5F45FE"/>
    <w:rsid w:val="0F9A112B"/>
    <w:rsid w:val="0FA91BFD"/>
    <w:rsid w:val="10171964"/>
    <w:rsid w:val="106D2F64"/>
    <w:rsid w:val="10724C65"/>
    <w:rsid w:val="10B21934"/>
    <w:rsid w:val="10B63710"/>
    <w:rsid w:val="10B73324"/>
    <w:rsid w:val="10C03330"/>
    <w:rsid w:val="10E27519"/>
    <w:rsid w:val="10EB1C3F"/>
    <w:rsid w:val="10F10820"/>
    <w:rsid w:val="111C2F7A"/>
    <w:rsid w:val="11284F91"/>
    <w:rsid w:val="114E328E"/>
    <w:rsid w:val="11652140"/>
    <w:rsid w:val="11665CA1"/>
    <w:rsid w:val="127D6392"/>
    <w:rsid w:val="13022367"/>
    <w:rsid w:val="136D5135"/>
    <w:rsid w:val="13951726"/>
    <w:rsid w:val="142B6178"/>
    <w:rsid w:val="14396509"/>
    <w:rsid w:val="14477E98"/>
    <w:rsid w:val="144C68E4"/>
    <w:rsid w:val="145D29CB"/>
    <w:rsid w:val="14BE031D"/>
    <w:rsid w:val="14D46CD5"/>
    <w:rsid w:val="14DD2C3C"/>
    <w:rsid w:val="14FE696D"/>
    <w:rsid w:val="15080B89"/>
    <w:rsid w:val="150D5855"/>
    <w:rsid w:val="15620310"/>
    <w:rsid w:val="156E42F1"/>
    <w:rsid w:val="158C7B2F"/>
    <w:rsid w:val="15AE17DF"/>
    <w:rsid w:val="15AE5F2B"/>
    <w:rsid w:val="15F24146"/>
    <w:rsid w:val="15F80BAB"/>
    <w:rsid w:val="15FB1BFA"/>
    <w:rsid w:val="16087E1D"/>
    <w:rsid w:val="166B13D0"/>
    <w:rsid w:val="16D41ED8"/>
    <w:rsid w:val="16F57A46"/>
    <w:rsid w:val="17167CBF"/>
    <w:rsid w:val="17701D14"/>
    <w:rsid w:val="17735226"/>
    <w:rsid w:val="177758D6"/>
    <w:rsid w:val="17846772"/>
    <w:rsid w:val="180918CE"/>
    <w:rsid w:val="18437CCE"/>
    <w:rsid w:val="1854223F"/>
    <w:rsid w:val="1866151E"/>
    <w:rsid w:val="189F624C"/>
    <w:rsid w:val="18DB33CA"/>
    <w:rsid w:val="199B1FCC"/>
    <w:rsid w:val="19C035BC"/>
    <w:rsid w:val="1A1C66C0"/>
    <w:rsid w:val="1A42393B"/>
    <w:rsid w:val="1A4C1A78"/>
    <w:rsid w:val="1A6F58B6"/>
    <w:rsid w:val="1AAD45DE"/>
    <w:rsid w:val="1AE16BD0"/>
    <w:rsid w:val="1B046F80"/>
    <w:rsid w:val="1B3267B5"/>
    <w:rsid w:val="1B40161D"/>
    <w:rsid w:val="1B441859"/>
    <w:rsid w:val="1B47546A"/>
    <w:rsid w:val="1B530C50"/>
    <w:rsid w:val="1B6606B1"/>
    <w:rsid w:val="1B8430CA"/>
    <w:rsid w:val="1BC9271A"/>
    <w:rsid w:val="1BEE74D8"/>
    <w:rsid w:val="1C5E7925"/>
    <w:rsid w:val="1CEC105B"/>
    <w:rsid w:val="1CFD070F"/>
    <w:rsid w:val="1D1D5116"/>
    <w:rsid w:val="1D2C1E21"/>
    <w:rsid w:val="1D5F6196"/>
    <w:rsid w:val="1D6132A5"/>
    <w:rsid w:val="1D7662E1"/>
    <w:rsid w:val="1D7874F3"/>
    <w:rsid w:val="1D86155A"/>
    <w:rsid w:val="1D8E56D5"/>
    <w:rsid w:val="1DBA103F"/>
    <w:rsid w:val="1DDB4E8A"/>
    <w:rsid w:val="1E7A43DA"/>
    <w:rsid w:val="1EFE1A20"/>
    <w:rsid w:val="1F85056F"/>
    <w:rsid w:val="1FE7539E"/>
    <w:rsid w:val="1FF55D1E"/>
    <w:rsid w:val="20671BE0"/>
    <w:rsid w:val="20963CB8"/>
    <w:rsid w:val="20A81A1B"/>
    <w:rsid w:val="20B07FB6"/>
    <w:rsid w:val="20B646FB"/>
    <w:rsid w:val="20CE3F85"/>
    <w:rsid w:val="20EC135F"/>
    <w:rsid w:val="213B74B1"/>
    <w:rsid w:val="21570ECE"/>
    <w:rsid w:val="215A2310"/>
    <w:rsid w:val="21656A6B"/>
    <w:rsid w:val="219D0B89"/>
    <w:rsid w:val="21AA1A44"/>
    <w:rsid w:val="21DE318A"/>
    <w:rsid w:val="21EE4C6A"/>
    <w:rsid w:val="21EF4752"/>
    <w:rsid w:val="21EF5B80"/>
    <w:rsid w:val="22187B1F"/>
    <w:rsid w:val="2250365B"/>
    <w:rsid w:val="22576990"/>
    <w:rsid w:val="226456DA"/>
    <w:rsid w:val="2280785B"/>
    <w:rsid w:val="228A4805"/>
    <w:rsid w:val="229A2FE7"/>
    <w:rsid w:val="22F47480"/>
    <w:rsid w:val="230E2790"/>
    <w:rsid w:val="23101D31"/>
    <w:rsid w:val="234806C2"/>
    <w:rsid w:val="236D0A91"/>
    <w:rsid w:val="239848D9"/>
    <w:rsid w:val="239B0392"/>
    <w:rsid w:val="23DE1C48"/>
    <w:rsid w:val="240210CD"/>
    <w:rsid w:val="248A5E6C"/>
    <w:rsid w:val="24BF09F7"/>
    <w:rsid w:val="252D53FE"/>
    <w:rsid w:val="25935628"/>
    <w:rsid w:val="25CF59C9"/>
    <w:rsid w:val="25EC2D81"/>
    <w:rsid w:val="262F1749"/>
    <w:rsid w:val="26A37F72"/>
    <w:rsid w:val="26B81748"/>
    <w:rsid w:val="26C101C6"/>
    <w:rsid w:val="270267EC"/>
    <w:rsid w:val="277057A2"/>
    <w:rsid w:val="27983A8D"/>
    <w:rsid w:val="27A24D22"/>
    <w:rsid w:val="27B92042"/>
    <w:rsid w:val="27E17160"/>
    <w:rsid w:val="27FC5CE7"/>
    <w:rsid w:val="28074E3A"/>
    <w:rsid w:val="28564BF9"/>
    <w:rsid w:val="28D705BD"/>
    <w:rsid w:val="2917017A"/>
    <w:rsid w:val="29206EB8"/>
    <w:rsid w:val="29595666"/>
    <w:rsid w:val="296E7342"/>
    <w:rsid w:val="29874881"/>
    <w:rsid w:val="29A22D16"/>
    <w:rsid w:val="29C7400B"/>
    <w:rsid w:val="29E325E0"/>
    <w:rsid w:val="2A1E48D8"/>
    <w:rsid w:val="2A452503"/>
    <w:rsid w:val="2B363796"/>
    <w:rsid w:val="2B6E6865"/>
    <w:rsid w:val="2BA936A8"/>
    <w:rsid w:val="2BC51F68"/>
    <w:rsid w:val="2BE83D0C"/>
    <w:rsid w:val="2BF465B0"/>
    <w:rsid w:val="2C03133D"/>
    <w:rsid w:val="2C315A5A"/>
    <w:rsid w:val="2C3735A3"/>
    <w:rsid w:val="2C4B1C25"/>
    <w:rsid w:val="2C8A5B9A"/>
    <w:rsid w:val="2CB8173D"/>
    <w:rsid w:val="2D0B5C99"/>
    <w:rsid w:val="2D5409B8"/>
    <w:rsid w:val="2D673565"/>
    <w:rsid w:val="2D7572ED"/>
    <w:rsid w:val="2D7867F0"/>
    <w:rsid w:val="2D9E56F5"/>
    <w:rsid w:val="2DB6180A"/>
    <w:rsid w:val="2E273BA0"/>
    <w:rsid w:val="2E3152BD"/>
    <w:rsid w:val="2E341AD8"/>
    <w:rsid w:val="2E667F96"/>
    <w:rsid w:val="2E8226AB"/>
    <w:rsid w:val="2EA67B87"/>
    <w:rsid w:val="2EA9088F"/>
    <w:rsid w:val="2EEE1A49"/>
    <w:rsid w:val="2F1059F9"/>
    <w:rsid w:val="2F3222CF"/>
    <w:rsid w:val="2F5233CA"/>
    <w:rsid w:val="2F806EA9"/>
    <w:rsid w:val="2FB23415"/>
    <w:rsid w:val="2FD065E6"/>
    <w:rsid w:val="2FD96870"/>
    <w:rsid w:val="2FE42CDE"/>
    <w:rsid w:val="2FF33CC7"/>
    <w:rsid w:val="300B66A4"/>
    <w:rsid w:val="30261F51"/>
    <w:rsid w:val="303C5E74"/>
    <w:rsid w:val="30580BC9"/>
    <w:rsid w:val="30623218"/>
    <w:rsid w:val="30693E48"/>
    <w:rsid w:val="3096508B"/>
    <w:rsid w:val="30A03CB7"/>
    <w:rsid w:val="30AE4883"/>
    <w:rsid w:val="30C81355"/>
    <w:rsid w:val="30E342A8"/>
    <w:rsid w:val="311965E3"/>
    <w:rsid w:val="311E2ED7"/>
    <w:rsid w:val="315619EE"/>
    <w:rsid w:val="315C449C"/>
    <w:rsid w:val="315E1E05"/>
    <w:rsid w:val="316C6351"/>
    <w:rsid w:val="3190692E"/>
    <w:rsid w:val="31B82709"/>
    <w:rsid w:val="31BA64C6"/>
    <w:rsid w:val="31D05482"/>
    <w:rsid w:val="32400B34"/>
    <w:rsid w:val="32662F17"/>
    <w:rsid w:val="329E6876"/>
    <w:rsid w:val="32C34DFE"/>
    <w:rsid w:val="333015F2"/>
    <w:rsid w:val="334B6320"/>
    <w:rsid w:val="33875F5D"/>
    <w:rsid w:val="33D31821"/>
    <w:rsid w:val="33D934D4"/>
    <w:rsid w:val="33EB57CA"/>
    <w:rsid w:val="33FE2F6A"/>
    <w:rsid w:val="340E07E5"/>
    <w:rsid w:val="34235BF7"/>
    <w:rsid w:val="344445A6"/>
    <w:rsid w:val="34C15C1D"/>
    <w:rsid w:val="34C42666"/>
    <w:rsid w:val="35094B0E"/>
    <w:rsid w:val="350C389F"/>
    <w:rsid w:val="357D76C0"/>
    <w:rsid w:val="358C5FA8"/>
    <w:rsid w:val="35C15DF1"/>
    <w:rsid w:val="35E55CCB"/>
    <w:rsid w:val="35E97503"/>
    <w:rsid w:val="36074A7F"/>
    <w:rsid w:val="36532B6F"/>
    <w:rsid w:val="36923549"/>
    <w:rsid w:val="36A74030"/>
    <w:rsid w:val="36B75FBF"/>
    <w:rsid w:val="36BD09A3"/>
    <w:rsid w:val="36BD0C45"/>
    <w:rsid w:val="36D450EE"/>
    <w:rsid w:val="3717458F"/>
    <w:rsid w:val="372A2204"/>
    <w:rsid w:val="37E00298"/>
    <w:rsid w:val="38110084"/>
    <w:rsid w:val="3814146F"/>
    <w:rsid w:val="3815126F"/>
    <w:rsid w:val="38243D49"/>
    <w:rsid w:val="382A5802"/>
    <w:rsid w:val="38482EC7"/>
    <w:rsid w:val="38B302F9"/>
    <w:rsid w:val="38F12CD3"/>
    <w:rsid w:val="38F94775"/>
    <w:rsid w:val="39160C2F"/>
    <w:rsid w:val="392971ED"/>
    <w:rsid w:val="392C17E8"/>
    <w:rsid w:val="39325651"/>
    <w:rsid w:val="39846F28"/>
    <w:rsid w:val="39CE2706"/>
    <w:rsid w:val="39D06C79"/>
    <w:rsid w:val="3A202913"/>
    <w:rsid w:val="3A872856"/>
    <w:rsid w:val="3AC57E90"/>
    <w:rsid w:val="3B1A3241"/>
    <w:rsid w:val="3B1E5AD6"/>
    <w:rsid w:val="3B3763D1"/>
    <w:rsid w:val="3B5B78E2"/>
    <w:rsid w:val="3B81386B"/>
    <w:rsid w:val="3B83061F"/>
    <w:rsid w:val="3B8E09C9"/>
    <w:rsid w:val="3BB81C49"/>
    <w:rsid w:val="3BCC7895"/>
    <w:rsid w:val="3C2F6E1E"/>
    <w:rsid w:val="3C4F64BA"/>
    <w:rsid w:val="3CDA245A"/>
    <w:rsid w:val="3CF33976"/>
    <w:rsid w:val="3D1E06B7"/>
    <w:rsid w:val="3D5347E8"/>
    <w:rsid w:val="3D545467"/>
    <w:rsid w:val="3D7E48E0"/>
    <w:rsid w:val="3D8F4CB8"/>
    <w:rsid w:val="3DA25AA7"/>
    <w:rsid w:val="3DBF1D00"/>
    <w:rsid w:val="3E033781"/>
    <w:rsid w:val="3E0E18B6"/>
    <w:rsid w:val="3E4625AA"/>
    <w:rsid w:val="3E463458"/>
    <w:rsid w:val="3E955C83"/>
    <w:rsid w:val="3EA11583"/>
    <w:rsid w:val="3EA164E9"/>
    <w:rsid w:val="3EDA0523"/>
    <w:rsid w:val="3EEC0FAF"/>
    <w:rsid w:val="3F0B3D1A"/>
    <w:rsid w:val="3F2A20A3"/>
    <w:rsid w:val="3F717C9B"/>
    <w:rsid w:val="3F8F5B59"/>
    <w:rsid w:val="3FAC6672"/>
    <w:rsid w:val="3FC8624B"/>
    <w:rsid w:val="3FF335F9"/>
    <w:rsid w:val="401F293D"/>
    <w:rsid w:val="402940E2"/>
    <w:rsid w:val="40697E17"/>
    <w:rsid w:val="407A6407"/>
    <w:rsid w:val="419C76D3"/>
    <w:rsid w:val="41C361C4"/>
    <w:rsid w:val="41C7573D"/>
    <w:rsid w:val="41D21BF1"/>
    <w:rsid w:val="41E762C9"/>
    <w:rsid w:val="4200449D"/>
    <w:rsid w:val="423A3BCC"/>
    <w:rsid w:val="424E57D2"/>
    <w:rsid w:val="42734CF0"/>
    <w:rsid w:val="42B26C49"/>
    <w:rsid w:val="43245BAE"/>
    <w:rsid w:val="433A6FE6"/>
    <w:rsid w:val="434460D9"/>
    <w:rsid w:val="43480868"/>
    <w:rsid w:val="4350713C"/>
    <w:rsid w:val="436653E0"/>
    <w:rsid w:val="43A0038F"/>
    <w:rsid w:val="43C4431A"/>
    <w:rsid w:val="43E2179D"/>
    <w:rsid w:val="4436254A"/>
    <w:rsid w:val="443B5D1F"/>
    <w:rsid w:val="447C6B01"/>
    <w:rsid w:val="44936EAF"/>
    <w:rsid w:val="44AF45FD"/>
    <w:rsid w:val="44B951CC"/>
    <w:rsid w:val="44C11A60"/>
    <w:rsid w:val="44CD14E0"/>
    <w:rsid w:val="44D96F7D"/>
    <w:rsid w:val="44E96461"/>
    <w:rsid w:val="44F20B0B"/>
    <w:rsid w:val="450541C8"/>
    <w:rsid w:val="4523316F"/>
    <w:rsid w:val="452E5F4C"/>
    <w:rsid w:val="452F5FE5"/>
    <w:rsid w:val="45612018"/>
    <w:rsid w:val="458946E9"/>
    <w:rsid w:val="45A47C0E"/>
    <w:rsid w:val="45BE6EBE"/>
    <w:rsid w:val="45C06022"/>
    <w:rsid w:val="462E6C7A"/>
    <w:rsid w:val="46577FD6"/>
    <w:rsid w:val="46D955A7"/>
    <w:rsid w:val="47133957"/>
    <w:rsid w:val="47A07E0C"/>
    <w:rsid w:val="47AD30A4"/>
    <w:rsid w:val="47BF269F"/>
    <w:rsid w:val="47D7409D"/>
    <w:rsid w:val="47DA2B5F"/>
    <w:rsid w:val="47EC536D"/>
    <w:rsid w:val="480567BA"/>
    <w:rsid w:val="48147089"/>
    <w:rsid w:val="482A7A7A"/>
    <w:rsid w:val="4870272E"/>
    <w:rsid w:val="48BF61E1"/>
    <w:rsid w:val="49285C46"/>
    <w:rsid w:val="495A6EB8"/>
    <w:rsid w:val="49CD2E74"/>
    <w:rsid w:val="49DC7715"/>
    <w:rsid w:val="4A023139"/>
    <w:rsid w:val="4A102934"/>
    <w:rsid w:val="4A7877E8"/>
    <w:rsid w:val="4A7B576F"/>
    <w:rsid w:val="4A9265CB"/>
    <w:rsid w:val="4AF561A9"/>
    <w:rsid w:val="4B3616B4"/>
    <w:rsid w:val="4B366F08"/>
    <w:rsid w:val="4B714BCD"/>
    <w:rsid w:val="4BF21D7C"/>
    <w:rsid w:val="4BF92AC6"/>
    <w:rsid w:val="4C0B2731"/>
    <w:rsid w:val="4C4A0649"/>
    <w:rsid w:val="4C7E5ECA"/>
    <w:rsid w:val="4C876AA5"/>
    <w:rsid w:val="4CAB79A8"/>
    <w:rsid w:val="4CC53945"/>
    <w:rsid w:val="4CD62DA6"/>
    <w:rsid w:val="4CE31F6D"/>
    <w:rsid w:val="4D0E00FB"/>
    <w:rsid w:val="4D176606"/>
    <w:rsid w:val="4D310A36"/>
    <w:rsid w:val="4D36393F"/>
    <w:rsid w:val="4D787B4E"/>
    <w:rsid w:val="4D7A2345"/>
    <w:rsid w:val="4D9908C5"/>
    <w:rsid w:val="4DEC4FB0"/>
    <w:rsid w:val="4E075D8A"/>
    <w:rsid w:val="4E217ED0"/>
    <w:rsid w:val="4E7B5C0B"/>
    <w:rsid w:val="4EC00FAD"/>
    <w:rsid w:val="4ECC1FAF"/>
    <w:rsid w:val="4ED676B8"/>
    <w:rsid w:val="4EDE3A32"/>
    <w:rsid w:val="4EF81091"/>
    <w:rsid w:val="4F172261"/>
    <w:rsid w:val="4F5C2553"/>
    <w:rsid w:val="4F5C45DF"/>
    <w:rsid w:val="4F634F11"/>
    <w:rsid w:val="4F7725B8"/>
    <w:rsid w:val="4F8E23F8"/>
    <w:rsid w:val="4F97238B"/>
    <w:rsid w:val="4F9727AE"/>
    <w:rsid w:val="4F9843DC"/>
    <w:rsid w:val="4FA01043"/>
    <w:rsid w:val="4FC62A8C"/>
    <w:rsid w:val="4FCF3588"/>
    <w:rsid w:val="4FE20F0D"/>
    <w:rsid w:val="4FE51552"/>
    <w:rsid w:val="50504C4B"/>
    <w:rsid w:val="509C6E7C"/>
    <w:rsid w:val="50CA7D9C"/>
    <w:rsid w:val="50F20077"/>
    <w:rsid w:val="51331465"/>
    <w:rsid w:val="5162104E"/>
    <w:rsid w:val="51F145BC"/>
    <w:rsid w:val="524D6F90"/>
    <w:rsid w:val="52871B8B"/>
    <w:rsid w:val="52B64400"/>
    <w:rsid w:val="5340095F"/>
    <w:rsid w:val="5348111B"/>
    <w:rsid w:val="537738D0"/>
    <w:rsid w:val="539420E6"/>
    <w:rsid w:val="53A039CC"/>
    <w:rsid w:val="53A1505A"/>
    <w:rsid w:val="53F63BD2"/>
    <w:rsid w:val="54063E08"/>
    <w:rsid w:val="542F6F11"/>
    <w:rsid w:val="543437E8"/>
    <w:rsid w:val="54384150"/>
    <w:rsid w:val="54F73313"/>
    <w:rsid w:val="54F80955"/>
    <w:rsid w:val="5525634E"/>
    <w:rsid w:val="55422C06"/>
    <w:rsid w:val="555170A7"/>
    <w:rsid w:val="5576484C"/>
    <w:rsid w:val="5587536D"/>
    <w:rsid w:val="559B174B"/>
    <w:rsid w:val="55B43C8E"/>
    <w:rsid w:val="55CE0CF4"/>
    <w:rsid w:val="566F7E44"/>
    <w:rsid w:val="56B22A9C"/>
    <w:rsid w:val="56BA276A"/>
    <w:rsid w:val="56BE4828"/>
    <w:rsid w:val="575F7F57"/>
    <w:rsid w:val="5767433B"/>
    <w:rsid w:val="578A11DE"/>
    <w:rsid w:val="57B72A76"/>
    <w:rsid w:val="57C3426C"/>
    <w:rsid w:val="57CE1F93"/>
    <w:rsid w:val="57E418AB"/>
    <w:rsid w:val="57FF7C6F"/>
    <w:rsid w:val="583947CE"/>
    <w:rsid w:val="5841320A"/>
    <w:rsid w:val="585229F4"/>
    <w:rsid w:val="588743D1"/>
    <w:rsid w:val="5887701A"/>
    <w:rsid w:val="58BC1B8D"/>
    <w:rsid w:val="58BE1C2E"/>
    <w:rsid w:val="58FE663A"/>
    <w:rsid w:val="59093497"/>
    <w:rsid w:val="594E6960"/>
    <w:rsid w:val="59870647"/>
    <w:rsid w:val="59B52780"/>
    <w:rsid w:val="59BF67B4"/>
    <w:rsid w:val="59C0439F"/>
    <w:rsid w:val="59C170B0"/>
    <w:rsid w:val="59E50211"/>
    <w:rsid w:val="59F71B37"/>
    <w:rsid w:val="5A065EC0"/>
    <w:rsid w:val="5A1665FE"/>
    <w:rsid w:val="5A337733"/>
    <w:rsid w:val="5ABE2233"/>
    <w:rsid w:val="5AF47AF7"/>
    <w:rsid w:val="5B080984"/>
    <w:rsid w:val="5B1A4EDA"/>
    <w:rsid w:val="5B325057"/>
    <w:rsid w:val="5B853A0D"/>
    <w:rsid w:val="5B926061"/>
    <w:rsid w:val="5BDF5D95"/>
    <w:rsid w:val="5BED51A1"/>
    <w:rsid w:val="5BFE7528"/>
    <w:rsid w:val="5CA22409"/>
    <w:rsid w:val="5CEF4B61"/>
    <w:rsid w:val="5CF242B7"/>
    <w:rsid w:val="5CF75998"/>
    <w:rsid w:val="5D3C780E"/>
    <w:rsid w:val="5D415FF3"/>
    <w:rsid w:val="5D7D23E3"/>
    <w:rsid w:val="5DCB3ACF"/>
    <w:rsid w:val="5E044314"/>
    <w:rsid w:val="5E2467F1"/>
    <w:rsid w:val="5E2A1AEA"/>
    <w:rsid w:val="5E375776"/>
    <w:rsid w:val="5E3D2056"/>
    <w:rsid w:val="5E6526B6"/>
    <w:rsid w:val="5E903C51"/>
    <w:rsid w:val="5E9465B6"/>
    <w:rsid w:val="5E9B2F2F"/>
    <w:rsid w:val="5EA12206"/>
    <w:rsid w:val="5EA732C5"/>
    <w:rsid w:val="5F1A2B43"/>
    <w:rsid w:val="5F3A71BB"/>
    <w:rsid w:val="5F757366"/>
    <w:rsid w:val="5F94797E"/>
    <w:rsid w:val="5FB837BB"/>
    <w:rsid w:val="5FDB01B0"/>
    <w:rsid w:val="6008100A"/>
    <w:rsid w:val="603E7745"/>
    <w:rsid w:val="60730C61"/>
    <w:rsid w:val="609A402E"/>
    <w:rsid w:val="60CC405A"/>
    <w:rsid w:val="60D16B80"/>
    <w:rsid w:val="60D42ED4"/>
    <w:rsid w:val="60F31B49"/>
    <w:rsid w:val="60FD39F4"/>
    <w:rsid w:val="612A5856"/>
    <w:rsid w:val="6133268F"/>
    <w:rsid w:val="61353CBE"/>
    <w:rsid w:val="61433FF2"/>
    <w:rsid w:val="61687DC0"/>
    <w:rsid w:val="617B4ABF"/>
    <w:rsid w:val="61E215D8"/>
    <w:rsid w:val="61EE20C7"/>
    <w:rsid w:val="621B3775"/>
    <w:rsid w:val="62364782"/>
    <w:rsid w:val="626E47F5"/>
    <w:rsid w:val="627668F2"/>
    <w:rsid w:val="6283238A"/>
    <w:rsid w:val="62DC4D4E"/>
    <w:rsid w:val="62E85715"/>
    <w:rsid w:val="63260397"/>
    <w:rsid w:val="637E1A86"/>
    <w:rsid w:val="6394356A"/>
    <w:rsid w:val="63C61B2C"/>
    <w:rsid w:val="63D40BE9"/>
    <w:rsid w:val="64102431"/>
    <w:rsid w:val="642C2FFF"/>
    <w:rsid w:val="649F3D66"/>
    <w:rsid w:val="64A51255"/>
    <w:rsid w:val="64A5243A"/>
    <w:rsid w:val="64CB4357"/>
    <w:rsid w:val="64E95F31"/>
    <w:rsid w:val="64F531DE"/>
    <w:rsid w:val="64FB4578"/>
    <w:rsid w:val="651F15D5"/>
    <w:rsid w:val="65373578"/>
    <w:rsid w:val="65913B92"/>
    <w:rsid w:val="65A429AD"/>
    <w:rsid w:val="65BA2DA7"/>
    <w:rsid w:val="65F9249D"/>
    <w:rsid w:val="66144AC0"/>
    <w:rsid w:val="66993F6D"/>
    <w:rsid w:val="66C92FCF"/>
    <w:rsid w:val="66FB3094"/>
    <w:rsid w:val="671F124A"/>
    <w:rsid w:val="674D0433"/>
    <w:rsid w:val="677A33C6"/>
    <w:rsid w:val="67952D3D"/>
    <w:rsid w:val="679E0DA6"/>
    <w:rsid w:val="67E22141"/>
    <w:rsid w:val="681F6961"/>
    <w:rsid w:val="68610A2F"/>
    <w:rsid w:val="68805514"/>
    <w:rsid w:val="688769CB"/>
    <w:rsid w:val="68A707C5"/>
    <w:rsid w:val="68D54533"/>
    <w:rsid w:val="691A4DA1"/>
    <w:rsid w:val="69316E2F"/>
    <w:rsid w:val="693B6611"/>
    <w:rsid w:val="694E2071"/>
    <w:rsid w:val="69766163"/>
    <w:rsid w:val="697A3B33"/>
    <w:rsid w:val="697D513B"/>
    <w:rsid w:val="69997A43"/>
    <w:rsid w:val="69A415DC"/>
    <w:rsid w:val="69A802B0"/>
    <w:rsid w:val="69D44760"/>
    <w:rsid w:val="6A2C2B67"/>
    <w:rsid w:val="6A2D7264"/>
    <w:rsid w:val="6A454646"/>
    <w:rsid w:val="6A4607D6"/>
    <w:rsid w:val="6A4F244C"/>
    <w:rsid w:val="6A520EC7"/>
    <w:rsid w:val="6A6D2447"/>
    <w:rsid w:val="6AF87E20"/>
    <w:rsid w:val="6B322639"/>
    <w:rsid w:val="6BD14C8C"/>
    <w:rsid w:val="6C107ADF"/>
    <w:rsid w:val="6C470D97"/>
    <w:rsid w:val="6C636C38"/>
    <w:rsid w:val="6C7B5F3F"/>
    <w:rsid w:val="6C8E5620"/>
    <w:rsid w:val="6CCD0677"/>
    <w:rsid w:val="6CF57B8F"/>
    <w:rsid w:val="6D894F3A"/>
    <w:rsid w:val="6D9D7236"/>
    <w:rsid w:val="6DB34098"/>
    <w:rsid w:val="6DB545B6"/>
    <w:rsid w:val="6DE02FB4"/>
    <w:rsid w:val="6E1D2CBF"/>
    <w:rsid w:val="6E4B2E3F"/>
    <w:rsid w:val="6E514CED"/>
    <w:rsid w:val="6E5E73CE"/>
    <w:rsid w:val="6EA200D5"/>
    <w:rsid w:val="6EB563D5"/>
    <w:rsid w:val="6ED53589"/>
    <w:rsid w:val="6ED578DA"/>
    <w:rsid w:val="6ED92677"/>
    <w:rsid w:val="6F044D85"/>
    <w:rsid w:val="6F170059"/>
    <w:rsid w:val="6F204429"/>
    <w:rsid w:val="6F225983"/>
    <w:rsid w:val="6F291505"/>
    <w:rsid w:val="6FFC5590"/>
    <w:rsid w:val="705C1BD1"/>
    <w:rsid w:val="706D1DD0"/>
    <w:rsid w:val="70856B87"/>
    <w:rsid w:val="70D527EE"/>
    <w:rsid w:val="70F62224"/>
    <w:rsid w:val="70F80799"/>
    <w:rsid w:val="7119146F"/>
    <w:rsid w:val="712F350B"/>
    <w:rsid w:val="71480406"/>
    <w:rsid w:val="715B5300"/>
    <w:rsid w:val="71A4709A"/>
    <w:rsid w:val="71CE553A"/>
    <w:rsid w:val="71CF7761"/>
    <w:rsid w:val="71D27F8A"/>
    <w:rsid w:val="71E53E69"/>
    <w:rsid w:val="71F95680"/>
    <w:rsid w:val="72006721"/>
    <w:rsid w:val="72553024"/>
    <w:rsid w:val="728263C1"/>
    <w:rsid w:val="72B904B0"/>
    <w:rsid w:val="72CB1291"/>
    <w:rsid w:val="72D41EF3"/>
    <w:rsid w:val="72EC08EE"/>
    <w:rsid w:val="73122968"/>
    <w:rsid w:val="731322B1"/>
    <w:rsid w:val="731D6723"/>
    <w:rsid w:val="731F5D5E"/>
    <w:rsid w:val="73AB7F7C"/>
    <w:rsid w:val="73C51AD5"/>
    <w:rsid w:val="741E793C"/>
    <w:rsid w:val="74277F07"/>
    <w:rsid w:val="743F6FE6"/>
    <w:rsid w:val="745E3944"/>
    <w:rsid w:val="74663473"/>
    <w:rsid w:val="74993959"/>
    <w:rsid w:val="74EF29BE"/>
    <w:rsid w:val="750C0497"/>
    <w:rsid w:val="75186C7A"/>
    <w:rsid w:val="7519779C"/>
    <w:rsid w:val="75635BC7"/>
    <w:rsid w:val="75847CA1"/>
    <w:rsid w:val="758E0118"/>
    <w:rsid w:val="75C63B68"/>
    <w:rsid w:val="760D1379"/>
    <w:rsid w:val="7623638C"/>
    <w:rsid w:val="7635099D"/>
    <w:rsid w:val="76477619"/>
    <w:rsid w:val="76715A32"/>
    <w:rsid w:val="76946CFC"/>
    <w:rsid w:val="769F2771"/>
    <w:rsid w:val="76BD692E"/>
    <w:rsid w:val="7723722C"/>
    <w:rsid w:val="773345F9"/>
    <w:rsid w:val="77423C80"/>
    <w:rsid w:val="77762421"/>
    <w:rsid w:val="77B56B1F"/>
    <w:rsid w:val="780F09F4"/>
    <w:rsid w:val="783A5B8E"/>
    <w:rsid w:val="789F3A6B"/>
    <w:rsid w:val="78A90480"/>
    <w:rsid w:val="790A465A"/>
    <w:rsid w:val="79491D22"/>
    <w:rsid w:val="795B7450"/>
    <w:rsid w:val="799E74A1"/>
    <w:rsid w:val="79D94413"/>
    <w:rsid w:val="79E2264B"/>
    <w:rsid w:val="7A364017"/>
    <w:rsid w:val="7A410573"/>
    <w:rsid w:val="7A8265E1"/>
    <w:rsid w:val="7AC23608"/>
    <w:rsid w:val="7B331229"/>
    <w:rsid w:val="7B4F659F"/>
    <w:rsid w:val="7B6171A7"/>
    <w:rsid w:val="7B686D42"/>
    <w:rsid w:val="7B841746"/>
    <w:rsid w:val="7BA442A1"/>
    <w:rsid w:val="7C26489A"/>
    <w:rsid w:val="7C364EBA"/>
    <w:rsid w:val="7C3F08C9"/>
    <w:rsid w:val="7C454ABB"/>
    <w:rsid w:val="7C463270"/>
    <w:rsid w:val="7C6C5AC7"/>
    <w:rsid w:val="7C9711BD"/>
    <w:rsid w:val="7CB57AB0"/>
    <w:rsid w:val="7CC6544B"/>
    <w:rsid w:val="7D0239FF"/>
    <w:rsid w:val="7D2A03F0"/>
    <w:rsid w:val="7D401CDB"/>
    <w:rsid w:val="7D414B68"/>
    <w:rsid w:val="7D52142B"/>
    <w:rsid w:val="7D5E40CD"/>
    <w:rsid w:val="7D8461B8"/>
    <w:rsid w:val="7DCD56F2"/>
    <w:rsid w:val="7DDF3871"/>
    <w:rsid w:val="7DFC5DB2"/>
    <w:rsid w:val="7DFD787D"/>
    <w:rsid w:val="7E6C5CA4"/>
    <w:rsid w:val="7ECE362D"/>
    <w:rsid w:val="7F001CE7"/>
    <w:rsid w:val="7F3662A1"/>
    <w:rsid w:val="7F82637D"/>
    <w:rsid w:val="7FE47E50"/>
    <w:rsid w:val="7FEA599D"/>
    <w:rsid w:val="7FF1407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link w:val="50"/>
    <w:qFormat/>
    <w:locked/>
    <w:uiPriority w:val="99"/>
    <w:pPr>
      <w:keepNext/>
      <w:overflowPunct w:val="0"/>
      <w:snapToGrid w:val="0"/>
      <w:spacing w:before="120" w:after="160" w:line="259" w:lineRule="auto"/>
      <w:ind w:left="432" w:hanging="432"/>
      <w:outlineLvl w:val="0"/>
    </w:pPr>
    <w:rPr>
      <w:rFonts w:eastAsia="黑体"/>
      <w:color w:val="000000"/>
      <w:kern w:val="44"/>
      <w:sz w:val="30"/>
      <w:szCs w:val="30"/>
    </w:rPr>
  </w:style>
  <w:style w:type="paragraph" w:styleId="6">
    <w:name w:val="heading 2"/>
    <w:basedOn w:val="1"/>
    <w:next w:val="1"/>
    <w:qFormat/>
    <w:locked/>
    <w:uiPriority w:val="9"/>
    <w:pPr>
      <w:spacing w:line="360" w:lineRule="auto"/>
      <w:ind w:left="0" w:firstLine="482" w:firstLineChars="0"/>
      <w:outlineLvl w:val="1"/>
    </w:pPr>
    <w:rPr>
      <w:rFonts w:ascii="Times New Roman" w:hAnsi="Times New Roman" w:eastAsia="宋体"/>
      <w:b/>
      <w:bCs/>
      <w:sz w:val="28"/>
      <w:szCs w:val="28"/>
    </w:rPr>
  </w:style>
  <w:style w:type="paragraph" w:styleId="7">
    <w:name w:val="heading 3"/>
    <w:basedOn w:val="1"/>
    <w:next w:val="1"/>
    <w:qFormat/>
    <w:locked/>
    <w:uiPriority w:val="0"/>
    <w:pPr>
      <w:keepNext/>
      <w:keepLines/>
      <w:spacing w:line="360" w:lineRule="auto"/>
      <w:ind w:left="567"/>
      <w:outlineLvl w:val="2"/>
    </w:pPr>
    <w:rPr>
      <w:rFonts w:ascii="Calibri" w:hAnsi="Calibri"/>
      <w:b/>
      <w:bCs/>
      <w:sz w:val="28"/>
      <w:szCs w:val="28"/>
    </w:rPr>
  </w:style>
  <w:style w:type="paragraph" w:styleId="8">
    <w:name w:val="heading 4"/>
    <w:basedOn w:val="1"/>
    <w:next w:val="1"/>
    <w:unhideWhenUsed/>
    <w:qFormat/>
    <w:locked/>
    <w:uiPriority w:val="0"/>
    <w:pPr>
      <w:keepNext/>
      <w:keepLines/>
      <w:numPr>
        <w:ilvl w:val="3"/>
        <w:numId w:val="1"/>
      </w:numPr>
      <w:spacing w:before="120" w:after="120" w:line="377" w:lineRule="auto"/>
      <w:ind w:firstLine="0" w:firstLineChars="0"/>
      <w:outlineLvl w:val="3"/>
    </w:pPr>
    <w:rPr>
      <w:rFonts w:ascii="Arial" w:hAnsi="Arial" w:eastAsia="宋体"/>
      <w:b/>
      <w:bCs/>
      <w:sz w:val="24"/>
      <w:szCs w:val="28"/>
    </w:rPr>
  </w:style>
  <w:style w:type="character" w:default="1" w:styleId="38">
    <w:name w:val="Default Paragraph Font"/>
    <w:semiHidden/>
    <w:qFormat/>
    <w:uiPriority w:val="0"/>
  </w:style>
  <w:style w:type="table" w:default="1" w:styleId="36">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qFormat/>
    <w:uiPriority w:val="0"/>
    <w:pPr>
      <w:widowControl w:val="0"/>
      <w:autoSpaceDE w:val="0"/>
      <w:autoSpaceDN w:val="0"/>
      <w:adjustRightInd w:val="0"/>
    </w:pPr>
    <w:rPr>
      <w:rFonts w:ascii="H2O" w:eastAsia="H2O" w:cs="H2O"/>
      <w:color w:val="000000"/>
      <w:sz w:val="24"/>
      <w:szCs w:val="24"/>
      <w:lang w:val="en-US" w:eastAsia="zh-CN" w:bidi="ar-SA"/>
    </w:rPr>
  </w:style>
  <w:style w:type="paragraph" w:customStyle="1" w:styleId="3">
    <w:name w:val="纯文本1"/>
    <w:basedOn w:val="1"/>
    <w:next w:val="1"/>
    <w:qFormat/>
    <w:uiPriority w:val="0"/>
    <w:pPr>
      <w:adjustRightInd w:val="0"/>
    </w:pPr>
    <w:rPr>
      <w:rFonts w:ascii="宋体" w:hAnsi="Courier New"/>
      <w:szCs w:val="20"/>
    </w:rPr>
  </w:style>
  <w:style w:type="paragraph" w:styleId="5">
    <w:name w:val="Title"/>
    <w:basedOn w:val="1"/>
    <w:next w:val="1"/>
    <w:qFormat/>
    <w:locked/>
    <w:uiPriority w:val="0"/>
    <w:pPr>
      <w:spacing w:line="500" w:lineRule="exact"/>
      <w:jc w:val="left"/>
      <w:outlineLvl w:val="0"/>
    </w:pPr>
    <w:rPr>
      <w:b/>
      <w:bCs/>
      <w:sz w:val="32"/>
      <w:szCs w:val="32"/>
    </w:rPr>
  </w:style>
  <w:style w:type="paragraph" w:styleId="9">
    <w:name w:val="Normal Indent"/>
    <w:basedOn w:val="1"/>
    <w:next w:val="1"/>
    <w:qFormat/>
    <w:locked/>
    <w:uiPriority w:val="0"/>
    <w:pPr>
      <w:ind w:firstLine="420" w:firstLineChars="200"/>
    </w:pPr>
    <w:rPr>
      <w:rFonts w:eastAsia="宋体"/>
      <w:kern w:val="2"/>
      <w:sz w:val="21"/>
      <w:szCs w:val="24"/>
      <w:lang w:val="en-US" w:eastAsia="zh-CN" w:bidi="ar-SA"/>
    </w:rPr>
  </w:style>
  <w:style w:type="paragraph" w:styleId="10">
    <w:name w:val="caption"/>
    <w:basedOn w:val="1"/>
    <w:next w:val="1"/>
    <w:qFormat/>
    <w:locked/>
    <w:uiPriority w:val="0"/>
    <w:pPr>
      <w:spacing w:line="240" w:lineRule="auto"/>
      <w:jc w:val="center"/>
    </w:pPr>
    <w:rPr>
      <w:rFonts w:ascii="Times New Roman" w:hAnsi="Times New Roman" w:eastAsia="宋体" w:cs="Times New Roman"/>
      <w:b/>
      <w:szCs w:val="21"/>
    </w:rPr>
  </w:style>
  <w:style w:type="paragraph" w:styleId="11">
    <w:name w:val="annotation text"/>
    <w:basedOn w:val="1"/>
    <w:link w:val="52"/>
    <w:semiHidden/>
    <w:qFormat/>
    <w:uiPriority w:val="0"/>
    <w:pPr>
      <w:jc w:val="left"/>
    </w:pPr>
    <w:rPr>
      <w:kern w:val="0"/>
      <w:sz w:val="24"/>
      <w:szCs w:val="20"/>
    </w:rPr>
  </w:style>
  <w:style w:type="paragraph" w:styleId="12">
    <w:name w:val="Body Text"/>
    <w:basedOn w:val="1"/>
    <w:next w:val="1"/>
    <w:link w:val="53"/>
    <w:qFormat/>
    <w:uiPriority w:val="0"/>
    <w:pPr>
      <w:widowControl/>
      <w:snapToGrid w:val="0"/>
      <w:spacing w:before="60" w:after="160" w:line="259" w:lineRule="auto"/>
      <w:ind w:right="113"/>
    </w:pPr>
    <w:rPr>
      <w:kern w:val="0"/>
      <w:sz w:val="18"/>
      <w:szCs w:val="20"/>
    </w:rPr>
  </w:style>
  <w:style w:type="paragraph" w:styleId="13">
    <w:name w:val="Body Text Indent"/>
    <w:basedOn w:val="1"/>
    <w:next w:val="1"/>
    <w:link w:val="49"/>
    <w:qFormat/>
    <w:uiPriority w:val="0"/>
    <w:pPr>
      <w:spacing w:after="120"/>
      <w:ind w:left="420" w:leftChars="200"/>
    </w:pPr>
    <w:rPr>
      <w:kern w:val="0"/>
      <w:sz w:val="24"/>
      <w:szCs w:val="20"/>
    </w:rPr>
  </w:style>
  <w:style w:type="paragraph" w:styleId="14">
    <w:name w:val="List 2"/>
    <w:basedOn w:val="1"/>
    <w:qFormat/>
    <w:locked/>
    <w:uiPriority w:val="0"/>
    <w:pPr>
      <w:spacing w:line="340" w:lineRule="exact"/>
      <w:ind w:left="0" w:leftChars="0" w:firstLine="0" w:firstLineChars="0"/>
      <w:jc w:val="center"/>
    </w:pPr>
    <w:rPr>
      <w:rFonts w:ascii="Times New Roman" w:hAnsi="Times New Roman" w:eastAsia="宋体"/>
    </w:rPr>
  </w:style>
  <w:style w:type="paragraph" w:styleId="15">
    <w:name w:val="Block Text"/>
    <w:basedOn w:val="1"/>
    <w:qFormat/>
    <w:locked/>
    <w:uiPriority w:val="0"/>
    <w:pPr>
      <w:adjustRightInd w:val="0"/>
      <w:spacing w:line="500" w:lineRule="exact"/>
      <w:ind w:left="54" w:right="113"/>
      <w:textAlignment w:val="baseline"/>
    </w:pPr>
    <w:rPr>
      <w:rFonts w:ascii="楷体_GB2312" w:eastAsia="楷体_GB2312"/>
      <w:kern w:val="0"/>
      <w:sz w:val="28"/>
    </w:rPr>
  </w:style>
  <w:style w:type="paragraph" w:styleId="16">
    <w:name w:val="Plain Text"/>
    <w:basedOn w:val="1"/>
    <w:qFormat/>
    <w:locked/>
    <w:uiPriority w:val="99"/>
    <w:rPr>
      <w:rFonts w:ascii="宋体" w:hAnsi="Courier New" w:eastAsia="宋体" w:cs="Courier New"/>
    </w:rPr>
  </w:style>
  <w:style w:type="paragraph" w:styleId="17">
    <w:name w:val="List Bullet 5"/>
    <w:basedOn w:val="1"/>
    <w:qFormat/>
    <w:locked/>
    <w:uiPriority w:val="0"/>
    <w:pPr>
      <w:numPr>
        <w:ilvl w:val="0"/>
        <w:numId w:val="2"/>
      </w:numPr>
    </w:pPr>
  </w:style>
  <w:style w:type="paragraph" w:styleId="18">
    <w:name w:val="Date"/>
    <w:basedOn w:val="1"/>
    <w:next w:val="1"/>
    <w:link w:val="54"/>
    <w:qFormat/>
    <w:uiPriority w:val="0"/>
    <w:pPr>
      <w:ind w:left="100" w:leftChars="2500"/>
    </w:pPr>
    <w:rPr>
      <w:kern w:val="0"/>
      <w:sz w:val="24"/>
      <w:szCs w:val="20"/>
    </w:rPr>
  </w:style>
  <w:style w:type="paragraph" w:styleId="19">
    <w:name w:val="Body Text Indent 2"/>
    <w:basedOn w:val="1"/>
    <w:qFormat/>
    <w:locked/>
    <w:uiPriority w:val="0"/>
    <w:pPr>
      <w:snapToGrid w:val="0"/>
      <w:spacing w:line="312" w:lineRule="auto"/>
      <w:ind w:firstLine="600" w:firstLineChars="200"/>
    </w:pPr>
    <w:rPr>
      <w:rFonts w:ascii="仿宋_GB2312" w:hAnsi="宋体" w:eastAsia="仿宋_GB2312"/>
      <w:sz w:val="30"/>
      <w:szCs w:val="28"/>
    </w:rPr>
  </w:style>
  <w:style w:type="paragraph" w:styleId="20">
    <w:name w:val="Balloon Text"/>
    <w:basedOn w:val="1"/>
    <w:link w:val="55"/>
    <w:semiHidden/>
    <w:qFormat/>
    <w:uiPriority w:val="0"/>
    <w:rPr>
      <w:kern w:val="0"/>
      <w:sz w:val="18"/>
      <w:szCs w:val="20"/>
    </w:rPr>
  </w:style>
  <w:style w:type="paragraph" w:styleId="21">
    <w:name w:val="footer"/>
    <w:basedOn w:val="1"/>
    <w:link w:val="56"/>
    <w:qFormat/>
    <w:uiPriority w:val="99"/>
    <w:pPr>
      <w:tabs>
        <w:tab w:val="center" w:pos="4153"/>
        <w:tab w:val="right" w:pos="8306"/>
      </w:tabs>
      <w:snapToGrid w:val="0"/>
      <w:jc w:val="left"/>
    </w:pPr>
    <w:rPr>
      <w:kern w:val="0"/>
      <w:sz w:val="18"/>
      <w:szCs w:val="20"/>
    </w:rPr>
  </w:style>
  <w:style w:type="paragraph" w:styleId="22">
    <w:name w:val="header"/>
    <w:basedOn w:val="1"/>
    <w:next w:val="23"/>
    <w:link w:val="5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3">
    <w:name w:val="样式 Z正文 + 首行缩进:  2 字符1"/>
    <w:basedOn w:val="24"/>
    <w:qFormat/>
    <w:uiPriority w:val="0"/>
    <w:pPr>
      <w:ind w:firstLine="480"/>
    </w:pPr>
  </w:style>
  <w:style w:type="paragraph" w:customStyle="1" w:styleId="24">
    <w:name w:val="Z正文"/>
    <w:basedOn w:val="25"/>
    <w:qFormat/>
    <w:uiPriority w:val="0"/>
    <w:pPr>
      <w:ind w:firstLine="200" w:firstLineChars="200"/>
      <w:outlineLvl w:val="9"/>
    </w:pPr>
    <w:rPr>
      <w:rFonts w:ascii="Times New Roman"/>
      <w:sz w:val="24"/>
      <w:szCs w:val="24"/>
    </w:rPr>
  </w:style>
  <w:style w:type="paragraph" w:customStyle="1" w:styleId="25">
    <w:name w:val="样式 标题 1标题 11Head 1wsah1一、标题2Part'Document章Ch + 加粗"/>
    <w:basedOn w:val="4"/>
    <w:qFormat/>
    <w:uiPriority w:val="0"/>
    <w:rPr>
      <w:rFonts w:ascii="黑体"/>
      <w:sz w:val="32"/>
    </w:rPr>
  </w:style>
  <w:style w:type="paragraph" w:styleId="26">
    <w:name w:val="toc 1"/>
    <w:basedOn w:val="1"/>
    <w:next w:val="1"/>
    <w:qFormat/>
    <w:locked/>
    <w:uiPriority w:val="39"/>
    <w:pPr>
      <w:tabs>
        <w:tab w:val="right" w:leader="dot" w:pos="9061"/>
      </w:tabs>
      <w:spacing w:before="120" w:after="120" w:line="400" w:lineRule="exact"/>
      <w:jc w:val="left"/>
    </w:pPr>
    <w:rPr>
      <w:b/>
      <w:bCs/>
      <w:caps/>
      <w:sz w:val="24"/>
    </w:rPr>
  </w:style>
  <w:style w:type="paragraph" w:styleId="27">
    <w:name w:val="index heading"/>
    <w:basedOn w:val="1"/>
    <w:next w:val="28"/>
    <w:qFormat/>
    <w:locked/>
    <w:uiPriority w:val="0"/>
    <w:rPr>
      <w:rFonts w:ascii="Arial" w:hAnsi="Arial" w:cs="Arial"/>
      <w:b/>
      <w:bCs/>
    </w:rPr>
  </w:style>
  <w:style w:type="paragraph" w:styleId="28">
    <w:name w:val="index 1"/>
    <w:basedOn w:val="1"/>
    <w:next w:val="1"/>
    <w:semiHidden/>
    <w:qFormat/>
    <w:locked/>
    <w:uiPriority w:val="0"/>
    <w:pPr>
      <w:ind w:left="210" w:hanging="210"/>
      <w:jc w:val="center"/>
    </w:pPr>
    <w:rPr>
      <w:szCs w:val="21"/>
    </w:rPr>
  </w:style>
  <w:style w:type="paragraph" w:styleId="29">
    <w:name w:val="table of figures"/>
    <w:basedOn w:val="1"/>
    <w:next w:val="1"/>
    <w:qFormat/>
    <w:locked/>
    <w:uiPriority w:val="0"/>
    <w:pPr>
      <w:ind w:leftChars="200" w:hanging="200" w:hangingChars="200"/>
    </w:pPr>
  </w:style>
  <w:style w:type="paragraph" w:styleId="30">
    <w:name w:val="Body Text 2"/>
    <w:basedOn w:val="1"/>
    <w:qFormat/>
    <w:locked/>
    <w:uiPriority w:val="0"/>
    <w:pPr>
      <w:spacing w:after="120" w:line="480" w:lineRule="auto"/>
    </w:pPr>
  </w:style>
  <w:style w:type="paragraph" w:styleId="31">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2">
    <w:name w:val="Normal (Web)"/>
    <w:basedOn w:val="1"/>
    <w:link w:val="58"/>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11"/>
    <w:next w:val="11"/>
    <w:link w:val="59"/>
    <w:semiHidden/>
    <w:qFormat/>
    <w:uiPriority w:val="0"/>
    <w:rPr>
      <w:b/>
      <w:sz w:val="24"/>
      <w:szCs w:val="20"/>
    </w:rPr>
  </w:style>
  <w:style w:type="paragraph" w:styleId="34">
    <w:name w:val="Body Text First Indent"/>
    <w:basedOn w:val="12"/>
    <w:next w:val="1"/>
    <w:qFormat/>
    <w:locked/>
    <w:uiPriority w:val="0"/>
    <w:pPr>
      <w:spacing w:after="120" w:afterLines="0" w:line="240" w:lineRule="auto"/>
      <w:ind w:firstLine="420" w:firstLineChars="100"/>
    </w:pPr>
    <w:rPr>
      <w:color w:val="auto"/>
      <w:sz w:val="21"/>
    </w:rPr>
  </w:style>
  <w:style w:type="paragraph" w:styleId="35">
    <w:name w:val="Body Text First Indent 2"/>
    <w:basedOn w:val="1"/>
    <w:next w:val="1"/>
    <w:qFormat/>
    <w:locked/>
    <w:uiPriority w:val="0"/>
    <w:pPr>
      <w:spacing w:after="120"/>
      <w:ind w:left="420" w:leftChars="200" w:firstLine="420" w:firstLineChars="200"/>
    </w:pPr>
    <w:rPr>
      <w:rFonts w:ascii="Times New Roman"/>
      <w:sz w:val="21"/>
    </w:rPr>
  </w:style>
  <w:style w:type="table" w:styleId="37">
    <w:name w:val="Table Grid"/>
    <w:basedOn w:val="3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locked/>
    <w:uiPriority w:val="0"/>
  </w:style>
  <w:style w:type="character" w:styleId="40">
    <w:name w:val="FollowedHyperlink"/>
    <w:basedOn w:val="38"/>
    <w:qFormat/>
    <w:locked/>
    <w:uiPriority w:val="0"/>
    <w:rPr>
      <w:color w:val="000000"/>
      <w:u w:val="none"/>
    </w:rPr>
  </w:style>
  <w:style w:type="character" w:styleId="41">
    <w:name w:val="Emphasis"/>
    <w:basedOn w:val="38"/>
    <w:qFormat/>
    <w:locked/>
    <w:uiPriority w:val="0"/>
  </w:style>
  <w:style w:type="character" w:styleId="42">
    <w:name w:val="Hyperlink"/>
    <w:basedOn w:val="38"/>
    <w:qFormat/>
    <w:locked/>
    <w:uiPriority w:val="0"/>
    <w:rPr>
      <w:color w:val="000000"/>
      <w:u w:val="none"/>
    </w:rPr>
  </w:style>
  <w:style w:type="character" w:styleId="43">
    <w:name w:val="annotation reference"/>
    <w:semiHidden/>
    <w:qFormat/>
    <w:uiPriority w:val="0"/>
    <w:rPr>
      <w:sz w:val="21"/>
    </w:rPr>
  </w:style>
  <w:style w:type="paragraph" w:customStyle="1" w:styleId="44">
    <w:name w:val="表格五号"/>
    <w:basedOn w:val="16"/>
    <w:qFormat/>
    <w:uiPriority w:val="0"/>
    <w:pPr>
      <w:adjustRightInd w:val="0"/>
      <w:snapToGrid w:val="0"/>
      <w:spacing w:line="240" w:lineRule="auto"/>
      <w:jc w:val="center"/>
      <w:textAlignment w:val="center"/>
    </w:pPr>
    <w:rPr>
      <w:rFonts w:ascii="Times New Roman" w:hAnsi="Times New Roman" w:eastAsia="宋体"/>
      <w:kern w:val="0"/>
      <w:sz w:val="21"/>
      <w:szCs w:val="21"/>
    </w:rPr>
  </w:style>
  <w:style w:type="paragraph" w:customStyle="1" w:styleId="45">
    <w:name w:val="W  正文"/>
    <w:basedOn w:val="1"/>
    <w:link w:val="51"/>
    <w:qFormat/>
    <w:uiPriority w:val="0"/>
    <w:pPr>
      <w:spacing w:before="25" w:beforeLines="25" w:after="25" w:afterLines="25" w:line="360" w:lineRule="auto"/>
      <w:ind w:firstLine="480" w:firstLineChars="200"/>
    </w:pPr>
    <w:rPr>
      <w:rFonts w:ascii="Times New Roman" w:hAnsi="Times New Roman" w:eastAsia="宋体" w:cs="Times New Roman"/>
      <w:sz w:val="24"/>
    </w:rPr>
  </w:style>
  <w:style w:type="paragraph" w:customStyle="1" w:styleId="46">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47">
    <w:name w:val="批注文字1"/>
    <w:basedOn w:val="1"/>
    <w:unhideWhenUsed/>
    <w:qFormat/>
    <w:uiPriority w:val="99"/>
    <w:pPr>
      <w:adjustRightInd w:val="0"/>
      <w:spacing w:line="360" w:lineRule="atLeast"/>
      <w:textAlignment w:val="baseline"/>
    </w:pPr>
    <w:rPr>
      <w:rFonts w:ascii="宋体"/>
      <w:kern w:val="0"/>
    </w:rPr>
  </w:style>
  <w:style w:type="paragraph" w:customStyle="1" w:styleId="4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49">
    <w:name w:val="正文文本缩进 Char"/>
    <w:link w:val="13"/>
    <w:semiHidden/>
    <w:qFormat/>
    <w:locked/>
    <w:uiPriority w:val="0"/>
    <w:rPr>
      <w:rFonts w:ascii="Times New Roman" w:hAnsi="Times New Roman" w:eastAsia="宋体"/>
      <w:sz w:val="24"/>
    </w:rPr>
  </w:style>
  <w:style w:type="character" w:customStyle="1" w:styleId="50">
    <w:name w:val="标题 1 Char"/>
    <w:link w:val="4"/>
    <w:qFormat/>
    <w:uiPriority w:val="99"/>
    <w:rPr>
      <w:rFonts w:eastAsia="黑体"/>
      <w:b/>
      <w:bCs/>
      <w:color w:val="000000"/>
      <w:kern w:val="44"/>
      <w:sz w:val="30"/>
      <w:szCs w:val="30"/>
    </w:rPr>
  </w:style>
  <w:style w:type="character" w:customStyle="1" w:styleId="51">
    <w:name w:val="正文1 Char"/>
    <w:link w:val="45"/>
    <w:qFormat/>
    <w:uiPriority w:val="0"/>
    <w:rPr>
      <w:rFonts w:ascii="Times New Roman" w:hAnsi="Times New Roman" w:eastAsia="宋体" w:cs="Times New Roman"/>
      <w:sz w:val="24"/>
    </w:rPr>
  </w:style>
  <w:style w:type="character" w:customStyle="1" w:styleId="52">
    <w:name w:val="批注文字 Char"/>
    <w:link w:val="11"/>
    <w:qFormat/>
    <w:locked/>
    <w:uiPriority w:val="0"/>
    <w:rPr>
      <w:rFonts w:ascii="Times New Roman" w:hAnsi="Times New Roman" w:eastAsia="宋体"/>
      <w:sz w:val="24"/>
    </w:rPr>
  </w:style>
  <w:style w:type="character" w:customStyle="1" w:styleId="53">
    <w:name w:val="正文文本 Char"/>
    <w:link w:val="12"/>
    <w:qFormat/>
    <w:locked/>
    <w:uiPriority w:val="0"/>
    <w:rPr>
      <w:sz w:val="18"/>
    </w:rPr>
  </w:style>
  <w:style w:type="character" w:customStyle="1" w:styleId="54">
    <w:name w:val="日期 Char"/>
    <w:link w:val="18"/>
    <w:qFormat/>
    <w:locked/>
    <w:uiPriority w:val="0"/>
    <w:rPr>
      <w:rFonts w:ascii="Times New Roman" w:hAnsi="Times New Roman" w:eastAsia="宋体"/>
      <w:sz w:val="24"/>
    </w:rPr>
  </w:style>
  <w:style w:type="character" w:customStyle="1" w:styleId="55">
    <w:name w:val="批注框文本 Char"/>
    <w:link w:val="20"/>
    <w:semiHidden/>
    <w:qFormat/>
    <w:locked/>
    <w:uiPriority w:val="0"/>
    <w:rPr>
      <w:rFonts w:ascii="Times New Roman" w:hAnsi="Times New Roman" w:eastAsia="宋体"/>
      <w:sz w:val="18"/>
    </w:rPr>
  </w:style>
  <w:style w:type="character" w:customStyle="1" w:styleId="56">
    <w:name w:val="页脚 Char"/>
    <w:link w:val="21"/>
    <w:qFormat/>
    <w:locked/>
    <w:uiPriority w:val="99"/>
    <w:rPr>
      <w:sz w:val="18"/>
    </w:rPr>
  </w:style>
  <w:style w:type="character" w:customStyle="1" w:styleId="57">
    <w:name w:val="页眉 Char"/>
    <w:link w:val="22"/>
    <w:qFormat/>
    <w:locked/>
    <w:uiPriority w:val="0"/>
    <w:rPr>
      <w:sz w:val="18"/>
    </w:rPr>
  </w:style>
  <w:style w:type="character" w:customStyle="1" w:styleId="58">
    <w:name w:val="普通(网站) Char"/>
    <w:link w:val="32"/>
    <w:qFormat/>
    <w:locked/>
    <w:uiPriority w:val="0"/>
    <w:rPr>
      <w:rFonts w:ascii="宋体" w:hAnsi="宋体" w:eastAsia="宋体"/>
      <w:sz w:val="24"/>
    </w:rPr>
  </w:style>
  <w:style w:type="character" w:customStyle="1" w:styleId="59">
    <w:name w:val="批注主题 Char"/>
    <w:link w:val="33"/>
    <w:semiHidden/>
    <w:qFormat/>
    <w:locked/>
    <w:uiPriority w:val="0"/>
    <w:rPr>
      <w:rFonts w:ascii="Times New Roman" w:hAnsi="Times New Roman" w:eastAsia="宋体"/>
      <w:b/>
      <w:kern w:val="2"/>
      <w:sz w:val="24"/>
    </w:rPr>
  </w:style>
  <w:style w:type="paragraph" w:customStyle="1" w:styleId="60">
    <w:name w:val="Default1"/>
    <w:basedOn w:val="61"/>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1">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2">
    <w:name w:val="标题4"/>
    <w:basedOn w:val="1"/>
    <w:next w:val="63"/>
    <w:qFormat/>
    <w:uiPriority w:val="0"/>
    <w:pPr>
      <w:widowControl w:val="0"/>
      <w:autoSpaceDE/>
      <w:autoSpaceDN/>
      <w:spacing w:before="0" w:after="0" w:line="360" w:lineRule="auto"/>
      <w:ind w:left="496" w:firstLine="0"/>
      <w:jc w:val="both"/>
    </w:pPr>
    <w:rPr>
      <w:rFonts w:ascii="宋体" w:eastAsia="Calibri"/>
      <w:sz w:val="24"/>
    </w:rPr>
  </w:style>
  <w:style w:type="paragraph" w:customStyle="1" w:styleId="63">
    <w:name w:val="表格内正文"/>
    <w:basedOn w:val="1"/>
    <w:next w:val="64"/>
    <w:qFormat/>
    <w:uiPriority w:val="0"/>
    <w:pPr>
      <w:spacing w:line="360" w:lineRule="auto"/>
      <w:ind w:firstLine="493"/>
    </w:pPr>
    <w:rPr>
      <w:rFonts w:ascii="宋体" w:hAnsi="宋体"/>
      <w:spacing w:val="4"/>
      <w:kern w:val="18"/>
      <w:sz w:val="24"/>
    </w:rPr>
  </w:style>
  <w:style w:type="paragraph" w:customStyle="1" w:styleId="64">
    <w:name w:val="A 正文"/>
    <w:basedOn w:val="1"/>
    <w:next w:val="1"/>
    <w:qFormat/>
    <w:uiPriority w:val="0"/>
    <w:pPr>
      <w:spacing w:line="360" w:lineRule="auto"/>
      <w:ind w:firstLine="200" w:firstLineChars="200"/>
    </w:pPr>
    <w:rPr>
      <w:sz w:val="24"/>
    </w:rPr>
  </w:style>
  <w:style w:type="paragraph" w:customStyle="1" w:styleId="65">
    <w:name w:val="正文样式"/>
    <w:basedOn w:val="1"/>
    <w:qFormat/>
    <w:uiPriority w:val="0"/>
    <w:pPr>
      <w:spacing w:line="360" w:lineRule="auto"/>
      <w:ind w:right="170" w:firstLine="480" w:firstLineChars="200"/>
    </w:pPr>
    <w:rPr>
      <w:rFonts w:hAnsi="宋体"/>
      <w:sz w:val="24"/>
    </w:rPr>
  </w:style>
  <w:style w:type="paragraph" w:customStyle="1" w:styleId="66">
    <w:name w:val="表"/>
    <w:basedOn w:val="1"/>
    <w:qFormat/>
    <w:uiPriority w:val="0"/>
    <w:pPr>
      <w:snapToGrid/>
      <w:spacing w:line="264" w:lineRule="auto"/>
      <w:ind w:left="19" w:leftChars="9" w:right="19" w:rightChars="9"/>
      <w:jc w:val="center"/>
    </w:pPr>
    <w:rPr>
      <w:rFonts w:ascii="Times New Roman" w:hAnsi="Times New Roman" w:eastAsia="宋体"/>
      <w:szCs w:val="21"/>
    </w:rPr>
  </w:style>
  <w:style w:type="paragraph" w:customStyle="1" w:styleId="67">
    <w:name w:val="表格目录"/>
    <w:basedOn w:val="1"/>
    <w:qFormat/>
    <w:uiPriority w:val="0"/>
    <w:pPr>
      <w:spacing w:line="288" w:lineRule="auto"/>
      <w:ind w:left="51" w:right="51"/>
      <w:jc w:val="center"/>
    </w:pPr>
    <w:rPr>
      <w:rFonts w:ascii="Times New Roman" w:hAnsi="Times New Roman" w:eastAsia="宋体"/>
      <w:b/>
      <w:bCs/>
      <w:szCs w:val="21"/>
    </w:rPr>
  </w:style>
  <w:style w:type="paragraph" w:customStyle="1" w:styleId="68">
    <w:name w:val="表头"/>
    <w:basedOn w:val="69"/>
    <w:next w:val="1"/>
    <w:link w:val="70"/>
    <w:qFormat/>
    <w:uiPriority w:val="0"/>
    <w:pPr>
      <w:spacing w:before="120"/>
      <w:ind w:firstLine="0" w:firstLineChars="0"/>
      <w:jc w:val="center"/>
    </w:pPr>
    <w:rPr>
      <w:rFonts w:ascii="Times New Roman" w:hAnsi="Times New Roman" w:eastAsia="宋体" w:cs="Times New Roman"/>
      <w:b/>
    </w:rPr>
  </w:style>
  <w:style w:type="paragraph" w:customStyle="1" w:styleId="69">
    <w:name w:val="表格五号1"/>
    <w:basedOn w:val="1"/>
    <w:qFormat/>
    <w:uiPriority w:val="0"/>
    <w:pPr>
      <w:spacing w:line="240" w:lineRule="auto"/>
      <w:ind w:firstLine="0"/>
      <w:jc w:val="center"/>
      <w:textAlignment w:val="center"/>
    </w:pPr>
    <w:rPr>
      <w:rFonts w:ascii="Times New Roman" w:hAnsi="Times New Roman" w:eastAsia="宋体"/>
      <w:spacing w:val="6"/>
      <w:sz w:val="21"/>
      <w:szCs w:val="21"/>
    </w:rPr>
  </w:style>
  <w:style w:type="character" w:customStyle="1" w:styleId="70">
    <w:name w:val="表头 Char1"/>
    <w:link w:val="68"/>
    <w:qFormat/>
    <w:uiPriority w:val="0"/>
    <w:rPr>
      <w:rFonts w:ascii="Times New Roman" w:hAnsi="Times New Roman" w:eastAsia="宋体" w:cs="Times New Roman"/>
      <w:b/>
    </w:rPr>
  </w:style>
  <w:style w:type="paragraph" w:customStyle="1" w:styleId="71">
    <w:name w:val="报告表正文W"/>
    <w:basedOn w:val="1"/>
    <w:link w:val="72"/>
    <w:qFormat/>
    <w:uiPriority w:val="0"/>
    <w:pPr>
      <w:spacing w:line="360" w:lineRule="auto"/>
      <w:ind w:firstLine="720" w:firstLineChars="200"/>
    </w:pPr>
    <w:rPr>
      <w:rFonts w:ascii="Times New Roman" w:hAnsi="Times New Roman" w:eastAsia="宋体"/>
      <w:sz w:val="24"/>
    </w:rPr>
  </w:style>
  <w:style w:type="character" w:customStyle="1" w:styleId="72">
    <w:name w:val="报告表正文W Char"/>
    <w:link w:val="71"/>
    <w:qFormat/>
    <w:uiPriority w:val="0"/>
    <w:rPr>
      <w:rFonts w:ascii="Times New Roman" w:hAnsi="Times New Roman" w:eastAsia="宋体"/>
      <w:sz w:val="24"/>
    </w:rPr>
  </w:style>
  <w:style w:type="paragraph" w:customStyle="1" w:styleId="73">
    <w:name w:val="A正文1"/>
    <w:basedOn w:val="1"/>
    <w:link w:val="74"/>
    <w:qFormat/>
    <w:uiPriority w:val="0"/>
    <w:pPr>
      <w:spacing w:before="25" w:beforeLines="25" w:after="25" w:afterLines="25" w:line="360" w:lineRule="auto"/>
      <w:ind w:firstLine="480" w:firstLineChars="200"/>
    </w:pPr>
    <w:rPr>
      <w:rFonts w:ascii="Times New Roman" w:hAnsi="Times New Roman" w:eastAsia="宋体"/>
      <w:sz w:val="24"/>
    </w:rPr>
  </w:style>
  <w:style w:type="character" w:customStyle="1" w:styleId="74">
    <w:name w:val="A正文1 Char"/>
    <w:link w:val="73"/>
    <w:qFormat/>
    <w:uiPriority w:val="0"/>
    <w:rPr>
      <w:rFonts w:ascii="Times New Roman" w:hAnsi="Times New Roman" w:eastAsia="宋体"/>
      <w:sz w:val="24"/>
    </w:rPr>
  </w:style>
  <w:style w:type="character" w:customStyle="1" w:styleId="75">
    <w:name w:val="正文文本 字符1"/>
    <w:semiHidden/>
    <w:qFormat/>
    <w:uiPriority w:val="0"/>
    <w:rPr>
      <w:rFonts w:ascii="Times New Roman" w:hAnsi="Times New Roman" w:eastAsia="宋体"/>
      <w:sz w:val="24"/>
    </w:rPr>
  </w:style>
  <w:style w:type="character" w:customStyle="1" w:styleId="76">
    <w:name w:val="日期 字符"/>
    <w:semiHidden/>
    <w:qFormat/>
    <w:uiPriority w:val="0"/>
    <w:rPr>
      <w:rFonts w:ascii="Times New Roman" w:hAnsi="Times New Roman" w:eastAsia="宋体"/>
      <w:sz w:val="24"/>
    </w:rPr>
  </w:style>
  <w:style w:type="character" w:customStyle="1" w:styleId="77">
    <w:name w:val="批注文字 字符1"/>
    <w:semiHidden/>
    <w:qFormat/>
    <w:uiPriority w:val="0"/>
    <w:rPr>
      <w:rFonts w:ascii="Times New Roman" w:hAnsi="Times New Roman" w:eastAsia="宋体"/>
      <w:sz w:val="24"/>
    </w:rPr>
  </w:style>
  <w:style w:type="character" w:customStyle="1" w:styleId="78">
    <w:name w:val="表格 Char"/>
    <w:link w:val="79"/>
    <w:qFormat/>
    <w:locked/>
    <w:uiPriority w:val="0"/>
    <w:rPr>
      <w:rFonts w:ascii="宋体"/>
      <w:sz w:val="21"/>
    </w:rPr>
  </w:style>
  <w:style w:type="paragraph" w:customStyle="1" w:styleId="79">
    <w:name w:val="表格"/>
    <w:basedOn w:val="1"/>
    <w:next w:val="1"/>
    <w:link w:val="78"/>
    <w:qFormat/>
    <w:uiPriority w:val="0"/>
    <w:pPr>
      <w:adjustRightInd w:val="0"/>
      <w:snapToGrid w:val="0"/>
      <w:spacing w:beforeLines="10" w:afterLines="10" w:line="259" w:lineRule="auto"/>
      <w:jc w:val="center"/>
    </w:pPr>
    <w:rPr>
      <w:rFonts w:ascii="宋体"/>
      <w:kern w:val="0"/>
      <w:szCs w:val="20"/>
    </w:rPr>
  </w:style>
  <w:style w:type="character" w:customStyle="1" w:styleId="80">
    <w:name w:val="页脚 字符"/>
    <w:basedOn w:val="38"/>
    <w:qFormat/>
    <w:uiPriority w:val="99"/>
  </w:style>
  <w:style w:type="paragraph" w:customStyle="1" w:styleId="81">
    <w:name w:val="Table Paragraph"/>
    <w:basedOn w:val="1"/>
    <w:qFormat/>
    <w:uiPriority w:val="1"/>
    <w:pPr>
      <w:spacing w:before="79"/>
      <w:jc w:val="center"/>
    </w:pPr>
    <w:rPr>
      <w:rFonts w:ascii="宋体" w:hAnsi="宋体" w:eastAsia="宋体" w:cs="宋体"/>
      <w:lang w:val="zh-CN" w:eastAsia="zh-CN" w:bidi="zh-CN"/>
    </w:rPr>
  </w:style>
  <w:style w:type="paragraph" w:customStyle="1" w:styleId="82">
    <w:name w:val="表格内文字"/>
    <w:basedOn w:val="1"/>
    <w:qFormat/>
    <w:uiPriority w:val="0"/>
    <w:pPr>
      <w:spacing w:before="100" w:after="100" w:line="320" w:lineRule="exact"/>
      <w:jc w:val="center"/>
    </w:pPr>
    <w:rPr>
      <w:spacing w:val="10"/>
      <w:sz w:val="24"/>
      <w:szCs w:val="20"/>
    </w:rPr>
  </w:style>
  <w:style w:type="paragraph" w:customStyle="1" w:styleId="83">
    <w:name w:val="样式1"/>
    <w:basedOn w:val="26"/>
    <w:next w:val="1"/>
    <w:qFormat/>
    <w:uiPriority w:val="0"/>
    <w:pPr>
      <w:spacing w:line="360" w:lineRule="auto"/>
      <w:ind w:firstLine="425"/>
    </w:pPr>
    <w:rPr>
      <w:kern w:val="44"/>
    </w:rPr>
  </w:style>
  <w:style w:type="paragraph" w:customStyle="1" w:styleId="8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5">
    <w:name w:val="W表头"/>
    <w:basedOn w:val="1"/>
    <w:next w:val="45"/>
    <w:qFormat/>
    <w:uiPriority w:val="0"/>
    <w:pPr>
      <w:jc w:val="center"/>
    </w:pPr>
    <w:rPr>
      <w:rFonts w:ascii="Times New Roman" w:hAnsi="Times New Roman" w:eastAsia="宋体"/>
      <w:b/>
    </w:rPr>
  </w:style>
  <w:style w:type="paragraph" w:customStyle="1" w:styleId="86">
    <w:name w:val="表头W"/>
    <w:basedOn w:val="1"/>
    <w:next w:val="1"/>
    <w:qFormat/>
    <w:uiPriority w:val="0"/>
    <w:pPr>
      <w:jc w:val="center"/>
    </w:pPr>
    <w:rPr>
      <w:rFonts w:ascii="Times New Roman" w:hAnsi="Times New Roman" w:eastAsia="宋体"/>
      <w:b/>
    </w:rPr>
  </w:style>
  <w:style w:type="table" w:customStyle="1" w:styleId="87">
    <w:name w:val="Table Normal"/>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88">
    <w:name w:val="常用正文样式"/>
    <w:qFormat/>
    <w:uiPriority w:val="0"/>
    <w:pPr>
      <w:widowControl w:val="0"/>
      <w:spacing w:line="360" w:lineRule="auto"/>
      <w:ind w:firstLine="454"/>
      <w:jc w:val="both"/>
    </w:pPr>
    <w:rPr>
      <w:rFonts w:ascii="宋体" w:hAnsi="新宋体" w:eastAsia="仿宋_GB2312" w:cs="宋体"/>
      <w:kern w:val="2"/>
      <w:sz w:val="24"/>
      <w:szCs w:val="24"/>
      <w:lang w:val="en-US" w:eastAsia="zh-CN" w:bidi="ar-SA"/>
    </w:rPr>
  </w:style>
  <w:style w:type="character" w:customStyle="1" w:styleId="89">
    <w:name w:val="font21"/>
    <w:basedOn w:val="38"/>
    <w:qFormat/>
    <w:uiPriority w:val="0"/>
    <w:rPr>
      <w:rFonts w:hint="default" w:ascii="Times New Roman" w:hAnsi="Times New Roman" w:cs="Times New Roman"/>
      <w:color w:val="FF0000"/>
      <w:sz w:val="21"/>
      <w:szCs w:val="21"/>
      <w:u w:val="none"/>
    </w:rPr>
  </w:style>
  <w:style w:type="paragraph" w:customStyle="1" w:styleId="90">
    <w:name w:val="正文123"/>
    <w:basedOn w:val="1"/>
    <w:next w:val="16"/>
    <w:qFormat/>
    <w:uiPriority w:val="0"/>
    <w:pPr>
      <w:snapToGrid/>
      <w:spacing w:line="360" w:lineRule="auto"/>
      <w:ind w:firstLine="480" w:firstLineChars="200"/>
    </w:pPr>
    <w:rPr>
      <w:rFonts w:ascii="Times New Roman" w:hAnsi="Times New Roman" w:eastAsia="宋体"/>
      <w:sz w:val="24"/>
    </w:rPr>
  </w:style>
  <w:style w:type="paragraph" w:customStyle="1" w:styleId="91">
    <w:name w:val="报告表正文"/>
    <w:basedOn w:val="1"/>
    <w:qFormat/>
    <w:uiPriority w:val="0"/>
    <w:pPr>
      <w:adjustRightInd w:val="0"/>
      <w:spacing w:line="312" w:lineRule="auto"/>
      <w:ind w:left="113" w:right="113" w:firstLine="482"/>
      <w:jc w:val="left"/>
      <w:textAlignment w:val="baseline"/>
    </w:pPr>
    <w:rPr>
      <w:rFonts w:ascii="Times New Roman"/>
      <w:spacing w:val="0"/>
      <w:kern w:val="0"/>
      <w:szCs w:val="20"/>
    </w:rPr>
  </w:style>
  <w:style w:type="paragraph" w:customStyle="1" w:styleId="92">
    <w:name w:val="表头11"/>
    <w:basedOn w:val="1"/>
    <w:qFormat/>
    <w:uiPriority w:val="0"/>
    <w:pPr>
      <w:adjustRightInd w:val="0"/>
      <w:spacing w:line="240" w:lineRule="auto"/>
      <w:ind w:firstLine="0"/>
      <w:jc w:val="center"/>
      <w:textAlignment w:val="baseline"/>
    </w:pPr>
    <w:rPr>
      <w:rFonts w:ascii="Times New Roman" w:hAnsi="Times New Roman" w:eastAsia="宋体"/>
      <w:b/>
      <w:spacing w:val="0"/>
      <w:kern w:val="0"/>
      <w:sz w:val="21"/>
      <w:szCs w:val="20"/>
    </w:rPr>
  </w:style>
  <w:style w:type="paragraph" w:customStyle="1" w:styleId="93">
    <w:name w:val="表中文字"/>
    <w:basedOn w:val="1"/>
    <w:qFormat/>
    <w:uiPriority w:val="0"/>
    <w:pPr>
      <w:jc w:val="center"/>
    </w:pPr>
    <w:rPr>
      <w:rFonts w:ascii="宋体" w:hAnsi="Times New Roman"/>
      <w:spacing w:val="4"/>
      <w:w w:val="90"/>
      <w:sz w:val="24"/>
    </w:rPr>
  </w:style>
  <w:style w:type="paragraph" w:customStyle="1" w:styleId="94">
    <w:name w:val="样式5"/>
    <w:basedOn w:val="1"/>
    <w:next w:val="1"/>
    <w:qFormat/>
    <w:uiPriority w:val="0"/>
    <w:pPr>
      <w:tabs>
        <w:tab w:val="left" w:pos="601"/>
        <w:tab w:val="left" w:pos="932"/>
      </w:tabs>
      <w:spacing w:line="520" w:lineRule="exact"/>
      <w:ind w:left="181" w:firstLine="539"/>
    </w:pPr>
    <w:rPr>
      <w:szCs w:val="24"/>
    </w:rPr>
  </w:style>
  <w:style w:type="paragraph" w:customStyle="1" w:styleId="95">
    <w:name w:val="样式 小四 行距: 1.5 倍行距"/>
    <w:basedOn w:val="1"/>
    <w:qFormat/>
    <w:uiPriority w:val="0"/>
    <w:pPr>
      <w:ind w:firstLine="480" w:firstLineChars="200"/>
    </w:pPr>
    <w:rPr>
      <w:rFonts w:cs="宋体"/>
    </w:rPr>
  </w:style>
  <w:style w:type="paragraph" w:customStyle="1" w:styleId="96">
    <w:name w:val="表格标题"/>
    <w:basedOn w:val="97"/>
    <w:next w:val="1"/>
    <w:qFormat/>
    <w:uiPriority w:val="0"/>
    <w:pPr>
      <w:keepNext/>
      <w:spacing w:before="50" w:beforeLines="50" w:line="240" w:lineRule="auto"/>
      <w:ind w:firstLine="0" w:firstLineChars="0"/>
      <w:jc w:val="center"/>
    </w:pPr>
    <w:rPr>
      <w:rFonts w:ascii="Times New Roman" w:hAnsi="Times New Roman" w:eastAsia="宋体" w:cs="宋体"/>
      <w:b/>
      <w:sz w:val="24"/>
      <w:szCs w:val="24"/>
    </w:rPr>
  </w:style>
  <w:style w:type="paragraph" w:customStyle="1" w:styleId="97">
    <w:name w:val="!表格标题"/>
    <w:basedOn w:val="12"/>
    <w:next w:val="12"/>
    <w:qFormat/>
    <w:uiPriority w:val="0"/>
    <w:pPr>
      <w:snapToGrid/>
      <w:spacing w:line="240" w:lineRule="auto"/>
      <w:ind w:firstLine="0" w:firstLineChars="0"/>
    </w:pPr>
    <w:rPr>
      <w:rFonts w:ascii="Calibri" w:hAnsi="Calibri" w:eastAsia="宋体" w:cs="Times New Roman"/>
      <w:kern w:val="2"/>
      <w:sz w:val="21"/>
      <w:szCs w:val="22"/>
    </w:rPr>
  </w:style>
  <w:style w:type="paragraph" w:customStyle="1" w:styleId="98">
    <w:name w:val="Other|1"/>
    <w:basedOn w:val="1"/>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99">
    <w:name w:val="表格样式"/>
    <w:basedOn w:val="1"/>
    <w:qFormat/>
    <w:uiPriority w:val="0"/>
    <w:pPr>
      <w:spacing w:line="360" w:lineRule="auto"/>
      <w:jc w:val="center"/>
    </w:pPr>
  </w:style>
  <w:style w:type="character" w:customStyle="1" w:styleId="100">
    <w:name w:val="lable"/>
    <w:basedOn w:val="38"/>
    <w:qFormat/>
    <w:uiPriority w:val="0"/>
    <w:rPr>
      <w:sz w:val="24"/>
      <w:szCs w:val="24"/>
    </w:rPr>
  </w:style>
  <w:style w:type="character" w:customStyle="1" w:styleId="101">
    <w:name w:val="lishishuju"/>
    <w:basedOn w:val="38"/>
    <w:qFormat/>
    <w:uiPriority w:val="0"/>
    <w:rPr>
      <w:b/>
      <w:bCs/>
      <w:color w:val="000052"/>
      <w:sz w:val="24"/>
      <w:szCs w:val="24"/>
      <w:bdr w:val="single" w:color="E3E3E3" w:sz="6" w:space="0"/>
    </w:rPr>
  </w:style>
  <w:style w:type="character" w:customStyle="1" w:styleId="102">
    <w:name w:val="radio-btn"/>
    <w:basedOn w:val="38"/>
    <w:qFormat/>
    <w:uiPriority w:val="0"/>
    <w:rPr>
      <w:sz w:val="24"/>
      <w:szCs w:val="24"/>
    </w:rPr>
  </w:style>
  <w:style w:type="character" w:customStyle="1" w:styleId="103">
    <w:name w:val="radio-btn1"/>
    <w:basedOn w:val="38"/>
    <w:qFormat/>
    <w:uiPriority w:val="0"/>
    <w:rPr>
      <w:sz w:val="21"/>
      <w:szCs w:val="21"/>
    </w:rPr>
  </w:style>
  <w:style w:type="character" w:customStyle="1" w:styleId="104">
    <w:name w:val="radio-btn2"/>
    <w:basedOn w:val="38"/>
    <w:qFormat/>
    <w:uiPriority w:val="0"/>
    <w:rPr>
      <w:sz w:val="24"/>
      <w:szCs w:val="24"/>
    </w:rPr>
  </w:style>
  <w:style w:type="character" w:customStyle="1" w:styleId="105">
    <w:name w:val="cur2"/>
    <w:basedOn w:val="38"/>
    <w:qFormat/>
    <w:uiPriority w:val="0"/>
    <w:rPr>
      <w:color w:val="FFFFFF"/>
      <w:shd w:val="clear" w:color="auto" w:fill="2F6B98"/>
    </w:rPr>
  </w:style>
  <w:style w:type="character" w:customStyle="1" w:styleId="106">
    <w:name w:val="znspantitle"/>
    <w:basedOn w:val="38"/>
    <w:qFormat/>
    <w:uiPriority w:val="0"/>
    <w:rPr>
      <w:b/>
      <w:bCs/>
      <w:color w:val="333333"/>
    </w:rPr>
  </w:style>
  <w:style w:type="paragraph" w:customStyle="1" w:styleId="107">
    <w:name w:val="表格正文"/>
    <w:basedOn w:val="1"/>
    <w:next w:val="1"/>
    <w:qFormat/>
    <w:uiPriority w:val="0"/>
    <w:pPr>
      <w:adjustRightInd w:val="0"/>
      <w:snapToGrid w:val="0"/>
      <w:spacing w:line="240" w:lineRule="auto"/>
      <w:ind w:firstLine="0"/>
      <w:jc w:val="center"/>
      <w:textAlignment w:val="baseline"/>
    </w:pPr>
    <w:rPr>
      <w:snapToGrid w:val="0"/>
      <w:kern w:val="0"/>
      <w:sz w:val="21"/>
      <w:szCs w:val="21"/>
    </w:rPr>
  </w:style>
  <w:style w:type="paragraph" w:customStyle="1" w:styleId="108">
    <w:name w:val="至科表头"/>
    <w:basedOn w:val="1"/>
    <w:qFormat/>
    <w:uiPriority w:val="0"/>
    <w:pPr>
      <w:spacing w:line="240" w:lineRule="auto"/>
      <w:ind w:firstLine="0" w:firstLineChars="0"/>
      <w:jc w:val="center"/>
    </w:pPr>
    <w:rPr>
      <w:rFonts w:ascii="宋体" w:hAnsi="宋体" w:eastAsia="宋体" w:cs="宋体"/>
      <w:b/>
      <w:bCs/>
      <w:szCs w:val="21"/>
    </w:rPr>
  </w:style>
  <w:style w:type="paragraph" w:customStyle="1" w:styleId="109">
    <w:name w:val="表格文字2"/>
    <w:basedOn w:val="1"/>
    <w:qFormat/>
    <w:uiPriority w:val="0"/>
    <w:pPr>
      <w:tabs>
        <w:tab w:val="left" w:pos="277"/>
        <w:tab w:val="left" w:pos="600"/>
        <w:tab w:val="left" w:pos="780"/>
        <w:tab w:val="left" w:pos="2517"/>
      </w:tabs>
      <w:adjustRightInd w:val="0"/>
      <w:spacing w:before="60"/>
      <w:jc w:val="center"/>
      <w:textAlignment w:val="baseline"/>
    </w:pPr>
    <w:rPr>
      <w:rFonts w:cs="宋体"/>
      <w:spacing w:val="5"/>
      <w:kern w:val="0"/>
      <w:szCs w:val="21"/>
    </w:rPr>
  </w:style>
  <w:style w:type="character" w:customStyle="1" w:styleId="110">
    <w:name w:val="fontstyle01"/>
    <w:basedOn w:val="38"/>
    <w:qFormat/>
    <w:uiPriority w:val="0"/>
    <w:rPr>
      <w:rFonts w:hint="eastAsia" w:ascii="宋体" w:hAnsi="宋体" w:eastAsia="宋体"/>
      <w:color w:val="000000"/>
      <w:sz w:val="24"/>
      <w:szCs w:val="24"/>
    </w:rPr>
  </w:style>
  <w:style w:type="paragraph" w:customStyle="1" w:styleId="111">
    <w:name w:val="cyy正文"/>
    <w:basedOn w:val="1"/>
    <w:qFormat/>
    <w:uiPriority w:val="0"/>
    <w:pPr>
      <w:autoSpaceDE w:val="0"/>
      <w:autoSpaceDN w:val="0"/>
      <w:adjustRightInd w:val="0"/>
      <w:snapToGrid w:val="0"/>
      <w:spacing w:line="500" w:lineRule="exact"/>
      <w:ind w:firstLine="200" w:firstLineChars="200"/>
    </w:pPr>
    <w:rPr>
      <w:sz w:val="24"/>
    </w:rPr>
  </w:style>
  <w:style w:type="character" w:customStyle="1" w:styleId="112">
    <w:name w:val="font41"/>
    <w:qFormat/>
    <w:uiPriority w:val="0"/>
    <w:rPr>
      <w:rFonts w:hint="default" w:ascii="仿宋_GB2312" w:eastAsia="仿宋_GB2312" w:cs="仿宋_GB2312"/>
      <w:color w:val="000000"/>
      <w:sz w:val="28"/>
      <w:szCs w:val="28"/>
      <w:u w:val="none"/>
    </w:rPr>
  </w:style>
  <w:style w:type="paragraph" w:customStyle="1" w:styleId="113">
    <w:name w:val="cyy表格"/>
    <w:basedOn w:val="111"/>
    <w:qFormat/>
    <w:uiPriority w:val="0"/>
    <w:pPr>
      <w:spacing w:line="360" w:lineRule="exact"/>
      <w:ind w:firstLine="0" w:firstLineChars="0"/>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svg"/><Relationship Id="rId18" Type="http://schemas.openxmlformats.org/officeDocument/2006/relationships/image" Target="media/image10.png"/><Relationship Id="rId17" Type="http://schemas.openxmlformats.org/officeDocument/2006/relationships/image" Target="media/image9.svg"/><Relationship Id="rId16" Type="http://schemas.openxmlformats.org/officeDocument/2006/relationships/image" Target="media/image8.png"/><Relationship Id="rId15" Type="http://schemas.openxmlformats.org/officeDocument/2006/relationships/image" Target="media/image7.svg"/><Relationship Id="rId14" Type="http://schemas.openxmlformats.org/officeDocument/2006/relationships/image" Target="media/image6.png"/><Relationship Id="rId13" Type="http://schemas.openxmlformats.org/officeDocument/2006/relationships/image" Target="media/image5.svg"/><Relationship Id="rId12" Type="http://schemas.openxmlformats.org/officeDocument/2006/relationships/image" Target="media/image4.png"/><Relationship Id="rId11" Type="http://schemas.openxmlformats.org/officeDocument/2006/relationships/image" Target="media/image3.sv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33648</Words>
  <Characters>38071</Characters>
  <Lines>13</Lines>
  <Paragraphs>3</Paragraphs>
  <TotalTime>4</TotalTime>
  <ScaleCrop>false</ScaleCrop>
  <LinksUpToDate>false</LinksUpToDate>
  <CharactersWithSpaces>38311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2021-12-27T10:16:00Z</cp:lastPrinted>
  <dcterms:modified xsi:type="dcterms:W3CDTF">2024-09-19T07:46:04Z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SaveFontToCloudKey">
    <vt:lpwstr>229433975_cloud</vt:lpwstr>
  </property>
  <property fmtid="{D5CDD505-2E9C-101B-9397-08002B2CF9AE}" pid="4" name="ICV">
    <vt:lpwstr>70C8E5FC320740E9A1153EE1D1ADACCC_13</vt:lpwstr>
  </property>
</Properties>
</file>